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黑体"/>
          <w:lang w:eastAsia="zh-CN"/>
        </w:rPr>
      </w:pPr>
      <w:r>
        <w:rPr>
          <w:rFonts w:hint="eastAsia"/>
        </w:rPr>
        <w:t>华能太仓电厂报价须知</w:t>
      </w:r>
      <w:bookmarkStart w:id="0" w:name="_GoBack"/>
      <w:bookmarkEnd w:id="0"/>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一、报价要求：</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1、所有采购项目原则上到厂一票制，运费由供应商承担。所有询价物料均要报价，选择性报价将被视为无效报价。报价时请务必关注备注、说明及附件。</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2、一旦报价，则被视为完全满足商务、技术要求的报价。</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3、一旦中标，则必须按采购方要求执行订单或合同，对不能履约、不按时交货或验收不合格者采购方将按订单、合同及《中国华能集团有限公司供应商管理实施细则》相关条款进行处罚，同时采取不予结算与我公司的任何往来款等措施。</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4、物资的交货期原则上不得迟于为订单或合同生效15个工作日内，进口物资60个工作日内。如不能满足，请在备注栏说明。交货期特殊情形以平台公告或询价文件具体要求为准。</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4.1平台报价不能满足交货期的请勿报价，尤其特别注明交货期的项目。</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4.2约定的交货期内不能交货处罚约定：超过交货期5天内的扣2%货款；超过交货期10天内的扣5%货款；超过交货期10天以上30天以内的扣10%货款；超过交货期30天以上扣30%货款，同时给予供应商不良行为认定处罚。</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4.3同一订单或合同，验收不合格，退换货达到3次的，采购方可终止订单、合同。已发验收合格部分协商结算。退换货超过交货期，按超过交货期处罚执行。</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5、关于卸货：原则上由采购方负责卸货，危险化学品、保温材料等大宗散件物料由供应商负责卸货。</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由采购方负责的卸货，供应商应保证货物的包装应符合叉车卸货的要求；若为大型设备，包装应符合吊车卸货的要求。所有应使用机械卸货的物料，供应商应提前三天通知采购方做好卸货准备，若供应商未通知，耽误卸货时间应由供应商负责。</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为保证所供物资安全，如需特殊卸货的要求的需说明，否则因卸货、开箱导致的损坏由供应商负责调换。</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由供应商负责卸货的物料，不得雇佣采购方正式职工或与采购方已形成外包关系的人员卸货，一旦发现视为违约，所供货物不予结算，有履约保证的扣除履约保证金。自带专业卸货人员的应提前通知采购方协助办理入、出厂门手续。在电厂现场依据电厂要求接卸至指定地点，并服从采购方现场人员指挥。部分货物的包装物若需回收，则需符合环保规定进行再利用或合法处置。</w:t>
      </w:r>
    </w:p>
    <w:p>
      <w:pPr>
        <w:pStyle w:val="6"/>
        <w:ind w:left="0" w:leftChars="0" w:firstLine="420"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6、每笔业务询价公告内列明的具体要求，优先于本询价须知规定的执行。</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二、定标原则：</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b/>
          <w:bCs/>
        </w:rPr>
        <w:t>在满足采购技术要求的前提下，定标一般采用最低价法或经评审的最低价</w:t>
      </w:r>
      <w:r>
        <w:rPr>
          <w:rFonts w:hint="eastAsia" w:asciiTheme="minorEastAsia" w:hAnsiTheme="minorEastAsia" w:eastAsiaTheme="minorEastAsia" w:cstheme="minorEastAsia"/>
        </w:rPr>
        <w:t>（分项最低价或总价最低价），当出现两个以上相同最低价格时，供货周期短的供应商中标。</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采用其他评审方式的见每笔业务具体说明并按其执行。</w:t>
      </w:r>
    </w:p>
    <w:p>
      <w:pPr>
        <w:pStyle w:val="6"/>
        <w:numPr>
          <w:ilvl w:val="0"/>
          <w:numId w:val="1"/>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对于一个询价号含有多项物料的报价，存在单个物料低价中标的可能，请报价人注意。</w:t>
      </w:r>
    </w:p>
    <w:p>
      <w:pPr>
        <w:pStyle w:val="6"/>
        <w:numPr>
          <w:ilvl w:val="0"/>
          <w:numId w:val="1"/>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投标报价扣除可抵扣增值税部分后作为评标价。</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三、报价截止时间：见电子商务平台发布。</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四、特别说明：</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1、供应商必须全面响应本询价要求内容，本次采购解释权归采购方。采购方对未中标原因不作说明。</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对供应商报价时不仔细阅读询价采购文件、报价须知、技术文件等出现响应文件编制缺漏、未提交响应文件、报价错误等情况，导致询价失败的供应商，有可能被禁止参与我公司非招标采购活动。具体处罚如下：（本条为试行条款）</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2.1供应商发生以下情况之一的处以书面提醒：</w:t>
      </w:r>
    </w:p>
    <w:p>
      <w:pPr>
        <w:pStyle w:val="6"/>
        <w:numPr>
          <w:ilvl w:val="0"/>
          <w:numId w:val="2"/>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供应商首次发生未按询价文件要求编制响应文件，存在缺漏的；</w:t>
      </w:r>
    </w:p>
    <w:p>
      <w:pPr>
        <w:pStyle w:val="6"/>
        <w:numPr>
          <w:ilvl w:val="0"/>
          <w:numId w:val="2"/>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供应商首次发生未按询价文件要求上传响应文件的。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2.2供应商发生以下情况之一的处以风险提示，风险提示期3个月，该期间为供应商风险自查自纠，不得参与采购方的非招标采购活动：</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供应商一年内第二次发生未按询价文件要求编制响应文件，存在缺漏的；</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供应商一年内第二次发生未按询价文件要求上传响应文件的；</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供应商首次发生在报价揭示后阶段书面明确提出因报价错误、失误、对技术文件审视不清，不能接受询价结果的。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2.3供应商发生以下情况之一的处以风险提示，风险提示期12个月，该期间为供应商风险自查自纠，不得参与采购方的非招标采购活动：</w:t>
      </w:r>
    </w:p>
    <w:p>
      <w:pPr>
        <w:pStyle w:val="6"/>
        <w:numPr>
          <w:ilvl w:val="0"/>
          <w:numId w:val="4"/>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供应商一年内第二次发生在报价揭示后阶段书面明确提出因报价错误、失误、对技术文件审视不清，不能接受询价结果的；</w:t>
      </w:r>
    </w:p>
    <w:p>
      <w:pPr>
        <w:pStyle w:val="6"/>
        <w:numPr>
          <w:ilvl w:val="0"/>
          <w:numId w:val="4"/>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供应商首次发生在询价结果通知书已发送，供应商提出不接受、不确认询价结果的。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2.4供应商发生以下情况之一的按《中国华能集团有限公司供应商管理办法》以及《中国华能集团有限公司供应商管理实施细则》中有关不良行为认定处理“出现严重不良行为的，停止合作两年：停止供应商参与不良行为认定单位所有的采购业务权限，从供应商库中剔除，并且两年之内不得重新申请进入供应商库。”：</w:t>
      </w:r>
    </w:p>
    <w:p>
      <w:pPr>
        <w:pStyle w:val="6"/>
        <w:numPr>
          <w:ilvl w:val="0"/>
          <w:numId w:val="5"/>
        </w:numPr>
        <w:ind w:left="0" w:leftChars="0" w:firstLine="420" w:firstLineChars="19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供应商发生在订单确认后，提出不能接受询价结果的；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供应商一年内累计三次发生未按询价文件要求编制响应文件，存在缺漏的；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供应商一年内累计三次发生未按询价文件要求上传响应文件的；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供应商一年内累计三次发生在报价揭示后阶段书面明确提出因报价错误、失误、对技术文件审视不清，不能接受询价结果的；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供应商一年内累计两次发生在询价结果通知书已发送，供应商提出不接受、不确认询价结果的。</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3、供应商在报价过程中，如对技术要求不清楚的，请系统书面澄清，如确实属于澄清事项的，将适当延期。如不属于澄清项的则不予延期。</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4、凡属于“用能设备物资设备能效必须达到国家限额标准以上”，否则视为不合格产品。</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5、廉洁诚信经营：响应“反腐倡廉承诺”要求。供应商之间有关联的，有不良信用记录，在行政处罚期的，不具备供应资格的，请自觉主动回避。如被查实，停止所有合作，所采购项目不予结算，将被禁止报价或列入“黑名单”。举报电话：0512-53842061</w:t>
      </w:r>
    </w:p>
    <w:p>
      <w:pPr>
        <w:pStyle w:val="6"/>
        <w:ind w:left="0" w:leftChars="0" w:firstLine="420" w:firstLineChars="190"/>
        <w:rPr>
          <w:rFonts w:asciiTheme="minorEastAsia" w:hAnsiTheme="minorEastAsia" w:eastAsiaTheme="minorEastAsia" w:cstheme="minorEastAsia"/>
          <w:b/>
          <w:bCs/>
        </w:rPr>
      </w:pP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请对我们的采购工作进行监督，涉及采购过程如果有任何不当行为，请立即告知。采购业务监督电话：0512-53842061</w:t>
      </w:r>
    </w:p>
    <w:p>
      <w:pPr>
        <w:rPr>
          <w:rFonts w:asciiTheme="minorEastAsia" w:hAnsiTheme="minorEastAsia" w:cstheme="minor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AD69F"/>
    <w:multiLevelType w:val="singleLevel"/>
    <w:tmpl w:val="AB2AD69F"/>
    <w:lvl w:ilvl="0" w:tentative="0">
      <w:start w:val="1"/>
      <w:numFmt w:val="decimal"/>
      <w:suff w:val="nothing"/>
      <w:lvlText w:val="（%1）"/>
      <w:lvlJc w:val="left"/>
    </w:lvl>
  </w:abstractNum>
  <w:abstractNum w:abstractNumId="1">
    <w:nsid w:val="08EE4204"/>
    <w:multiLevelType w:val="singleLevel"/>
    <w:tmpl w:val="08EE4204"/>
    <w:lvl w:ilvl="0" w:tentative="0">
      <w:start w:val="1"/>
      <w:numFmt w:val="decimal"/>
      <w:suff w:val="nothing"/>
      <w:lvlText w:val="（%1）"/>
      <w:lvlJc w:val="left"/>
    </w:lvl>
  </w:abstractNum>
  <w:abstractNum w:abstractNumId="2">
    <w:nsid w:val="51D23EB4"/>
    <w:multiLevelType w:val="singleLevel"/>
    <w:tmpl w:val="51D23EB4"/>
    <w:lvl w:ilvl="0" w:tentative="0">
      <w:start w:val="2"/>
      <w:numFmt w:val="decimal"/>
      <w:suff w:val="nothing"/>
      <w:lvlText w:val="%1、"/>
      <w:lvlJc w:val="left"/>
    </w:lvl>
  </w:abstractNum>
  <w:abstractNum w:abstractNumId="3">
    <w:nsid w:val="5D07CE1B"/>
    <w:multiLevelType w:val="singleLevel"/>
    <w:tmpl w:val="5D07CE1B"/>
    <w:lvl w:ilvl="0" w:tentative="0">
      <w:start w:val="1"/>
      <w:numFmt w:val="decimal"/>
      <w:suff w:val="nothing"/>
      <w:lvlText w:val="（%1）"/>
      <w:lvlJc w:val="left"/>
    </w:lvl>
  </w:abstractNum>
  <w:abstractNum w:abstractNumId="4">
    <w:nsid w:val="73D46887"/>
    <w:multiLevelType w:val="singleLevel"/>
    <w:tmpl w:val="73D46887"/>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949EC"/>
    <w:rsid w:val="005A2CF7"/>
    <w:rsid w:val="006149CF"/>
    <w:rsid w:val="006D683E"/>
    <w:rsid w:val="05532E9E"/>
    <w:rsid w:val="14A13C52"/>
    <w:rsid w:val="17C40D1C"/>
    <w:rsid w:val="180949EC"/>
    <w:rsid w:val="2CA02C6A"/>
    <w:rsid w:val="2DD007E5"/>
    <w:rsid w:val="3C6C1B08"/>
    <w:rsid w:val="3F3C2365"/>
    <w:rsid w:val="428A3971"/>
    <w:rsid w:val="5A6F12C0"/>
    <w:rsid w:val="673553E1"/>
    <w:rsid w:val="6AA935AB"/>
    <w:rsid w:val="71860E8A"/>
    <w:rsid w:val="7320361D"/>
    <w:rsid w:val="7D4E1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2259</Words>
  <Characters>57</Characters>
  <Lines>1</Lines>
  <Paragraphs>4</Paragraphs>
  <TotalTime>2</TotalTime>
  <ScaleCrop>false</ScaleCrop>
  <LinksUpToDate>false</LinksUpToDate>
  <CharactersWithSpaces>2312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2020-05-12T03:08:00Z</dcterms:created>
  <dc:creator>陈浩661/JSFGS/CHNG</dc:creator>
  <cp:lastModifiedBy>陈浩661/JSFGS/CHNG</cp:lastModifiedBy>
  <cp:lastPrinted>2020-05-18T06:27:00Z</cp:lastPrinted>
  <dcterms:modified xsi:type="dcterms:W3CDTF">2020-05-28T10:58:37Z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