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19"/>
        </w:rPr>
      </w:pPr>
    </w:p>
    <w:p>
      <w:pPr>
        <w:spacing w:before="47"/>
        <w:ind w:left="55" w:right="0" w:firstLine="0"/>
        <w:jc w:val="center"/>
        <w:rPr>
          <w:sz w:val="40"/>
        </w:rPr>
      </w:pPr>
      <w:r>
        <w:rPr>
          <w:sz w:val="40"/>
        </w:rPr>
        <w:t>宝能睿城二期配电工程电缆采购项目</w:t>
      </w:r>
    </w:p>
    <w:p>
      <w:pPr>
        <w:tabs>
          <w:tab w:pos="1481" w:val="left" w:leader="none"/>
          <w:tab w:pos="2929" w:val="left" w:leader="none"/>
          <w:tab w:pos="4377" w:val="left" w:leader="none"/>
        </w:tabs>
        <w:spacing w:before="176"/>
        <w:ind w:left="33" w:right="0" w:firstLine="0"/>
        <w:jc w:val="center"/>
        <w:rPr>
          <w:sz w:val="72"/>
        </w:rPr>
      </w:pPr>
      <w:r>
        <w:rPr>
          <w:sz w:val="72"/>
        </w:rPr>
        <w:t>招</w:t>
        <w:tab/>
        <w:t>标</w:t>
        <w:tab/>
        <w:t>文</w:t>
        <w:tab/>
        <w:t>件</w:t>
      </w:r>
    </w:p>
    <w:p>
      <w:pPr>
        <w:pStyle w:val="BodyText"/>
        <w:spacing w:before="3"/>
        <w:rPr>
          <w:sz w:val="55"/>
        </w:rPr>
      </w:pPr>
    </w:p>
    <w:p>
      <w:pPr>
        <w:pStyle w:val="Heading4"/>
        <w:ind w:left="2902"/>
      </w:pPr>
      <w:bookmarkStart w:name="标段编号：YZB201506002005" w:id="1"/>
      <w:bookmarkEnd w:id="1"/>
      <w:r>
        <w:rPr/>
      </w:r>
      <w:r>
        <w:rPr/>
        <w:t>标段编号：YZB201506002005</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7"/>
        <w:rPr>
          <w:sz w:val="38"/>
        </w:rPr>
      </w:pPr>
    </w:p>
    <w:p>
      <w:pPr>
        <w:tabs>
          <w:tab w:pos="1598" w:val="left" w:leader="none"/>
          <w:tab w:pos="7678" w:val="left" w:leader="none"/>
        </w:tabs>
        <w:spacing w:before="0"/>
        <w:ind w:left="978" w:right="0" w:firstLine="0"/>
        <w:jc w:val="left"/>
        <w:rPr>
          <w:sz w:val="29"/>
        </w:rPr>
      </w:pPr>
      <w:r>
        <w:rPr/>
        <w:drawing>
          <wp:anchor distT="0" distB="0" distL="0" distR="0" allowOverlap="1" layoutInCell="1" locked="0" behindDoc="1" simplePos="0" relativeHeight="268264607">
            <wp:simplePos x="0" y="0"/>
            <wp:positionH relativeFrom="page">
              <wp:posOffset>2222500</wp:posOffset>
            </wp:positionH>
            <wp:positionV relativeFrom="paragraph">
              <wp:posOffset>-390271</wp:posOffset>
            </wp:positionV>
            <wp:extent cx="2032000" cy="20320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32000" cy="2032000"/>
                    </a:xfrm>
                    <a:prstGeom prst="rect">
                      <a:avLst/>
                    </a:prstGeom>
                  </pic:spPr>
                </pic:pic>
              </a:graphicData>
            </a:graphic>
          </wp:anchor>
        </w:drawing>
      </w:r>
      <w:r>
        <w:rPr>
          <w:sz w:val="31"/>
        </w:rPr>
        <w:t>招</w:t>
        <w:tab/>
        <w:t>标</w:t>
      </w:r>
      <w:r>
        <w:rPr>
          <w:spacing w:val="-7"/>
          <w:sz w:val="31"/>
        </w:rPr>
        <w:t> </w:t>
      </w:r>
      <w:r>
        <w:rPr>
          <w:sz w:val="31"/>
        </w:rPr>
        <w:t>单</w:t>
      </w:r>
      <w:r>
        <w:rPr>
          <w:spacing w:val="-8"/>
          <w:sz w:val="31"/>
        </w:rPr>
        <w:t> </w:t>
      </w:r>
      <w:r>
        <w:rPr>
          <w:sz w:val="31"/>
        </w:rPr>
        <w:t>位：</w:t>
      </w:r>
      <w:r>
        <w:rPr>
          <w:sz w:val="29"/>
          <w:u w:val="single"/>
        </w:rPr>
        <w:t>仪征市宝能投资</w:t>
      </w:r>
      <w:r>
        <w:rPr>
          <w:spacing w:val="5"/>
          <w:sz w:val="29"/>
          <w:u w:val="single"/>
        </w:rPr>
        <w:t>有</w:t>
      </w:r>
      <w:r>
        <w:rPr>
          <w:sz w:val="29"/>
          <w:u w:val="single"/>
        </w:rPr>
        <w:t>限公司</w:t>
        <w:tab/>
      </w:r>
    </w:p>
    <w:p>
      <w:pPr>
        <w:pStyle w:val="BodyText"/>
        <w:rPr>
          <w:sz w:val="20"/>
        </w:rPr>
      </w:pPr>
    </w:p>
    <w:p>
      <w:pPr>
        <w:pStyle w:val="BodyText"/>
        <w:spacing w:before="9"/>
        <w:rPr>
          <w:sz w:val="26"/>
        </w:rPr>
      </w:pPr>
    </w:p>
    <w:p>
      <w:pPr>
        <w:pStyle w:val="Heading3"/>
      </w:pPr>
      <w:r>
        <w:rPr/>
        <w:t>招标代理单位：</w:t>
      </w:r>
      <w:r>
        <w:rPr>
          <w:u w:val="single"/>
        </w:rPr>
        <w:t>江苏苏中兴工程造价咨询有限公司</w:t>
      </w:r>
    </w:p>
    <w:p>
      <w:pPr>
        <w:pStyle w:val="BodyText"/>
        <w:rPr>
          <w:sz w:val="20"/>
        </w:rPr>
      </w:pPr>
    </w:p>
    <w:p>
      <w:pPr>
        <w:pStyle w:val="BodyText"/>
        <w:spacing w:before="2"/>
        <w:rPr>
          <w:sz w:val="26"/>
        </w:rPr>
      </w:pPr>
    </w:p>
    <w:p>
      <w:pPr>
        <w:tabs>
          <w:tab w:pos="1598" w:val="left" w:leader="none"/>
          <w:tab w:pos="4472" w:val="left" w:leader="none"/>
          <w:tab w:pos="4940" w:val="left" w:leader="none"/>
          <w:tab w:pos="5560" w:val="left" w:leader="none"/>
          <w:tab w:pos="7880" w:val="left" w:leader="none"/>
        </w:tabs>
        <w:spacing w:before="56"/>
        <w:ind w:left="978" w:right="0" w:firstLine="0"/>
        <w:jc w:val="left"/>
        <w:rPr>
          <w:sz w:val="31"/>
        </w:rPr>
      </w:pPr>
      <w:r>
        <w:rPr>
          <w:sz w:val="31"/>
        </w:rPr>
        <w:t>发</w:t>
        <w:tab/>
        <w:t>放</w:t>
      </w:r>
      <w:r>
        <w:rPr>
          <w:spacing w:val="3"/>
          <w:sz w:val="31"/>
        </w:rPr>
        <w:t> </w:t>
      </w:r>
      <w:r>
        <w:rPr>
          <w:sz w:val="31"/>
        </w:rPr>
        <w:t>时</w:t>
      </w:r>
      <w:r>
        <w:rPr>
          <w:spacing w:val="2"/>
          <w:sz w:val="31"/>
        </w:rPr>
        <w:t> </w:t>
      </w:r>
      <w:r>
        <w:rPr>
          <w:sz w:val="31"/>
        </w:rPr>
        <w:t>间：</w:t>
      </w:r>
      <w:r>
        <w:rPr>
          <w:sz w:val="31"/>
          <w:u w:val="single"/>
        </w:rPr>
        <w:t>2017</w:t>
      </w:r>
      <w:r>
        <w:rPr>
          <w:spacing w:val="-73"/>
          <w:sz w:val="31"/>
          <w:u w:val="single"/>
        </w:rPr>
        <w:t> </w:t>
      </w:r>
      <w:r>
        <w:rPr>
          <w:sz w:val="31"/>
          <w:u w:val="single"/>
        </w:rPr>
        <w:t>年</w:t>
        <w:tab/>
        <w:t>8</w:t>
        <w:tab/>
        <w:t>月</w:t>
        <w:tab/>
        <w:t>23</w:t>
      </w:r>
      <w:r>
        <w:rPr>
          <w:spacing w:val="1"/>
          <w:sz w:val="31"/>
          <w:u w:val="single"/>
        </w:rPr>
        <w:t> </w:t>
      </w:r>
      <w:r>
        <w:rPr>
          <w:sz w:val="31"/>
          <w:u w:val="single"/>
        </w:rPr>
        <w:t>日</w:t>
        <w:tab/>
      </w:r>
    </w:p>
    <w:p>
      <w:pPr>
        <w:pStyle w:val="BodyText"/>
        <w:spacing w:before="9"/>
        <w:rPr>
          <w:sz w:val="28"/>
        </w:rPr>
      </w:pPr>
    </w:p>
    <w:p>
      <w:pPr>
        <w:tabs>
          <w:tab w:pos="1742" w:val="left" w:leader="none"/>
          <w:tab w:pos="2513" w:val="left" w:leader="none"/>
          <w:tab w:pos="3910" w:val="left" w:leader="none"/>
          <w:tab w:pos="7779" w:val="left" w:leader="none"/>
        </w:tabs>
        <w:spacing w:before="56"/>
        <w:ind w:left="956" w:right="0" w:firstLine="0"/>
        <w:jc w:val="left"/>
        <w:rPr>
          <w:sz w:val="31"/>
        </w:rPr>
      </w:pPr>
      <w:r>
        <w:rPr>
          <w:sz w:val="31"/>
        </w:rPr>
        <w:t>编</w:t>
        <w:tab/>
        <w:t>制</w:t>
        <w:tab/>
        <w:t>人：</w:t>
      </w:r>
      <w:r>
        <w:rPr>
          <w:sz w:val="31"/>
          <w:u w:val="single"/>
        </w:rPr>
        <w:t> </w:t>
        <w:tab/>
        <w:t>王 绍</w:t>
      </w:r>
      <w:r>
        <w:rPr>
          <w:spacing w:val="-2"/>
          <w:sz w:val="31"/>
          <w:u w:val="single"/>
        </w:rPr>
        <w:t> </w:t>
      </w:r>
      <w:r>
        <w:rPr>
          <w:sz w:val="31"/>
          <w:u w:val="single"/>
        </w:rPr>
        <w:t>云</w:t>
        <w:tab/>
      </w:r>
    </w:p>
    <w:p>
      <w:pPr>
        <w:spacing w:after="0"/>
        <w:jc w:val="left"/>
        <w:rPr>
          <w:sz w:val="31"/>
        </w:rPr>
        <w:sectPr>
          <w:type w:val="continuous"/>
          <w:pgSz w:w="11910" w:h="16870"/>
          <w:pgMar w:top="1600" w:bottom="280" w:left="880" w:right="640"/>
        </w:sectPr>
      </w:pPr>
    </w:p>
    <w:p>
      <w:pPr>
        <w:tabs>
          <w:tab w:pos="6209" w:val="left" w:leader="none"/>
        </w:tabs>
        <w:spacing w:before="8"/>
        <w:ind w:left="3788" w:right="0" w:firstLine="0"/>
        <w:jc w:val="left"/>
        <w:rPr>
          <w:sz w:val="44"/>
        </w:rPr>
      </w:pPr>
      <w:bookmarkStart w:name="目 录" w:id="2"/>
      <w:bookmarkEnd w:id="2"/>
      <w:r>
        <w:rPr/>
      </w:r>
      <w:r>
        <w:rPr>
          <w:sz w:val="44"/>
        </w:rPr>
        <w:t>目</w:t>
        <w:tab/>
        <w:t>录</w:t>
      </w:r>
    </w:p>
    <w:p>
      <w:pPr>
        <w:pStyle w:val="BodyText"/>
        <w:spacing w:before="5"/>
        <w:rPr>
          <w:sz w:val="57"/>
        </w:rPr>
      </w:pPr>
    </w:p>
    <w:p>
      <w:pPr>
        <w:pStyle w:val="Heading4"/>
        <w:tabs>
          <w:tab w:pos="2016" w:val="left" w:leader="none"/>
        </w:tabs>
        <w:ind w:left="820"/>
      </w:pPr>
      <w:bookmarkStart w:name="第一章 投标须知前附表" w:id="3"/>
      <w:bookmarkEnd w:id="3"/>
      <w:r>
        <w:rPr/>
      </w:r>
      <w:r>
        <w:rPr/>
        <w:t>第一章</w:t>
        <w:tab/>
        <w:t>投标须</w:t>
      </w:r>
      <w:r>
        <w:rPr>
          <w:spacing w:val="-7"/>
        </w:rPr>
        <w:t>知</w:t>
      </w:r>
      <w:r>
        <w:rPr/>
        <w:t>前附表</w:t>
      </w:r>
    </w:p>
    <w:p>
      <w:pPr>
        <w:pStyle w:val="Heading5"/>
        <w:spacing w:before="54"/>
        <w:ind w:left="863"/>
      </w:pPr>
      <w:bookmarkStart w:name="一、总则" w:id="4"/>
      <w:bookmarkEnd w:id="4"/>
      <w:r>
        <w:rPr/>
      </w:r>
      <w:r>
        <w:rPr/>
        <w:t>一、总则</w:t>
      </w:r>
    </w:p>
    <w:p>
      <w:pPr>
        <w:spacing w:line="271" w:lineRule="auto" w:before="44"/>
        <w:ind w:left="820" w:right="7881" w:firstLine="0"/>
        <w:jc w:val="left"/>
        <w:rPr>
          <w:sz w:val="28"/>
        </w:rPr>
      </w:pPr>
      <w:r>
        <w:rPr>
          <w:sz w:val="28"/>
        </w:rPr>
        <w:t>二、招标文件三、投标报价</w:t>
      </w:r>
    </w:p>
    <w:p>
      <w:pPr>
        <w:spacing w:line="266" w:lineRule="auto" w:before="4"/>
        <w:ind w:left="820" w:right="6851" w:firstLine="0"/>
        <w:jc w:val="both"/>
        <w:rPr>
          <w:sz w:val="28"/>
        </w:rPr>
      </w:pPr>
      <w:r>
        <w:rPr>
          <w:sz w:val="28"/>
        </w:rPr>
        <w:t>四、投标文件的编制五、投标文件的递交六、开标</w:t>
      </w:r>
    </w:p>
    <w:p>
      <w:pPr>
        <w:spacing w:before="15"/>
        <w:ind w:left="820" w:right="0" w:firstLine="0"/>
        <w:jc w:val="left"/>
        <w:rPr>
          <w:sz w:val="28"/>
        </w:rPr>
      </w:pPr>
      <w:r>
        <w:rPr>
          <w:sz w:val="28"/>
        </w:rPr>
        <w:t>七、评标</w:t>
      </w:r>
    </w:p>
    <w:p>
      <w:pPr>
        <w:spacing w:before="38"/>
        <w:ind w:left="820" w:right="0" w:firstLine="0"/>
        <w:jc w:val="left"/>
        <w:rPr>
          <w:sz w:val="28"/>
        </w:rPr>
      </w:pPr>
      <w:r>
        <w:rPr>
          <w:sz w:val="28"/>
        </w:rPr>
        <w:t>八、授予合同</w:t>
      </w:r>
    </w:p>
    <w:p>
      <w:pPr>
        <w:tabs>
          <w:tab w:pos="2016" w:val="left" w:leader="none"/>
          <w:tab w:pos="2772" w:val="left" w:leader="none"/>
        </w:tabs>
        <w:spacing w:line="278" w:lineRule="auto" w:before="38"/>
        <w:ind w:left="820" w:right="7160" w:firstLine="0"/>
        <w:jc w:val="left"/>
        <w:rPr>
          <w:sz w:val="30"/>
        </w:rPr>
      </w:pPr>
      <w:r>
        <w:rPr>
          <w:sz w:val="30"/>
        </w:rPr>
        <w:t>第二章</w:t>
        <w:tab/>
        <w:t>合</w:t>
        <w:tab/>
        <w:t>同第三章</w:t>
        <w:tab/>
        <w:t>技术规范</w:t>
      </w:r>
    </w:p>
    <w:p>
      <w:pPr>
        <w:tabs>
          <w:tab w:pos="2016" w:val="left" w:leader="none"/>
        </w:tabs>
        <w:spacing w:line="379" w:lineRule="exact" w:before="0"/>
        <w:ind w:left="820" w:right="0" w:firstLine="0"/>
        <w:jc w:val="left"/>
        <w:rPr>
          <w:sz w:val="30"/>
        </w:rPr>
      </w:pPr>
      <w:bookmarkStart w:name="第四章 设备清单（另附）" w:id="5"/>
      <w:bookmarkEnd w:id="5"/>
      <w:r>
        <w:rPr/>
      </w:r>
      <w:r>
        <w:rPr>
          <w:sz w:val="30"/>
        </w:rPr>
        <w:t>第四章</w:t>
        <w:tab/>
        <w:t>设备清单</w:t>
      </w:r>
      <w:r>
        <w:rPr>
          <w:spacing w:val="-8"/>
          <w:sz w:val="30"/>
        </w:rPr>
        <w:t>（</w:t>
      </w:r>
      <w:r>
        <w:rPr>
          <w:sz w:val="30"/>
        </w:rPr>
        <w:t>另附）</w:t>
      </w:r>
    </w:p>
    <w:p>
      <w:pPr>
        <w:tabs>
          <w:tab w:pos="2016" w:val="left" w:leader="none"/>
        </w:tabs>
        <w:spacing w:line="266" w:lineRule="auto" w:before="62"/>
        <w:ind w:left="820" w:right="5058" w:firstLine="0"/>
        <w:jc w:val="left"/>
        <w:rPr>
          <w:sz w:val="30"/>
        </w:rPr>
      </w:pPr>
      <w:bookmarkStart w:name="第五章 图纸和技术资料（另附） 第六章 投标文件（格式）" w:id="6"/>
      <w:bookmarkEnd w:id="6"/>
      <w:r>
        <w:rPr/>
      </w:r>
      <w:r>
        <w:rPr>
          <w:sz w:val="30"/>
        </w:rPr>
        <w:t>第五章</w:t>
        <w:tab/>
        <w:t>图纸和技</w:t>
      </w:r>
      <w:r>
        <w:rPr>
          <w:spacing w:val="-8"/>
          <w:sz w:val="30"/>
        </w:rPr>
        <w:t>术</w:t>
      </w:r>
      <w:r>
        <w:rPr>
          <w:sz w:val="30"/>
        </w:rPr>
        <w:t>资料</w:t>
      </w:r>
      <w:r>
        <w:rPr>
          <w:spacing w:val="-8"/>
          <w:sz w:val="30"/>
        </w:rPr>
        <w:t>（</w:t>
      </w:r>
      <w:r>
        <w:rPr>
          <w:sz w:val="30"/>
        </w:rPr>
        <w:t>另附） 第六章</w:t>
        <w:tab/>
        <w:t>投标文件</w:t>
      </w:r>
      <w:r>
        <w:rPr>
          <w:spacing w:val="-8"/>
          <w:sz w:val="30"/>
        </w:rPr>
        <w:t>（</w:t>
      </w:r>
      <w:r>
        <w:rPr>
          <w:sz w:val="30"/>
        </w:rPr>
        <w:t>格式）</w:t>
      </w:r>
    </w:p>
    <w:p>
      <w:pPr>
        <w:spacing w:after="0" w:line="266" w:lineRule="auto"/>
        <w:jc w:val="left"/>
        <w:rPr>
          <w:sz w:val="30"/>
        </w:rPr>
        <w:sectPr>
          <w:pgSz w:w="11910" w:h="16870"/>
          <w:pgMar w:top="1300" w:bottom="280" w:left="880" w:right="640"/>
        </w:sectPr>
      </w:pPr>
    </w:p>
    <w:p>
      <w:pPr>
        <w:spacing w:before="40"/>
        <w:ind w:left="4026" w:right="0" w:firstLine="0"/>
        <w:jc w:val="left"/>
        <w:rPr>
          <w:sz w:val="28"/>
        </w:rPr>
      </w:pPr>
      <w:bookmarkStart w:name="第一章 投标须知 前附表" w:id="7"/>
      <w:bookmarkEnd w:id="7"/>
      <w:r>
        <w:rPr/>
      </w:r>
      <w:r>
        <w:rPr>
          <w:sz w:val="28"/>
        </w:rPr>
        <w:t>第一章 投标须知 前附表</w:t>
      </w:r>
    </w:p>
    <w:p>
      <w:pPr>
        <w:pStyle w:val="BodyText"/>
        <w:spacing w:before="8"/>
        <w:rPr>
          <w:sz w:val="18"/>
        </w:rPr>
      </w:pPr>
    </w:p>
    <w:tbl>
      <w:tblPr>
        <w:tblW w:w="0" w:type="auto"/>
        <w:jc w:val="left"/>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6"/>
        <w:gridCol w:w="1723"/>
        <w:gridCol w:w="1770"/>
        <w:gridCol w:w="999"/>
        <w:gridCol w:w="174"/>
        <w:gridCol w:w="3846"/>
      </w:tblGrid>
      <w:tr>
        <w:trPr>
          <w:trHeight w:val="616" w:hRule="atLeast"/>
        </w:trPr>
        <w:tc>
          <w:tcPr>
            <w:tcW w:w="1376" w:type="dxa"/>
          </w:tcPr>
          <w:p>
            <w:pPr>
              <w:pStyle w:val="TableParagraph"/>
              <w:spacing w:before="9"/>
              <w:rPr>
                <w:sz w:val="17"/>
              </w:rPr>
            </w:pPr>
          </w:p>
          <w:p>
            <w:pPr>
              <w:pStyle w:val="TableParagraph"/>
              <w:spacing w:before="1"/>
              <w:ind w:right="122"/>
              <w:jc w:val="right"/>
              <w:rPr>
                <w:sz w:val="21"/>
              </w:rPr>
            </w:pPr>
            <w:r>
              <w:rPr>
                <w:w w:val="95"/>
                <w:sz w:val="21"/>
              </w:rPr>
              <w:t>招标人</w:t>
            </w:r>
          </w:p>
        </w:tc>
        <w:tc>
          <w:tcPr>
            <w:tcW w:w="8512" w:type="dxa"/>
            <w:gridSpan w:val="5"/>
          </w:tcPr>
          <w:p>
            <w:pPr>
              <w:pStyle w:val="TableParagraph"/>
              <w:spacing w:before="170"/>
              <w:ind w:left="2826"/>
              <w:rPr>
                <w:sz w:val="21"/>
              </w:rPr>
            </w:pPr>
            <w:r>
              <w:rPr>
                <w:sz w:val="21"/>
              </w:rPr>
              <w:t>仪征市宝能投资有限公司</w:t>
            </w:r>
          </w:p>
        </w:tc>
      </w:tr>
      <w:tr>
        <w:trPr>
          <w:trHeight w:val="623" w:hRule="atLeast"/>
        </w:trPr>
        <w:tc>
          <w:tcPr>
            <w:tcW w:w="1376" w:type="dxa"/>
          </w:tcPr>
          <w:p>
            <w:pPr>
              <w:pStyle w:val="TableParagraph"/>
              <w:spacing w:before="10"/>
              <w:rPr>
                <w:sz w:val="17"/>
              </w:rPr>
            </w:pPr>
          </w:p>
          <w:p>
            <w:pPr>
              <w:pStyle w:val="TableParagraph"/>
              <w:ind w:right="72"/>
              <w:jc w:val="right"/>
              <w:rPr>
                <w:sz w:val="21"/>
              </w:rPr>
            </w:pPr>
            <w:r>
              <w:rPr>
                <w:w w:val="95"/>
                <w:sz w:val="21"/>
              </w:rPr>
              <w:t>代理机构</w:t>
            </w:r>
          </w:p>
        </w:tc>
        <w:tc>
          <w:tcPr>
            <w:tcW w:w="8512" w:type="dxa"/>
            <w:gridSpan w:val="5"/>
          </w:tcPr>
          <w:p>
            <w:pPr>
              <w:pStyle w:val="TableParagraph"/>
              <w:spacing w:before="178"/>
              <w:ind w:left="2502"/>
              <w:rPr>
                <w:sz w:val="21"/>
              </w:rPr>
            </w:pPr>
            <w:r>
              <w:rPr>
                <w:sz w:val="21"/>
              </w:rPr>
              <w:t>江苏苏中兴工程造价咨询有限公司</w:t>
            </w:r>
          </w:p>
        </w:tc>
      </w:tr>
      <w:tr>
        <w:trPr>
          <w:trHeight w:val="616" w:hRule="atLeast"/>
        </w:trPr>
        <w:tc>
          <w:tcPr>
            <w:tcW w:w="1376" w:type="dxa"/>
          </w:tcPr>
          <w:p>
            <w:pPr>
              <w:pStyle w:val="TableParagraph"/>
              <w:spacing w:before="9"/>
              <w:rPr>
                <w:sz w:val="17"/>
              </w:rPr>
            </w:pPr>
          </w:p>
          <w:p>
            <w:pPr>
              <w:pStyle w:val="TableParagraph"/>
              <w:spacing w:before="1"/>
              <w:ind w:right="72"/>
              <w:jc w:val="right"/>
              <w:rPr>
                <w:sz w:val="21"/>
              </w:rPr>
            </w:pPr>
            <w:r>
              <w:rPr>
                <w:w w:val="95"/>
                <w:sz w:val="21"/>
              </w:rPr>
              <w:t>项目名称</w:t>
            </w:r>
          </w:p>
        </w:tc>
        <w:tc>
          <w:tcPr>
            <w:tcW w:w="8512" w:type="dxa"/>
            <w:gridSpan w:val="5"/>
          </w:tcPr>
          <w:p>
            <w:pPr>
              <w:pStyle w:val="TableParagraph"/>
              <w:spacing w:before="9"/>
              <w:rPr>
                <w:sz w:val="17"/>
              </w:rPr>
            </w:pPr>
          </w:p>
          <w:p>
            <w:pPr>
              <w:pStyle w:val="TableParagraph"/>
              <w:spacing w:before="1"/>
              <w:ind w:left="2307"/>
              <w:rPr>
                <w:sz w:val="21"/>
              </w:rPr>
            </w:pPr>
            <w:r>
              <w:rPr>
                <w:sz w:val="21"/>
              </w:rPr>
              <w:t>宝能睿城二期配电工程电缆采购项目</w:t>
            </w:r>
          </w:p>
        </w:tc>
      </w:tr>
      <w:tr>
        <w:trPr>
          <w:trHeight w:val="624" w:hRule="atLeast"/>
        </w:trPr>
        <w:tc>
          <w:tcPr>
            <w:tcW w:w="1376" w:type="dxa"/>
          </w:tcPr>
          <w:p>
            <w:pPr>
              <w:pStyle w:val="TableParagraph"/>
              <w:spacing w:before="10"/>
              <w:rPr>
                <w:sz w:val="17"/>
              </w:rPr>
            </w:pPr>
          </w:p>
          <w:p>
            <w:pPr>
              <w:pStyle w:val="TableParagraph"/>
              <w:ind w:right="72"/>
              <w:jc w:val="right"/>
              <w:rPr>
                <w:sz w:val="21"/>
              </w:rPr>
            </w:pPr>
            <w:r>
              <w:rPr>
                <w:w w:val="95"/>
                <w:sz w:val="21"/>
              </w:rPr>
              <w:t>建设地点</w:t>
            </w:r>
          </w:p>
        </w:tc>
        <w:tc>
          <w:tcPr>
            <w:tcW w:w="8512" w:type="dxa"/>
            <w:gridSpan w:val="5"/>
          </w:tcPr>
          <w:p>
            <w:pPr>
              <w:pStyle w:val="TableParagraph"/>
              <w:spacing w:line="244" w:lineRule="auto" w:before="41"/>
              <w:ind w:left="2336" w:right="3758" w:hanging="310"/>
              <w:rPr>
                <w:sz w:val="21"/>
              </w:rPr>
            </w:pPr>
            <w:r>
              <w:rPr>
                <w:w w:val="95"/>
                <w:sz w:val="21"/>
              </w:rPr>
              <w:t>仪征市解放东路北侧，三将路</w:t>
            </w:r>
            <w:r>
              <w:rPr>
                <w:sz w:val="21"/>
              </w:rPr>
              <w:t>东侧，天宁大道西侧</w:t>
            </w:r>
          </w:p>
        </w:tc>
      </w:tr>
      <w:tr>
        <w:trPr>
          <w:trHeight w:val="825" w:hRule="atLeast"/>
        </w:trPr>
        <w:tc>
          <w:tcPr>
            <w:tcW w:w="1376" w:type="dxa"/>
          </w:tcPr>
          <w:p>
            <w:pPr>
              <w:pStyle w:val="TableParagraph"/>
              <w:spacing w:line="259" w:lineRule="exact"/>
              <w:ind w:left="110" w:firstLine="108"/>
              <w:rPr>
                <w:sz w:val="21"/>
              </w:rPr>
            </w:pPr>
            <w:r>
              <w:rPr>
                <w:sz w:val="21"/>
              </w:rPr>
              <w:t>项目立项审</w:t>
            </w:r>
          </w:p>
          <w:p>
            <w:pPr>
              <w:pStyle w:val="TableParagraph"/>
              <w:spacing w:line="266" w:lineRule="exact" w:before="23"/>
              <w:ind w:left="81" w:right="64"/>
              <w:jc w:val="center"/>
              <w:rPr>
                <w:sz w:val="21"/>
              </w:rPr>
            </w:pPr>
            <w:r>
              <w:rPr>
                <w:w w:val="95"/>
                <w:sz w:val="21"/>
              </w:rPr>
              <w:t>批、核准或备</w:t>
            </w:r>
            <w:r>
              <w:rPr>
                <w:sz w:val="21"/>
              </w:rPr>
              <w:t>案 机关</w:t>
            </w:r>
          </w:p>
        </w:tc>
        <w:tc>
          <w:tcPr>
            <w:tcW w:w="1723" w:type="dxa"/>
          </w:tcPr>
          <w:p>
            <w:pPr>
              <w:pStyle w:val="TableParagraph"/>
              <w:spacing w:before="10"/>
              <w:rPr>
                <w:sz w:val="16"/>
              </w:rPr>
            </w:pPr>
          </w:p>
          <w:p>
            <w:pPr>
              <w:pStyle w:val="TableParagraph"/>
              <w:spacing w:line="237" w:lineRule="auto"/>
              <w:ind w:left="9" w:right="31"/>
              <w:rPr>
                <w:sz w:val="21"/>
              </w:rPr>
            </w:pPr>
            <w:r>
              <w:rPr>
                <w:w w:val="95"/>
                <w:sz w:val="21"/>
              </w:rPr>
              <w:t>仪征市发展和改革</w:t>
            </w:r>
            <w:r>
              <w:rPr>
                <w:sz w:val="21"/>
              </w:rPr>
              <w:t>委员会</w:t>
            </w:r>
          </w:p>
        </w:tc>
        <w:tc>
          <w:tcPr>
            <w:tcW w:w="2769" w:type="dxa"/>
            <w:gridSpan w:val="2"/>
            <w:tcBorders>
              <w:right w:val="single" w:sz="6" w:space="0" w:color="000000"/>
            </w:tcBorders>
          </w:tcPr>
          <w:p>
            <w:pPr>
              <w:pStyle w:val="TableParagraph"/>
              <w:spacing w:before="8"/>
              <w:rPr>
                <w:sz w:val="16"/>
              </w:rPr>
            </w:pPr>
          </w:p>
          <w:p>
            <w:pPr>
              <w:pStyle w:val="TableParagraph"/>
              <w:ind w:left="210"/>
              <w:rPr>
                <w:sz w:val="21"/>
              </w:rPr>
            </w:pPr>
            <w:r>
              <w:rPr>
                <w:sz w:val="21"/>
              </w:rPr>
              <w:t>批文编号</w:t>
            </w:r>
          </w:p>
        </w:tc>
        <w:tc>
          <w:tcPr>
            <w:tcW w:w="4020" w:type="dxa"/>
            <w:gridSpan w:val="2"/>
            <w:tcBorders>
              <w:left w:val="single" w:sz="6" w:space="0" w:color="000000"/>
            </w:tcBorders>
          </w:tcPr>
          <w:p>
            <w:pPr>
              <w:pStyle w:val="TableParagraph"/>
              <w:spacing w:before="8"/>
              <w:rPr>
                <w:sz w:val="16"/>
              </w:rPr>
            </w:pPr>
          </w:p>
          <w:p>
            <w:pPr>
              <w:pStyle w:val="TableParagraph"/>
              <w:ind w:left="630"/>
              <w:rPr>
                <w:sz w:val="21"/>
              </w:rPr>
            </w:pPr>
            <w:r>
              <w:rPr>
                <w:sz w:val="21"/>
              </w:rPr>
              <w:t>仪发改投资发【2014】51 号</w:t>
            </w:r>
          </w:p>
        </w:tc>
      </w:tr>
      <w:tr>
        <w:trPr>
          <w:trHeight w:val="623" w:hRule="atLeast"/>
        </w:trPr>
        <w:tc>
          <w:tcPr>
            <w:tcW w:w="1376" w:type="dxa"/>
          </w:tcPr>
          <w:p>
            <w:pPr>
              <w:pStyle w:val="TableParagraph"/>
              <w:spacing w:before="112"/>
              <w:ind w:right="144"/>
              <w:jc w:val="right"/>
              <w:rPr>
                <w:sz w:val="21"/>
              </w:rPr>
            </w:pPr>
            <w:r>
              <w:rPr>
                <w:w w:val="95"/>
                <w:sz w:val="21"/>
              </w:rPr>
              <w:t>批文名称</w:t>
            </w:r>
          </w:p>
        </w:tc>
        <w:tc>
          <w:tcPr>
            <w:tcW w:w="8512" w:type="dxa"/>
            <w:gridSpan w:val="5"/>
          </w:tcPr>
          <w:p>
            <w:pPr>
              <w:pStyle w:val="TableParagraph"/>
              <w:spacing w:before="177"/>
              <w:ind w:left="1212"/>
              <w:rPr>
                <w:sz w:val="21"/>
              </w:rPr>
            </w:pPr>
            <w:r>
              <w:rPr>
                <w:sz w:val="21"/>
              </w:rPr>
              <w:t>关于仪征市宝能投资有限公司宝能睿城 C 地块开发项目核准的批复</w:t>
            </w:r>
          </w:p>
        </w:tc>
      </w:tr>
      <w:tr>
        <w:trPr>
          <w:trHeight w:val="631" w:hRule="atLeast"/>
        </w:trPr>
        <w:tc>
          <w:tcPr>
            <w:tcW w:w="1376" w:type="dxa"/>
          </w:tcPr>
          <w:p>
            <w:pPr>
              <w:pStyle w:val="TableParagraph"/>
              <w:spacing w:before="106"/>
              <w:ind w:right="144"/>
              <w:jc w:val="right"/>
              <w:rPr>
                <w:sz w:val="21"/>
              </w:rPr>
            </w:pPr>
            <w:r>
              <w:rPr>
                <w:w w:val="95"/>
                <w:sz w:val="21"/>
              </w:rPr>
              <w:t>招标内容</w:t>
            </w:r>
          </w:p>
        </w:tc>
        <w:tc>
          <w:tcPr>
            <w:tcW w:w="8512" w:type="dxa"/>
            <w:gridSpan w:val="5"/>
          </w:tcPr>
          <w:p>
            <w:pPr>
              <w:pStyle w:val="TableParagraph"/>
              <w:spacing w:line="270" w:lineRule="atLeast" w:before="105"/>
              <w:ind w:left="9" w:right="97"/>
              <w:rPr>
                <w:sz w:val="21"/>
              </w:rPr>
            </w:pPr>
            <w:r>
              <w:rPr>
                <w:w w:val="95"/>
                <w:sz w:val="21"/>
              </w:rPr>
              <w:t>仪征市宝能投资有限公司的宝能睿城二期配电工程招标清单范围内的电缆采购，产品必须符  </w:t>
            </w:r>
            <w:r>
              <w:rPr>
                <w:sz w:val="21"/>
              </w:rPr>
              <w:t>合电力部门的入网要求和规定。</w:t>
            </w:r>
          </w:p>
        </w:tc>
      </w:tr>
      <w:tr>
        <w:trPr>
          <w:trHeight w:val="609" w:hRule="atLeast"/>
        </w:trPr>
        <w:tc>
          <w:tcPr>
            <w:tcW w:w="1376" w:type="dxa"/>
          </w:tcPr>
          <w:p>
            <w:pPr>
              <w:pStyle w:val="TableParagraph"/>
              <w:spacing w:before="98"/>
              <w:ind w:right="144"/>
              <w:jc w:val="right"/>
              <w:rPr>
                <w:sz w:val="21"/>
              </w:rPr>
            </w:pPr>
            <w:r>
              <w:rPr>
                <w:w w:val="95"/>
                <w:sz w:val="21"/>
              </w:rPr>
              <w:t>工程规模</w:t>
            </w:r>
          </w:p>
        </w:tc>
        <w:tc>
          <w:tcPr>
            <w:tcW w:w="1723" w:type="dxa"/>
          </w:tcPr>
          <w:p>
            <w:pPr>
              <w:pStyle w:val="TableParagraph"/>
              <w:spacing w:before="127"/>
              <w:ind w:left="1076"/>
              <w:rPr>
                <w:sz w:val="21"/>
              </w:rPr>
            </w:pPr>
            <w:r>
              <w:rPr>
                <w:w w:val="99"/>
                <w:sz w:val="21"/>
              </w:rPr>
              <w:t>/</w:t>
            </w:r>
          </w:p>
        </w:tc>
        <w:tc>
          <w:tcPr>
            <w:tcW w:w="2943" w:type="dxa"/>
            <w:gridSpan w:val="3"/>
            <w:tcBorders>
              <w:right w:val="single" w:sz="6" w:space="0" w:color="000000"/>
            </w:tcBorders>
          </w:tcPr>
          <w:p>
            <w:pPr>
              <w:pStyle w:val="TableParagraph"/>
              <w:spacing w:before="98"/>
              <w:ind w:left="289"/>
              <w:rPr>
                <w:sz w:val="21"/>
              </w:rPr>
            </w:pPr>
            <w:r>
              <w:rPr>
                <w:sz w:val="21"/>
              </w:rPr>
              <w:t>结构类型</w:t>
            </w:r>
          </w:p>
        </w:tc>
        <w:tc>
          <w:tcPr>
            <w:tcW w:w="3846" w:type="dxa"/>
            <w:tcBorders>
              <w:left w:val="single" w:sz="6" w:space="0" w:color="000000"/>
            </w:tcBorders>
          </w:tcPr>
          <w:p>
            <w:pPr>
              <w:pStyle w:val="TableParagraph"/>
              <w:spacing w:before="98"/>
              <w:ind w:right="379"/>
              <w:jc w:val="center"/>
              <w:rPr>
                <w:sz w:val="21"/>
              </w:rPr>
            </w:pPr>
            <w:r>
              <w:rPr>
                <w:w w:val="99"/>
                <w:sz w:val="21"/>
              </w:rPr>
              <w:t>/</w:t>
            </w:r>
          </w:p>
        </w:tc>
      </w:tr>
      <w:tr>
        <w:trPr>
          <w:trHeight w:val="652" w:hRule="atLeast"/>
        </w:trPr>
        <w:tc>
          <w:tcPr>
            <w:tcW w:w="1376" w:type="dxa"/>
          </w:tcPr>
          <w:p>
            <w:pPr>
              <w:pStyle w:val="TableParagraph"/>
              <w:spacing w:before="127"/>
              <w:ind w:right="43"/>
              <w:jc w:val="right"/>
              <w:rPr>
                <w:sz w:val="21"/>
              </w:rPr>
            </w:pPr>
            <w:r>
              <w:rPr>
                <w:w w:val="95"/>
                <w:sz w:val="21"/>
              </w:rPr>
              <w:t>招标控制价</w:t>
            </w:r>
          </w:p>
        </w:tc>
        <w:tc>
          <w:tcPr>
            <w:tcW w:w="1723" w:type="dxa"/>
          </w:tcPr>
          <w:p>
            <w:pPr>
              <w:pStyle w:val="TableParagraph"/>
              <w:spacing w:before="127"/>
              <w:ind w:left="9"/>
              <w:rPr>
                <w:sz w:val="21"/>
              </w:rPr>
            </w:pPr>
            <w:r>
              <w:rPr>
                <w:sz w:val="21"/>
              </w:rPr>
              <w:t>278.6558 万元</w:t>
            </w:r>
          </w:p>
        </w:tc>
        <w:tc>
          <w:tcPr>
            <w:tcW w:w="2943" w:type="dxa"/>
            <w:gridSpan w:val="3"/>
            <w:tcBorders>
              <w:right w:val="single" w:sz="6" w:space="0" w:color="000000"/>
            </w:tcBorders>
          </w:tcPr>
          <w:p>
            <w:pPr>
              <w:pStyle w:val="TableParagraph"/>
              <w:spacing w:before="62"/>
              <w:ind w:left="239"/>
              <w:rPr>
                <w:sz w:val="21"/>
              </w:rPr>
            </w:pPr>
            <w:r>
              <w:rPr>
                <w:sz w:val="21"/>
              </w:rPr>
              <w:t>资金来源及 落实情况</w:t>
            </w:r>
          </w:p>
        </w:tc>
        <w:tc>
          <w:tcPr>
            <w:tcW w:w="3846" w:type="dxa"/>
            <w:tcBorders>
              <w:left w:val="single" w:sz="6" w:space="0" w:color="000000"/>
            </w:tcBorders>
          </w:tcPr>
          <w:p>
            <w:pPr>
              <w:pStyle w:val="TableParagraph"/>
              <w:spacing w:before="127"/>
              <w:ind w:left="1495" w:right="1878"/>
              <w:jc w:val="center"/>
              <w:rPr>
                <w:sz w:val="21"/>
              </w:rPr>
            </w:pPr>
            <w:r>
              <w:rPr>
                <w:sz w:val="21"/>
              </w:rPr>
              <w:t>自筹</w:t>
            </w:r>
          </w:p>
        </w:tc>
      </w:tr>
      <w:tr>
        <w:trPr>
          <w:trHeight w:val="904" w:hRule="atLeast"/>
        </w:trPr>
        <w:tc>
          <w:tcPr>
            <w:tcW w:w="1376" w:type="dxa"/>
          </w:tcPr>
          <w:p>
            <w:pPr>
              <w:pStyle w:val="TableParagraph"/>
              <w:spacing w:before="5"/>
              <w:rPr>
                <w:sz w:val="19"/>
              </w:rPr>
            </w:pPr>
          </w:p>
          <w:p>
            <w:pPr>
              <w:pStyle w:val="TableParagraph"/>
              <w:spacing w:before="1"/>
              <w:ind w:right="144"/>
              <w:jc w:val="right"/>
              <w:rPr>
                <w:sz w:val="21"/>
              </w:rPr>
            </w:pPr>
            <w:r>
              <w:rPr>
                <w:w w:val="95"/>
                <w:sz w:val="21"/>
              </w:rPr>
              <w:t>计划工期</w:t>
            </w:r>
          </w:p>
        </w:tc>
        <w:tc>
          <w:tcPr>
            <w:tcW w:w="8512" w:type="dxa"/>
            <w:gridSpan w:val="5"/>
          </w:tcPr>
          <w:p>
            <w:pPr>
              <w:pStyle w:val="TableParagraph"/>
              <w:spacing w:before="8"/>
              <w:rPr>
                <w:sz w:val="25"/>
              </w:rPr>
            </w:pPr>
          </w:p>
          <w:p>
            <w:pPr>
              <w:pStyle w:val="TableParagraph"/>
              <w:ind w:left="2401"/>
              <w:rPr>
                <w:sz w:val="21"/>
              </w:rPr>
            </w:pPr>
            <w:r>
              <w:rPr>
                <w:sz w:val="21"/>
                <w:u w:val="single"/>
              </w:rPr>
              <w:t>15</w:t>
            </w:r>
            <w:r>
              <w:rPr>
                <w:sz w:val="21"/>
              </w:rPr>
              <w:t> 日历天</w:t>
            </w:r>
          </w:p>
        </w:tc>
      </w:tr>
      <w:tr>
        <w:trPr>
          <w:trHeight w:val="623" w:hRule="atLeast"/>
        </w:trPr>
        <w:tc>
          <w:tcPr>
            <w:tcW w:w="1376" w:type="dxa"/>
          </w:tcPr>
          <w:p>
            <w:pPr>
              <w:pStyle w:val="TableParagraph"/>
              <w:spacing w:before="105"/>
              <w:ind w:right="144"/>
              <w:jc w:val="right"/>
              <w:rPr>
                <w:sz w:val="21"/>
              </w:rPr>
            </w:pPr>
            <w:r>
              <w:rPr>
                <w:w w:val="95"/>
                <w:sz w:val="21"/>
              </w:rPr>
              <w:t>质量要求</w:t>
            </w:r>
          </w:p>
        </w:tc>
        <w:tc>
          <w:tcPr>
            <w:tcW w:w="1723" w:type="dxa"/>
          </w:tcPr>
          <w:p>
            <w:pPr>
              <w:pStyle w:val="TableParagraph"/>
              <w:spacing w:line="270" w:lineRule="atLeast" w:before="104"/>
              <w:ind w:left="139" w:right="109"/>
              <w:rPr>
                <w:sz w:val="21"/>
              </w:rPr>
            </w:pPr>
            <w:r>
              <w:rPr>
                <w:w w:val="95"/>
                <w:sz w:val="21"/>
              </w:rPr>
              <w:t>合格，确保通过</w:t>
            </w:r>
            <w:r>
              <w:rPr>
                <w:sz w:val="21"/>
              </w:rPr>
              <w:t>供电部门验收</w:t>
            </w:r>
          </w:p>
        </w:tc>
        <w:tc>
          <w:tcPr>
            <w:tcW w:w="2943" w:type="dxa"/>
            <w:gridSpan w:val="3"/>
            <w:tcBorders>
              <w:right w:val="single" w:sz="6" w:space="0" w:color="000000"/>
            </w:tcBorders>
          </w:tcPr>
          <w:p>
            <w:pPr>
              <w:pStyle w:val="TableParagraph"/>
              <w:spacing w:before="105"/>
              <w:ind w:left="923"/>
              <w:rPr>
                <w:sz w:val="21"/>
              </w:rPr>
            </w:pPr>
            <w:r>
              <w:rPr>
                <w:sz w:val="21"/>
              </w:rPr>
              <w:t>创优</w:t>
            </w:r>
          </w:p>
        </w:tc>
        <w:tc>
          <w:tcPr>
            <w:tcW w:w="3846" w:type="dxa"/>
            <w:tcBorders>
              <w:left w:val="single" w:sz="6" w:space="0" w:color="000000"/>
            </w:tcBorders>
          </w:tcPr>
          <w:p>
            <w:pPr>
              <w:pStyle w:val="TableParagraph"/>
              <w:spacing w:before="5"/>
              <w:rPr>
                <w:sz w:val="14"/>
              </w:rPr>
            </w:pPr>
          </w:p>
          <w:p>
            <w:pPr>
              <w:pStyle w:val="TableParagraph"/>
              <w:ind w:right="279"/>
              <w:jc w:val="center"/>
              <w:rPr>
                <w:sz w:val="21"/>
              </w:rPr>
            </w:pPr>
            <w:r>
              <w:rPr>
                <w:w w:val="99"/>
                <w:sz w:val="21"/>
              </w:rPr>
              <w:t>/</w:t>
            </w:r>
          </w:p>
        </w:tc>
      </w:tr>
      <w:tr>
        <w:trPr>
          <w:trHeight w:val="409" w:hRule="atLeast"/>
        </w:trPr>
        <w:tc>
          <w:tcPr>
            <w:tcW w:w="1376" w:type="dxa"/>
          </w:tcPr>
          <w:p>
            <w:pPr>
              <w:pStyle w:val="TableParagraph"/>
              <w:spacing w:before="85"/>
              <w:ind w:right="144"/>
              <w:jc w:val="right"/>
              <w:rPr>
                <w:sz w:val="21"/>
              </w:rPr>
            </w:pPr>
            <w:r>
              <w:rPr>
                <w:w w:val="95"/>
                <w:sz w:val="21"/>
              </w:rPr>
              <w:t>招标方式</w:t>
            </w:r>
          </w:p>
        </w:tc>
        <w:tc>
          <w:tcPr>
            <w:tcW w:w="8512" w:type="dxa"/>
            <w:gridSpan w:val="5"/>
          </w:tcPr>
          <w:p>
            <w:pPr>
              <w:pStyle w:val="TableParagraph"/>
              <w:spacing w:before="85"/>
              <w:ind w:left="2372"/>
              <w:rPr>
                <w:sz w:val="21"/>
              </w:rPr>
            </w:pPr>
            <w:r>
              <w:rPr>
                <w:sz w:val="21"/>
              </w:rPr>
              <w:t>公开招标</w:t>
            </w:r>
          </w:p>
        </w:tc>
      </w:tr>
      <w:tr>
        <w:trPr>
          <w:trHeight w:val="508" w:hRule="atLeast"/>
        </w:trPr>
        <w:tc>
          <w:tcPr>
            <w:tcW w:w="1376" w:type="dxa"/>
          </w:tcPr>
          <w:p>
            <w:pPr>
              <w:pStyle w:val="TableParagraph"/>
              <w:spacing w:before="105"/>
              <w:ind w:right="43"/>
              <w:jc w:val="right"/>
              <w:rPr>
                <w:sz w:val="21"/>
              </w:rPr>
            </w:pPr>
            <w:r>
              <w:rPr>
                <w:w w:val="95"/>
                <w:sz w:val="21"/>
              </w:rPr>
              <w:t>投标保证金</w:t>
            </w:r>
          </w:p>
        </w:tc>
        <w:tc>
          <w:tcPr>
            <w:tcW w:w="8512" w:type="dxa"/>
            <w:gridSpan w:val="5"/>
          </w:tcPr>
          <w:p>
            <w:pPr>
              <w:pStyle w:val="TableParagraph"/>
              <w:spacing w:before="105"/>
              <w:ind w:left="1796"/>
              <w:rPr>
                <w:sz w:val="21"/>
              </w:rPr>
            </w:pPr>
            <w:r>
              <w:rPr>
                <w:sz w:val="21"/>
              </w:rPr>
              <w:t>肆万元整(缴纳至投标保证金专用帐户)</w:t>
            </w:r>
          </w:p>
        </w:tc>
      </w:tr>
      <w:tr>
        <w:trPr>
          <w:trHeight w:val="2424" w:hRule="atLeast"/>
        </w:trPr>
        <w:tc>
          <w:tcPr>
            <w:tcW w:w="1376" w:type="dxa"/>
          </w:tcPr>
          <w:p>
            <w:pPr>
              <w:pStyle w:val="TableParagraph"/>
              <w:rPr>
                <w:sz w:val="20"/>
              </w:rPr>
            </w:pPr>
          </w:p>
          <w:p>
            <w:pPr>
              <w:pStyle w:val="TableParagraph"/>
              <w:spacing w:before="7"/>
              <w:rPr>
                <w:sz w:val="27"/>
              </w:rPr>
            </w:pPr>
          </w:p>
          <w:p>
            <w:pPr>
              <w:pStyle w:val="TableParagraph"/>
              <w:spacing w:line="391" w:lineRule="auto"/>
              <w:ind w:left="110" w:right="194"/>
              <w:jc w:val="both"/>
              <w:rPr>
                <w:sz w:val="21"/>
              </w:rPr>
            </w:pPr>
            <w:r>
              <w:rPr>
                <w:sz w:val="21"/>
              </w:rPr>
              <w:t>投标人资质</w:t>
            </w:r>
            <w:r>
              <w:rPr>
                <w:spacing w:val="-17"/>
                <w:sz w:val="21"/>
              </w:rPr>
              <w:t>条 件、能力和信誉</w:t>
            </w:r>
          </w:p>
        </w:tc>
        <w:tc>
          <w:tcPr>
            <w:tcW w:w="8512" w:type="dxa"/>
            <w:gridSpan w:val="5"/>
          </w:tcPr>
          <w:p>
            <w:pPr>
              <w:pStyle w:val="TableParagraph"/>
              <w:spacing w:line="309" w:lineRule="auto" w:before="40"/>
              <w:ind w:left="9" w:right="204"/>
              <w:rPr>
                <w:sz w:val="21"/>
              </w:rPr>
            </w:pPr>
            <w:r>
              <w:rPr>
                <w:w w:val="95"/>
                <w:sz w:val="21"/>
              </w:rPr>
              <w:t>（1）投标单位须为电缆的生产厂家或生产厂家针对本项目的唯一授权的销售代理商（代理  </w:t>
            </w:r>
            <w:r>
              <w:rPr>
                <w:sz w:val="21"/>
              </w:rPr>
              <w:t>商须提供生产厂家授权书）。</w:t>
            </w:r>
          </w:p>
          <w:p>
            <w:pPr>
              <w:pStyle w:val="TableParagraph"/>
              <w:spacing w:line="307" w:lineRule="auto" w:before="48"/>
              <w:ind w:left="9" w:right="204"/>
              <w:rPr>
                <w:sz w:val="21"/>
              </w:rPr>
            </w:pPr>
            <w:r>
              <w:rPr>
                <w:w w:val="95"/>
                <w:sz w:val="21"/>
              </w:rPr>
              <w:t>（2）提供营业执照副本、税务登记证副本、组织机构代码证副本（或三证合一营业执照副  </w:t>
            </w:r>
            <w:r>
              <w:rPr>
                <w:sz w:val="21"/>
              </w:rPr>
              <w:t>本）</w:t>
            </w:r>
          </w:p>
          <w:p>
            <w:pPr>
              <w:pStyle w:val="TableParagraph"/>
              <w:spacing w:before="53"/>
              <w:ind w:left="9"/>
              <w:rPr>
                <w:sz w:val="21"/>
              </w:rPr>
            </w:pPr>
            <w:r>
              <w:rPr>
                <w:sz w:val="21"/>
              </w:rPr>
              <w:t>（3）具有全国工业产品生产许可证。</w:t>
            </w:r>
          </w:p>
        </w:tc>
      </w:tr>
      <w:tr>
        <w:trPr>
          <w:trHeight w:val="998" w:hRule="atLeast"/>
        </w:trPr>
        <w:tc>
          <w:tcPr>
            <w:tcW w:w="1376" w:type="dxa"/>
          </w:tcPr>
          <w:p>
            <w:pPr>
              <w:pStyle w:val="TableParagraph"/>
              <w:spacing w:line="307" w:lineRule="auto" w:before="84"/>
              <w:ind w:left="348" w:right="79" w:hanging="318"/>
              <w:rPr>
                <w:sz w:val="21"/>
              </w:rPr>
            </w:pPr>
            <w:r>
              <w:rPr>
                <w:w w:val="95"/>
                <w:sz w:val="21"/>
              </w:rPr>
              <w:t>是否接受联合</w:t>
            </w:r>
            <w:r>
              <w:rPr>
                <w:sz w:val="21"/>
              </w:rPr>
              <w:t>体投标</w:t>
            </w:r>
          </w:p>
        </w:tc>
        <w:tc>
          <w:tcPr>
            <w:tcW w:w="8512" w:type="dxa"/>
            <w:gridSpan w:val="5"/>
          </w:tcPr>
          <w:p>
            <w:pPr>
              <w:pStyle w:val="TableParagraph"/>
              <w:numPr>
                <w:ilvl w:val="0"/>
                <w:numId w:val="1"/>
              </w:numPr>
              <w:tabs>
                <w:tab w:pos="321" w:val="left" w:leader="none"/>
              </w:tabs>
              <w:spacing w:line="240" w:lineRule="auto" w:before="77" w:after="0"/>
              <w:ind w:left="320" w:right="0" w:hanging="210"/>
              <w:jc w:val="left"/>
              <w:rPr>
                <w:sz w:val="21"/>
              </w:rPr>
            </w:pPr>
            <w:r>
              <w:rPr>
                <w:w w:val="95"/>
                <w:sz w:val="21"/>
              </w:rPr>
              <w:t>不接受</w:t>
            </w:r>
          </w:p>
          <w:p>
            <w:pPr>
              <w:pStyle w:val="TableParagraph"/>
              <w:spacing w:line="270" w:lineRule="atLeast" w:before="126"/>
              <w:ind w:left="110" w:right="6927"/>
              <w:rPr>
                <w:sz w:val="21"/>
              </w:rPr>
            </w:pPr>
            <w:r>
              <w:rPr>
                <w:w w:val="95"/>
                <w:sz w:val="21"/>
              </w:rPr>
              <w:t>□接受，应满足</w:t>
            </w:r>
            <w:r>
              <w:rPr>
                <w:sz w:val="21"/>
              </w:rPr>
              <w:t>下列要求：/</w:t>
            </w:r>
          </w:p>
        </w:tc>
      </w:tr>
      <w:tr>
        <w:trPr>
          <w:trHeight w:val="740" w:hRule="atLeast"/>
        </w:trPr>
        <w:tc>
          <w:tcPr>
            <w:tcW w:w="1376" w:type="dxa"/>
          </w:tcPr>
          <w:p>
            <w:pPr>
              <w:pStyle w:val="TableParagraph"/>
              <w:spacing w:line="244" w:lineRule="auto" w:before="135"/>
              <w:ind w:left="168" w:right="151"/>
              <w:rPr>
                <w:sz w:val="21"/>
              </w:rPr>
            </w:pPr>
            <w:r>
              <w:rPr>
                <w:w w:val="95"/>
                <w:sz w:val="21"/>
              </w:rPr>
              <w:t>招标文件售</w:t>
            </w:r>
            <w:r>
              <w:rPr>
                <w:sz w:val="21"/>
              </w:rPr>
              <w:t>价</w:t>
            </w:r>
          </w:p>
        </w:tc>
        <w:tc>
          <w:tcPr>
            <w:tcW w:w="1723" w:type="dxa"/>
          </w:tcPr>
          <w:p>
            <w:pPr>
              <w:pStyle w:val="TableParagraph"/>
              <w:spacing w:before="63"/>
              <w:ind w:left="110"/>
              <w:rPr>
                <w:sz w:val="21"/>
              </w:rPr>
            </w:pPr>
            <w:r>
              <w:rPr>
                <w:sz w:val="21"/>
              </w:rPr>
              <w:t>300 元/份</w:t>
            </w:r>
          </w:p>
        </w:tc>
        <w:tc>
          <w:tcPr>
            <w:tcW w:w="1770" w:type="dxa"/>
          </w:tcPr>
          <w:p>
            <w:pPr>
              <w:pStyle w:val="TableParagraph"/>
              <w:spacing w:before="150"/>
              <w:ind w:left="203"/>
              <w:rPr>
                <w:sz w:val="21"/>
              </w:rPr>
            </w:pPr>
            <w:r>
              <w:rPr>
                <w:sz w:val="21"/>
              </w:rPr>
              <w:t>图纸押金</w:t>
            </w:r>
          </w:p>
        </w:tc>
        <w:tc>
          <w:tcPr>
            <w:tcW w:w="5019" w:type="dxa"/>
            <w:gridSpan w:val="3"/>
          </w:tcPr>
          <w:p>
            <w:pPr>
              <w:pStyle w:val="TableParagraph"/>
              <w:spacing w:before="63"/>
              <w:ind w:left="745"/>
              <w:rPr>
                <w:sz w:val="21"/>
              </w:rPr>
            </w:pPr>
            <w:r>
              <w:rPr>
                <w:sz w:val="21"/>
              </w:rPr>
              <w:t>0 元/份或电子图纸</w:t>
            </w:r>
          </w:p>
        </w:tc>
      </w:tr>
      <w:tr>
        <w:trPr>
          <w:trHeight w:val="624" w:hRule="atLeast"/>
        </w:trPr>
        <w:tc>
          <w:tcPr>
            <w:tcW w:w="1376" w:type="dxa"/>
          </w:tcPr>
          <w:p>
            <w:pPr>
              <w:pStyle w:val="TableParagraph"/>
              <w:spacing w:line="270" w:lineRule="atLeast" w:before="147"/>
              <w:ind w:left="168" w:right="151"/>
              <w:rPr>
                <w:sz w:val="21"/>
              </w:rPr>
            </w:pPr>
            <w:r>
              <w:rPr>
                <w:w w:val="95"/>
                <w:sz w:val="21"/>
              </w:rPr>
              <w:t>投标文件份</w:t>
            </w:r>
            <w:r>
              <w:rPr>
                <w:sz w:val="21"/>
              </w:rPr>
              <w:t>数</w:t>
            </w:r>
          </w:p>
        </w:tc>
        <w:tc>
          <w:tcPr>
            <w:tcW w:w="8512" w:type="dxa"/>
            <w:gridSpan w:val="5"/>
          </w:tcPr>
          <w:p>
            <w:pPr>
              <w:pStyle w:val="TableParagraph"/>
              <w:spacing w:before="105"/>
              <w:ind w:left="110"/>
              <w:rPr>
                <w:sz w:val="21"/>
              </w:rPr>
            </w:pPr>
            <w:r>
              <w:rPr>
                <w:sz w:val="21"/>
              </w:rPr>
              <w:t>投标文件要求正本零份，副本零份</w:t>
            </w:r>
          </w:p>
        </w:tc>
      </w:tr>
    </w:tbl>
    <w:p>
      <w:pPr>
        <w:spacing w:after="0"/>
        <w:rPr>
          <w:sz w:val="21"/>
        </w:rPr>
        <w:sectPr>
          <w:pgSz w:w="11910" w:h="16870"/>
          <w:pgMar w:top="1240" w:bottom="280" w:left="880" w:right="640"/>
        </w:sectPr>
      </w:pPr>
    </w:p>
    <w:tbl>
      <w:tblPr>
        <w:tblW w:w="0" w:type="auto"/>
        <w:jc w:val="left"/>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6"/>
        <w:gridCol w:w="1693"/>
        <w:gridCol w:w="699"/>
        <w:gridCol w:w="634"/>
        <w:gridCol w:w="922"/>
        <w:gridCol w:w="447"/>
        <w:gridCol w:w="4121"/>
      </w:tblGrid>
      <w:tr>
        <w:trPr>
          <w:trHeight w:val="624" w:hRule="atLeast"/>
        </w:trPr>
        <w:tc>
          <w:tcPr>
            <w:tcW w:w="1376" w:type="dxa"/>
          </w:tcPr>
          <w:p>
            <w:pPr>
              <w:pStyle w:val="TableParagraph"/>
              <w:spacing w:before="146"/>
              <w:ind w:right="144"/>
              <w:jc w:val="right"/>
              <w:rPr>
                <w:sz w:val="21"/>
              </w:rPr>
            </w:pPr>
            <w:r>
              <w:rPr>
                <w:w w:val="95"/>
                <w:sz w:val="21"/>
              </w:rPr>
              <w:t>现场查勘</w:t>
            </w:r>
          </w:p>
        </w:tc>
        <w:tc>
          <w:tcPr>
            <w:tcW w:w="8516" w:type="dxa"/>
            <w:gridSpan w:val="6"/>
          </w:tcPr>
          <w:p>
            <w:pPr>
              <w:pStyle w:val="TableParagraph"/>
              <w:spacing w:before="103"/>
              <w:ind w:left="2765" w:right="2759"/>
              <w:jc w:val="center"/>
              <w:rPr>
                <w:sz w:val="21"/>
              </w:rPr>
            </w:pPr>
            <w:r>
              <w:rPr>
                <w:sz w:val="21"/>
              </w:rPr>
              <w:t>投标人自行勘察现场</w:t>
            </w:r>
          </w:p>
        </w:tc>
      </w:tr>
      <w:tr>
        <w:trPr>
          <w:trHeight w:val="976" w:hRule="atLeast"/>
        </w:trPr>
        <w:tc>
          <w:tcPr>
            <w:tcW w:w="1376" w:type="dxa"/>
          </w:tcPr>
          <w:p>
            <w:pPr>
              <w:pStyle w:val="TableParagraph"/>
              <w:spacing w:before="7"/>
              <w:rPr>
                <w:sz w:val="21"/>
              </w:rPr>
            </w:pPr>
          </w:p>
          <w:p>
            <w:pPr>
              <w:pStyle w:val="TableParagraph"/>
              <w:ind w:right="43"/>
              <w:jc w:val="right"/>
              <w:rPr>
                <w:sz w:val="21"/>
              </w:rPr>
            </w:pPr>
            <w:r>
              <w:rPr>
                <w:w w:val="95"/>
                <w:sz w:val="21"/>
              </w:rPr>
              <w:t>澄清及答疑</w:t>
            </w:r>
          </w:p>
        </w:tc>
        <w:tc>
          <w:tcPr>
            <w:tcW w:w="8516" w:type="dxa"/>
            <w:gridSpan w:val="6"/>
          </w:tcPr>
          <w:p>
            <w:pPr>
              <w:pStyle w:val="TableParagraph"/>
              <w:spacing w:before="139"/>
              <w:ind w:left="110"/>
              <w:rPr>
                <w:sz w:val="21"/>
              </w:rPr>
            </w:pPr>
            <w:r>
              <w:rPr>
                <w:sz w:val="21"/>
              </w:rPr>
              <w:t>投标人提出问题的截止时间：2017 年 10 月 31 日 17:30 时</w:t>
            </w:r>
          </w:p>
          <w:p>
            <w:pPr>
              <w:pStyle w:val="TableParagraph"/>
              <w:spacing w:before="170"/>
              <w:ind w:left="110"/>
              <w:rPr>
                <w:sz w:val="21"/>
              </w:rPr>
            </w:pPr>
            <w:r>
              <w:rPr>
                <w:sz w:val="21"/>
              </w:rPr>
              <w:t>招标人书面澄清的时间：2017 年 11 月 1 日 9:30 时</w:t>
            </w:r>
          </w:p>
        </w:tc>
      </w:tr>
      <w:tr>
        <w:trPr>
          <w:trHeight w:val="623" w:hRule="atLeast"/>
        </w:trPr>
        <w:tc>
          <w:tcPr>
            <w:tcW w:w="1376" w:type="dxa"/>
          </w:tcPr>
          <w:p>
            <w:pPr>
              <w:pStyle w:val="TableParagraph"/>
              <w:spacing w:before="146"/>
              <w:ind w:right="43"/>
              <w:jc w:val="right"/>
              <w:rPr>
                <w:sz w:val="21"/>
              </w:rPr>
            </w:pPr>
            <w:r>
              <w:rPr>
                <w:w w:val="95"/>
                <w:sz w:val="21"/>
              </w:rPr>
              <w:t>投标有效期</w:t>
            </w:r>
          </w:p>
        </w:tc>
        <w:tc>
          <w:tcPr>
            <w:tcW w:w="8516" w:type="dxa"/>
            <w:gridSpan w:val="6"/>
          </w:tcPr>
          <w:p>
            <w:pPr>
              <w:pStyle w:val="TableParagraph"/>
              <w:spacing w:before="103"/>
              <w:ind w:left="1824"/>
              <w:rPr>
                <w:sz w:val="21"/>
              </w:rPr>
            </w:pPr>
            <w:r>
              <w:rPr>
                <w:sz w:val="21"/>
              </w:rPr>
              <w:t>投标截止日后 45 日内有效(从投标截止之日算起)</w:t>
            </w:r>
          </w:p>
        </w:tc>
      </w:tr>
      <w:tr>
        <w:trPr>
          <w:trHeight w:val="617" w:hRule="atLeast"/>
        </w:trPr>
        <w:tc>
          <w:tcPr>
            <w:tcW w:w="1376" w:type="dxa"/>
          </w:tcPr>
          <w:p>
            <w:pPr>
              <w:pStyle w:val="TableParagraph"/>
              <w:spacing w:line="270" w:lineRule="atLeast" w:before="145"/>
              <w:ind w:left="168" w:right="151"/>
              <w:rPr>
                <w:sz w:val="21"/>
              </w:rPr>
            </w:pPr>
            <w:r>
              <w:rPr>
                <w:w w:val="95"/>
                <w:sz w:val="21"/>
              </w:rPr>
              <w:t>投标截止时</w:t>
            </w:r>
            <w:r>
              <w:rPr>
                <w:sz w:val="21"/>
              </w:rPr>
              <w:t>间</w:t>
            </w:r>
          </w:p>
        </w:tc>
        <w:tc>
          <w:tcPr>
            <w:tcW w:w="8516" w:type="dxa"/>
            <w:gridSpan w:val="6"/>
          </w:tcPr>
          <w:p>
            <w:pPr>
              <w:pStyle w:val="TableParagraph"/>
              <w:spacing w:before="103"/>
              <w:ind w:left="2766" w:right="2759"/>
              <w:jc w:val="center"/>
              <w:rPr>
                <w:sz w:val="21"/>
              </w:rPr>
            </w:pPr>
            <w:r>
              <w:rPr>
                <w:sz w:val="21"/>
              </w:rPr>
              <w:t>2017 年 11 月 8 日 9 时 0 分</w:t>
            </w:r>
          </w:p>
        </w:tc>
      </w:tr>
      <w:tr>
        <w:trPr>
          <w:trHeight w:val="555" w:hRule="atLeast"/>
        </w:trPr>
        <w:tc>
          <w:tcPr>
            <w:tcW w:w="1376" w:type="dxa"/>
          </w:tcPr>
          <w:p>
            <w:pPr>
              <w:pStyle w:val="TableParagraph"/>
              <w:spacing w:line="270" w:lineRule="atLeast" w:before="77"/>
              <w:ind w:left="168" w:right="151"/>
              <w:rPr>
                <w:sz w:val="21"/>
              </w:rPr>
            </w:pPr>
            <w:r>
              <w:rPr>
                <w:w w:val="95"/>
                <w:sz w:val="21"/>
              </w:rPr>
              <w:t>投标文件递</w:t>
            </w:r>
            <w:r>
              <w:rPr>
                <w:sz w:val="21"/>
              </w:rPr>
              <w:t>交</w:t>
            </w:r>
          </w:p>
        </w:tc>
        <w:tc>
          <w:tcPr>
            <w:tcW w:w="1693" w:type="dxa"/>
          </w:tcPr>
          <w:p>
            <w:pPr>
              <w:pStyle w:val="TableParagraph"/>
              <w:spacing w:before="35"/>
              <w:ind w:left="326"/>
              <w:rPr>
                <w:sz w:val="21"/>
              </w:rPr>
            </w:pPr>
            <w:r>
              <w:rPr>
                <w:sz w:val="21"/>
              </w:rPr>
              <w:t>地点</w:t>
            </w:r>
          </w:p>
        </w:tc>
        <w:tc>
          <w:tcPr>
            <w:tcW w:w="1333" w:type="dxa"/>
            <w:gridSpan w:val="2"/>
          </w:tcPr>
          <w:p>
            <w:pPr>
              <w:pStyle w:val="TableParagraph"/>
              <w:spacing w:line="247" w:lineRule="exact"/>
              <w:ind w:left="153"/>
              <w:rPr>
                <w:sz w:val="21"/>
              </w:rPr>
            </w:pPr>
            <w:r>
              <w:rPr>
                <w:w w:val="95"/>
                <w:sz w:val="21"/>
              </w:rPr>
              <w:t>仪征市大</w:t>
            </w:r>
          </w:p>
          <w:p>
            <w:pPr>
              <w:pStyle w:val="TableParagraph"/>
              <w:spacing w:before="4"/>
              <w:ind w:left="153"/>
              <w:rPr>
                <w:sz w:val="21"/>
              </w:rPr>
            </w:pPr>
            <w:r>
              <w:rPr>
                <w:sz w:val="21"/>
              </w:rPr>
              <w:t>庆北路 88</w:t>
            </w:r>
          </w:p>
        </w:tc>
        <w:tc>
          <w:tcPr>
            <w:tcW w:w="922" w:type="dxa"/>
          </w:tcPr>
          <w:p>
            <w:pPr>
              <w:pStyle w:val="TableParagraph"/>
              <w:spacing w:before="35"/>
              <w:ind w:left="146"/>
              <w:rPr>
                <w:sz w:val="21"/>
              </w:rPr>
            </w:pPr>
            <w:r>
              <w:rPr>
                <w:sz w:val="21"/>
              </w:rPr>
              <w:t>地址</w:t>
            </w:r>
          </w:p>
        </w:tc>
        <w:tc>
          <w:tcPr>
            <w:tcW w:w="4568" w:type="dxa"/>
            <w:gridSpan w:val="2"/>
          </w:tcPr>
          <w:p>
            <w:pPr>
              <w:pStyle w:val="TableParagraph"/>
              <w:spacing w:before="114"/>
              <w:ind w:left="110"/>
              <w:rPr>
                <w:sz w:val="21"/>
              </w:rPr>
            </w:pPr>
            <w:r>
              <w:rPr>
                <w:sz w:val="21"/>
              </w:rPr>
              <w:t>扬州市公共资源交易中心仪征分中心一楼</w:t>
            </w:r>
          </w:p>
        </w:tc>
      </w:tr>
      <w:tr>
        <w:trPr>
          <w:trHeight w:val="555" w:hRule="atLeast"/>
        </w:trPr>
        <w:tc>
          <w:tcPr>
            <w:tcW w:w="1376" w:type="dxa"/>
          </w:tcPr>
          <w:p>
            <w:pPr>
              <w:pStyle w:val="TableParagraph"/>
              <w:spacing w:before="42"/>
              <w:ind w:left="485"/>
              <w:rPr>
                <w:sz w:val="21"/>
              </w:rPr>
            </w:pPr>
            <w:r>
              <w:rPr>
                <w:sz w:val="21"/>
              </w:rPr>
              <w:t>开标会</w:t>
            </w:r>
          </w:p>
        </w:tc>
        <w:tc>
          <w:tcPr>
            <w:tcW w:w="1693" w:type="dxa"/>
          </w:tcPr>
          <w:p>
            <w:pPr>
              <w:pStyle w:val="TableParagraph"/>
              <w:spacing w:before="42"/>
              <w:ind w:left="326"/>
              <w:rPr>
                <w:sz w:val="21"/>
              </w:rPr>
            </w:pPr>
            <w:r>
              <w:rPr>
                <w:sz w:val="21"/>
              </w:rPr>
              <w:t>时间</w:t>
            </w:r>
          </w:p>
        </w:tc>
        <w:tc>
          <w:tcPr>
            <w:tcW w:w="1333" w:type="dxa"/>
            <w:gridSpan w:val="2"/>
          </w:tcPr>
          <w:p>
            <w:pPr>
              <w:pStyle w:val="TableParagraph"/>
              <w:spacing w:before="42"/>
              <w:ind w:left="110" w:right="-15"/>
              <w:rPr>
                <w:sz w:val="21"/>
              </w:rPr>
            </w:pPr>
            <w:r>
              <w:rPr>
                <w:sz w:val="21"/>
              </w:rPr>
              <w:t>2017</w:t>
            </w:r>
            <w:r>
              <w:rPr>
                <w:spacing w:val="-35"/>
                <w:sz w:val="21"/>
              </w:rPr>
              <w:t> 年 </w:t>
            </w:r>
            <w:r>
              <w:rPr>
                <w:sz w:val="21"/>
              </w:rPr>
              <w:t>11</w:t>
            </w:r>
            <w:r>
              <w:rPr>
                <w:spacing w:val="-25"/>
                <w:sz w:val="21"/>
              </w:rPr>
              <w:t> 月</w:t>
            </w:r>
          </w:p>
          <w:p>
            <w:pPr>
              <w:pStyle w:val="TableParagraph"/>
              <w:spacing w:line="219" w:lineRule="exact" w:before="5"/>
              <w:ind w:left="110"/>
              <w:rPr>
                <w:sz w:val="21"/>
              </w:rPr>
            </w:pPr>
            <w:r>
              <w:rPr>
                <w:sz w:val="21"/>
              </w:rPr>
              <w:t>8</w:t>
            </w:r>
            <w:r>
              <w:rPr>
                <w:spacing w:val="-37"/>
                <w:sz w:val="21"/>
              </w:rPr>
              <w:t> 日 </w:t>
            </w:r>
            <w:r>
              <w:rPr>
                <w:sz w:val="21"/>
              </w:rPr>
              <w:t>9</w:t>
            </w:r>
            <w:r>
              <w:rPr>
                <w:spacing w:val="-37"/>
                <w:sz w:val="21"/>
              </w:rPr>
              <w:t> 时 </w:t>
            </w:r>
            <w:r>
              <w:rPr>
                <w:sz w:val="21"/>
              </w:rPr>
              <w:t>0</w:t>
            </w:r>
            <w:r>
              <w:rPr>
                <w:spacing w:val="-27"/>
                <w:sz w:val="21"/>
              </w:rPr>
              <w:t> 分</w:t>
            </w:r>
          </w:p>
        </w:tc>
        <w:tc>
          <w:tcPr>
            <w:tcW w:w="922" w:type="dxa"/>
          </w:tcPr>
          <w:p>
            <w:pPr>
              <w:pStyle w:val="TableParagraph"/>
              <w:spacing w:before="42"/>
              <w:ind w:left="146"/>
              <w:rPr>
                <w:sz w:val="21"/>
              </w:rPr>
            </w:pPr>
            <w:r>
              <w:rPr>
                <w:sz w:val="21"/>
              </w:rPr>
              <w:t>地点</w:t>
            </w:r>
          </w:p>
        </w:tc>
        <w:tc>
          <w:tcPr>
            <w:tcW w:w="4568" w:type="dxa"/>
            <w:gridSpan w:val="2"/>
          </w:tcPr>
          <w:p>
            <w:pPr>
              <w:pStyle w:val="TableParagraph"/>
              <w:spacing w:before="121"/>
              <w:ind w:left="110"/>
              <w:rPr>
                <w:sz w:val="21"/>
              </w:rPr>
            </w:pPr>
            <w:r>
              <w:rPr>
                <w:sz w:val="21"/>
              </w:rPr>
              <w:t>扬州市公共资源交易中心仪征分中心一楼</w:t>
            </w:r>
          </w:p>
        </w:tc>
      </w:tr>
      <w:tr>
        <w:trPr>
          <w:trHeight w:val="623" w:hRule="atLeast"/>
        </w:trPr>
        <w:tc>
          <w:tcPr>
            <w:tcW w:w="1376" w:type="dxa"/>
          </w:tcPr>
          <w:p>
            <w:pPr>
              <w:pStyle w:val="TableParagraph"/>
              <w:spacing w:line="270" w:lineRule="atLeast" w:before="145"/>
              <w:ind w:left="168" w:right="151"/>
              <w:rPr>
                <w:sz w:val="21"/>
              </w:rPr>
            </w:pPr>
            <w:r>
              <w:rPr>
                <w:w w:val="95"/>
                <w:sz w:val="21"/>
              </w:rPr>
              <w:t>投标报价方</w:t>
            </w:r>
            <w:r>
              <w:rPr>
                <w:sz w:val="21"/>
              </w:rPr>
              <w:t>式</w:t>
            </w:r>
          </w:p>
        </w:tc>
        <w:tc>
          <w:tcPr>
            <w:tcW w:w="8516" w:type="dxa"/>
            <w:gridSpan w:val="6"/>
          </w:tcPr>
          <w:p>
            <w:pPr>
              <w:pStyle w:val="TableParagraph"/>
              <w:spacing w:before="103"/>
              <w:ind w:left="2766" w:right="2752"/>
              <w:jc w:val="center"/>
              <w:rPr>
                <w:sz w:val="21"/>
              </w:rPr>
            </w:pPr>
            <w:r>
              <w:rPr>
                <w:sz w:val="21"/>
              </w:rPr>
              <w:t>固定单价报价</w:t>
            </w:r>
          </w:p>
        </w:tc>
      </w:tr>
      <w:tr>
        <w:trPr>
          <w:trHeight w:val="555" w:hRule="atLeast"/>
        </w:trPr>
        <w:tc>
          <w:tcPr>
            <w:tcW w:w="1376" w:type="dxa"/>
          </w:tcPr>
          <w:p>
            <w:pPr>
              <w:pStyle w:val="TableParagraph"/>
              <w:spacing w:before="85"/>
              <w:ind w:right="43"/>
              <w:jc w:val="right"/>
              <w:rPr>
                <w:sz w:val="21"/>
              </w:rPr>
            </w:pPr>
            <w:r>
              <w:rPr>
                <w:w w:val="95"/>
                <w:sz w:val="21"/>
              </w:rPr>
              <w:t>暂估价金额</w:t>
            </w:r>
          </w:p>
        </w:tc>
        <w:tc>
          <w:tcPr>
            <w:tcW w:w="2392" w:type="dxa"/>
            <w:gridSpan w:val="2"/>
          </w:tcPr>
          <w:p>
            <w:pPr>
              <w:pStyle w:val="TableParagraph"/>
              <w:spacing w:before="42"/>
              <w:ind w:left="321"/>
              <w:jc w:val="center"/>
              <w:rPr>
                <w:sz w:val="21"/>
              </w:rPr>
            </w:pPr>
            <w:r>
              <w:rPr>
                <w:w w:val="99"/>
                <w:sz w:val="21"/>
              </w:rPr>
              <w:t>/</w:t>
            </w:r>
          </w:p>
        </w:tc>
        <w:tc>
          <w:tcPr>
            <w:tcW w:w="2003" w:type="dxa"/>
            <w:gridSpan w:val="3"/>
          </w:tcPr>
          <w:p>
            <w:pPr>
              <w:pStyle w:val="TableParagraph"/>
              <w:spacing w:before="42"/>
              <w:ind w:left="182"/>
              <w:rPr>
                <w:sz w:val="21"/>
              </w:rPr>
            </w:pPr>
            <w:r>
              <w:rPr>
                <w:sz w:val="21"/>
              </w:rPr>
              <w:t>甲供材金额</w:t>
            </w:r>
          </w:p>
        </w:tc>
        <w:tc>
          <w:tcPr>
            <w:tcW w:w="4121" w:type="dxa"/>
          </w:tcPr>
          <w:p>
            <w:pPr>
              <w:pStyle w:val="TableParagraph"/>
              <w:spacing w:before="42"/>
              <w:ind w:left="17"/>
              <w:jc w:val="center"/>
              <w:rPr>
                <w:sz w:val="21"/>
              </w:rPr>
            </w:pPr>
            <w:r>
              <w:rPr>
                <w:w w:val="99"/>
                <w:sz w:val="21"/>
              </w:rPr>
              <w:t>/</w:t>
            </w:r>
          </w:p>
        </w:tc>
      </w:tr>
      <w:tr>
        <w:trPr>
          <w:trHeight w:val="804" w:hRule="atLeast"/>
        </w:trPr>
        <w:tc>
          <w:tcPr>
            <w:tcW w:w="1376" w:type="dxa"/>
          </w:tcPr>
          <w:p>
            <w:pPr>
              <w:pStyle w:val="TableParagraph"/>
              <w:spacing w:before="110"/>
              <w:ind w:left="168"/>
              <w:rPr>
                <w:sz w:val="21"/>
              </w:rPr>
            </w:pPr>
            <w:r>
              <w:rPr>
                <w:w w:val="95"/>
                <w:sz w:val="21"/>
              </w:rPr>
              <w:t>暂估及甲供</w:t>
            </w:r>
          </w:p>
          <w:p>
            <w:pPr>
              <w:pStyle w:val="TableParagraph"/>
              <w:spacing w:before="128"/>
              <w:ind w:left="485"/>
              <w:rPr>
                <w:sz w:val="21"/>
              </w:rPr>
            </w:pPr>
            <w:r>
              <w:rPr>
                <w:sz w:val="21"/>
              </w:rPr>
              <w:t>主 要材</w:t>
            </w:r>
          </w:p>
        </w:tc>
        <w:tc>
          <w:tcPr>
            <w:tcW w:w="8516" w:type="dxa"/>
            <w:gridSpan w:val="6"/>
          </w:tcPr>
          <w:p>
            <w:pPr>
              <w:pStyle w:val="TableParagraph"/>
              <w:spacing w:before="4"/>
              <w:rPr>
                <w:sz w:val="15"/>
              </w:rPr>
            </w:pPr>
          </w:p>
          <w:p>
            <w:pPr>
              <w:pStyle w:val="TableParagraph"/>
              <w:spacing w:before="1"/>
              <w:ind w:left="3"/>
              <w:jc w:val="center"/>
              <w:rPr>
                <w:sz w:val="21"/>
              </w:rPr>
            </w:pPr>
            <w:r>
              <w:rPr>
                <w:w w:val="99"/>
                <w:sz w:val="21"/>
              </w:rPr>
              <w:t>/</w:t>
            </w:r>
          </w:p>
        </w:tc>
      </w:tr>
      <w:tr>
        <w:trPr>
          <w:trHeight w:val="876" w:hRule="atLeast"/>
        </w:trPr>
        <w:tc>
          <w:tcPr>
            <w:tcW w:w="1376" w:type="dxa"/>
          </w:tcPr>
          <w:p>
            <w:pPr>
              <w:pStyle w:val="TableParagraph"/>
              <w:spacing w:line="321" w:lineRule="auto" w:before="38"/>
              <w:ind w:left="247" w:right="50" w:hanging="188"/>
              <w:rPr>
                <w:sz w:val="21"/>
              </w:rPr>
            </w:pPr>
            <w:r>
              <w:rPr>
                <w:w w:val="95"/>
                <w:sz w:val="21"/>
              </w:rPr>
              <w:t>标书装订及密</w:t>
            </w:r>
            <w:r>
              <w:rPr>
                <w:sz w:val="21"/>
              </w:rPr>
              <w:t>封要求</w:t>
            </w:r>
          </w:p>
        </w:tc>
        <w:tc>
          <w:tcPr>
            <w:tcW w:w="8516" w:type="dxa"/>
            <w:gridSpan w:val="6"/>
          </w:tcPr>
          <w:p>
            <w:pPr>
              <w:pStyle w:val="TableParagraph"/>
              <w:spacing w:line="250" w:lineRule="exact"/>
              <w:ind w:left="110"/>
              <w:rPr>
                <w:sz w:val="21"/>
              </w:rPr>
            </w:pPr>
            <w:r>
              <w:rPr>
                <w:sz w:val="21"/>
              </w:rPr>
              <w:t>1、不加密的电子投标光盘一张，应单独封装，加盖投标单位法人公章及其法定代表人</w:t>
            </w:r>
          </w:p>
          <w:p>
            <w:pPr>
              <w:pStyle w:val="TableParagraph"/>
              <w:spacing w:before="4"/>
              <w:ind w:left="110"/>
              <w:rPr>
                <w:sz w:val="21"/>
              </w:rPr>
            </w:pPr>
            <w:r>
              <w:rPr>
                <w:sz w:val="21"/>
              </w:rPr>
              <w:t>或授权委托人印鉴。封袋上应写明招标人名称、工程名称和标段及投标人的名称。</w:t>
            </w:r>
          </w:p>
          <w:p>
            <w:pPr>
              <w:pStyle w:val="TableParagraph"/>
              <w:spacing w:before="5"/>
              <w:ind w:left="110"/>
              <w:rPr>
                <w:sz w:val="21"/>
              </w:rPr>
            </w:pPr>
            <w:r>
              <w:rPr>
                <w:sz w:val="21"/>
              </w:rPr>
              <w:t>2、其它要求详见招标文件第一章第六条的投标文件的递交。</w:t>
            </w:r>
          </w:p>
        </w:tc>
      </w:tr>
      <w:tr>
        <w:trPr>
          <w:trHeight w:val="623" w:hRule="atLeast"/>
        </w:trPr>
        <w:tc>
          <w:tcPr>
            <w:tcW w:w="1376" w:type="dxa"/>
          </w:tcPr>
          <w:p>
            <w:pPr>
              <w:pStyle w:val="TableParagraph"/>
              <w:spacing w:before="110"/>
              <w:ind w:right="144"/>
              <w:jc w:val="right"/>
              <w:rPr>
                <w:sz w:val="21"/>
              </w:rPr>
            </w:pPr>
            <w:r>
              <w:rPr>
                <w:w w:val="95"/>
                <w:sz w:val="21"/>
              </w:rPr>
              <w:t>评标办法</w:t>
            </w:r>
          </w:p>
        </w:tc>
        <w:tc>
          <w:tcPr>
            <w:tcW w:w="8516" w:type="dxa"/>
            <w:gridSpan w:val="6"/>
          </w:tcPr>
          <w:p>
            <w:pPr>
              <w:pStyle w:val="TableParagraph"/>
              <w:numPr>
                <w:ilvl w:val="0"/>
                <w:numId w:val="2"/>
              </w:numPr>
              <w:tabs>
                <w:tab w:pos="321" w:val="left" w:leader="none"/>
              </w:tabs>
              <w:spacing w:line="240" w:lineRule="auto" w:before="81" w:after="0"/>
              <w:ind w:left="320" w:right="0" w:hanging="210"/>
              <w:jc w:val="left"/>
              <w:rPr>
                <w:sz w:val="21"/>
              </w:rPr>
            </w:pPr>
            <w:r>
              <w:rPr>
                <w:sz w:val="21"/>
              </w:rPr>
              <w:t>经评审的最低投标价法</w:t>
            </w:r>
          </w:p>
        </w:tc>
      </w:tr>
      <w:tr>
        <w:trPr>
          <w:trHeight w:val="912" w:hRule="atLeast"/>
        </w:trPr>
        <w:tc>
          <w:tcPr>
            <w:tcW w:w="3069" w:type="dxa"/>
            <w:gridSpan w:val="2"/>
          </w:tcPr>
          <w:p>
            <w:pPr>
              <w:pStyle w:val="TableParagraph"/>
              <w:spacing w:before="4"/>
              <w:rPr>
                <w:sz w:val="15"/>
              </w:rPr>
            </w:pPr>
          </w:p>
          <w:p>
            <w:pPr>
              <w:pStyle w:val="TableParagraph"/>
              <w:spacing w:before="1"/>
              <w:ind w:left="247"/>
              <w:rPr>
                <w:sz w:val="21"/>
              </w:rPr>
            </w:pPr>
            <w:r>
              <w:rPr>
                <w:sz w:val="21"/>
              </w:rPr>
              <w:t>是否授权评委会确定中标人</w:t>
            </w:r>
          </w:p>
        </w:tc>
        <w:tc>
          <w:tcPr>
            <w:tcW w:w="6823" w:type="dxa"/>
            <w:gridSpan w:val="5"/>
          </w:tcPr>
          <w:p>
            <w:pPr>
              <w:pStyle w:val="TableParagraph"/>
              <w:numPr>
                <w:ilvl w:val="0"/>
                <w:numId w:val="3"/>
              </w:numPr>
              <w:tabs>
                <w:tab w:pos="535" w:val="left" w:leader="none"/>
                <w:tab w:pos="536" w:val="left" w:leader="none"/>
              </w:tabs>
              <w:spacing w:line="240" w:lineRule="auto" w:before="132" w:after="0"/>
              <w:ind w:left="535" w:right="0" w:hanging="425"/>
              <w:jc w:val="left"/>
              <w:rPr>
                <w:sz w:val="21"/>
              </w:rPr>
            </w:pPr>
            <w:r>
              <w:rPr>
                <w:w w:val="99"/>
                <w:sz w:val="21"/>
              </w:rPr>
              <w:t>是</w:t>
            </w:r>
            <w:r>
              <w:rPr>
                <w:sz w:val="21"/>
              </w:rPr>
            </w:r>
          </w:p>
          <w:p>
            <w:pPr>
              <w:pStyle w:val="TableParagraph"/>
              <w:spacing w:before="5"/>
              <w:ind w:left="110"/>
              <w:rPr>
                <w:sz w:val="21"/>
              </w:rPr>
            </w:pPr>
            <w:r>
              <w:rPr>
                <w:sz w:val="21"/>
              </w:rPr>
              <w:t>□否，推荐的中标候选人数：</w:t>
            </w:r>
          </w:p>
        </w:tc>
      </w:tr>
      <w:tr>
        <w:trPr>
          <w:trHeight w:val="1041" w:hRule="atLeast"/>
        </w:trPr>
        <w:tc>
          <w:tcPr>
            <w:tcW w:w="1376" w:type="dxa"/>
          </w:tcPr>
          <w:p>
            <w:pPr>
              <w:pStyle w:val="TableParagraph"/>
              <w:spacing w:before="4"/>
              <w:rPr>
                <w:sz w:val="15"/>
              </w:rPr>
            </w:pPr>
          </w:p>
          <w:p>
            <w:pPr>
              <w:pStyle w:val="TableParagraph"/>
              <w:spacing w:before="1"/>
              <w:ind w:left="71" w:right="64"/>
              <w:jc w:val="center"/>
              <w:rPr>
                <w:sz w:val="21"/>
              </w:rPr>
            </w:pPr>
            <w:r>
              <w:rPr>
                <w:sz w:val="21"/>
              </w:rPr>
              <w:t>分包</w:t>
            </w:r>
          </w:p>
        </w:tc>
        <w:tc>
          <w:tcPr>
            <w:tcW w:w="8516" w:type="dxa"/>
            <w:gridSpan w:val="6"/>
          </w:tcPr>
          <w:p>
            <w:pPr>
              <w:pStyle w:val="TableParagraph"/>
              <w:numPr>
                <w:ilvl w:val="0"/>
                <w:numId w:val="4"/>
              </w:numPr>
              <w:tabs>
                <w:tab w:pos="321" w:val="left" w:leader="none"/>
              </w:tabs>
              <w:spacing w:line="240" w:lineRule="auto" w:before="132" w:after="0"/>
              <w:ind w:left="320" w:right="0" w:hanging="210"/>
              <w:jc w:val="left"/>
              <w:rPr>
                <w:sz w:val="21"/>
              </w:rPr>
            </w:pPr>
            <w:r>
              <w:rPr>
                <w:sz w:val="21"/>
              </w:rPr>
              <w:t>不允许</w:t>
            </w:r>
          </w:p>
          <w:p>
            <w:pPr>
              <w:pStyle w:val="TableParagraph"/>
              <w:spacing w:before="7"/>
              <w:rPr>
                <w:sz w:val="15"/>
              </w:rPr>
            </w:pPr>
          </w:p>
          <w:p>
            <w:pPr>
              <w:pStyle w:val="TableParagraph"/>
              <w:ind w:left="110"/>
              <w:rPr>
                <w:sz w:val="21"/>
              </w:rPr>
            </w:pPr>
            <w:r>
              <w:rPr>
                <w:sz w:val="21"/>
              </w:rPr>
              <w:t>□允许，分包内容要求：/</w:t>
            </w:r>
          </w:p>
        </w:tc>
      </w:tr>
      <w:tr>
        <w:trPr>
          <w:trHeight w:val="1862" w:hRule="atLeast"/>
        </w:trPr>
        <w:tc>
          <w:tcPr>
            <w:tcW w:w="137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51"/>
              <w:ind w:right="144"/>
              <w:jc w:val="right"/>
              <w:rPr>
                <w:sz w:val="21"/>
              </w:rPr>
            </w:pPr>
            <w:r>
              <w:rPr>
                <w:w w:val="95"/>
                <w:sz w:val="21"/>
              </w:rPr>
              <w:t>合同签订</w:t>
            </w:r>
          </w:p>
        </w:tc>
        <w:tc>
          <w:tcPr>
            <w:tcW w:w="8516" w:type="dxa"/>
            <w:gridSpan w:val="6"/>
          </w:tcPr>
          <w:p>
            <w:pPr>
              <w:pStyle w:val="TableParagraph"/>
              <w:rPr>
                <w:sz w:val="20"/>
              </w:rPr>
            </w:pPr>
          </w:p>
          <w:p>
            <w:pPr>
              <w:pStyle w:val="TableParagraph"/>
              <w:spacing w:before="149"/>
              <w:ind w:left="9"/>
              <w:rPr>
                <w:sz w:val="21"/>
              </w:rPr>
            </w:pPr>
            <w:r>
              <w:rPr>
                <w:sz w:val="21"/>
              </w:rPr>
              <w:t>履约保证金：合同签订前，中标人必须向招标人提交合同总价 </w:t>
            </w:r>
            <w:r>
              <w:rPr>
                <w:sz w:val="21"/>
                <w:u w:val="single"/>
              </w:rPr>
              <w:t>5</w:t>
            </w:r>
            <w:r>
              <w:rPr>
                <w:sz w:val="21"/>
              </w:rPr>
              <w:t>%的履约保证金。</w:t>
            </w:r>
          </w:p>
          <w:p>
            <w:pPr>
              <w:pStyle w:val="TableParagraph"/>
              <w:spacing w:before="7"/>
              <w:rPr>
                <w:sz w:val="15"/>
              </w:rPr>
            </w:pPr>
          </w:p>
          <w:p>
            <w:pPr>
              <w:pStyle w:val="TableParagraph"/>
              <w:spacing w:line="398" w:lineRule="auto"/>
              <w:ind w:left="9" w:right="101"/>
              <w:rPr>
                <w:sz w:val="21"/>
              </w:rPr>
            </w:pPr>
            <w:r>
              <w:rPr>
                <w:spacing w:val="-9"/>
                <w:sz w:val="21"/>
              </w:rPr>
              <w:t>差额保证金：若中标价比有效投标报价平均值低 </w:t>
            </w:r>
            <w:r>
              <w:rPr>
                <w:sz w:val="21"/>
              </w:rPr>
              <w:t>5%</w:t>
            </w:r>
            <w:r>
              <w:rPr>
                <w:spacing w:val="-7"/>
                <w:sz w:val="21"/>
              </w:rPr>
              <w:t>以上，则中标人应当在合同签订前按照中</w:t>
            </w:r>
            <w:r>
              <w:rPr>
                <w:spacing w:val="-9"/>
                <w:sz w:val="21"/>
              </w:rPr>
              <w:t>标价与有效投标报价平均值之差向招标人提交中标差额保证金</w:t>
            </w:r>
            <w:r>
              <w:rPr>
                <w:sz w:val="21"/>
              </w:rPr>
              <w:t>（</w:t>
            </w:r>
            <w:r>
              <w:rPr>
                <w:spacing w:val="-1"/>
                <w:sz w:val="21"/>
              </w:rPr>
              <w:t>银行保 函</w:t>
            </w:r>
            <w:r>
              <w:rPr>
                <w:spacing w:val="-108"/>
                <w:sz w:val="21"/>
              </w:rPr>
              <w:t>）</w:t>
            </w:r>
            <w:r>
              <w:rPr>
                <w:sz w:val="21"/>
              </w:rPr>
              <w:t>。</w:t>
            </w:r>
          </w:p>
        </w:tc>
      </w:tr>
      <w:tr>
        <w:trPr>
          <w:trHeight w:val="688" w:hRule="atLeast"/>
        </w:trPr>
        <w:tc>
          <w:tcPr>
            <w:tcW w:w="1376" w:type="dxa"/>
          </w:tcPr>
          <w:p>
            <w:pPr>
              <w:pStyle w:val="TableParagraph"/>
              <w:spacing w:before="7"/>
              <w:rPr>
                <w:sz w:val="14"/>
              </w:rPr>
            </w:pPr>
          </w:p>
          <w:p>
            <w:pPr>
              <w:pStyle w:val="TableParagraph"/>
              <w:spacing w:line="266" w:lineRule="exact"/>
              <w:ind w:left="168" w:right="151"/>
              <w:rPr>
                <w:sz w:val="21"/>
              </w:rPr>
            </w:pPr>
            <w:r>
              <w:rPr>
                <w:w w:val="95"/>
                <w:sz w:val="21"/>
              </w:rPr>
              <w:t>合同结算方</w:t>
            </w:r>
            <w:r>
              <w:rPr>
                <w:sz w:val="21"/>
              </w:rPr>
              <w:t>式</w:t>
            </w:r>
          </w:p>
        </w:tc>
        <w:tc>
          <w:tcPr>
            <w:tcW w:w="8516" w:type="dxa"/>
            <w:gridSpan w:val="6"/>
          </w:tcPr>
          <w:p>
            <w:pPr>
              <w:pStyle w:val="TableParagraph"/>
              <w:spacing w:before="5"/>
              <w:rPr>
                <w:sz w:val="20"/>
              </w:rPr>
            </w:pPr>
          </w:p>
          <w:p>
            <w:pPr>
              <w:pStyle w:val="TableParagraph"/>
              <w:ind w:left="1904"/>
              <w:rPr>
                <w:sz w:val="21"/>
              </w:rPr>
            </w:pPr>
            <w:r>
              <w:rPr>
                <w:sz w:val="21"/>
              </w:rPr>
              <w:t>本合同价款采用固定单价方式确定。</w:t>
            </w:r>
          </w:p>
        </w:tc>
      </w:tr>
      <w:tr>
        <w:trPr>
          <w:trHeight w:val="1962" w:hRule="atLeast"/>
        </w:trPr>
        <w:tc>
          <w:tcPr>
            <w:tcW w:w="1376" w:type="dxa"/>
          </w:tcPr>
          <w:p>
            <w:pPr>
              <w:pStyle w:val="TableParagraph"/>
              <w:spacing w:before="6"/>
              <w:rPr>
                <w:sz w:val="32"/>
              </w:rPr>
            </w:pPr>
          </w:p>
          <w:p>
            <w:pPr>
              <w:pStyle w:val="TableParagraph"/>
              <w:ind w:left="139"/>
              <w:rPr>
                <w:sz w:val="22"/>
              </w:rPr>
            </w:pPr>
            <w:r>
              <w:rPr>
                <w:sz w:val="22"/>
              </w:rPr>
              <w:t>工程款支付</w:t>
            </w:r>
          </w:p>
        </w:tc>
        <w:tc>
          <w:tcPr>
            <w:tcW w:w="8516" w:type="dxa"/>
            <w:gridSpan w:val="6"/>
          </w:tcPr>
          <w:p>
            <w:pPr>
              <w:pStyle w:val="TableParagraph"/>
              <w:spacing w:line="242" w:lineRule="auto" w:before="70"/>
              <w:ind w:left="9" w:right="16" w:firstLine="439"/>
              <w:rPr>
                <w:sz w:val="22"/>
              </w:rPr>
            </w:pPr>
            <w:r>
              <w:rPr>
                <w:spacing w:val="-9"/>
                <w:sz w:val="22"/>
              </w:rPr>
              <w:t>合同签订后三个工作日内买方支付合同价的 </w:t>
            </w:r>
            <w:r>
              <w:rPr>
                <w:rFonts w:ascii="Calibri" w:eastAsia="Calibri"/>
                <w:spacing w:val="-4"/>
                <w:sz w:val="22"/>
              </w:rPr>
              <w:t>10%</w:t>
            </w:r>
            <w:r>
              <w:rPr>
                <w:spacing w:val="-10"/>
                <w:sz w:val="22"/>
              </w:rPr>
              <w:t>，货物发货前付至合同价的 </w:t>
            </w:r>
            <w:r>
              <w:rPr>
                <w:rFonts w:ascii="Calibri" w:eastAsia="Calibri"/>
                <w:sz w:val="22"/>
              </w:rPr>
              <w:t>20%</w:t>
            </w:r>
            <w:r>
              <w:rPr>
                <w:sz w:val="22"/>
              </w:rPr>
              <w:t>， </w:t>
            </w:r>
            <w:r>
              <w:rPr>
                <w:spacing w:val="-6"/>
                <w:sz w:val="22"/>
              </w:rPr>
              <w:t>乙方将货物送至买方指定地点且提供合同价 </w:t>
            </w:r>
            <w:r>
              <w:rPr>
                <w:rFonts w:ascii="Calibri" w:eastAsia="Calibri"/>
                <w:spacing w:val="-4"/>
                <w:sz w:val="22"/>
              </w:rPr>
              <w:t>5%</w:t>
            </w:r>
            <w:r>
              <w:rPr>
                <w:spacing w:val="-8"/>
                <w:sz w:val="22"/>
              </w:rPr>
              <w:t>的银行保函给甲方，甲方在五个工作日内</w:t>
            </w:r>
            <w:r>
              <w:rPr>
                <w:spacing w:val="-9"/>
                <w:sz w:val="22"/>
              </w:rPr>
              <w:t>验收合格后付至合同价的 </w:t>
            </w:r>
            <w:r>
              <w:rPr>
                <w:rFonts w:ascii="Calibri" w:eastAsia="Calibri"/>
                <w:sz w:val="22"/>
              </w:rPr>
              <w:t>30%</w:t>
            </w:r>
            <w:r>
              <w:rPr>
                <w:spacing w:val="-9"/>
                <w:sz w:val="22"/>
              </w:rPr>
              <w:t>，余款竣工验收合格后付清。合同价 </w:t>
            </w:r>
            <w:r>
              <w:rPr>
                <w:rFonts w:ascii="Calibri" w:eastAsia="Calibri"/>
                <w:sz w:val="22"/>
              </w:rPr>
              <w:t>5%</w:t>
            </w:r>
            <w:r>
              <w:rPr>
                <w:spacing w:val="-5"/>
                <w:sz w:val="22"/>
              </w:rPr>
              <w:t>的银行保函作为保</w:t>
            </w:r>
            <w:r>
              <w:rPr>
                <w:spacing w:val="-12"/>
                <w:sz w:val="22"/>
              </w:rPr>
              <w:t>修金，保函有效期至 </w:t>
            </w:r>
            <w:r>
              <w:rPr>
                <w:rFonts w:ascii="Calibri" w:eastAsia="Calibri"/>
                <w:spacing w:val="-3"/>
                <w:sz w:val="22"/>
              </w:rPr>
              <w:t>2018 </w:t>
            </w:r>
            <w:r>
              <w:rPr>
                <w:spacing w:val="-30"/>
                <w:sz w:val="22"/>
              </w:rPr>
              <w:t>年 </w:t>
            </w:r>
            <w:r>
              <w:rPr>
                <w:rFonts w:ascii="Calibri" w:eastAsia="Calibri"/>
                <w:sz w:val="22"/>
              </w:rPr>
              <w:t>12 </w:t>
            </w:r>
            <w:r>
              <w:rPr>
                <w:spacing w:val="-30"/>
                <w:sz w:val="22"/>
              </w:rPr>
              <w:t>月 </w:t>
            </w:r>
            <w:r>
              <w:rPr>
                <w:rFonts w:ascii="Calibri" w:eastAsia="Calibri"/>
                <w:sz w:val="22"/>
              </w:rPr>
              <w:t>31 </w:t>
            </w:r>
            <w:r>
              <w:rPr>
                <w:sz w:val="22"/>
              </w:rPr>
              <w:t>日。</w:t>
            </w:r>
          </w:p>
        </w:tc>
      </w:tr>
    </w:tbl>
    <w:p>
      <w:pPr>
        <w:rPr>
          <w:sz w:val="2"/>
          <w:szCs w:val="2"/>
        </w:rPr>
      </w:pPr>
      <w:r>
        <w:rPr/>
        <w:pict>
          <v:line style="position:absolute;mso-position-horizontal-relative:page;mso-position-vertical-relative:page;z-index:-170824" from="388.899994pt,763.650024pt" to="430.899994pt,763.650024pt" stroked="true" strokeweight=".7pt" strokecolor="#000000">
            <v:stroke dashstyle="solid"/>
            <w10:wrap type="none"/>
          </v:line>
        </w:pict>
      </w:r>
    </w:p>
    <w:p>
      <w:pPr>
        <w:spacing w:after="0"/>
        <w:rPr>
          <w:sz w:val="2"/>
          <w:szCs w:val="2"/>
        </w:rPr>
        <w:sectPr>
          <w:pgSz w:w="11910" w:h="16870"/>
          <w:pgMar w:top="1260" w:bottom="280" w:left="880" w:right="640"/>
        </w:sectPr>
      </w:pPr>
    </w:p>
    <w:tbl>
      <w:tblPr>
        <w:tblW w:w="0" w:type="auto"/>
        <w:jc w:val="left"/>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6"/>
        <w:gridCol w:w="8516"/>
      </w:tblGrid>
      <w:tr>
        <w:trPr>
          <w:trHeight w:val="307" w:hRule="atLeast"/>
        </w:trPr>
        <w:tc>
          <w:tcPr>
            <w:tcW w:w="1376"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20"/>
              </w:rPr>
            </w:pPr>
          </w:p>
          <w:p>
            <w:pPr>
              <w:pStyle w:val="TableParagraph"/>
              <w:ind w:left="71" w:right="64"/>
              <w:jc w:val="center"/>
              <w:rPr>
                <w:sz w:val="21"/>
              </w:rPr>
            </w:pPr>
            <w:r>
              <w:rPr>
                <w:sz w:val="21"/>
              </w:rPr>
              <w:t>其他</w:t>
            </w:r>
          </w:p>
        </w:tc>
        <w:tc>
          <w:tcPr>
            <w:tcW w:w="8516" w:type="dxa"/>
            <w:tcBorders>
              <w:bottom w:val="nil"/>
            </w:tcBorders>
          </w:tcPr>
          <w:p>
            <w:pPr>
              <w:pStyle w:val="TableParagraph"/>
              <w:spacing w:before="17"/>
              <w:ind w:left="110"/>
              <w:rPr>
                <w:sz w:val="21"/>
              </w:rPr>
            </w:pPr>
            <w:r>
              <w:rPr>
                <w:sz w:val="21"/>
              </w:rPr>
              <w:t>1、下文中与“前附表”内容不一致的，以“前附表”为准；</w:t>
            </w:r>
          </w:p>
        </w:tc>
      </w:tr>
      <w:tr>
        <w:trPr>
          <w:trHeight w:val="310" w:hRule="atLeast"/>
        </w:trPr>
        <w:tc>
          <w:tcPr>
            <w:tcW w:w="1376" w:type="dxa"/>
            <w:vMerge/>
            <w:tcBorders>
              <w:top w:val="nil"/>
            </w:tcBorders>
          </w:tcPr>
          <w:p>
            <w:pPr>
              <w:rPr>
                <w:sz w:val="2"/>
                <w:szCs w:val="2"/>
              </w:rPr>
            </w:pPr>
          </w:p>
        </w:tc>
        <w:tc>
          <w:tcPr>
            <w:tcW w:w="8516" w:type="dxa"/>
            <w:tcBorders>
              <w:top w:val="nil"/>
              <w:bottom w:val="nil"/>
            </w:tcBorders>
          </w:tcPr>
          <w:p>
            <w:pPr>
              <w:pStyle w:val="TableParagraph"/>
              <w:spacing w:before="16"/>
              <w:ind w:left="110"/>
              <w:rPr>
                <w:sz w:val="21"/>
              </w:rPr>
            </w:pPr>
            <w:r>
              <w:rPr>
                <w:sz w:val="21"/>
              </w:rPr>
              <w:t>2、投标人已完成 CA 认证和电子签章锁和网上注册，并通过“扬州市建设工程招标投标</w:t>
            </w:r>
          </w:p>
        </w:tc>
      </w:tr>
      <w:tr>
        <w:trPr>
          <w:trHeight w:val="310" w:hRule="atLeast"/>
        </w:trPr>
        <w:tc>
          <w:tcPr>
            <w:tcW w:w="1376" w:type="dxa"/>
            <w:vMerge/>
            <w:tcBorders>
              <w:top w:val="nil"/>
            </w:tcBorders>
          </w:tcPr>
          <w:p>
            <w:pPr>
              <w:rPr>
                <w:sz w:val="2"/>
                <w:szCs w:val="2"/>
              </w:rPr>
            </w:pPr>
          </w:p>
        </w:tc>
        <w:tc>
          <w:tcPr>
            <w:tcW w:w="8516" w:type="dxa"/>
            <w:tcBorders>
              <w:top w:val="nil"/>
              <w:bottom w:val="nil"/>
            </w:tcBorders>
          </w:tcPr>
          <w:p>
            <w:pPr>
              <w:pStyle w:val="TableParagraph"/>
              <w:spacing w:before="20"/>
              <w:ind w:left="110"/>
              <w:rPr>
                <w:sz w:val="21"/>
              </w:rPr>
            </w:pPr>
            <w:r>
              <w:rPr>
                <w:sz w:val="21"/>
              </w:rPr>
              <w:t>电子化交易系统”完成网上报名，网上支付，招标文件下载，网上提问，答疑文件下</w:t>
            </w:r>
          </w:p>
        </w:tc>
      </w:tr>
      <w:tr>
        <w:trPr>
          <w:trHeight w:val="310" w:hRule="atLeast"/>
        </w:trPr>
        <w:tc>
          <w:tcPr>
            <w:tcW w:w="1376" w:type="dxa"/>
            <w:vMerge/>
            <w:tcBorders>
              <w:top w:val="nil"/>
            </w:tcBorders>
          </w:tcPr>
          <w:p>
            <w:pPr>
              <w:rPr>
                <w:sz w:val="2"/>
                <w:szCs w:val="2"/>
              </w:rPr>
            </w:pPr>
          </w:p>
        </w:tc>
        <w:tc>
          <w:tcPr>
            <w:tcW w:w="8516" w:type="dxa"/>
            <w:tcBorders>
              <w:top w:val="nil"/>
              <w:bottom w:val="nil"/>
            </w:tcBorders>
          </w:tcPr>
          <w:p>
            <w:pPr>
              <w:pStyle w:val="TableParagraph"/>
              <w:spacing w:before="16"/>
              <w:ind w:left="110"/>
              <w:rPr>
                <w:sz w:val="21"/>
              </w:rPr>
            </w:pPr>
            <w:r>
              <w:rPr>
                <w:sz w:val="21"/>
              </w:rPr>
              <w:t>载，电子标书制作、上传，网上投标等一系列环节的操作流程。</w:t>
            </w:r>
          </w:p>
        </w:tc>
      </w:tr>
      <w:tr>
        <w:trPr>
          <w:trHeight w:val="310" w:hRule="atLeast"/>
        </w:trPr>
        <w:tc>
          <w:tcPr>
            <w:tcW w:w="1376" w:type="dxa"/>
            <w:vMerge/>
            <w:tcBorders>
              <w:top w:val="nil"/>
            </w:tcBorders>
          </w:tcPr>
          <w:p>
            <w:pPr>
              <w:rPr>
                <w:sz w:val="2"/>
                <w:szCs w:val="2"/>
              </w:rPr>
            </w:pPr>
          </w:p>
        </w:tc>
        <w:tc>
          <w:tcPr>
            <w:tcW w:w="8516" w:type="dxa"/>
            <w:tcBorders>
              <w:top w:val="nil"/>
              <w:bottom w:val="nil"/>
            </w:tcBorders>
          </w:tcPr>
          <w:p>
            <w:pPr>
              <w:pStyle w:val="TableParagraph"/>
              <w:spacing w:before="20"/>
              <w:ind w:left="110"/>
              <w:rPr>
                <w:sz w:val="21"/>
              </w:rPr>
            </w:pPr>
            <w:r>
              <w:rPr>
                <w:sz w:val="21"/>
              </w:rPr>
              <w:t>3、本工程采用无纸化投标，无需递交其他书面投标文件。所有证明材料需以原件扫描</w:t>
            </w:r>
          </w:p>
        </w:tc>
      </w:tr>
      <w:tr>
        <w:trPr>
          <w:trHeight w:val="281" w:hRule="atLeast"/>
        </w:trPr>
        <w:tc>
          <w:tcPr>
            <w:tcW w:w="1376" w:type="dxa"/>
            <w:vMerge/>
            <w:tcBorders>
              <w:top w:val="nil"/>
            </w:tcBorders>
          </w:tcPr>
          <w:p>
            <w:pPr>
              <w:rPr>
                <w:sz w:val="2"/>
                <w:szCs w:val="2"/>
              </w:rPr>
            </w:pPr>
          </w:p>
        </w:tc>
        <w:tc>
          <w:tcPr>
            <w:tcW w:w="8516" w:type="dxa"/>
            <w:tcBorders>
              <w:top w:val="nil"/>
              <w:bottom w:val="nil"/>
            </w:tcBorders>
          </w:tcPr>
          <w:p>
            <w:pPr>
              <w:pStyle w:val="TableParagraph"/>
              <w:spacing w:line="245" w:lineRule="exact" w:before="16"/>
              <w:ind w:left="110"/>
              <w:rPr>
                <w:sz w:val="21"/>
              </w:rPr>
            </w:pPr>
            <w:r>
              <w:rPr>
                <w:sz w:val="21"/>
              </w:rPr>
              <w:t>上传至投标文件中。</w:t>
            </w:r>
          </w:p>
        </w:tc>
      </w:tr>
      <w:tr>
        <w:trPr>
          <w:trHeight w:val="310" w:hRule="atLeast"/>
        </w:trPr>
        <w:tc>
          <w:tcPr>
            <w:tcW w:w="1376" w:type="dxa"/>
            <w:vMerge/>
            <w:tcBorders>
              <w:top w:val="nil"/>
            </w:tcBorders>
          </w:tcPr>
          <w:p>
            <w:pPr>
              <w:rPr>
                <w:sz w:val="2"/>
                <w:szCs w:val="2"/>
              </w:rPr>
            </w:pPr>
          </w:p>
        </w:tc>
        <w:tc>
          <w:tcPr>
            <w:tcW w:w="8516" w:type="dxa"/>
            <w:tcBorders>
              <w:top w:val="nil"/>
              <w:bottom w:val="nil"/>
            </w:tcBorders>
          </w:tcPr>
          <w:p>
            <w:pPr>
              <w:pStyle w:val="TableParagraph"/>
              <w:spacing w:line="290" w:lineRule="exact"/>
              <w:ind w:left="110"/>
              <w:rPr>
                <w:rFonts w:ascii="Microsoft YaHei" w:eastAsia="Microsoft YaHei" w:hint="eastAsia"/>
                <w:b/>
                <w:sz w:val="21"/>
              </w:rPr>
            </w:pPr>
            <w:r>
              <w:rPr>
                <w:rFonts w:ascii="Microsoft YaHei" w:eastAsia="Microsoft YaHei" w:hint="eastAsia"/>
                <w:b/>
                <w:sz w:val="21"/>
              </w:rPr>
              <w:t>4、特别提醒：投标人应携带 CA 锁参加开标会，现场解密投标文件。如有特殊情况未携</w:t>
            </w:r>
          </w:p>
        </w:tc>
      </w:tr>
      <w:tr>
        <w:trPr>
          <w:trHeight w:val="335" w:hRule="atLeast"/>
        </w:trPr>
        <w:tc>
          <w:tcPr>
            <w:tcW w:w="1376" w:type="dxa"/>
            <w:vMerge/>
            <w:tcBorders>
              <w:top w:val="nil"/>
            </w:tcBorders>
          </w:tcPr>
          <w:p>
            <w:pPr>
              <w:rPr>
                <w:sz w:val="2"/>
                <w:szCs w:val="2"/>
              </w:rPr>
            </w:pPr>
          </w:p>
        </w:tc>
        <w:tc>
          <w:tcPr>
            <w:tcW w:w="8516" w:type="dxa"/>
            <w:tcBorders>
              <w:top w:val="nil"/>
              <w:bottom w:val="nil"/>
            </w:tcBorders>
          </w:tcPr>
          <w:p>
            <w:pPr>
              <w:pStyle w:val="TableParagraph"/>
              <w:spacing w:line="316" w:lineRule="exact"/>
              <w:ind w:left="110"/>
              <w:rPr>
                <w:rFonts w:ascii="Microsoft YaHei" w:eastAsia="Microsoft YaHei" w:hint="eastAsia"/>
                <w:b/>
                <w:sz w:val="21"/>
              </w:rPr>
            </w:pPr>
            <w:r>
              <w:rPr>
                <w:rFonts w:ascii="Microsoft YaHei" w:eastAsia="Microsoft YaHei" w:hint="eastAsia"/>
                <w:b/>
                <w:sz w:val="21"/>
              </w:rPr>
              <w:t>带 CA 锁的，可远程解密投标文件，但在本标段前一家投标文件解密结束起 1 小时之内</w:t>
            </w:r>
          </w:p>
        </w:tc>
      </w:tr>
      <w:tr>
        <w:trPr>
          <w:trHeight w:val="7372" w:hRule="atLeast"/>
        </w:trPr>
        <w:tc>
          <w:tcPr>
            <w:tcW w:w="1376" w:type="dxa"/>
            <w:vMerge/>
            <w:tcBorders>
              <w:top w:val="nil"/>
            </w:tcBorders>
          </w:tcPr>
          <w:p>
            <w:pPr>
              <w:rPr>
                <w:sz w:val="2"/>
                <w:szCs w:val="2"/>
              </w:rPr>
            </w:pPr>
          </w:p>
        </w:tc>
        <w:tc>
          <w:tcPr>
            <w:tcW w:w="8516" w:type="dxa"/>
            <w:tcBorders>
              <w:top w:val="nil"/>
            </w:tcBorders>
          </w:tcPr>
          <w:p>
            <w:pPr>
              <w:pStyle w:val="TableParagraph"/>
              <w:spacing w:line="310" w:lineRule="exact"/>
              <w:ind w:left="110"/>
              <w:rPr>
                <w:rFonts w:ascii="Microsoft YaHei" w:eastAsia="Microsoft YaHei" w:hint="eastAsia"/>
                <w:b/>
                <w:sz w:val="21"/>
              </w:rPr>
            </w:pPr>
            <w:r>
              <w:rPr>
                <w:rFonts w:ascii="Microsoft YaHei" w:eastAsia="Microsoft YaHei" w:hint="eastAsia"/>
                <w:b/>
                <w:sz w:val="21"/>
              </w:rPr>
              <w:t>仍无法配合工作人员成功解密投标文件的，将做无效标书处理。</w:t>
            </w:r>
          </w:p>
          <w:p>
            <w:pPr>
              <w:pStyle w:val="TableParagraph"/>
              <w:spacing w:line="241" w:lineRule="exact"/>
              <w:ind w:left="110"/>
              <w:rPr>
                <w:sz w:val="21"/>
              </w:rPr>
            </w:pPr>
            <w:r>
              <w:rPr>
                <w:w w:val="95"/>
                <w:sz w:val="21"/>
              </w:rPr>
              <w:t>5、投标人在投标截止时间前，应随时查阅“扬州工程建设信息网”中“项目信息-澄清及答</w:t>
            </w:r>
          </w:p>
          <w:p>
            <w:pPr>
              <w:pStyle w:val="TableParagraph"/>
              <w:spacing w:line="235" w:lineRule="auto" w:before="3"/>
              <w:ind w:left="110" w:right="105"/>
              <w:rPr>
                <w:sz w:val="21"/>
              </w:rPr>
            </w:pPr>
            <w:r>
              <w:rPr>
                <w:spacing w:val="-8"/>
                <w:sz w:val="21"/>
              </w:rPr>
              <w:t>疑”和“扬州市建设工程招投标电子化交易系统”中澄清答疑模块公布的有关该工程的澄</w:t>
            </w:r>
            <w:r>
              <w:rPr>
                <w:spacing w:val="-8"/>
                <w:w w:val="95"/>
                <w:sz w:val="21"/>
              </w:rPr>
              <w:t>清、修改（</w:t>
            </w:r>
            <w:r>
              <w:rPr>
                <w:spacing w:val="-2"/>
                <w:w w:val="95"/>
                <w:sz w:val="21"/>
              </w:rPr>
              <w:t>答疑、补遗文件</w:t>
            </w:r>
            <w:r>
              <w:rPr>
                <w:spacing w:val="-8"/>
                <w:w w:val="95"/>
                <w:sz w:val="21"/>
              </w:rPr>
              <w:t>）</w:t>
            </w:r>
            <w:r>
              <w:rPr>
                <w:spacing w:val="-2"/>
                <w:w w:val="95"/>
                <w:sz w:val="21"/>
              </w:rPr>
              <w:t>、招标控制价</w:t>
            </w:r>
            <w:r>
              <w:rPr>
                <w:w w:val="95"/>
                <w:sz w:val="21"/>
              </w:rPr>
              <w:t>（</w:t>
            </w:r>
            <w:r>
              <w:rPr>
                <w:spacing w:val="-4"/>
                <w:w w:val="95"/>
                <w:sz w:val="21"/>
              </w:rPr>
              <w:t>如有</w:t>
            </w:r>
            <w:r>
              <w:rPr>
                <w:w w:val="95"/>
                <w:sz w:val="21"/>
              </w:rPr>
              <w:t>）</w:t>
            </w:r>
            <w:r>
              <w:rPr>
                <w:spacing w:val="-6"/>
                <w:w w:val="95"/>
                <w:sz w:val="21"/>
              </w:rPr>
              <w:t>等内容。投标人查阅如有遗漏，或投标  </w:t>
            </w:r>
            <w:r>
              <w:rPr>
                <w:spacing w:val="-8"/>
                <w:w w:val="95"/>
                <w:sz w:val="21"/>
              </w:rPr>
              <w:t>人因自身原因未能及时掌握上述网上公示信息，或投标人由于对资格预审文件或招标文件的  任何推论和误解以及招标人对有关问题的口头解释所造成的后果，其风险应由投标人自行承  </w:t>
            </w:r>
            <w:r>
              <w:rPr>
                <w:spacing w:val="-8"/>
                <w:sz w:val="21"/>
              </w:rPr>
              <w:t>担，由此造成投标损失由投标人自行承担。                                         </w:t>
            </w:r>
            <w:r>
              <w:rPr>
                <w:spacing w:val="-8"/>
                <w:w w:val="95"/>
                <w:sz w:val="21"/>
              </w:rPr>
              <w:t>6、投标人或者其他利害关系人认为招标投标活动不符合法律、法规和规章规定的,可以依法  </w:t>
            </w:r>
            <w:r>
              <w:rPr>
                <w:spacing w:val="-10"/>
                <w:sz w:val="21"/>
              </w:rPr>
              <w:t>向招标人提出异议，也可以在知道或者应当知道之日起 </w:t>
            </w:r>
            <w:r>
              <w:rPr>
                <w:sz w:val="21"/>
              </w:rPr>
              <w:t>10</w:t>
            </w:r>
            <w:r>
              <w:rPr>
                <w:spacing w:val="-4"/>
                <w:sz w:val="21"/>
              </w:rPr>
              <w:t> 日内，向有关行政监督部门投</w:t>
            </w:r>
            <w:r>
              <w:rPr>
                <w:w w:val="95"/>
                <w:sz w:val="21"/>
              </w:rPr>
              <w:t>诉</w:t>
            </w:r>
            <w:r>
              <w:rPr>
                <w:spacing w:val="-8"/>
                <w:w w:val="95"/>
                <w:sz w:val="21"/>
              </w:rPr>
              <w:t>，但就《中华人民共和国招标投标法实施条例》第二十二条、第四十四条、第五十四条规  定事项进行投诉的，应当依法先向招标人提出异议。异议答复期间不计入投诉受理期限内。</w:t>
            </w:r>
          </w:p>
          <w:p>
            <w:pPr>
              <w:pStyle w:val="TableParagraph"/>
              <w:spacing w:before="6"/>
              <w:ind w:left="110"/>
              <w:rPr>
                <w:sz w:val="21"/>
              </w:rPr>
            </w:pPr>
            <w:r>
              <w:rPr>
                <w:sz w:val="21"/>
              </w:rPr>
              <w:t>7、异议提出的期限规定如下：</w:t>
            </w:r>
          </w:p>
          <w:p>
            <w:pPr>
              <w:pStyle w:val="TableParagraph"/>
              <w:spacing w:line="244" w:lineRule="auto" w:before="5"/>
              <w:ind w:left="9" w:right="4" w:firstLine="100"/>
              <w:rPr>
                <w:sz w:val="21"/>
              </w:rPr>
            </w:pPr>
            <w:r>
              <w:rPr>
                <w:w w:val="95"/>
                <w:sz w:val="21"/>
              </w:rPr>
              <w:t>7.1</w:t>
            </w:r>
            <w:r>
              <w:rPr>
                <w:spacing w:val="-8"/>
                <w:w w:val="95"/>
                <w:sz w:val="21"/>
              </w:rPr>
              <w:t>、对资格预审文件有异议的，潜在投标人或者其他利害关系人应当在提交资格预审申请文  </w:t>
            </w:r>
            <w:r>
              <w:rPr>
                <w:spacing w:val="-8"/>
                <w:sz w:val="21"/>
              </w:rPr>
              <w:t>件 截 止 时 间 </w:t>
            </w:r>
            <w:r>
              <w:rPr>
                <w:sz w:val="21"/>
              </w:rPr>
              <w:t>2</w:t>
            </w:r>
            <w:r>
              <w:rPr>
                <w:spacing w:val="-2"/>
                <w:sz w:val="21"/>
              </w:rPr>
              <w:t>                                                日 前 提 出 ； 7.2</w:t>
            </w:r>
            <w:r>
              <w:rPr>
                <w:spacing w:val="-10"/>
                <w:sz w:val="21"/>
              </w:rPr>
              <w:t>、对招标文件有异议的，潜在投标人或者其他利害关系人应当在投标截止时间 </w:t>
            </w:r>
            <w:r>
              <w:rPr>
                <w:sz w:val="21"/>
              </w:rPr>
              <w:t>10</w:t>
            </w:r>
            <w:r>
              <w:rPr>
                <w:spacing w:val="-6"/>
                <w:sz w:val="21"/>
              </w:rPr>
              <w:t> 日前提</w:t>
            </w:r>
          </w:p>
          <w:p>
            <w:pPr>
              <w:pStyle w:val="TableParagraph"/>
              <w:spacing w:line="251" w:lineRule="exact"/>
              <w:ind w:left="110"/>
              <w:rPr>
                <w:sz w:val="21"/>
              </w:rPr>
            </w:pPr>
            <w:r>
              <w:rPr>
                <w:sz w:val="21"/>
              </w:rPr>
              <w:t>出，其中对采用合理价随机确定中标人法发包的，在提交投标文件截止时间 1 日前提出；</w:t>
            </w:r>
          </w:p>
          <w:p>
            <w:pPr>
              <w:pStyle w:val="TableParagraph"/>
              <w:numPr>
                <w:ilvl w:val="1"/>
                <w:numId w:val="5"/>
              </w:numPr>
              <w:tabs>
                <w:tab w:pos="421" w:val="left" w:leader="none"/>
              </w:tabs>
              <w:spacing w:line="268" w:lineRule="exact" w:before="0" w:after="0"/>
              <w:ind w:left="9" w:right="0" w:firstLine="101"/>
              <w:jc w:val="left"/>
              <w:rPr>
                <w:sz w:val="21"/>
              </w:rPr>
            </w:pPr>
            <w:r>
              <w:rPr>
                <w:spacing w:val="-8"/>
                <w:sz w:val="21"/>
              </w:rPr>
              <w:t>、对资格预审不合格结果有异议的，应在资格预审未入围结果公示期内提出；</w:t>
            </w:r>
          </w:p>
          <w:p>
            <w:pPr>
              <w:pStyle w:val="TableParagraph"/>
              <w:numPr>
                <w:ilvl w:val="1"/>
                <w:numId w:val="5"/>
              </w:numPr>
              <w:tabs>
                <w:tab w:pos="421" w:val="left" w:leader="none"/>
              </w:tabs>
              <w:spacing w:line="244" w:lineRule="auto" w:before="5" w:after="0"/>
              <w:ind w:left="9" w:right="4" w:firstLine="101"/>
              <w:jc w:val="left"/>
              <w:rPr>
                <w:sz w:val="21"/>
              </w:rPr>
            </w:pPr>
            <w:r>
              <w:rPr>
                <w:spacing w:val="-8"/>
                <w:w w:val="95"/>
                <w:sz w:val="21"/>
              </w:rPr>
              <w:t>、异议人对涉及开标事项提出异议的，应当在开标现场以书面形式提出，招标人应当当场  </w:t>
            </w:r>
            <w:r>
              <w:rPr>
                <w:spacing w:val="-8"/>
                <w:sz w:val="21"/>
              </w:rPr>
              <w:t>作出答复，并制作记录。开标结束后投标人不得对开标事项再提出异议。               7.5、对评标结果有异议的，投标人或者其他利害关系人应当在中标候选人的公示期间提出。</w:t>
            </w:r>
          </w:p>
          <w:p>
            <w:pPr>
              <w:pStyle w:val="TableParagraph"/>
              <w:spacing w:line="258" w:lineRule="exact"/>
              <w:ind w:left="110"/>
              <w:rPr>
                <w:sz w:val="21"/>
              </w:rPr>
            </w:pPr>
            <w:r>
              <w:rPr>
                <w:sz w:val="21"/>
              </w:rPr>
              <w:t>8、异议、投诉受理单位及其联系方式</w:t>
            </w:r>
          </w:p>
          <w:p>
            <w:pPr>
              <w:pStyle w:val="TableParagraph"/>
              <w:numPr>
                <w:ilvl w:val="1"/>
                <w:numId w:val="6"/>
              </w:numPr>
              <w:tabs>
                <w:tab w:pos="421" w:val="left" w:leader="none"/>
              </w:tabs>
              <w:spacing w:line="244" w:lineRule="auto" w:before="0" w:after="0"/>
              <w:ind w:left="924" w:right="4143" w:hanging="814"/>
              <w:jc w:val="left"/>
              <w:rPr>
                <w:sz w:val="21"/>
              </w:rPr>
            </w:pPr>
            <w:r>
              <w:rPr>
                <w:spacing w:val="-6"/>
                <w:w w:val="95"/>
                <w:sz w:val="21"/>
              </w:rPr>
              <w:t>、异议受理单位：仪征市宝能投资有限公司</w:t>
            </w:r>
            <w:r>
              <w:rPr>
                <w:spacing w:val="-6"/>
                <w:sz w:val="21"/>
              </w:rPr>
              <w:t>联系电话：</w:t>
            </w:r>
            <w:r>
              <w:rPr>
                <w:spacing w:val="-3"/>
                <w:sz w:val="21"/>
              </w:rPr>
              <w:t>18061834031</w:t>
            </w:r>
          </w:p>
          <w:p>
            <w:pPr>
              <w:pStyle w:val="TableParagraph"/>
              <w:spacing w:line="267" w:lineRule="exact"/>
              <w:ind w:left="1328"/>
              <w:rPr>
                <w:sz w:val="21"/>
              </w:rPr>
            </w:pPr>
            <w:r>
              <w:rPr>
                <w:sz w:val="21"/>
              </w:rPr>
              <w:t>地址：仪征市新城镇工业集中区88号</w:t>
            </w:r>
          </w:p>
          <w:p>
            <w:pPr>
              <w:pStyle w:val="TableParagraph"/>
              <w:numPr>
                <w:ilvl w:val="1"/>
                <w:numId w:val="6"/>
              </w:numPr>
              <w:tabs>
                <w:tab w:pos="421" w:val="left" w:leader="none"/>
              </w:tabs>
              <w:spacing w:line="244" w:lineRule="auto" w:before="4" w:after="0"/>
              <w:ind w:left="924" w:right="3525" w:hanging="814"/>
              <w:jc w:val="left"/>
              <w:rPr>
                <w:sz w:val="21"/>
              </w:rPr>
            </w:pPr>
            <w:r>
              <w:rPr>
                <w:spacing w:val="-7"/>
                <w:w w:val="95"/>
                <w:sz w:val="21"/>
              </w:rPr>
              <w:t>、投诉受理单位：仪征市建设工程招标投标办公室 </w:t>
            </w:r>
            <w:r>
              <w:rPr>
                <w:spacing w:val="-7"/>
                <w:sz w:val="21"/>
              </w:rPr>
              <w:t>联系电话：</w:t>
            </w:r>
            <w:r>
              <w:rPr>
                <w:spacing w:val="-4"/>
                <w:sz w:val="21"/>
              </w:rPr>
              <w:t>0514-83417829</w:t>
            </w:r>
          </w:p>
          <w:p>
            <w:pPr>
              <w:pStyle w:val="TableParagraph"/>
              <w:spacing w:line="261" w:lineRule="exact"/>
              <w:ind w:left="1328"/>
              <w:rPr>
                <w:sz w:val="21"/>
              </w:rPr>
            </w:pPr>
            <w:r>
              <w:rPr>
                <w:sz w:val="21"/>
              </w:rPr>
              <w:t>地址：仪征市大庆北路 88 号</w:t>
            </w:r>
          </w:p>
        </w:tc>
      </w:tr>
      <w:tr>
        <w:trPr>
          <w:trHeight w:val="296" w:hRule="atLeast"/>
        </w:trPr>
        <w:tc>
          <w:tcPr>
            <w:tcW w:w="1376" w:type="dxa"/>
            <w:vMerge w:val="restart"/>
          </w:tcPr>
          <w:p>
            <w:pPr>
              <w:pStyle w:val="TableParagraph"/>
              <w:rPr>
                <w:sz w:val="20"/>
              </w:rPr>
            </w:pPr>
          </w:p>
          <w:p>
            <w:pPr>
              <w:pStyle w:val="TableParagraph"/>
              <w:rPr>
                <w:sz w:val="20"/>
              </w:rPr>
            </w:pPr>
          </w:p>
          <w:p>
            <w:pPr>
              <w:pStyle w:val="TableParagraph"/>
              <w:spacing w:before="145"/>
              <w:ind w:left="384"/>
              <w:rPr>
                <w:sz w:val="21"/>
              </w:rPr>
            </w:pPr>
            <w:r>
              <w:rPr>
                <w:sz w:val="21"/>
              </w:rPr>
              <w:t>联系方式</w:t>
            </w:r>
          </w:p>
        </w:tc>
        <w:tc>
          <w:tcPr>
            <w:tcW w:w="8516" w:type="dxa"/>
            <w:tcBorders>
              <w:bottom w:val="nil"/>
            </w:tcBorders>
          </w:tcPr>
          <w:p>
            <w:pPr>
              <w:pStyle w:val="TableParagraph"/>
              <w:spacing w:line="267" w:lineRule="exact" w:before="10"/>
              <w:ind w:left="110"/>
              <w:rPr>
                <w:sz w:val="21"/>
              </w:rPr>
            </w:pPr>
            <w:r>
              <w:rPr>
                <w:sz w:val="21"/>
              </w:rPr>
              <w:t>招标人或其代理机构：江苏苏中兴工程造价咨询有限公司</w:t>
            </w:r>
          </w:p>
        </w:tc>
      </w:tr>
      <w:tr>
        <w:trPr>
          <w:trHeight w:val="303" w:hRule="atLeast"/>
        </w:trPr>
        <w:tc>
          <w:tcPr>
            <w:tcW w:w="1376" w:type="dxa"/>
            <w:vMerge/>
            <w:tcBorders>
              <w:top w:val="nil"/>
            </w:tcBorders>
          </w:tcPr>
          <w:p>
            <w:pPr>
              <w:rPr>
                <w:sz w:val="2"/>
                <w:szCs w:val="2"/>
              </w:rPr>
            </w:pPr>
          </w:p>
        </w:tc>
        <w:tc>
          <w:tcPr>
            <w:tcW w:w="8516" w:type="dxa"/>
            <w:tcBorders>
              <w:top w:val="nil"/>
              <w:bottom w:val="nil"/>
            </w:tcBorders>
          </w:tcPr>
          <w:p>
            <w:pPr>
              <w:pStyle w:val="TableParagraph"/>
              <w:spacing w:before="13"/>
              <w:ind w:left="110"/>
              <w:rPr>
                <w:sz w:val="21"/>
              </w:rPr>
            </w:pPr>
            <w:r>
              <w:rPr>
                <w:sz w:val="21"/>
              </w:rPr>
              <w:t>地址：仪征市建安路 128 号（五一花苑 C 区西门）</w:t>
            </w:r>
          </w:p>
        </w:tc>
      </w:tr>
      <w:tr>
        <w:trPr>
          <w:trHeight w:val="310" w:hRule="atLeast"/>
        </w:trPr>
        <w:tc>
          <w:tcPr>
            <w:tcW w:w="1376" w:type="dxa"/>
            <w:vMerge/>
            <w:tcBorders>
              <w:top w:val="nil"/>
            </w:tcBorders>
          </w:tcPr>
          <w:p>
            <w:pPr>
              <w:rPr>
                <w:sz w:val="2"/>
                <w:szCs w:val="2"/>
              </w:rPr>
            </w:pPr>
          </w:p>
        </w:tc>
        <w:tc>
          <w:tcPr>
            <w:tcW w:w="8516" w:type="dxa"/>
            <w:tcBorders>
              <w:top w:val="nil"/>
              <w:bottom w:val="nil"/>
            </w:tcBorders>
          </w:tcPr>
          <w:p>
            <w:pPr>
              <w:pStyle w:val="TableParagraph"/>
              <w:spacing w:before="16"/>
              <w:ind w:left="110"/>
              <w:rPr>
                <w:sz w:val="21"/>
              </w:rPr>
            </w:pPr>
            <w:r>
              <w:rPr>
                <w:sz w:val="21"/>
              </w:rPr>
              <w:t>电话：0514-83838692</w:t>
            </w:r>
          </w:p>
        </w:tc>
      </w:tr>
      <w:tr>
        <w:trPr>
          <w:trHeight w:val="303" w:hRule="atLeast"/>
        </w:trPr>
        <w:tc>
          <w:tcPr>
            <w:tcW w:w="1376" w:type="dxa"/>
            <w:vMerge/>
            <w:tcBorders>
              <w:top w:val="nil"/>
            </w:tcBorders>
          </w:tcPr>
          <w:p>
            <w:pPr>
              <w:rPr>
                <w:sz w:val="2"/>
                <w:szCs w:val="2"/>
              </w:rPr>
            </w:pPr>
          </w:p>
        </w:tc>
        <w:tc>
          <w:tcPr>
            <w:tcW w:w="8516" w:type="dxa"/>
            <w:tcBorders>
              <w:top w:val="nil"/>
              <w:bottom w:val="nil"/>
            </w:tcBorders>
          </w:tcPr>
          <w:p>
            <w:pPr>
              <w:pStyle w:val="TableParagraph"/>
              <w:spacing w:line="263" w:lineRule="exact" w:before="20"/>
              <w:ind w:left="110"/>
              <w:rPr>
                <w:sz w:val="21"/>
              </w:rPr>
            </w:pPr>
            <w:r>
              <w:rPr>
                <w:sz w:val="21"/>
              </w:rPr>
              <w:t>联系人：贾晓刚</w:t>
            </w:r>
          </w:p>
        </w:tc>
      </w:tr>
      <w:tr>
        <w:trPr>
          <w:trHeight w:val="313" w:hRule="atLeast"/>
        </w:trPr>
        <w:tc>
          <w:tcPr>
            <w:tcW w:w="1376" w:type="dxa"/>
            <w:vMerge/>
            <w:tcBorders>
              <w:top w:val="nil"/>
            </w:tcBorders>
          </w:tcPr>
          <w:p>
            <w:pPr>
              <w:rPr>
                <w:sz w:val="2"/>
                <w:szCs w:val="2"/>
              </w:rPr>
            </w:pPr>
          </w:p>
        </w:tc>
        <w:tc>
          <w:tcPr>
            <w:tcW w:w="8516" w:type="dxa"/>
            <w:tcBorders>
              <w:top w:val="nil"/>
            </w:tcBorders>
          </w:tcPr>
          <w:p>
            <w:pPr>
              <w:pStyle w:val="TableParagraph"/>
              <w:spacing w:before="9"/>
              <w:ind w:left="110"/>
              <w:rPr>
                <w:sz w:val="21"/>
              </w:rPr>
            </w:pPr>
            <w:r>
              <w:rPr>
                <w:sz w:val="21"/>
              </w:rPr>
              <w:t>电子邮箱：</w:t>
            </w:r>
            <w:hyperlink r:id="rId6">
              <w:r>
                <w:rPr>
                  <w:color w:val="0000FF"/>
                  <w:sz w:val="21"/>
                  <w:u w:val="single" w:color="0000FF"/>
                </w:rPr>
                <w:t>184864405@qq.com</w:t>
              </w:r>
            </w:hyperlink>
          </w:p>
        </w:tc>
      </w:tr>
    </w:tbl>
    <w:p>
      <w:pPr>
        <w:rPr>
          <w:sz w:val="2"/>
          <w:szCs w:val="2"/>
        </w:rPr>
      </w:pPr>
      <w:r>
        <w:rPr/>
        <w:drawing>
          <wp:anchor distT="0" distB="0" distL="0" distR="0" allowOverlap="1" layoutInCell="1" locked="0" behindDoc="1" simplePos="0" relativeHeight="268264655">
            <wp:simplePos x="0" y="0"/>
            <wp:positionH relativeFrom="page">
              <wp:posOffset>2743200</wp:posOffset>
            </wp:positionH>
            <wp:positionV relativeFrom="page">
              <wp:posOffset>6173723</wp:posOffset>
            </wp:positionV>
            <wp:extent cx="2026920" cy="202692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2026920" cy="2026920"/>
                    </a:xfrm>
                    <a:prstGeom prst="rect">
                      <a:avLst/>
                    </a:prstGeom>
                  </pic:spPr>
                </pic:pic>
              </a:graphicData>
            </a:graphic>
          </wp:anchor>
        </w:drawing>
      </w:r>
    </w:p>
    <w:p>
      <w:pPr>
        <w:spacing w:after="0"/>
        <w:rPr>
          <w:sz w:val="2"/>
          <w:szCs w:val="2"/>
        </w:rPr>
        <w:sectPr>
          <w:pgSz w:w="11910" w:h="16870"/>
          <w:pgMar w:top="1260" w:bottom="280" w:left="880" w:right="640"/>
        </w:sectPr>
      </w:pPr>
    </w:p>
    <w:p>
      <w:pPr>
        <w:pStyle w:val="BodyText"/>
        <w:rPr>
          <w:sz w:val="20"/>
        </w:rPr>
      </w:pPr>
    </w:p>
    <w:p>
      <w:pPr>
        <w:pStyle w:val="BodyText"/>
        <w:spacing w:before="10"/>
        <w:rPr>
          <w:sz w:val="15"/>
        </w:rPr>
      </w:pPr>
    </w:p>
    <w:p>
      <w:pPr>
        <w:pStyle w:val="BodyText"/>
        <w:ind w:left="352"/>
      </w:pPr>
      <w:r>
        <w:rPr/>
        <w:t>（一）招标项目概况与说明</w:t>
      </w:r>
    </w:p>
    <w:p>
      <w:pPr>
        <w:pStyle w:val="Heading3"/>
        <w:tabs>
          <w:tab w:pos="1627" w:val="left" w:leader="none"/>
        </w:tabs>
        <w:spacing w:before="41"/>
        <w:ind w:left="352"/>
      </w:pPr>
      <w:r>
        <w:rPr/>
        <w:br w:type="column"/>
      </w:r>
      <w:r>
        <w:rPr/>
        <w:t>一、总</w:t>
        <w:tab/>
        <w:t>则</w:t>
      </w:r>
    </w:p>
    <w:p>
      <w:pPr>
        <w:spacing w:after="0"/>
        <w:sectPr>
          <w:pgSz w:w="11910" w:h="16870"/>
          <w:pgMar w:top="1180" w:bottom="280" w:left="880" w:right="640"/>
          <w:cols w:num="2" w:equalWidth="0">
            <w:col w:w="2899" w:space="465"/>
            <w:col w:w="7026"/>
          </w:cols>
        </w:sectPr>
      </w:pPr>
    </w:p>
    <w:p>
      <w:pPr>
        <w:pStyle w:val="ListParagraph"/>
        <w:numPr>
          <w:ilvl w:val="1"/>
          <w:numId w:val="7"/>
        </w:numPr>
        <w:tabs>
          <w:tab w:pos="1051" w:val="left" w:leader="none"/>
        </w:tabs>
        <w:spacing w:line="326" w:lineRule="auto" w:before="98" w:after="0"/>
        <w:ind w:left="250" w:right="561" w:firstLine="426"/>
        <w:jc w:val="left"/>
        <w:rPr>
          <w:sz w:val="21"/>
        </w:rPr>
      </w:pPr>
      <w:r>
        <w:rPr>
          <w:spacing w:val="-10"/>
          <w:sz w:val="21"/>
        </w:rPr>
        <w:t>根据《中华人民共和国招标投标法》、《工程建设项目货物招标投标办法》等有关法律、 法规和规章的规定，本招标项目已具备招标条件，现对本工程进行招标。</w:t>
      </w:r>
    </w:p>
    <w:p>
      <w:pPr>
        <w:pStyle w:val="ListParagraph"/>
        <w:numPr>
          <w:ilvl w:val="1"/>
          <w:numId w:val="7"/>
        </w:numPr>
        <w:tabs>
          <w:tab w:pos="1152" w:val="left" w:leader="none"/>
        </w:tabs>
        <w:spacing w:line="240" w:lineRule="auto" w:before="18" w:after="0"/>
        <w:ind w:left="1151" w:right="0" w:hanging="375"/>
        <w:jc w:val="left"/>
        <w:rPr>
          <w:sz w:val="21"/>
        </w:rPr>
      </w:pPr>
      <w:r>
        <w:rPr>
          <w:spacing w:val="-1"/>
          <w:sz w:val="21"/>
        </w:rPr>
        <w:t>招标内容及服务范围：详见货物清单及技术要求。</w:t>
      </w:r>
    </w:p>
    <w:p>
      <w:pPr>
        <w:pStyle w:val="ListParagraph"/>
        <w:numPr>
          <w:ilvl w:val="1"/>
          <w:numId w:val="7"/>
        </w:numPr>
        <w:tabs>
          <w:tab w:pos="1152" w:val="left" w:leader="none"/>
        </w:tabs>
        <w:spacing w:line="240" w:lineRule="auto" w:before="105" w:after="0"/>
        <w:ind w:left="1151" w:right="0" w:hanging="375"/>
        <w:jc w:val="left"/>
        <w:rPr>
          <w:sz w:val="21"/>
        </w:rPr>
      </w:pPr>
      <w:r>
        <w:rPr>
          <w:spacing w:val="-1"/>
          <w:sz w:val="21"/>
        </w:rPr>
        <w:t>项目的说明见投标须知前附表</w:t>
      </w:r>
      <w:r>
        <w:rPr>
          <w:sz w:val="21"/>
        </w:rPr>
        <w:t>（以下简称“前附表”）。</w:t>
      </w:r>
    </w:p>
    <w:p>
      <w:pPr>
        <w:pStyle w:val="ListParagraph"/>
        <w:numPr>
          <w:ilvl w:val="1"/>
          <w:numId w:val="7"/>
        </w:numPr>
        <w:tabs>
          <w:tab w:pos="1152" w:val="left" w:leader="none"/>
        </w:tabs>
        <w:spacing w:line="240" w:lineRule="auto" w:before="98" w:after="0"/>
        <w:ind w:left="1151" w:right="0" w:hanging="375"/>
        <w:jc w:val="left"/>
        <w:rPr>
          <w:sz w:val="21"/>
        </w:rPr>
      </w:pPr>
      <w:r>
        <w:rPr>
          <w:sz w:val="21"/>
        </w:rPr>
        <w:t>项目所需资金来源是自筹，已落实。</w:t>
      </w:r>
    </w:p>
    <w:p>
      <w:pPr>
        <w:pStyle w:val="ListParagraph"/>
        <w:numPr>
          <w:ilvl w:val="1"/>
          <w:numId w:val="7"/>
        </w:numPr>
        <w:tabs>
          <w:tab w:pos="1152" w:val="left" w:leader="none"/>
        </w:tabs>
        <w:spacing w:line="240" w:lineRule="auto" w:before="106" w:after="0"/>
        <w:ind w:left="1151" w:right="0" w:hanging="375"/>
        <w:jc w:val="left"/>
        <w:rPr>
          <w:sz w:val="21"/>
        </w:rPr>
      </w:pPr>
      <w:r>
        <w:rPr>
          <w:sz w:val="21"/>
        </w:rPr>
        <w:t>招标形式：公开招标</w:t>
      </w:r>
    </w:p>
    <w:p>
      <w:pPr>
        <w:pStyle w:val="BodyText"/>
        <w:spacing w:before="134"/>
        <w:ind w:left="106"/>
      </w:pPr>
      <w:r>
        <w:rPr/>
        <w:t>（二）投标单位的资格和资质要求</w:t>
      </w:r>
    </w:p>
    <w:p>
      <w:pPr>
        <w:pStyle w:val="ListParagraph"/>
        <w:numPr>
          <w:ilvl w:val="1"/>
          <w:numId w:val="8"/>
        </w:numPr>
        <w:tabs>
          <w:tab w:pos="1152" w:val="left" w:leader="none"/>
        </w:tabs>
        <w:spacing w:line="240" w:lineRule="auto" w:before="98" w:after="0"/>
        <w:ind w:left="1151" w:right="0" w:hanging="375"/>
        <w:jc w:val="left"/>
        <w:rPr>
          <w:sz w:val="21"/>
        </w:rPr>
      </w:pPr>
      <w:r>
        <w:rPr>
          <w:spacing w:val="-1"/>
          <w:sz w:val="21"/>
        </w:rPr>
        <w:t>为履行本合同的目的必须具有相应的资格和资质，具体要求：</w:t>
      </w:r>
    </w:p>
    <w:p>
      <w:pPr>
        <w:pStyle w:val="ListParagraph"/>
        <w:numPr>
          <w:ilvl w:val="2"/>
          <w:numId w:val="8"/>
        </w:numPr>
        <w:tabs>
          <w:tab w:pos="1354" w:val="left" w:leader="none"/>
        </w:tabs>
        <w:spacing w:line="314" w:lineRule="auto" w:before="106" w:after="0"/>
        <w:ind w:left="352" w:right="453" w:firstLine="417"/>
        <w:jc w:val="left"/>
        <w:rPr>
          <w:sz w:val="21"/>
        </w:rPr>
      </w:pPr>
      <w:r>
        <w:rPr>
          <w:spacing w:val="-7"/>
          <w:sz w:val="21"/>
        </w:rPr>
        <w:t>投标单位须为电缆设备的生产厂商或代理商，同一品牌产品只能授权一家代理商投标， 且应提交生产商在该项目唯一指定代理商的授权委托书；</w:t>
      </w:r>
    </w:p>
    <w:p>
      <w:pPr>
        <w:pStyle w:val="ListParagraph"/>
        <w:numPr>
          <w:ilvl w:val="2"/>
          <w:numId w:val="8"/>
        </w:numPr>
        <w:tabs>
          <w:tab w:pos="1354" w:val="left" w:leader="none"/>
        </w:tabs>
        <w:spacing w:line="240" w:lineRule="auto" w:before="44" w:after="0"/>
        <w:ind w:left="352" w:right="0" w:firstLine="417"/>
        <w:jc w:val="left"/>
        <w:rPr>
          <w:sz w:val="21"/>
        </w:rPr>
      </w:pPr>
      <w:r>
        <w:rPr>
          <w:spacing w:val="-1"/>
          <w:w w:val="99"/>
          <w:sz w:val="21"/>
        </w:rPr>
        <w:t>提供营业执照副本、税务登记证副本、组织机构代码证副本</w:t>
      </w:r>
      <w:r>
        <w:rPr>
          <w:w w:val="99"/>
          <w:sz w:val="21"/>
        </w:rPr>
        <w:t>（或三证合一营业执照副</w:t>
      </w:r>
      <w:r>
        <w:rPr>
          <w:spacing w:val="2"/>
          <w:sz w:val="21"/>
        </w:rPr>
        <w:t> </w:t>
      </w:r>
      <w:r>
        <w:rPr>
          <w:w w:val="99"/>
          <w:sz w:val="21"/>
        </w:rPr>
        <w:t>本</w:t>
      </w:r>
      <w:r>
        <w:rPr>
          <w:spacing w:val="-108"/>
          <w:w w:val="99"/>
          <w:sz w:val="21"/>
        </w:rPr>
        <w:t>）</w:t>
      </w:r>
      <w:r>
        <w:rPr>
          <w:w w:val="99"/>
          <w:sz w:val="21"/>
        </w:rPr>
        <w:t>；</w:t>
      </w:r>
    </w:p>
    <w:p>
      <w:pPr>
        <w:pStyle w:val="ListParagraph"/>
        <w:numPr>
          <w:ilvl w:val="2"/>
          <w:numId w:val="8"/>
        </w:numPr>
        <w:tabs>
          <w:tab w:pos="1361" w:val="left" w:leader="none"/>
        </w:tabs>
        <w:spacing w:line="240" w:lineRule="auto" w:before="120" w:after="0"/>
        <w:ind w:left="1360" w:right="0" w:hanging="584"/>
        <w:jc w:val="left"/>
        <w:rPr>
          <w:sz w:val="21"/>
        </w:rPr>
      </w:pPr>
      <w:r>
        <w:rPr>
          <w:sz w:val="21"/>
        </w:rPr>
        <w:t>具有全国工业产品生产许可证。</w:t>
      </w:r>
    </w:p>
    <w:p>
      <w:pPr>
        <w:pStyle w:val="BodyText"/>
        <w:spacing w:before="34"/>
        <w:ind w:left="776"/>
      </w:pPr>
      <w:r>
        <w:rPr/>
        <w:t>2.2 须满足本工程资格后审的审查要求。</w:t>
      </w:r>
    </w:p>
    <w:p>
      <w:pPr>
        <w:pStyle w:val="BodyText"/>
        <w:spacing w:before="105"/>
        <w:ind w:left="352"/>
      </w:pPr>
      <w:r>
        <w:rPr/>
        <w:t>（三）资格审查</w:t>
      </w:r>
    </w:p>
    <w:p>
      <w:pPr>
        <w:pStyle w:val="BodyText"/>
        <w:spacing w:before="5"/>
        <w:rPr>
          <w:sz w:val="14"/>
        </w:rPr>
      </w:pPr>
    </w:p>
    <w:p>
      <w:pPr>
        <w:pStyle w:val="ListParagraph"/>
        <w:numPr>
          <w:ilvl w:val="1"/>
          <w:numId w:val="9"/>
        </w:numPr>
        <w:tabs>
          <w:tab w:pos="1188" w:val="left" w:leader="none"/>
        </w:tabs>
        <w:spacing w:line="240" w:lineRule="auto" w:before="1" w:after="0"/>
        <w:ind w:left="1187" w:right="0" w:hanging="375"/>
        <w:jc w:val="left"/>
        <w:rPr>
          <w:sz w:val="21"/>
        </w:rPr>
      </w:pPr>
      <w:r>
        <w:rPr>
          <w:spacing w:val="-1"/>
          <w:sz w:val="21"/>
        </w:rPr>
        <w:t>资格审查方式为资格后审</w:t>
      </w:r>
    </w:p>
    <w:p>
      <w:pPr>
        <w:pStyle w:val="ListParagraph"/>
        <w:numPr>
          <w:ilvl w:val="1"/>
          <w:numId w:val="9"/>
        </w:numPr>
        <w:tabs>
          <w:tab w:pos="1152" w:val="left" w:leader="none"/>
        </w:tabs>
        <w:spacing w:line="240" w:lineRule="auto" w:before="119" w:after="0"/>
        <w:ind w:left="1151" w:right="0" w:hanging="375"/>
        <w:jc w:val="left"/>
        <w:rPr>
          <w:sz w:val="21"/>
        </w:rPr>
      </w:pPr>
      <w:r>
        <w:rPr>
          <w:spacing w:val="-1"/>
          <w:sz w:val="21"/>
        </w:rPr>
        <w:t>投标申请人资格审查合格条件：</w:t>
      </w:r>
    </w:p>
    <w:p>
      <w:pPr>
        <w:pStyle w:val="ListParagraph"/>
        <w:numPr>
          <w:ilvl w:val="2"/>
          <w:numId w:val="9"/>
        </w:numPr>
        <w:tabs>
          <w:tab w:pos="1354" w:val="left" w:leader="none"/>
        </w:tabs>
        <w:spacing w:line="314" w:lineRule="auto" w:before="142" w:after="0"/>
        <w:ind w:left="352" w:right="453" w:firstLine="417"/>
        <w:jc w:val="left"/>
        <w:rPr>
          <w:sz w:val="21"/>
        </w:rPr>
      </w:pPr>
      <w:r>
        <w:rPr>
          <w:spacing w:val="-7"/>
          <w:sz w:val="21"/>
        </w:rPr>
        <w:t>投标单位须为电缆设备的生产厂商或代理商，同一品牌产品只能授权一家代理商投标， 且应提交生产商在该项目唯一指定代理商的授权委托书；</w:t>
      </w:r>
    </w:p>
    <w:p>
      <w:pPr>
        <w:pStyle w:val="ListParagraph"/>
        <w:numPr>
          <w:ilvl w:val="2"/>
          <w:numId w:val="9"/>
        </w:numPr>
        <w:tabs>
          <w:tab w:pos="1354" w:val="left" w:leader="none"/>
        </w:tabs>
        <w:spacing w:line="240" w:lineRule="auto" w:before="37" w:after="0"/>
        <w:ind w:left="352" w:right="0" w:firstLine="417"/>
        <w:jc w:val="left"/>
        <w:rPr>
          <w:sz w:val="21"/>
        </w:rPr>
      </w:pPr>
      <w:r>
        <w:rPr>
          <w:spacing w:val="-1"/>
          <w:w w:val="99"/>
          <w:sz w:val="21"/>
        </w:rPr>
        <w:t>提供营业执照副本、税务登记证副本、组织机构代码证副本</w:t>
      </w:r>
      <w:r>
        <w:rPr>
          <w:w w:val="99"/>
          <w:sz w:val="21"/>
        </w:rPr>
        <w:t>（或三证合一营业执照副</w:t>
      </w:r>
      <w:r>
        <w:rPr>
          <w:spacing w:val="2"/>
          <w:sz w:val="21"/>
        </w:rPr>
        <w:t> </w:t>
      </w:r>
      <w:r>
        <w:rPr>
          <w:w w:val="99"/>
          <w:sz w:val="21"/>
        </w:rPr>
        <w:t>本</w:t>
      </w:r>
      <w:r>
        <w:rPr>
          <w:spacing w:val="-108"/>
          <w:w w:val="99"/>
          <w:sz w:val="21"/>
        </w:rPr>
        <w:t>）</w:t>
      </w:r>
      <w:r>
        <w:rPr>
          <w:w w:val="99"/>
          <w:sz w:val="21"/>
        </w:rPr>
        <w:t>；</w:t>
      </w:r>
    </w:p>
    <w:p>
      <w:pPr>
        <w:pStyle w:val="ListParagraph"/>
        <w:numPr>
          <w:ilvl w:val="2"/>
          <w:numId w:val="9"/>
        </w:numPr>
        <w:tabs>
          <w:tab w:pos="1361" w:val="left" w:leader="none"/>
        </w:tabs>
        <w:spacing w:line="240" w:lineRule="auto" w:before="127" w:after="0"/>
        <w:ind w:left="1360" w:right="0" w:hanging="584"/>
        <w:jc w:val="left"/>
        <w:rPr>
          <w:sz w:val="21"/>
        </w:rPr>
      </w:pPr>
      <w:r>
        <w:rPr>
          <w:sz w:val="21"/>
        </w:rPr>
        <w:t>具有全国工业产品生产许可证；</w:t>
      </w:r>
    </w:p>
    <w:p>
      <w:pPr>
        <w:pStyle w:val="ListParagraph"/>
        <w:numPr>
          <w:ilvl w:val="2"/>
          <w:numId w:val="9"/>
        </w:numPr>
        <w:tabs>
          <w:tab w:pos="1361" w:val="left" w:leader="none"/>
        </w:tabs>
        <w:spacing w:line="240" w:lineRule="auto" w:before="34" w:after="0"/>
        <w:ind w:left="1360" w:right="0" w:hanging="584"/>
        <w:jc w:val="left"/>
        <w:rPr>
          <w:sz w:val="21"/>
        </w:rPr>
      </w:pPr>
      <w:r>
        <w:rPr>
          <w:spacing w:val="-3"/>
          <w:sz w:val="21"/>
        </w:rPr>
        <w:t>资格审查申请书中的重要内容没有失实或者弄虚作假；</w:t>
      </w:r>
    </w:p>
    <w:p>
      <w:pPr>
        <w:pStyle w:val="ListParagraph"/>
        <w:numPr>
          <w:ilvl w:val="2"/>
          <w:numId w:val="9"/>
        </w:numPr>
        <w:tabs>
          <w:tab w:pos="1361" w:val="left" w:leader="none"/>
        </w:tabs>
        <w:spacing w:line="240" w:lineRule="auto" w:before="33" w:after="0"/>
        <w:ind w:left="1360" w:right="0" w:hanging="584"/>
        <w:jc w:val="left"/>
        <w:rPr>
          <w:sz w:val="21"/>
        </w:rPr>
      </w:pPr>
      <w:r>
        <w:rPr>
          <w:spacing w:val="-3"/>
          <w:sz w:val="21"/>
        </w:rPr>
        <w:t>投标保证金提交须满足本招标公告要求；</w:t>
      </w:r>
    </w:p>
    <w:p>
      <w:pPr>
        <w:pStyle w:val="ListParagraph"/>
        <w:numPr>
          <w:ilvl w:val="2"/>
          <w:numId w:val="9"/>
        </w:numPr>
        <w:tabs>
          <w:tab w:pos="1354" w:val="left" w:leader="none"/>
        </w:tabs>
        <w:spacing w:line="314" w:lineRule="auto" w:before="98" w:after="0"/>
        <w:ind w:left="352" w:right="374" w:firstLine="417"/>
        <w:jc w:val="left"/>
        <w:rPr>
          <w:sz w:val="21"/>
        </w:rPr>
      </w:pPr>
      <w:r>
        <w:rPr>
          <w:spacing w:val="-3"/>
          <w:sz w:val="21"/>
        </w:rPr>
        <w:t>提交由检察机关出具的企业</w:t>
      </w:r>
      <w:r>
        <w:rPr>
          <w:sz w:val="21"/>
        </w:rPr>
        <w:t>（</w:t>
      </w:r>
      <w:r>
        <w:rPr>
          <w:spacing w:val="-1"/>
          <w:sz w:val="21"/>
        </w:rPr>
        <w:t>或在检察院行贿犯罪档案查询网查询打印的</w:t>
      </w:r>
      <w:r>
        <w:rPr>
          <w:sz w:val="21"/>
        </w:rPr>
        <w:t>）</w:t>
      </w:r>
      <w:r>
        <w:rPr>
          <w:spacing w:val="-7"/>
          <w:sz w:val="21"/>
        </w:rPr>
        <w:t>截止本工 程资格审查截止时间两个月内的《行贿犯罪档案查询告知函》且企业无行贿犯罪记录；</w:t>
      </w:r>
    </w:p>
    <w:p>
      <w:pPr>
        <w:pStyle w:val="ListParagraph"/>
        <w:numPr>
          <w:ilvl w:val="2"/>
          <w:numId w:val="9"/>
        </w:numPr>
        <w:tabs>
          <w:tab w:pos="1361" w:val="left" w:leader="none"/>
        </w:tabs>
        <w:spacing w:line="237" w:lineRule="auto" w:before="46" w:after="0"/>
        <w:ind w:left="776" w:right="482" w:firstLine="0"/>
        <w:jc w:val="left"/>
        <w:rPr>
          <w:sz w:val="21"/>
        </w:rPr>
      </w:pPr>
      <w:r>
        <w:rPr>
          <w:spacing w:val="-9"/>
          <w:sz w:val="21"/>
        </w:rPr>
        <w:t>提供社保部门出具的 </w:t>
      </w:r>
      <w:r>
        <w:rPr>
          <w:sz w:val="21"/>
        </w:rPr>
        <w:t>2017</w:t>
      </w:r>
      <w:r>
        <w:rPr>
          <w:spacing w:val="-39"/>
          <w:sz w:val="21"/>
        </w:rPr>
        <w:t> 年 </w:t>
      </w:r>
      <w:r>
        <w:rPr>
          <w:sz w:val="21"/>
        </w:rPr>
        <w:t>4</w:t>
      </w:r>
      <w:r>
        <w:rPr>
          <w:spacing w:val="-32"/>
          <w:sz w:val="21"/>
        </w:rPr>
        <w:t> 月至 </w:t>
      </w:r>
      <w:r>
        <w:rPr>
          <w:sz w:val="21"/>
        </w:rPr>
        <w:t>2017</w:t>
      </w:r>
      <w:r>
        <w:rPr>
          <w:spacing w:val="-39"/>
          <w:sz w:val="21"/>
        </w:rPr>
        <w:t> 年 </w:t>
      </w:r>
      <w:r>
        <w:rPr>
          <w:sz w:val="21"/>
        </w:rPr>
        <w:t>9</w:t>
      </w:r>
      <w:r>
        <w:rPr>
          <w:spacing w:val="-32"/>
          <w:sz w:val="21"/>
        </w:rPr>
        <w:t> 月</w:t>
      </w:r>
      <w:r>
        <w:rPr>
          <w:sz w:val="21"/>
        </w:rPr>
        <w:t>（</w:t>
      </w:r>
      <w:r>
        <w:rPr>
          <w:spacing w:val="-30"/>
          <w:sz w:val="21"/>
        </w:rPr>
        <w:t>近 </w:t>
      </w:r>
      <w:r>
        <w:rPr>
          <w:sz w:val="21"/>
        </w:rPr>
        <w:t>6</w:t>
      </w:r>
      <w:r>
        <w:rPr>
          <w:spacing w:val="-19"/>
          <w:sz w:val="21"/>
        </w:rPr>
        <w:t> 个月</w:t>
      </w:r>
      <w:r>
        <w:rPr>
          <w:sz w:val="21"/>
        </w:rPr>
        <w:t>）</w:t>
      </w:r>
      <w:r>
        <w:rPr>
          <w:spacing w:val="-2"/>
          <w:sz w:val="21"/>
        </w:rPr>
        <w:t>投标人为授权委托人缴纳在职职工养老保险的证明材料；</w:t>
      </w:r>
    </w:p>
    <w:p>
      <w:pPr>
        <w:pStyle w:val="ListParagraph"/>
        <w:numPr>
          <w:ilvl w:val="2"/>
          <w:numId w:val="9"/>
        </w:numPr>
        <w:tabs>
          <w:tab w:pos="1361" w:val="left" w:leader="none"/>
        </w:tabs>
        <w:spacing w:line="240" w:lineRule="auto" w:before="42" w:after="0"/>
        <w:ind w:left="1360" w:right="0" w:hanging="584"/>
        <w:jc w:val="left"/>
        <w:rPr>
          <w:sz w:val="21"/>
        </w:rPr>
      </w:pPr>
      <w:r>
        <w:rPr>
          <w:spacing w:val="-3"/>
          <w:sz w:val="21"/>
        </w:rPr>
        <w:t>法定代表人授权委托书；</w:t>
      </w:r>
    </w:p>
    <w:p>
      <w:pPr>
        <w:pStyle w:val="ListParagraph"/>
        <w:numPr>
          <w:ilvl w:val="2"/>
          <w:numId w:val="9"/>
        </w:numPr>
        <w:tabs>
          <w:tab w:pos="1354" w:val="left" w:leader="none"/>
        </w:tabs>
        <w:spacing w:line="321" w:lineRule="auto" w:before="33" w:after="0"/>
        <w:ind w:left="352" w:right="460" w:firstLine="417"/>
        <w:jc w:val="left"/>
        <w:rPr>
          <w:sz w:val="21"/>
        </w:rPr>
      </w:pPr>
      <w:r>
        <w:rPr>
          <w:spacing w:val="-11"/>
          <w:sz w:val="21"/>
        </w:rPr>
        <w:t>投标单位不在《</w:t>
      </w:r>
      <w:r>
        <w:rPr>
          <w:sz w:val="21"/>
        </w:rPr>
        <w:t>2016</w:t>
      </w:r>
      <w:r>
        <w:rPr>
          <w:spacing w:val="-13"/>
          <w:sz w:val="21"/>
        </w:rPr>
        <w:t> 年度扬州市建筑市场各方主体及从业人员信用评价成果》中黄牌、 红牌企业与个人限制招投标活动期限内；</w:t>
      </w:r>
    </w:p>
    <w:p>
      <w:pPr>
        <w:pStyle w:val="ListParagraph"/>
        <w:numPr>
          <w:ilvl w:val="2"/>
          <w:numId w:val="9"/>
        </w:numPr>
        <w:tabs>
          <w:tab w:pos="1462" w:val="left" w:leader="none"/>
        </w:tabs>
        <w:spacing w:line="240" w:lineRule="auto" w:before="28" w:after="0"/>
        <w:ind w:left="1461" w:right="0" w:hanging="685"/>
        <w:jc w:val="left"/>
        <w:rPr>
          <w:sz w:val="21"/>
        </w:rPr>
      </w:pPr>
      <w:r>
        <w:rPr>
          <w:spacing w:val="-1"/>
          <w:sz w:val="21"/>
        </w:rPr>
        <w:t>在规定时间内完成扬州市建设工程电子化交易系统网上报名；</w:t>
      </w:r>
    </w:p>
    <w:p>
      <w:pPr>
        <w:pStyle w:val="ListParagraph"/>
        <w:numPr>
          <w:ilvl w:val="2"/>
          <w:numId w:val="9"/>
        </w:numPr>
        <w:tabs>
          <w:tab w:pos="1462" w:val="left" w:leader="none"/>
        </w:tabs>
        <w:spacing w:line="240" w:lineRule="auto" w:before="106" w:after="0"/>
        <w:ind w:left="1461" w:right="0" w:hanging="685"/>
        <w:jc w:val="left"/>
        <w:rPr>
          <w:sz w:val="21"/>
        </w:rPr>
      </w:pPr>
      <w:r>
        <w:rPr>
          <w:sz w:val="21"/>
        </w:rPr>
        <w:t>符合法律、法规规定的其他条件。</w:t>
      </w:r>
    </w:p>
    <w:p>
      <w:pPr>
        <w:pStyle w:val="ListParagraph"/>
        <w:numPr>
          <w:ilvl w:val="1"/>
          <w:numId w:val="10"/>
        </w:numPr>
        <w:tabs>
          <w:tab w:pos="1203" w:val="left" w:leader="none"/>
        </w:tabs>
        <w:spacing w:line="240" w:lineRule="auto" w:before="98" w:after="0"/>
        <w:ind w:left="352" w:right="0" w:firstLine="417"/>
        <w:jc w:val="left"/>
        <w:rPr>
          <w:sz w:val="21"/>
        </w:rPr>
      </w:pPr>
      <w:r>
        <w:rPr>
          <w:sz w:val="21"/>
        </w:rPr>
        <w:t>投标申请人所提交的资格审查文件有下列情况之一的，将作为符合性检查未通过而不予 评审：</w:t>
      </w:r>
    </w:p>
    <w:p>
      <w:pPr>
        <w:pStyle w:val="BodyText"/>
        <w:spacing w:line="321" w:lineRule="auto" w:before="120"/>
        <w:ind w:left="352" w:right="554" w:firstLine="417"/>
        <w:jc w:val="both"/>
      </w:pPr>
      <w:r>
        <w:rPr/>
        <w:t>（1）未按资格审查文件规定在资格审查申请文件相应位置加盖法人印章或法定代表人未签 字，或授权代理人的签字式样与授权书上的签字明显不符的（授权书须附有代理人身份证复印件 及代理人签字），或资格审查申请文件中的授权书不是原件的。</w:t>
      </w:r>
    </w:p>
    <w:p>
      <w:pPr>
        <w:pStyle w:val="BodyText"/>
        <w:spacing w:line="328" w:lineRule="auto" w:before="27"/>
        <w:ind w:left="352" w:right="571" w:firstLine="417"/>
      </w:pPr>
      <w:r>
        <w:rPr/>
        <w:t>（2）资格审查申请文件(不含申请人的附加说明、证明材料)未按规定的格式、内容和要求 编制， 或字迹潦草，模糊无法辨认的。</w:t>
      </w:r>
    </w:p>
    <w:p>
      <w:pPr>
        <w:spacing w:after="0" w:line="328" w:lineRule="auto"/>
        <w:sectPr>
          <w:type w:val="continuous"/>
          <w:pgSz w:w="11910" w:h="16870"/>
          <w:pgMar w:top="1600" w:bottom="280" w:left="880" w:right="640"/>
        </w:sectPr>
      </w:pPr>
    </w:p>
    <w:p>
      <w:pPr>
        <w:pStyle w:val="BodyText"/>
        <w:spacing w:before="59"/>
        <w:ind w:left="776"/>
      </w:pPr>
      <w:r>
        <w:rPr/>
        <w:t>（3）申请人的资格与资质不满足招标公告和招标文件要求的。</w:t>
      </w:r>
    </w:p>
    <w:p>
      <w:pPr>
        <w:pStyle w:val="BodyText"/>
        <w:spacing w:line="321" w:lineRule="auto" w:before="99"/>
        <w:ind w:left="352" w:right="571" w:firstLine="417"/>
      </w:pPr>
      <w:r>
        <w:rPr/>
        <w:t>（4）申请人采用多种形式，对本工程递交二份或多份资格审查文件，并在递交投标文件截 止时间时仍不加以说明的。</w:t>
      </w:r>
    </w:p>
    <w:p>
      <w:pPr>
        <w:pStyle w:val="BodyText"/>
        <w:spacing w:before="35"/>
        <w:ind w:left="776"/>
      </w:pPr>
      <w:r>
        <w:rPr/>
        <w:t>（5）未提供《行贿犯罪档案查询告知函》的或企业存在行贿犯罪记录。</w:t>
      </w:r>
    </w:p>
    <w:p>
      <w:pPr>
        <w:pStyle w:val="BodyText"/>
        <w:spacing w:line="321" w:lineRule="auto" w:before="98"/>
        <w:ind w:left="352" w:right="633" w:firstLine="417"/>
      </w:pPr>
      <w:r>
        <w:rPr/>
        <w:t>（6）</w:t>
      </w:r>
      <w:r>
        <w:rPr>
          <w:spacing w:val="-6"/>
        </w:rPr>
        <w:t>未提供社保部门出具的 </w:t>
      </w:r>
      <w:r>
        <w:rPr/>
        <w:t>2017</w:t>
      </w:r>
      <w:r>
        <w:rPr>
          <w:spacing w:val="-39"/>
        </w:rPr>
        <w:t> 年 </w:t>
      </w:r>
      <w:r>
        <w:rPr/>
        <w:t>4</w:t>
      </w:r>
      <w:r>
        <w:rPr>
          <w:spacing w:val="-29"/>
        </w:rPr>
        <w:t> 月至 </w:t>
      </w:r>
      <w:r>
        <w:rPr/>
        <w:t>2017</w:t>
      </w:r>
      <w:r>
        <w:rPr>
          <w:spacing w:val="-39"/>
        </w:rPr>
        <w:t> 年 </w:t>
      </w:r>
      <w:r>
        <w:rPr/>
        <w:t>9</w:t>
      </w:r>
      <w:r>
        <w:rPr>
          <w:spacing w:val="-28"/>
        </w:rPr>
        <w:t> 月</w:t>
      </w:r>
      <w:r>
        <w:rPr/>
        <w:t>（</w:t>
      </w:r>
      <w:r>
        <w:rPr>
          <w:spacing w:val="-30"/>
        </w:rPr>
        <w:t>近 </w:t>
      </w:r>
      <w:r>
        <w:rPr/>
        <w:t>6</w:t>
      </w:r>
      <w:r>
        <w:rPr>
          <w:spacing w:val="-19"/>
        </w:rPr>
        <w:t> 个月</w:t>
      </w:r>
      <w:r>
        <w:rPr/>
        <w:t>），</w:t>
      </w:r>
      <w:r>
        <w:rPr>
          <w:spacing w:val="-4"/>
        </w:rPr>
        <w:t>投标人为授权委托人缴 纳在职职工养老保险的证明材料的。</w:t>
      </w:r>
    </w:p>
    <w:p>
      <w:pPr>
        <w:pStyle w:val="BodyText"/>
        <w:spacing w:before="28"/>
        <w:ind w:left="776"/>
      </w:pPr>
      <w:r>
        <w:rPr/>
        <w:t>（7）未在规定时间内完成扬州市建设工程电子化交易系统网上报名的。</w:t>
      </w:r>
    </w:p>
    <w:p>
      <w:pPr>
        <w:pStyle w:val="BodyText"/>
        <w:spacing w:before="106"/>
        <w:ind w:left="776"/>
      </w:pPr>
      <w:r>
        <w:rPr/>
        <w:t>（8）未按招标文件要求缴纳投标保证金的。</w:t>
      </w:r>
    </w:p>
    <w:p>
      <w:pPr>
        <w:pStyle w:val="BodyText"/>
        <w:spacing w:before="134"/>
        <w:ind w:left="776"/>
      </w:pPr>
      <w:r>
        <w:rPr/>
        <w:t>（9）有不符合本工程前述“投标申请人资格审查合格条件”的其他情形的。</w:t>
      </w:r>
    </w:p>
    <w:p>
      <w:pPr>
        <w:pStyle w:val="ListParagraph"/>
        <w:numPr>
          <w:ilvl w:val="1"/>
          <w:numId w:val="10"/>
        </w:numPr>
        <w:tabs>
          <w:tab w:pos="1152" w:val="left" w:leader="none"/>
        </w:tabs>
        <w:spacing w:line="240" w:lineRule="auto" w:before="120" w:after="0"/>
        <w:ind w:left="1151" w:right="0" w:hanging="375"/>
        <w:jc w:val="left"/>
        <w:rPr>
          <w:sz w:val="21"/>
        </w:rPr>
      </w:pPr>
      <w:r>
        <w:rPr>
          <w:spacing w:val="-1"/>
          <w:sz w:val="21"/>
        </w:rPr>
        <w:t>本工程不允许转包和违法分包。</w:t>
      </w:r>
    </w:p>
    <w:p>
      <w:pPr>
        <w:pStyle w:val="ListParagraph"/>
        <w:numPr>
          <w:ilvl w:val="1"/>
          <w:numId w:val="10"/>
        </w:numPr>
        <w:tabs>
          <w:tab w:pos="1203" w:val="left" w:leader="none"/>
        </w:tabs>
        <w:spacing w:line="314" w:lineRule="auto" w:before="120" w:after="0"/>
        <w:ind w:left="352" w:right="640" w:firstLine="417"/>
        <w:jc w:val="left"/>
        <w:rPr>
          <w:sz w:val="21"/>
        </w:rPr>
      </w:pPr>
      <w:r>
        <w:rPr>
          <w:spacing w:val="-1"/>
          <w:sz w:val="21"/>
        </w:rPr>
        <w:t>参加本工程资格审查的投标申请人应按本文件的要求填报资格审查文件，以证明其符合 规定要求的投标合格条件和履行合同的能力。</w:t>
      </w:r>
    </w:p>
    <w:p>
      <w:pPr>
        <w:pStyle w:val="ListParagraph"/>
        <w:numPr>
          <w:ilvl w:val="1"/>
          <w:numId w:val="10"/>
        </w:numPr>
        <w:tabs>
          <w:tab w:pos="1167" w:val="left" w:leader="none"/>
        </w:tabs>
        <w:spacing w:line="319" w:lineRule="auto" w:before="44" w:after="0"/>
        <w:ind w:left="352" w:right="561" w:firstLine="417"/>
        <w:jc w:val="both"/>
        <w:rPr>
          <w:sz w:val="21"/>
        </w:rPr>
      </w:pPr>
      <w:r>
        <w:rPr>
          <w:spacing w:val="-4"/>
          <w:sz w:val="21"/>
        </w:rPr>
        <w:t>投标人提供的全部资料必须准确详细，以便评标委员会做出正确的判断。资格审查将依 据资格</w:t>
      </w:r>
      <w:r>
        <w:rPr>
          <w:spacing w:val="-7"/>
          <w:sz w:val="21"/>
        </w:rPr>
        <w:t>审查文件中提供的资料或者应招标单位要求对所报资格审查文件的进行澄清。如果没按要 求填写资格审查文件和提供具体证明材料，可能将导致资格审查不合格。</w:t>
      </w:r>
    </w:p>
    <w:p>
      <w:pPr>
        <w:pStyle w:val="ListParagraph"/>
        <w:numPr>
          <w:ilvl w:val="1"/>
          <w:numId w:val="10"/>
        </w:numPr>
        <w:tabs>
          <w:tab w:pos="1167" w:val="left" w:leader="none"/>
        </w:tabs>
        <w:spacing w:line="319" w:lineRule="auto" w:before="35" w:after="0"/>
        <w:ind w:left="352" w:right="561" w:firstLine="417"/>
        <w:jc w:val="both"/>
        <w:rPr>
          <w:sz w:val="21"/>
        </w:rPr>
      </w:pPr>
      <w:r>
        <w:rPr>
          <w:spacing w:val="-4"/>
          <w:sz w:val="21"/>
        </w:rPr>
        <w:t>投标申请人应对申报资料的真实性负责，资格审查委员会将进行必要的核实和澄清，对 弄虚作</w:t>
      </w:r>
      <w:r>
        <w:rPr>
          <w:spacing w:val="-8"/>
          <w:sz w:val="21"/>
        </w:rPr>
        <w:t>假者，经查实，将取消其通过本次资格审查的资格。资格审查委员会对申请人的资格审查 资料的保密性负责。</w:t>
      </w:r>
    </w:p>
    <w:p>
      <w:pPr>
        <w:pStyle w:val="ListParagraph"/>
        <w:numPr>
          <w:ilvl w:val="1"/>
          <w:numId w:val="10"/>
        </w:numPr>
        <w:tabs>
          <w:tab w:pos="1152" w:val="left" w:leader="none"/>
        </w:tabs>
        <w:spacing w:line="240" w:lineRule="auto" w:before="36" w:after="0"/>
        <w:ind w:left="1151" w:right="0" w:hanging="375"/>
        <w:jc w:val="left"/>
        <w:rPr>
          <w:sz w:val="21"/>
        </w:rPr>
      </w:pPr>
      <w:r>
        <w:rPr>
          <w:spacing w:val="-3"/>
          <w:sz w:val="21"/>
        </w:rPr>
        <w:t>资格审查文件作为投标文件的一部分，应随同其他投标文件在规定时间上传。</w:t>
      </w:r>
    </w:p>
    <w:p>
      <w:pPr>
        <w:pStyle w:val="ListParagraph"/>
        <w:numPr>
          <w:ilvl w:val="1"/>
          <w:numId w:val="10"/>
        </w:numPr>
        <w:tabs>
          <w:tab w:pos="1203" w:val="left" w:leader="none"/>
        </w:tabs>
        <w:spacing w:line="314" w:lineRule="auto" w:before="106" w:after="0"/>
        <w:ind w:left="352" w:right="640" w:firstLine="417"/>
        <w:jc w:val="left"/>
        <w:rPr>
          <w:sz w:val="21"/>
        </w:rPr>
      </w:pPr>
      <w:r>
        <w:rPr>
          <w:spacing w:val="-1"/>
          <w:sz w:val="21"/>
        </w:rPr>
        <w:t>申请人因某种原因决定放弃投标时，有权在招标单位规定的投标文件递交截止时间前撤 回提交的“投标文件”。</w:t>
      </w:r>
    </w:p>
    <w:p>
      <w:pPr>
        <w:pStyle w:val="BodyText"/>
        <w:spacing w:before="108"/>
        <w:ind w:left="769"/>
      </w:pPr>
      <w:r>
        <w:rPr/>
        <w:t>（四）投标费用</w:t>
      </w:r>
    </w:p>
    <w:p>
      <w:pPr>
        <w:pStyle w:val="BodyText"/>
        <w:spacing w:before="6"/>
        <w:rPr>
          <w:sz w:val="14"/>
        </w:rPr>
      </w:pPr>
    </w:p>
    <w:p>
      <w:pPr>
        <w:pStyle w:val="ListParagraph"/>
        <w:numPr>
          <w:ilvl w:val="1"/>
          <w:numId w:val="11"/>
        </w:numPr>
        <w:tabs>
          <w:tab w:pos="1203" w:val="left" w:leader="none"/>
        </w:tabs>
        <w:spacing w:line="240" w:lineRule="auto" w:before="0" w:after="0"/>
        <w:ind w:left="352" w:right="0" w:firstLine="424"/>
        <w:jc w:val="left"/>
        <w:rPr>
          <w:sz w:val="21"/>
        </w:rPr>
      </w:pPr>
      <w:r>
        <w:rPr>
          <w:sz w:val="21"/>
        </w:rPr>
        <w:t>招标文件售出后，不予退还。</w:t>
      </w:r>
    </w:p>
    <w:p>
      <w:pPr>
        <w:pStyle w:val="ListParagraph"/>
        <w:numPr>
          <w:ilvl w:val="1"/>
          <w:numId w:val="11"/>
        </w:numPr>
        <w:tabs>
          <w:tab w:pos="1195" w:val="left" w:leader="none"/>
        </w:tabs>
        <w:spacing w:line="314" w:lineRule="auto" w:before="142" w:after="0"/>
        <w:ind w:left="352" w:right="352" w:firstLine="417"/>
        <w:jc w:val="left"/>
        <w:rPr>
          <w:sz w:val="21"/>
        </w:rPr>
      </w:pPr>
      <w:r>
        <w:rPr>
          <w:spacing w:val="-5"/>
          <w:sz w:val="21"/>
        </w:rPr>
        <w:t>投标人应承担所有与准备和参加投标有关的费用。无论投标的结果如何，招标人和招标 代理机构均无义务和责任承担上述费用。</w:t>
      </w:r>
    </w:p>
    <w:p>
      <w:pPr>
        <w:pStyle w:val="BodyText"/>
        <w:spacing w:before="44"/>
        <w:ind w:left="352"/>
      </w:pPr>
      <w:r>
        <w:rPr/>
        <w:t>（五）使用法律:本次招标活动及由本次招标产生的合同受中华人民共和国法律的制约、保护和调整。</w:t>
      </w:r>
    </w:p>
    <w:p>
      <w:pPr>
        <w:pStyle w:val="BodyText"/>
        <w:spacing w:line="321" w:lineRule="auto" w:before="120"/>
        <w:ind w:left="776" w:right="640" w:hanging="425"/>
      </w:pPr>
      <w:r>
        <w:rPr/>
        <w:t>（六）</w:t>
      </w:r>
      <w:r>
        <w:rPr>
          <w:spacing w:val="-7"/>
        </w:rPr>
        <w:t>招标文件的约束力 投标人一旦购买了本招标文件并参加投标,即被认为接受了本招标文件中的所有条件和规定。</w:t>
      </w:r>
    </w:p>
    <w:p>
      <w:pPr>
        <w:pStyle w:val="Heading2"/>
        <w:spacing w:line="569" w:lineRule="exact"/>
        <w:ind w:right="243"/>
      </w:pPr>
      <w:r>
        <w:rPr/>
        <w:t>二、招  标  文  件</w:t>
      </w:r>
    </w:p>
    <w:p>
      <w:pPr>
        <w:pStyle w:val="BodyText"/>
        <w:spacing w:before="11"/>
        <w:rPr>
          <w:rFonts w:ascii="Microsoft JhengHei"/>
          <w:b/>
          <w:sz w:val="5"/>
        </w:rPr>
      </w:pPr>
    </w:p>
    <w:p>
      <w:pPr>
        <w:pStyle w:val="BodyText"/>
        <w:spacing w:before="70"/>
        <w:ind w:left="352"/>
      </w:pPr>
      <w:r>
        <w:rPr/>
        <w:t>（七）招标文件的组成</w:t>
      </w:r>
    </w:p>
    <w:p>
      <w:pPr>
        <w:pStyle w:val="BodyText"/>
        <w:spacing w:before="5"/>
        <w:rPr>
          <w:sz w:val="14"/>
        </w:rPr>
      </w:pPr>
    </w:p>
    <w:p>
      <w:pPr>
        <w:pStyle w:val="ListParagraph"/>
        <w:numPr>
          <w:ilvl w:val="1"/>
          <w:numId w:val="12"/>
        </w:numPr>
        <w:tabs>
          <w:tab w:pos="1152" w:val="left" w:leader="none"/>
        </w:tabs>
        <w:spacing w:line="240" w:lineRule="auto" w:before="0" w:after="0"/>
        <w:ind w:left="352" w:right="0" w:firstLine="424"/>
        <w:jc w:val="left"/>
        <w:rPr>
          <w:sz w:val="21"/>
        </w:rPr>
      </w:pPr>
      <w:r>
        <w:rPr>
          <w:spacing w:val="-1"/>
          <w:sz w:val="21"/>
        </w:rPr>
        <w:t>本次的招标文件包括本文件以及在投标过程中可能发出的修改文件。</w:t>
      </w:r>
    </w:p>
    <w:p>
      <w:pPr>
        <w:pStyle w:val="ListParagraph"/>
        <w:numPr>
          <w:ilvl w:val="1"/>
          <w:numId w:val="12"/>
        </w:numPr>
        <w:tabs>
          <w:tab w:pos="1145" w:val="left" w:leader="none"/>
        </w:tabs>
        <w:spacing w:line="319" w:lineRule="auto" w:before="127" w:after="0"/>
        <w:ind w:left="352" w:right="532" w:firstLine="417"/>
        <w:jc w:val="both"/>
        <w:rPr>
          <w:sz w:val="21"/>
        </w:rPr>
      </w:pPr>
      <w:r>
        <w:rPr>
          <w:spacing w:val="-3"/>
          <w:sz w:val="21"/>
        </w:rPr>
        <w:t>投标人应认真审阅招标文件中所有的招标须知、合同条款、投标文件格式、技术规范、 材料清</w:t>
      </w:r>
      <w:r>
        <w:rPr>
          <w:spacing w:val="-6"/>
          <w:sz w:val="21"/>
        </w:rPr>
        <w:t>单、图纸等资料。如果投标人的投标文件不能符合招标文件的要求，责任由投标人自负。 实质上不响应招标文件要求的投标文件将被拒绝。</w:t>
      </w:r>
    </w:p>
    <w:p>
      <w:pPr>
        <w:pStyle w:val="ListParagraph"/>
        <w:numPr>
          <w:ilvl w:val="1"/>
          <w:numId w:val="12"/>
        </w:numPr>
        <w:tabs>
          <w:tab w:pos="1145" w:val="left" w:leader="none"/>
        </w:tabs>
        <w:spacing w:line="240" w:lineRule="auto" w:before="35" w:after="0"/>
        <w:ind w:left="1144" w:right="0" w:hanging="375"/>
        <w:jc w:val="left"/>
        <w:rPr>
          <w:sz w:val="21"/>
        </w:rPr>
      </w:pPr>
      <w:r>
        <w:rPr>
          <w:spacing w:val="-3"/>
          <w:sz w:val="21"/>
        </w:rPr>
        <w:t>请仔细检查招标文件是否齐全，如有缺漏，请立即与招标机构联系解决，联系电话详见 前附表。</w:t>
      </w:r>
    </w:p>
    <w:p>
      <w:pPr>
        <w:pStyle w:val="ListParagraph"/>
        <w:numPr>
          <w:ilvl w:val="1"/>
          <w:numId w:val="12"/>
        </w:numPr>
        <w:tabs>
          <w:tab w:pos="1145" w:val="left" w:leader="none"/>
        </w:tabs>
        <w:spacing w:line="240" w:lineRule="auto" w:before="121" w:after="0"/>
        <w:ind w:left="1144" w:right="0" w:hanging="375"/>
        <w:jc w:val="left"/>
        <w:rPr>
          <w:sz w:val="21"/>
        </w:rPr>
      </w:pPr>
      <w:r>
        <w:rPr>
          <w:spacing w:val="-4"/>
          <w:sz w:val="21"/>
        </w:rPr>
        <w:t>投标人被视为充分熟悉本招标项目所在地的与履行合同有关的各种情况,包括自然环境、 气候条</w:t>
      </w:r>
    </w:p>
    <w:p>
      <w:pPr>
        <w:spacing w:after="0" w:line="240" w:lineRule="auto"/>
        <w:jc w:val="left"/>
        <w:rPr>
          <w:sz w:val="21"/>
        </w:rPr>
        <w:sectPr>
          <w:pgSz w:w="11910" w:h="16870"/>
          <w:pgMar w:top="1140" w:bottom="280" w:left="880" w:right="640"/>
        </w:sectPr>
      </w:pPr>
    </w:p>
    <w:p>
      <w:pPr>
        <w:pStyle w:val="BodyText"/>
        <w:spacing w:before="59"/>
        <w:ind w:left="352"/>
      </w:pPr>
      <w:r>
        <w:rPr/>
        <w:t>件、劳动力及公用设施等，本招标文件不再对上述情况进行描述。</w:t>
      </w:r>
    </w:p>
    <w:p>
      <w:pPr>
        <w:pStyle w:val="ListParagraph"/>
        <w:numPr>
          <w:ilvl w:val="1"/>
          <w:numId w:val="12"/>
        </w:numPr>
        <w:tabs>
          <w:tab w:pos="1167" w:val="left" w:leader="none"/>
        </w:tabs>
        <w:spacing w:line="319" w:lineRule="auto" w:before="120" w:after="0"/>
        <w:ind w:left="352" w:right="554" w:firstLine="417"/>
        <w:jc w:val="both"/>
        <w:rPr>
          <w:sz w:val="21"/>
        </w:rPr>
      </w:pPr>
      <w:r>
        <w:rPr>
          <w:spacing w:val="-3"/>
          <w:sz w:val="21"/>
        </w:rPr>
        <w:t>实行电子化招标的项目，投标人在投标截止时间前，应通过“扬州市工程建设网”随时 查阅有</w:t>
      </w:r>
      <w:r>
        <w:rPr>
          <w:spacing w:val="-8"/>
          <w:sz w:val="21"/>
        </w:rPr>
        <w:t>关该工程招标文件的澄清、招标文件的修改(招标答疑、补遗文件)、招标控制价公示等内 容。投标人查</w:t>
      </w:r>
      <w:r>
        <w:rPr>
          <w:spacing w:val="-1"/>
          <w:sz w:val="21"/>
        </w:rPr>
        <w:t>阅如有遗漏，或投标人由于对招标文件的任何推论和误解以及招标人对有关问题的 口头解释所造成的后果，均由投标人自负。其风险应由投标人自行承担。</w:t>
      </w:r>
    </w:p>
    <w:p>
      <w:pPr>
        <w:pStyle w:val="BodyText"/>
        <w:spacing w:before="38"/>
        <w:ind w:left="352"/>
      </w:pPr>
      <w:r>
        <w:rPr/>
        <w:t>（八）招标文件的澄清、修改、补充</w:t>
      </w:r>
    </w:p>
    <w:p>
      <w:pPr>
        <w:pStyle w:val="ListParagraph"/>
        <w:numPr>
          <w:ilvl w:val="1"/>
          <w:numId w:val="13"/>
        </w:numPr>
        <w:tabs>
          <w:tab w:pos="1044" w:val="left" w:leader="none"/>
        </w:tabs>
        <w:spacing w:line="240" w:lineRule="auto" w:before="120" w:after="0"/>
        <w:ind w:left="352" w:right="0" w:firstLine="316"/>
        <w:jc w:val="left"/>
        <w:rPr>
          <w:sz w:val="21"/>
        </w:rPr>
      </w:pPr>
      <w:r>
        <w:rPr>
          <w:spacing w:val="-2"/>
          <w:sz w:val="21"/>
        </w:rPr>
        <w:t>招标文件的澄清答疑将在投标人须知前附表规定的时间前，在“扬州市工程建设网”网</w:t>
      </w:r>
    </w:p>
    <w:p>
      <w:pPr>
        <w:pStyle w:val="BodyText"/>
        <w:spacing w:line="314" w:lineRule="auto" w:before="120"/>
        <w:ind w:left="352" w:right="364"/>
      </w:pPr>
      <w:r>
        <w:rPr/>
        <w:t>上“项目信息-澄清和答疑”向所有投标人公示，同时报招投标监管部门备案，但招标人不指明 澄清问题的来源。</w:t>
      </w:r>
    </w:p>
    <w:p>
      <w:pPr>
        <w:pStyle w:val="ListParagraph"/>
        <w:numPr>
          <w:ilvl w:val="1"/>
          <w:numId w:val="13"/>
        </w:numPr>
        <w:tabs>
          <w:tab w:pos="1145" w:val="left" w:leader="none"/>
        </w:tabs>
        <w:spacing w:line="321" w:lineRule="auto" w:before="44" w:after="0"/>
        <w:ind w:left="352" w:right="143" w:firstLine="417"/>
        <w:jc w:val="left"/>
        <w:rPr>
          <w:sz w:val="21"/>
        </w:rPr>
      </w:pPr>
      <w:r>
        <w:rPr>
          <w:spacing w:val="-5"/>
          <w:sz w:val="21"/>
        </w:rPr>
        <w:t>招标文件发布后，在投标截止期前确需对招标文件进行修改的，招标人以招标文件澄清、 答疑方式，经“扬州市工程建设网”中“项目信息-澄清和答疑”向所有投标人公示。并报招投 标监管部门备案。</w:t>
      </w:r>
    </w:p>
    <w:p>
      <w:pPr>
        <w:pStyle w:val="ListParagraph"/>
        <w:numPr>
          <w:ilvl w:val="1"/>
          <w:numId w:val="13"/>
        </w:numPr>
        <w:tabs>
          <w:tab w:pos="1203" w:val="left" w:leader="none"/>
        </w:tabs>
        <w:spacing w:line="316" w:lineRule="auto" w:before="35" w:after="0"/>
        <w:ind w:left="352" w:right="561" w:firstLine="417"/>
        <w:jc w:val="both"/>
        <w:rPr>
          <w:sz w:val="21"/>
        </w:rPr>
      </w:pPr>
      <w:r>
        <w:rPr>
          <w:spacing w:val="-4"/>
          <w:sz w:val="21"/>
        </w:rPr>
        <w:t>招标人对招标文件的所作澄清、答疑、修改均以“扬州市工程建设网”上“项目信息-澄 清和</w:t>
      </w:r>
      <w:r>
        <w:rPr>
          <w:spacing w:val="-7"/>
          <w:sz w:val="21"/>
        </w:rPr>
        <w:t>答疑”公布的内容为准。招标文件的答疑内容前后期相互矛盾时，以公示时间在后的文件为 准。投标人</w:t>
      </w:r>
      <w:r>
        <w:rPr>
          <w:spacing w:val="-5"/>
          <w:sz w:val="21"/>
        </w:rPr>
        <w:t>应在投标截止时间前随时查看“扬州市工程建设网”中“项目信息-澄清和答疑”中 有关该工程招标文</w:t>
      </w:r>
      <w:r>
        <w:rPr>
          <w:spacing w:val="-9"/>
          <w:sz w:val="21"/>
        </w:rPr>
        <w:t>件的答疑内容。投标人因自身原因未能及时掌握上述网上公示信息，由此造成 投标损失自负。</w:t>
      </w:r>
    </w:p>
    <w:p>
      <w:pPr>
        <w:pStyle w:val="ListParagraph"/>
        <w:numPr>
          <w:ilvl w:val="1"/>
          <w:numId w:val="13"/>
        </w:numPr>
        <w:tabs>
          <w:tab w:pos="1167" w:val="left" w:leader="none"/>
        </w:tabs>
        <w:spacing w:line="319" w:lineRule="auto" w:before="42" w:after="0"/>
        <w:ind w:left="352" w:right="561" w:firstLine="417"/>
        <w:jc w:val="both"/>
        <w:rPr>
          <w:sz w:val="21"/>
        </w:rPr>
      </w:pPr>
      <w:r>
        <w:rPr>
          <w:spacing w:val="-4"/>
          <w:sz w:val="21"/>
        </w:rPr>
        <w:t>招标人在投标截止期前对招标文件的所作澄清、答疑、修改作为招标文件的组成部分， 对招标</w:t>
      </w:r>
      <w:r>
        <w:rPr>
          <w:spacing w:val="-5"/>
          <w:sz w:val="21"/>
        </w:rPr>
        <w:t>人、投标人均具有约束力。如果修改招标文件时间距投标截止时间不足 </w:t>
      </w:r>
      <w:r>
        <w:rPr>
          <w:sz w:val="21"/>
        </w:rPr>
        <w:t>15</w:t>
      </w:r>
      <w:r>
        <w:rPr>
          <w:spacing w:val="-8"/>
          <w:sz w:val="21"/>
        </w:rPr>
        <w:t> 天，为保证投标 人合理时间编制投标文件，招标人应合理延长递交投标文件的截止日期。</w:t>
      </w:r>
    </w:p>
    <w:p>
      <w:pPr>
        <w:pStyle w:val="BodyText"/>
        <w:spacing w:before="28"/>
        <w:ind w:left="352"/>
      </w:pPr>
      <w:r>
        <w:rPr/>
        <w:t>（九）勘察现场</w:t>
      </w:r>
    </w:p>
    <w:p>
      <w:pPr>
        <w:pStyle w:val="ListParagraph"/>
        <w:numPr>
          <w:ilvl w:val="1"/>
          <w:numId w:val="14"/>
        </w:numPr>
        <w:tabs>
          <w:tab w:pos="936" w:val="left" w:leader="none"/>
        </w:tabs>
        <w:spacing w:line="352" w:lineRule="auto" w:before="120" w:after="0"/>
        <w:ind w:left="352" w:right="1526" w:firstLine="208"/>
        <w:jc w:val="left"/>
        <w:rPr>
          <w:sz w:val="21"/>
        </w:rPr>
      </w:pPr>
      <w:r>
        <w:rPr>
          <w:spacing w:val="-2"/>
          <w:w w:val="95"/>
          <w:sz w:val="21"/>
        </w:rPr>
        <w:t>招标人向投标人提供的有关施工现场的资料和数据是招标人现有的能使投标人利用的资  </w:t>
      </w:r>
      <w:r>
        <w:rPr>
          <w:spacing w:val="-2"/>
          <w:sz w:val="21"/>
        </w:rPr>
        <w:t>料。招标人对投标人由此而做出的推论、理解和结论概不负责。</w:t>
      </w:r>
    </w:p>
    <w:p>
      <w:pPr>
        <w:pStyle w:val="ListParagraph"/>
        <w:numPr>
          <w:ilvl w:val="1"/>
          <w:numId w:val="14"/>
        </w:numPr>
        <w:tabs>
          <w:tab w:pos="626" w:val="left" w:leader="none"/>
        </w:tabs>
        <w:spacing w:line="319" w:lineRule="auto" w:before="0" w:after="0"/>
        <w:ind w:left="250" w:right="424" w:firstLine="0"/>
        <w:jc w:val="left"/>
        <w:rPr>
          <w:sz w:val="21"/>
        </w:rPr>
      </w:pPr>
      <w:r>
        <w:rPr>
          <w:spacing w:val="-4"/>
          <w:w w:val="95"/>
          <w:sz w:val="21"/>
        </w:rPr>
        <w:t>投标人自行对现场及周围环境进行考察，以获取编制投标文件和签署合同所需的所有资料，招标人有向   </w:t>
      </w:r>
      <w:r>
        <w:rPr>
          <w:spacing w:val="-12"/>
          <w:sz w:val="21"/>
        </w:rPr>
        <w:t>投标人提供帮助的义务。勘察现场所发生的费用由投标人承担。经招标人准许后， 投标人代表可以勘察现</w:t>
      </w:r>
      <w:r>
        <w:rPr>
          <w:spacing w:val="-8"/>
          <w:sz w:val="21"/>
        </w:rPr>
        <w:t>场。但投标人及其代表应对由于现场勘察而引起的人身伤亡、财产损失或 损坏以及任何其他损失、损坏费用负责，招标人不负任何责任。</w:t>
      </w:r>
    </w:p>
    <w:p>
      <w:pPr>
        <w:pStyle w:val="BodyText"/>
        <w:spacing w:before="25"/>
        <w:ind w:left="352"/>
      </w:pPr>
      <w:r>
        <w:rPr/>
        <w:t>（十）现场条件</w:t>
      </w:r>
    </w:p>
    <w:p>
      <w:pPr>
        <w:pStyle w:val="BodyText"/>
        <w:spacing w:before="127"/>
        <w:ind w:left="532"/>
      </w:pPr>
      <w:r>
        <w:rPr/>
        <w:t>10.1 投标人到现场实地勘察，应充分了解工地位置、安装条件、道路、储存空间、装卸限制</w:t>
      </w:r>
    </w:p>
    <w:p>
      <w:pPr>
        <w:pStyle w:val="BodyText"/>
        <w:spacing w:line="314" w:lineRule="auto" w:before="120"/>
        <w:ind w:left="352" w:right="561"/>
      </w:pPr>
      <w:r>
        <w:rPr>
          <w:spacing w:val="-5"/>
        </w:rPr>
        <w:t>及任何其他足以影响承包价的情况，测算完整的相关费用，任何忽视或误解工地情况而导致的索 赔或工期延长申请将不获得批准。</w:t>
      </w:r>
    </w:p>
    <w:p>
      <w:pPr>
        <w:pStyle w:val="Heading2"/>
        <w:spacing w:line="520" w:lineRule="exact"/>
        <w:ind w:right="676"/>
      </w:pPr>
      <w:r>
        <w:rPr/>
        <w:t>三、投  标  报  价</w:t>
      </w:r>
    </w:p>
    <w:p>
      <w:pPr>
        <w:pStyle w:val="BodyText"/>
        <w:spacing w:before="101"/>
        <w:ind w:left="352"/>
      </w:pPr>
      <w:r>
        <w:rPr/>
        <w:t>（十一）投标报价说明</w:t>
      </w:r>
    </w:p>
    <w:p>
      <w:pPr>
        <w:pStyle w:val="ListParagraph"/>
        <w:numPr>
          <w:ilvl w:val="1"/>
          <w:numId w:val="15"/>
        </w:numPr>
        <w:tabs>
          <w:tab w:pos="1145" w:val="left" w:leader="none"/>
        </w:tabs>
        <w:spacing w:line="240" w:lineRule="auto" w:before="127" w:after="0"/>
        <w:ind w:left="352" w:right="0" w:firstLine="316"/>
        <w:jc w:val="left"/>
        <w:rPr>
          <w:sz w:val="21"/>
        </w:rPr>
      </w:pPr>
      <w:r>
        <w:rPr>
          <w:spacing w:val="-2"/>
          <w:sz w:val="21"/>
        </w:rPr>
        <w:t>投标报价：投标报价应是投标人完成招标清单范围内的电缆设备生产制作，全部供货至</w:t>
      </w:r>
    </w:p>
    <w:p>
      <w:pPr>
        <w:pStyle w:val="BodyText"/>
        <w:spacing w:line="319" w:lineRule="auto" w:before="119"/>
        <w:ind w:left="352" w:right="539"/>
        <w:jc w:val="both"/>
      </w:pPr>
      <w:r>
        <w:rPr/>
        <w:t>施工现场，并通过供电主管部门验收合格等全部工作产生的费用（</w:t>
      </w:r>
      <w:r>
        <w:rPr>
          <w:spacing w:val="-8"/>
        </w:rPr>
        <w:t>含制作、包装、 运输、上下力资、安全防护费、供货期间的成品保护、管理费、技术咨询、利润、税金、验收等 一切费用</w:t>
      </w:r>
      <w:r>
        <w:rPr>
          <w:spacing w:val="-15"/>
        </w:rPr>
        <w:t>）</w:t>
      </w:r>
      <w:r>
        <w:rPr>
          <w:spacing w:val="-4"/>
        </w:rPr>
        <w:t>，以及在质保期内的免费维保服务等全部内容。</w:t>
      </w:r>
    </w:p>
    <w:p>
      <w:pPr>
        <w:pStyle w:val="ListParagraph"/>
        <w:numPr>
          <w:ilvl w:val="1"/>
          <w:numId w:val="15"/>
        </w:numPr>
        <w:tabs>
          <w:tab w:pos="1303" w:val="left" w:leader="none"/>
        </w:tabs>
        <w:spacing w:line="314" w:lineRule="auto" w:before="36" w:after="0"/>
        <w:ind w:left="352" w:right="568" w:firstLine="417"/>
        <w:jc w:val="left"/>
        <w:rPr>
          <w:sz w:val="21"/>
        </w:rPr>
      </w:pPr>
      <w:r>
        <w:rPr>
          <w:spacing w:val="-3"/>
          <w:sz w:val="21"/>
        </w:rPr>
        <w:t>投标报价方式：固定单价报价。投标人应充分考虑现场条件、施工期间各类建材的市场 风险</w:t>
      </w:r>
      <w:r>
        <w:rPr>
          <w:spacing w:val="-5"/>
          <w:sz w:val="21"/>
        </w:rPr>
        <w:t>和政策性调整确定风险系数计入总报价,今后不作调整</w:t>
      </w:r>
      <w:r>
        <w:rPr>
          <w:sz w:val="21"/>
        </w:rPr>
        <w:t>（</w:t>
      </w:r>
      <w:r>
        <w:rPr>
          <w:spacing w:val="-2"/>
          <w:sz w:val="21"/>
        </w:rPr>
        <w:t>设计变更和招标人要求变动的内容 除外</w:t>
      </w:r>
      <w:r>
        <w:rPr>
          <w:sz w:val="21"/>
        </w:rPr>
        <w:t>）。</w:t>
      </w:r>
    </w:p>
    <w:p>
      <w:pPr>
        <w:spacing w:after="0" w:line="314" w:lineRule="auto"/>
        <w:jc w:val="left"/>
        <w:rPr>
          <w:sz w:val="21"/>
        </w:rPr>
        <w:sectPr>
          <w:pgSz w:w="11910" w:h="16870"/>
          <w:pgMar w:top="1140" w:bottom="280" w:left="880" w:right="640"/>
        </w:sectPr>
      </w:pPr>
    </w:p>
    <w:p>
      <w:pPr>
        <w:pStyle w:val="ListParagraph"/>
        <w:numPr>
          <w:ilvl w:val="1"/>
          <w:numId w:val="15"/>
        </w:numPr>
        <w:tabs>
          <w:tab w:pos="1296" w:val="left" w:leader="none"/>
        </w:tabs>
        <w:spacing w:line="261" w:lineRule="auto" w:before="0" w:after="0"/>
        <w:ind w:left="352" w:right="561" w:firstLine="417"/>
        <w:jc w:val="left"/>
        <w:rPr>
          <w:sz w:val="21"/>
        </w:rPr>
      </w:pPr>
      <w:r>
        <w:rPr>
          <w:w w:val="99"/>
          <w:sz w:val="21"/>
        </w:rPr>
        <w:t>本项目采购总费用投标报价不得高于</w:t>
      </w:r>
      <w:r>
        <w:rPr>
          <w:spacing w:val="-12"/>
          <w:sz w:val="21"/>
        </w:rPr>
        <w:t> </w:t>
      </w:r>
      <w:r>
        <w:rPr>
          <w:rFonts w:ascii="Microsoft YaHei" w:eastAsia="Microsoft YaHei" w:hint="eastAsia"/>
          <w:b/>
          <w:spacing w:val="2"/>
          <w:w w:val="80"/>
          <w:sz w:val="21"/>
          <w:u w:val="single"/>
        </w:rPr>
        <w:t>278</w:t>
      </w:r>
      <w:r>
        <w:rPr>
          <w:rFonts w:ascii="Microsoft YaHei" w:eastAsia="Microsoft YaHei" w:hint="eastAsia"/>
          <w:b/>
          <w:spacing w:val="-4"/>
          <w:w w:val="174"/>
          <w:sz w:val="21"/>
          <w:u w:val="single"/>
        </w:rPr>
        <w:t>.</w:t>
      </w:r>
      <w:r>
        <w:rPr>
          <w:rFonts w:ascii="Microsoft YaHei" w:eastAsia="Microsoft YaHei" w:hint="eastAsia"/>
          <w:b/>
          <w:spacing w:val="2"/>
          <w:w w:val="80"/>
          <w:sz w:val="21"/>
          <w:u w:val="single"/>
        </w:rPr>
        <w:t>655</w:t>
      </w:r>
      <w:r>
        <w:rPr>
          <w:rFonts w:ascii="Microsoft YaHei" w:eastAsia="Microsoft YaHei" w:hint="eastAsia"/>
          <w:b/>
          <w:w w:val="80"/>
          <w:sz w:val="21"/>
          <w:u w:val="single"/>
        </w:rPr>
        <w:t>8</w:t>
      </w:r>
      <w:r>
        <w:rPr>
          <w:rFonts w:ascii="Microsoft YaHei" w:eastAsia="Microsoft YaHei" w:hint="eastAsia"/>
          <w:b/>
          <w:spacing w:val="-10"/>
          <w:sz w:val="21"/>
          <w:u w:val="single"/>
        </w:rPr>
        <w:t>  </w:t>
      </w:r>
      <w:r>
        <w:rPr>
          <w:spacing w:val="-7"/>
          <w:w w:val="99"/>
          <w:sz w:val="21"/>
        </w:rPr>
        <w:t>万元。投标人的投标报价高于上述价格，其应</w:t>
      </w:r>
      <w:r>
        <w:rPr>
          <w:spacing w:val="-7"/>
          <w:sz w:val="21"/>
        </w:rPr>
        <w:t>标报价无效，作废标处理。</w:t>
      </w:r>
    </w:p>
    <w:p>
      <w:pPr>
        <w:pStyle w:val="ListParagraph"/>
        <w:numPr>
          <w:ilvl w:val="1"/>
          <w:numId w:val="15"/>
        </w:numPr>
        <w:tabs>
          <w:tab w:pos="1289" w:val="left" w:leader="none"/>
        </w:tabs>
        <w:spacing w:line="240" w:lineRule="auto" w:before="93" w:after="0"/>
        <w:ind w:left="1288" w:right="0" w:hanging="476"/>
        <w:jc w:val="left"/>
        <w:rPr>
          <w:sz w:val="21"/>
        </w:rPr>
      </w:pPr>
      <w:r>
        <w:rPr>
          <w:sz w:val="21"/>
        </w:rPr>
        <w:t>投标报价的编制要求</w:t>
      </w:r>
    </w:p>
    <w:p>
      <w:pPr>
        <w:pStyle w:val="BodyText"/>
        <w:spacing w:before="120"/>
        <w:ind w:left="812"/>
      </w:pPr>
      <w:r>
        <w:rPr/>
        <w:t>(1)投标人应根据本招标文件、现行技术规范、现场条件等自主报价；</w:t>
      </w:r>
    </w:p>
    <w:p>
      <w:pPr>
        <w:pStyle w:val="BodyText"/>
        <w:spacing w:before="120"/>
        <w:ind w:left="812"/>
      </w:pPr>
      <w:r>
        <w:rPr/>
        <w:t>(2)投标人只允许有一个报价，招标人不接受任何有选择的报价。</w:t>
      </w:r>
    </w:p>
    <w:p>
      <w:pPr>
        <w:pStyle w:val="BodyText"/>
        <w:spacing w:before="127"/>
        <w:ind w:left="812"/>
      </w:pPr>
      <w:r>
        <w:rPr/>
        <w:t>(3)所有投标报价以人民币表示。</w:t>
      </w:r>
    </w:p>
    <w:p>
      <w:pPr>
        <w:pStyle w:val="BodyText"/>
        <w:spacing w:before="120"/>
        <w:ind w:left="812"/>
      </w:pPr>
      <w:r>
        <w:rPr>
          <w:w w:val="95"/>
        </w:rPr>
        <w:t>(4)技术规范要求的费用应包括在投标报价中。</w:t>
      </w:r>
    </w:p>
    <w:p>
      <w:pPr>
        <w:pStyle w:val="BodyText"/>
        <w:spacing w:before="120"/>
        <w:ind w:left="812"/>
      </w:pPr>
      <w:r>
        <w:rPr>
          <w:w w:val="95"/>
        </w:rPr>
        <w:t>(5)技术监督部门监检费用包括在投标报价中。</w:t>
      </w:r>
    </w:p>
    <w:p>
      <w:pPr>
        <w:pStyle w:val="ListParagraph"/>
        <w:numPr>
          <w:ilvl w:val="1"/>
          <w:numId w:val="15"/>
        </w:numPr>
        <w:tabs>
          <w:tab w:pos="1145" w:val="left" w:leader="none"/>
        </w:tabs>
        <w:spacing w:line="240" w:lineRule="auto" w:before="120" w:after="0"/>
        <w:ind w:left="352" w:right="0" w:firstLine="316"/>
        <w:jc w:val="left"/>
        <w:rPr>
          <w:sz w:val="21"/>
        </w:rPr>
      </w:pPr>
      <w:r>
        <w:rPr>
          <w:sz w:val="21"/>
        </w:rPr>
        <w:t>技术规格及服务要求的响应</w:t>
      </w:r>
    </w:p>
    <w:p>
      <w:pPr>
        <w:pStyle w:val="BodyText"/>
        <w:spacing w:before="119"/>
        <w:ind w:left="812"/>
      </w:pPr>
      <w:r>
        <w:rPr/>
        <w:t>(1)投标人应对招标文件中的技术规格每项作出响应，否则该投标将被拒绝。</w:t>
      </w:r>
    </w:p>
    <w:p>
      <w:pPr>
        <w:pStyle w:val="BodyText"/>
        <w:spacing w:before="121"/>
        <w:ind w:left="668"/>
      </w:pPr>
      <w:r>
        <w:rPr>
          <w:w w:val="95"/>
        </w:rPr>
        <w:t>(2)投标人的服务承诺应不低于招标文件中服务要求的标准。</w:t>
      </w:r>
    </w:p>
    <w:p>
      <w:pPr>
        <w:pStyle w:val="BodyText"/>
        <w:rPr>
          <w:sz w:val="20"/>
        </w:rPr>
      </w:pPr>
    </w:p>
    <w:p>
      <w:pPr>
        <w:pStyle w:val="Heading2"/>
        <w:spacing w:before="136"/>
        <w:ind w:left="3327"/>
        <w:jc w:val="left"/>
      </w:pPr>
      <w:r>
        <w:rPr/>
        <w:t>四、投标文件的编制</w:t>
      </w:r>
    </w:p>
    <w:p>
      <w:pPr>
        <w:pStyle w:val="BodyText"/>
        <w:spacing w:before="12"/>
        <w:rPr>
          <w:rFonts w:ascii="Microsoft JhengHei"/>
          <w:b/>
          <w:sz w:val="24"/>
        </w:rPr>
      </w:pPr>
    </w:p>
    <w:p>
      <w:pPr>
        <w:pStyle w:val="BodyText"/>
        <w:ind w:left="200" w:right="7584"/>
        <w:jc w:val="center"/>
      </w:pPr>
      <w:r>
        <w:rPr/>
        <w:t>（十二）投标文件的语言</w:t>
      </w:r>
    </w:p>
    <w:p>
      <w:pPr>
        <w:pStyle w:val="BodyText"/>
        <w:spacing w:before="99"/>
        <w:ind w:left="668"/>
      </w:pPr>
      <w:r>
        <w:rPr/>
        <w:t>12.1 投标人的投标文件以及投标人与招标人就有关投标的所有来往函电均应使用中文。</w:t>
      </w:r>
    </w:p>
    <w:p>
      <w:pPr>
        <w:pStyle w:val="BodyText"/>
        <w:spacing w:before="127"/>
        <w:ind w:left="200" w:right="7584"/>
        <w:jc w:val="center"/>
      </w:pPr>
      <w:r>
        <w:rPr/>
        <w:t>（十三）投标文件的组成</w:t>
      </w:r>
    </w:p>
    <w:p>
      <w:pPr>
        <w:pStyle w:val="ListParagraph"/>
        <w:numPr>
          <w:ilvl w:val="1"/>
          <w:numId w:val="16"/>
        </w:numPr>
        <w:tabs>
          <w:tab w:pos="1267" w:val="left" w:leader="none"/>
        </w:tabs>
        <w:spacing w:line="319" w:lineRule="auto" w:before="98" w:after="0"/>
        <w:ind w:left="352" w:right="251" w:firstLine="417"/>
        <w:jc w:val="left"/>
        <w:rPr>
          <w:sz w:val="21"/>
        </w:rPr>
      </w:pPr>
      <w:r>
        <w:rPr>
          <w:spacing w:val="-3"/>
          <w:sz w:val="21"/>
        </w:rPr>
        <w:t>投标文件应按“投标文件格式”进行编写，电子投标文件应使用电子化招投标系统投 标文件制</w:t>
      </w:r>
      <w:r>
        <w:rPr>
          <w:spacing w:val="-5"/>
          <w:sz w:val="21"/>
        </w:rPr>
        <w:t>作专用工具软件编制、生成，投标人保证所编制的电子投标文件能够有效表现所载的内 容一致，并可供</w:t>
      </w:r>
      <w:r>
        <w:rPr>
          <w:w w:val="95"/>
          <w:sz w:val="21"/>
        </w:rPr>
        <w:t>招标人调取。电子化招投标系统投标文件加盖扬州市网上招投标系统约定的数字证书签章（</w:t>
      </w:r>
      <w:r>
        <w:rPr>
          <w:spacing w:val="2"/>
          <w:w w:val="95"/>
          <w:sz w:val="21"/>
        </w:rPr>
        <w:t>电子签名</w:t>
      </w:r>
      <w:r>
        <w:rPr>
          <w:w w:val="95"/>
          <w:sz w:val="21"/>
        </w:rPr>
        <w:t>），   </w:t>
      </w:r>
      <w:r>
        <w:rPr>
          <w:sz w:val="21"/>
        </w:rPr>
        <w:t>并在投标截止期前发送至“扬州市建设工程网上招投标系统”中。</w:t>
      </w:r>
    </w:p>
    <w:p>
      <w:pPr>
        <w:pStyle w:val="ListParagraph"/>
        <w:numPr>
          <w:ilvl w:val="1"/>
          <w:numId w:val="16"/>
        </w:numPr>
        <w:tabs>
          <w:tab w:pos="1303" w:val="left" w:leader="none"/>
        </w:tabs>
        <w:spacing w:line="321" w:lineRule="auto" w:before="38" w:after="0"/>
        <w:ind w:left="352" w:right="460" w:firstLine="417"/>
        <w:jc w:val="left"/>
        <w:rPr>
          <w:sz w:val="21"/>
        </w:rPr>
      </w:pPr>
      <w:r>
        <w:rPr>
          <w:spacing w:val="-9"/>
          <w:sz w:val="21"/>
        </w:rPr>
        <w:t>投标文件应当对招标文件有关工期、投标有效期、质量要求、技术标准和要求、招标范 围等实质性内容作出响应。电子投标文件中投标函、授权委托书</w:t>
      </w:r>
      <w:r>
        <w:rPr>
          <w:sz w:val="21"/>
        </w:rPr>
        <w:t>（如有</w:t>
      </w:r>
      <w:r>
        <w:rPr>
          <w:spacing w:val="-8"/>
          <w:sz w:val="21"/>
        </w:rPr>
        <w:t>）</w:t>
      </w:r>
      <w:r>
        <w:rPr>
          <w:spacing w:val="-3"/>
          <w:sz w:val="21"/>
        </w:rPr>
        <w:t>加盖数字证书中的电子 签章。</w:t>
      </w:r>
    </w:p>
    <w:p>
      <w:pPr>
        <w:pStyle w:val="ListParagraph"/>
        <w:numPr>
          <w:ilvl w:val="1"/>
          <w:numId w:val="16"/>
        </w:numPr>
        <w:tabs>
          <w:tab w:pos="1303" w:val="left" w:leader="none"/>
        </w:tabs>
        <w:spacing w:line="319" w:lineRule="auto" w:before="28" w:after="0"/>
        <w:ind w:left="352" w:right="453" w:firstLine="417"/>
        <w:jc w:val="both"/>
        <w:rPr>
          <w:sz w:val="21"/>
        </w:rPr>
      </w:pPr>
      <w:r>
        <w:rPr>
          <w:spacing w:val="-4"/>
          <w:sz w:val="21"/>
        </w:rPr>
        <w:t>投标人编写的投标文件应包括：实体投标文件</w:t>
      </w:r>
      <w:r>
        <w:rPr>
          <w:sz w:val="21"/>
        </w:rPr>
        <w:t>（</w:t>
      </w:r>
      <w:r>
        <w:rPr>
          <w:spacing w:val="-5"/>
          <w:sz w:val="21"/>
        </w:rPr>
        <w:t>一张不加密的电子投标光盘，此光盘仅 在因招</w:t>
      </w:r>
      <w:r>
        <w:rPr>
          <w:spacing w:val="-2"/>
          <w:sz w:val="21"/>
        </w:rPr>
        <w:t>投标系统故障导致无法评标时使用</w:t>
      </w:r>
      <w:r>
        <w:rPr>
          <w:spacing w:val="-12"/>
          <w:sz w:val="21"/>
        </w:rPr>
        <w:t>）</w:t>
      </w:r>
      <w:r>
        <w:rPr>
          <w:spacing w:val="-2"/>
          <w:sz w:val="21"/>
        </w:rPr>
        <w:t>，网上投标文件</w:t>
      </w:r>
      <w:r>
        <w:rPr>
          <w:sz w:val="21"/>
        </w:rPr>
        <w:t>（</w:t>
      </w:r>
      <w:r>
        <w:rPr>
          <w:spacing w:val="-2"/>
          <w:sz w:val="21"/>
        </w:rPr>
        <w:t>按网上电子化招投标要求通过系统 上传的加密电子投标文件</w:t>
      </w:r>
      <w:r>
        <w:rPr>
          <w:spacing w:val="-15"/>
          <w:sz w:val="21"/>
        </w:rPr>
        <w:t>）</w:t>
      </w:r>
      <w:r>
        <w:rPr>
          <w:spacing w:val="-5"/>
          <w:sz w:val="21"/>
        </w:rPr>
        <w:t>。投标单位必须使用招标文件提供的表格格式，但表格可以按同样格 式扩展。</w:t>
      </w:r>
    </w:p>
    <w:p>
      <w:pPr>
        <w:pStyle w:val="ListParagraph"/>
        <w:numPr>
          <w:ilvl w:val="1"/>
          <w:numId w:val="16"/>
        </w:numPr>
        <w:tabs>
          <w:tab w:pos="1303" w:val="left" w:leader="none"/>
        </w:tabs>
        <w:spacing w:line="314" w:lineRule="auto" w:before="36" w:after="0"/>
        <w:ind w:left="352" w:right="477" w:firstLine="417"/>
        <w:jc w:val="left"/>
        <w:rPr>
          <w:sz w:val="21"/>
        </w:rPr>
      </w:pPr>
      <w:r>
        <w:rPr>
          <w:spacing w:val="-4"/>
          <w:w w:val="95"/>
          <w:sz w:val="21"/>
        </w:rPr>
        <w:t>资格审查文件应具备以下基本内容</w:t>
      </w:r>
      <w:r>
        <w:rPr>
          <w:w w:val="95"/>
          <w:sz w:val="21"/>
        </w:rPr>
        <w:t>（以下资料需将原件扫描件添加进电子投标文件并上传至电   </w:t>
      </w:r>
      <w:r>
        <w:rPr>
          <w:sz w:val="21"/>
        </w:rPr>
        <w:t>子化招投标系统，原件资格审查时不再进行复核）：</w:t>
      </w:r>
    </w:p>
    <w:p>
      <w:pPr>
        <w:pStyle w:val="BodyText"/>
        <w:spacing w:line="319" w:lineRule="auto" w:before="44"/>
        <w:ind w:left="532" w:right="453"/>
      </w:pPr>
      <w:r>
        <w:rPr/>
        <w:t>(1</w:t>
      </w:r>
      <w:r>
        <w:rPr>
          <w:spacing w:val="-1"/>
        </w:rPr>
        <w:t>)资格审查申请书； (</w:t>
      </w:r>
      <w:r>
        <w:rPr/>
        <w:t>2</w:t>
      </w:r>
      <w:r>
        <w:rPr>
          <w:spacing w:val="-2"/>
        </w:rPr>
        <w:t>)法定代表人授权委托书原件； </w:t>
      </w:r>
      <w:r>
        <w:rPr/>
        <w:t>(3</w:t>
      </w:r>
      <w:r>
        <w:rPr>
          <w:spacing w:val="-2"/>
        </w:rPr>
        <w:t>)申请资格审查人简介； (</w:t>
      </w:r>
      <w:r>
        <w:rPr/>
        <w:t>4)资格审查资料</w:t>
      </w:r>
      <w:r>
        <w:rPr>
          <w:spacing w:val="-1"/>
        </w:rPr>
        <w:t>真实性承诺书； (</w:t>
      </w:r>
      <w:r>
        <w:rPr/>
        <w:t>5)营业执照；(6</w:t>
      </w:r>
      <w:r>
        <w:rPr>
          <w:spacing w:val="-7"/>
        </w:rPr>
        <w:t>)由社保部门出具的投标人为授权委托人缴纳的 </w:t>
      </w:r>
      <w:r>
        <w:rPr/>
        <w:t>2017</w:t>
      </w:r>
      <w:r>
        <w:rPr>
          <w:spacing w:val="-39"/>
        </w:rPr>
        <w:t> 年 </w:t>
      </w:r>
      <w:r>
        <w:rPr/>
        <w:t>4</w:t>
      </w:r>
      <w:r>
        <w:rPr>
          <w:spacing w:val="-30"/>
        </w:rPr>
        <w:t> 月至 </w:t>
      </w:r>
      <w:r>
        <w:rPr/>
        <w:t>2017 </w:t>
      </w:r>
      <w:r>
        <w:rPr>
          <w:spacing w:val="-34"/>
        </w:rPr>
        <w:t>年 </w:t>
      </w:r>
      <w:r>
        <w:rPr/>
        <w:t>9</w:t>
      </w:r>
      <w:r>
        <w:rPr>
          <w:spacing w:val="-10"/>
        </w:rPr>
        <w:t> 月养老保险费用的 证明材料复印件；</w:t>
      </w:r>
      <w:r>
        <w:rPr/>
        <w:t>(7)提交由检察机关出具的投标人（</w:t>
      </w:r>
      <w:r>
        <w:rPr>
          <w:spacing w:val="-3"/>
        </w:rPr>
        <w:t>或在检察院行贿犯罪档案查询网查询打印的）</w:t>
      </w:r>
      <w:r>
        <w:rPr>
          <w:spacing w:val="-7"/>
        </w:rPr>
        <w:t>截止本工 程资格审查截止时间两个月内的《行贿犯罪档案查询告知函》且投标人无行贿犯罪记录；(8)</w:t>
      </w:r>
      <w:r>
        <w:rPr>
          <w:spacing w:val="-4"/>
        </w:rPr>
        <w:t>投标保证金收据；</w:t>
      </w:r>
      <w:r>
        <w:rPr/>
        <w:t>(9</w:t>
      </w:r>
      <w:r>
        <w:rPr>
          <w:spacing w:val="-3"/>
        </w:rPr>
        <w:t>)全国工业产品生产许可证</w:t>
      </w:r>
      <w:r>
        <w:rPr/>
        <w:t>；（10）</w:t>
      </w:r>
      <w:r>
        <w:rPr>
          <w:spacing w:val="-3"/>
        </w:rPr>
        <w:t>生产厂家授权书原件；</w:t>
      </w:r>
    </w:p>
    <w:p>
      <w:pPr>
        <w:pStyle w:val="BodyText"/>
        <w:spacing w:line="321" w:lineRule="auto" w:before="4"/>
        <w:ind w:left="532" w:right="439"/>
      </w:pPr>
      <w:r>
        <w:rPr>
          <w:w w:val="95"/>
        </w:rPr>
        <w:t>（代理商须提供生产厂家针对本项目的唯一授权书）；（11）</w:t>
      </w:r>
      <w:r>
        <w:rPr>
          <w:spacing w:val="-1"/>
          <w:w w:val="95"/>
        </w:rPr>
        <w:t>根据本招标文件资格审查要求，投标人应   </w:t>
      </w:r>
      <w:r>
        <w:rPr>
          <w:spacing w:val="-1"/>
        </w:rPr>
        <w:t>提供的其他相关证明文件。</w:t>
      </w:r>
    </w:p>
    <w:p>
      <w:pPr>
        <w:pStyle w:val="ListParagraph"/>
        <w:numPr>
          <w:ilvl w:val="1"/>
          <w:numId w:val="16"/>
        </w:numPr>
        <w:tabs>
          <w:tab w:pos="1433" w:val="left" w:leader="none"/>
        </w:tabs>
        <w:spacing w:line="240" w:lineRule="auto" w:before="28" w:after="0"/>
        <w:ind w:left="1432" w:right="0" w:hanging="476"/>
        <w:jc w:val="left"/>
        <w:rPr>
          <w:sz w:val="21"/>
        </w:rPr>
      </w:pPr>
      <w:r>
        <w:rPr>
          <w:sz w:val="21"/>
        </w:rPr>
        <w:t>投标文件应具备以下基本内容：</w:t>
      </w:r>
    </w:p>
    <w:p>
      <w:pPr>
        <w:pStyle w:val="BodyText"/>
        <w:spacing w:before="128"/>
        <w:ind w:left="956"/>
      </w:pPr>
      <w:r>
        <w:rPr/>
        <w:t>(1)投标函</w:t>
      </w:r>
    </w:p>
    <w:p>
      <w:pPr>
        <w:pStyle w:val="BodyText"/>
        <w:spacing w:before="127"/>
        <w:ind w:left="956"/>
      </w:pPr>
      <w:r>
        <w:rPr/>
        <w:t>(2)投标单位法人代表证书或法人授权委托书</w:t>
      </w:r>
    </w:p>
    <w:p>
      <w:pPr>
        <w:spacing w:after="0"/>
        <w:sectPr>
          <w:pgSz w:w="11910" w:h="16870"/>
          <w:pgMar w:top="1140" w:bottom="280" w:left="880" w:right="640"/>
        </w:sectPr>
      </w:pPr>
    </w:p>
    <w:p>
      <w:pPr>
        <w:pStyle w:val="BodyText"/>
        <w:spacing w:before="59"/>
        <w:ind w:left="776"/>
      </w:pPr>
      <w:r>
        <w:rPr/>
        <w:t>(3)报价明细表</w:t>
      </w:r>
    </w:p>
    <w:p>
      <w:pPr>
        <w:pStyle w:val="BodyText"/>
        <w:spacing w:before="34"/>
        <w:ind w:left="985"/>
      </w:pPr>
      <w:r>
        <w:rPr/>
        <w:t>(4)供货周期、质保期、确保通过验收、售后服务等承诺</w:t>
      </w:r>
    </w:p>
    <w:p>
      <w:pPr>
        <w:pStyle w:val="BodyText"/>
        <w:spacing w:before="40"/>
        <w:ind w:left="877"/>
      </w:pPr>
      <w:r>
        <w:rPr/>
        <w:t>(5)其他应提供的证明文件</w:t>
      </w:r>
    </w:p>
    <w:p>
      <w:pPr>
        <w:pStyle w:val="ListParagraph"/>
        <w:numPr>
          <w:ilvl w:val="1"/>
          <w:numId w:val="16"/>
        </w:numPr>
        <w:tabs>
          <w:tab w:pos="1361" w:val="left" w:leader="none"/>
        </w:tabs>
        <w:spacing w:line="240" w:lineRule="auto" w:before="12" w:after="0"/>
        <w:ind w:left="1360" w:right="0" w:hanging="476"/>
        <w:jc w:val="left"/>
        <w:rPr>
          <w:sz w:val="21"/>
        </w:rPr>
      </w:pPr>
      <w:r>
        <w:rPr>
          <w:sz w:val="21"/>
        </w:rPr>
        <w:t>投标文件电子文件的提交及要求：</w:t>
      </w:r>
    </w:p>
    <w:p>
      <w:pPr>
        <w:pStyle w:val="BodyText"/>
        <w:spacing w:line="314" w:lineRule="auto" w:before="120"/>
        <w:ind w:left="352" w:right="345" w:firstLine="417"/>
      </w:pPr>
      <w:r>
        <w:rPr>
          <w:w w:val="95"/>
        </w:rPr>
        <w:t>（1）本工程投标文件采用电子文件，按网上电子化招投标要求通过系统上传的加密电子投标文件，   </w:t>
      </w:r>
      <w:r>
        <w:rPr/>
        <w:t>并制作电子化评标系统格式光盘一张，光盘须单独封装在投标文件递交截止时间前递交 至指定地点。</w:t>
      </w:r>
    </w:p>
    <w:p>
      <w:pPr>
        <w:pStyle w:val="BodyText"/>
        <w:spacing w:line="314" w:lineRule="auto" w:before="44"/>
        <w:ind w:left="352" w:right="571" w:firstLine="417"/>
      </w:pPr>
      <w:r>
        <w:rPr/>
        <w:t>（2）投标文件电子光盘文件内容应与网上递交投标文件内容一致，并在光盘内刻录评标格 式文件和不加密 PDF 格式各一份。</w:t>
      </w:r>
    </w:p>
    <w:p>
      <w:pPr>
        <w:pStyle w:val="BodyText"/>
        <w:spacing w:before="45"/>
        <w:ind w:left="352"/>
      </w:pPr>
      <w:r>
        <w:rPr/>
        <w:t>（十四）投标有效期</w:t>
      </w:r>
    </w:p>
    <w:p>
      <w:pPr>
        <w:pStyle w:val="ListParagraph"/>
        <w:numPr>
          <w:ilvl w:val="1"/>
          <w:numId w:val="17"/>
        </w:numPr>
        <w:tabs>
          <w:tab w:pos="727" w:val="left" w:leader="none"/>
        </w:tabs>
        <w:spacing w:line="321" w:lineRule="auto" w:before="119" w:after="0"/>
        <w:ind w:left="250" w:right="619" w:firstLine="0"/>
        <w:jc w:val="left"/>
        <w:rPr>
          <w:sz w:val="21"/>
        </w:rPr>
      </w:pPr>
      <w:r>
        <w:rPr>
          <w:spacing w:val="-4"/>
          <w:sz w:val="21"/>
        </w:rPr>
        <w:t>投标文件在前附表中规定的投标截止日期之后的 </w:t>
      </w:r>
      <w:r>
        <w:rPr>
          <w:sz w:val="21"/>
        </w:rPr>
        <w:t>45</w:t>
      </w:r>
      <w:r>
        <w:rPr>
          <w:spacing w:val="-12"/>
          <w:sz w:val="21"/>
        </w:rPr>
        <w:t> 日历天内有效。投标有效期不足的投标将被视为非实质性响应，并予以拒绝。</w:t>
      </w:r>
    </w:p>
    <w:p>
      <w:pPr>
        <w:pStyle w:val="ListParagraph"/>
        <w:numPr>
          <w:ilvl w:val="1"/>
          <w:numId w:val="17"/>
        </w:numPr>
        <w:tabs>
          <w:tab w:pos="727" w:val="left" w:leader="none"/>
        </w:tabs>
        <w:spacing w:line="314" w:lineRule="auto" w:before="36" w:after="0"/>
        <w:ind w:left="250" w:right="619" w:firstLine="0"/>
        <w:jc w:val="left"/>
        <w:rPr>
          <w:sz w:val="21"/>
        </w:rPr>
      </w:pPr>
      <w:r>
        <w:rPr>
          <w:spacing w:val="-13"/>
          <w:w w:val="95"/>
          <w:sz w:val="21"/>
        </w:rPr>
        <w:t>在特殊情况下，在原投标有效期满之前，招标人可向投标人提出延长投标有效期的要求。这种要求与   </w:t>
      </w:r>
      <w:r>
        <w:rPr>
          <w:spacing w:val="-13"/>
          <w:sz w:val="21"/>
        </w:rPr>
        <w:t>答复均应以书面的形式。</w:t>
      </w:r>
    </w:p>
    <w:p>
      <w:pPr>
        <w:pStyle w:val="ListParagraph"/>
        <w:numPr>
          <w:ilvl w:val="1"/>
          <w:numId w:val="17"/>
        </w:numPr>
        <w:tabs>
          <w:tab w:pos="727" w:val="left" w:leader="none"/>
        </w:tabs>
        <w:spacing w:line="314" w:lineRule="auto" w:before="43" w:after="0"/>
        <w:ind w:left="250" w:right="511" w:firstLine="0"/>
        <w:jc w:val="left"/>
        <w:rPr>
          <w:sz w:val="21"/>
        </w:rPr>
      </w:pPr>
      <w:r>
        <w:rPr>
          <w:spacing w:val="-3"/>
          <w:w w:val="95"/>
          <w:sz w:val="21"/>
        </w:rPr>
        <w:t>投标人同意延长投标有效期的，将不会被要求和允许修改其投标，受投标有效期制约的所有权利和义   </w:t>
      </w:r>
      <w:r>
        <w:rPr>
          <w:spacing w:val="-3"/>
          <w:sz w:val="21"/>
        </w:rPr>
        <w:t>务均应延长至新的有效期。</w:t>
      </w:r>
    </w:p>
    <w:p>
      <w:pPr>
        <w:pStyle w:val="ListParagraph"/>
        <w:numPr>
          <w:ilvl w:val="1"/>
          <w:numId w:val="17"/>
        </w:numPr>
        <w:tabs>
          <w:tab w:pos="727" w:val="left" w:leader="none"/>
        </w:tabs>
        <w:spacing w:line="240" w:lineRule="auto" w:before="45" w:after="0"/>
        <w:ind w:left="250" w:right="0" w:firstLine="0"/>
        <w:jc w:val="left"/>
        <w:rPr>
          <w:sz w:val="21"/>
        </w:rPr>
      </w:pPr>
      <w:r>
        <w:rPr>
          <w:spacing w:val="-4"/>
          <w:sz w:val="21"/>
        </w:rPr>
        <w:t>投标人可以拒绝招标人延长投标有效期的要求，其投标失效，但投标人有权收回其投标保证金。</w:t>
      </w:r>
    </w:p>
    <w:p>
      <w:pPr>
        <w:pStyle w:val="BodyText"/>
        <w:spacing w:before="5"/>
        <w:rPr>
          <w:sz w:val="14"/>
        </w:rPr>
      </w:pPr>
    </w:p>
    <w:p>
      <w:pPr>
        <w:pStyle w:val="ListParagraph"/>
        <w:numPr>
          <w:ilvl w:val="1"/>
          <w:numId w:val="17"/>
        </w:numPr>
        <w:tabs>
          <w:tab w:pos="727" w:val="left" w:leader="none"/>
        </w:tabs>
        <w:spacing w:line="240" w:lineRule="auto" w:before="0" w:after="0"/>
        <w:ind w:left="250" w:right="0" w:firstLine="0"/>
        <w:jc w:val="left"/>
        <w:rPr>
          <w:sz w:val="21"/>
        </w:rPr>
      </w:pPr>
      <w:r>
        <w:rPr>
          <w:sz w:val="21"/>
        </w:rPr>
        <w:t>同意延长投标有效期的投标人少于三个的，招标人将重新招标。</w:t>
      </w:r>
    </w:p>
    <w:p>
      <w:pPr>
        <w:pStyle w:val="BodyText"/>
        <w:spacing w:before="106"/>
        <w:ind w:left="352"/>
      </w:pPr>
      <w:r>
        <w:rPr/>
        <w:t>（十五）投标保证金</w:t>
      </w:r>
    </w:p>
    <w:p>
      <w:pPr>
        <w:pStyle w:val="ListParagraph"/>
        <w:numPr>
          <w:ilvl w:val="0"/>
          <w:numId w:val="18"/>
        </w:numPr>
        <w:tabs>
          <w:tab w:pos="612" w:val="left" w:leader="none"/>
        </w:tabs>
        <w:spacing w:line="307" w:lineRule="auto" w:before="67" w:after="0"/>
        <w:ind w:left="395" w:right="971" w:firstLine="0"/>
        <w:jc w:val="left"/>
        <w:rPr>
          <w:sz w:val="21"/>
        </w:rPr>
      </w:pPr>
      <w:r>
        <w:rPr>
          <w:sz w:val="21"/>
        </w:rPr>
        <w:t>、投标保证金金额</w:t>
      </w:r>
      <w:r>
        <w:rPr>
          <w:rFonts w:ascii="Microsoft YaHei" w:hAnsi="Microsoft YaHei" w:eastAsia="Microsoft YaHei" w:hint="eastAsia"/>
          <w:b/>
          <w:spacing w:val="0"/>
          <w:sz w:val="21"/>
          <w:u w:val="single"/>
        </w:rPr>
        <w:t>肆万元</w:t>
      </w:r>
      <w:r>
        <w:rPr>
          <w:rFonts w:ascii="Microsoft YaHei" w:hAnsi="Microsoft YaHei" w:eastAsia="Microsoft YaHei" w:hint="eastAsia"/>
          <w:b/>
          <w:spacing w:val="27"/>
          <w:sz w:val="21"/>
        </w:rPr>
        <w:t> </w:t>
      </w:r>
      <w:r>
        <w:rPr>
          <w:sz w:val="21"/>
        </w:rPr>
        <w:t>；要求在递交资格审查材料截止时间前缴纳至投标保证金专用账户。</w:t>
      </w:r>
      <w:r>
        <w:rPr>
          <w:sz w:val="21"/>
          <w:u w:val="single"/>
        </w:rPr>
        <w:t>名称：仪征市建设工程交易中心；开户行：江苏银行仪征支行；账号：17000140300000385。</w:t>
      </w:r>
      <w:r>
        <w:rPr>
          <w:sz w:val="21"/>
        </w:rPr>
        <w:t>荣获</w:t>
      </w:r>
      <w:r>
        <w:rPr>
          <w:w w:val="95"/>
          <w:sz w:val="21"/>
        </w:rPr>
        <w:t>扬州市委或扬州市政府年度综合表彰的“扬州市建筑业先进企业”，自表彰文件下发之日起一年内   </w:t>
      </w:r>
      <w:r>
        <w:rPr>
          <w:sz w:val="21"/>
        </w:rPr>
        <w:t>可凭有关证明材料至仪征市建设工程交易中心办理“投标保证金暂缓缴纳”证明。</w:t>
      </w:r>
    </w:p>
    <w:p>
      <w:pPr>
        <w:pStyle w:val="ListParagraph"/>
        <w:numPr>
          <w:ilvl w:val="0"/>
          <w:numId w:val="18"/>
        </w:numPr>
        <w:tabs>
          <w:tab w:pos="612" w:val="left" w:leader="none"/>
        </w:tabs>
        <w:spacing w:line="314" w:lineRule="auto" w:before="44" w:after="0"/>
        <w:ind w:left="395" w:right="971" w:firstLine="0"/>
        <w:jc w:val="left"/>
        <w:rPr>
          <w:sz w:val="21"/>
        </w:rPr>
      </w:pPr>
      <w:r>
        <w:rPr>
          <w:w w:val="95"/>
          <w:sz w:val="21"/>
        </w:rPr>
        <w:t>、投标保证金可采用支票、银行电子汇票或电汇方式，投标人必须从其企业的法人基本存款账户  </w:t>
      </w:r>
      <w:r>
        <w:rPr>
          <w:sz w:val="21"/>
        </w:rPr>
        <w:t>将投标保证金以转帐方式缴入投标保证金专用帐户，并注明投标项目名称及标段。</w:t>
      </w:r>
    </w:p>
    <w:p>
      <w:pPr>
        <w:pStyle w:val="ListParagraph"/>
        <w:numPr>
          <w:ilvl w:val="0"/>
          <w:numId w:val="18"/>
        </w:numPr>
        <w:tabs>
          <w:tab w:pos="612" w:val="left" w:leader="none"/>
        </w:tabs>
        <w:spacing w:line="314" w:lineRule="auto" w:before="44" w:after="0"/>
        <w:ind w:left="395" w:right="971" w:firstLine="0"/>
        <w:jc w:val="left"/>
        <w:rPr>
          <w:sz w:val="21"/>
        </w:rPr>
      </w:pPr>
      <w:r>
        <w:rPr>
          <w:w w:val="95"/>
          <w:sz w:val="21"/>
        </w:rPr>
        <w:t>、投标人应当于递交资格审查材料截止时间前将招标公告要求的投标保证金金额递交至投标保证  </w:t>
      </w:r>
      <w:r>
        <w:rPr>
          <w:sz w:val="21"/>
        </w:rPr>
        <w:t>金专用账户。</w:t>
      </w:r>
    </w:p>
    <w:p>
      <w:pPr>
        <w:pStyle w:val="ListParagraph"/>
        <w:numPr>
          <w:ilvl w:val="0"/>
          <w:numId w:val="18"/>
        </w:numPr>
        <w:tabs>
          <w:tab w:pos="612" w:val="left" w:leader="none"/>
        </w:tabs>
        <w:spacing w:line="314" w:lineRule="auto" w:before="44" w:after="0"/>
        <w:ind w:left="395" w:right="965" w:firstLine="0"/>
        <w:jc w:val="left"/>
        <w:rPr>
          <w:sz w:val="21"/>
        </w:rPr>
      </w:pPr>
      <w:r>
        <w:rPr>
          <w:w w:val="95"/>
          <w:sz w:val="21"/>
        </w:rPr>
        <w:t>、第一次缴纳投标保证金的投标人需携带本单位的基本帐户《开户许可证》原件，留存盖有单位  </w:t>
      </w:r>
      <w:r>
        <w:rPr>
          <w:sz w:val="21"/>
        </w:rPr>
        <w:t>公章的复印件到仪征市建设工程交易中心财务室审核、备案。</w:t>
      </w:r>
    </w:p>
    <w:p>
      <w:pPr>
        <w:pStyle w:val="ListParagraph"/>
        <w:numPr>
          <w:ilvl w:val="0"/>
          <w:numId w:val="18"/>
        </w:numPr>
        <w:tabs>
          <w:tab w:pos="612" w:val="left" w:leader="none"/>
        </w:tabs>
        <w:spacing w:line="316" w:lineRule="auto" w:before="44" w:after="0"/>
        <w:ind w:left="395" w:right="971" w:firstLine="0"/>
        <w:jc w:val="both"/>
        <w:rPr>
          <w:sz w:val="21"/>
        </w:rPr>
      </w:pPr>
      <w:r>
        <w:rPr>
          <w:w w:val="95"/>
          <w:sz w:val="21"/>
        </w:rPr>
        <w:t>、投标保证金收据获取方式：采用转帐支票、银行汇票方式转帐的投标人提供进帐单；采用电汇   方式转帐的投标单位提供银行电汇凭证，投标人凭以上单据原件、复印件到仪征市建设工程交易中   </w:t>
      </w:r>
      <w:r>
        <w:rPr>
          <w:sz w:val="21"/>
        </w:rPr>
        <w:t>心财务室核实确认投标保证金到账后，由仪征市建设工程交易中心出具投标保证金收据。</w:t>
      </w:r>
    </w:p>
    <w:p>
      <w:pPr>
        <w:pStyle w:val="ListParagraph"/>
        <w:numPr>
          <w:ilvl w:val="0"/>
          <w:numId w:val="18"/>
        </w:numPr>
        <w:tabs>
          <w:tab w:pos="612" w:val="left" w:leader="none"/>
        </w:tabs>
        <w:spacing w:line="240" w:lineRule="auto" w:before="44" w:after="0"/>
        <w:ind w:left="395" w:right="0" w:firstLine="0"/>
        <w:jc w:val="left"/>
        <w:rPr>
          <w:sz w:val="21"/>
        </w:rPr>
      </w:pPr>
      <w:r>
        <w:rPr>
          <w:sz w:val="21"/>
        </w:rPr>
        <w:t>、无论任何理由，投标保证金未及时到账的均视为资格预审不合格。</w:t>
      </w:r>
    </w:p>
    <w:p>
      <w:pPr>
        <w:pStyle w:val="ListParagraph"/>
        <w:numPr>
          <w:ilvl w:val="0"/>
          <w:numId w:val="18"/>
        </w:numPr>
        <w:tabs>
          <w:tab w:pos="612" w:val="left" w:leader="none"/>
        </w:tabs>
        <w:spacing w:line="314" w:lineRule="auto" w:before="127" w:after="0"/>
        <w:ind w:left="395" w:right="971" w:firstLine="0"/>
        <w:jc w:val="left"/>
        <w:rPr>
          <w:sz w:val="21"/>
        </w:rPr>
      </w:pPr>
      <w:r>
        <w:rPr>
          <w:w w:val="95"/>
          <w:sz w:val="21"/>
        </w:rPr>
        <w:t>、资格预审不合格或未被确定入围的单位在确定潜在投标人后三个工作日内凭收据退还至原投标  </w:t>
      </w:r>
      <w:r>
        <w:rPr>
          <w:sz w:val="21"/>
        </w:rPr>
        <w:t>人基本帐户。</w:t>
      </w:r>
    </w:p>
    <w:p>
      <w:pPr>
        <w:pStyle w:val="ListParagraph"/>
        <w:numPr>
          <w:ilvl w:val="0"/>
          <w:numId w:val="18"/>
        </w:numPr>
        <w:tabs>
          <w:tab w:pos="612" w:val="left" w:leader="none"/>
        </w:tabs>
        <w:spacing w:line="319" w:lineRule="auto" w:before="45" w:after="0"/>
        <w:ind w:left="395" w:right="966" w:firstLine="0"/>
        <w:jc w:val="both"/>
        <w:rPr>
          <w:sz w:val="21"/>
        </w:rPr>
      </w:pPr>
      <w:r>
        <w:rPr>
          <w:spacing w:val="-3"/>
          <w:sz w:val="21"/>
        </w:rPr>
        <w:t>、资格预审合格参加投标的未中标人，投标保证金在中标人确定后 </w:t>
      </w:r>
      <w:r>
        <w:rPr>
          <w:sz w:val="21"/>
        </w:rPr>
        <w:t>5</w:t>
      </w:r>
      <w:r>
        <w:rPr>
          <w:spacing w:val="-9"/>
          <w:sz w:val="21"/>
        </w:rPr>
        <w:t> 日内由招标人提出，并经仪</w:t>
      </w:r>
      <w:r>
        <w:rPr>
          <w:spacing w:val="-8"/>
          <w:w w:val="95"/>
          <w:sz w:val="21"/>
        </w:rPr>
        <w:t>征市建设工程招标投标办公室确认，无息退还至其公司基本户；招标人未提出的，将在投标有效期   </w:t>
      </w:r>
      <w:r>
        <w:rPr>
          <w:spacing w:val="-7"/>
          <w:w w:val="95"/>
          <w:sz w:val="21"/>
        </w:rPr>
        <w:t>到期后自动退还至其公司基本户。中标人的投标保证金将在招标人与中标人签订合同，并经招投标   </w:t>
      </w:r>
      <w:r>
        <w:rPr>
          <w:spacing w:val="-6"/>
          <w:sz w:val="21"/>
        </w:rPr>
        <w:t>监管部门备案后五天内无息退还至其公司基本户。。</w:t>
      </w:r>
    </w:p>
    <w:p>
      <w:pPr>
        <w:spacing w:after="0" w:line="319" w:lineRule="auto"/>
        <w:jc w:val="both"/>
        <w:rPr>
          <w:sz w:val="21"/>
        </w:rPr>
        <w:sectPr>
          <w:pgSz w:w="11910" w:h="16870"/>
          <w:pgMar w:top="1140" w:bottom="280" w:left="880" w:right="640"/>
        </w:sectPr>
      </w:pPr>
    </w:p>
    <w:p>
      <w:pPr>
        <w:pStyle w:val="BodyText"/>
        <w:spacing w:before="59"/>
        <w:ind w:left="776"/>
      </w:pPr>
      <w:r>
        <w:rPr/>
        <w:t>9.发生下列情况之一，投标保证金将不予退还：</w:t>
      </w:r>
    </w:p>
    <w:p>
      <w:pPr>
        <w:pStyle w:val="BodyText"/>
        <w:spacing w:before="142"/>
        <w:ind w:left="776"/>
      </w:pPr>
      <w:r>
        <w:rPr/>
        <w:t>①投标人在投标有效期内撤回投标文件；</w:t>
      </w:r>
    </w:p>
    <w:p>
      <w:pPr>
        <w:pStyle w:val="BodyText"/>
        <w:spacing w:before="98"/>
        <w:ind w:left="776"/>
      </w:pPr>
      <w:r>
        <w:rPr/>
        <w:t>②中标人无故放弃中标项目或无正当理由在规定时间内不与招标人签订合同的；</w:t>
      </w:r>
    </w:p>
    <w:p>
      <w:pPr>
        <w:pStyle w:val="BodyText"/>
        <w:spacing w:before="98"/>
        <w:ind w:left="776"/>
      </w:pPr>
      <w:r>
        <w:rPr/>
        <w:t>③投标人以任何方式与其他投标人串通投标的；</w:t>
      </w:r>
    </w:p>
    <w:p>
      <w:pPr>
        <w:pStyle w:val="BodyText"/>
        <w:spacing w:before="106"/>
        <w:ind w:left="776"/>
      </w:pPr>
      <w:r>
        <w:rPr/>
        <w:t>④法律法规规定的其他行为。</w:t>
      </w:r>
    </w:p>
    <w:p>
      <w:pPr>
        <w:pStyle w:val="BodyText"/>
        <w:spacing w:before="12"/>
        <w:rPr>
          <w:sz w:val="28"/>
        </w:rPr>
      </w:pPr>
    </w:p>
    <w:p>
      <w:pPr>
        <w:pStyle w:val="Heading2"/>
        <w:ind w:right="1694"/>
      </w:pPr>
      <w:r>
        <w:rPr/>
        <w:t>五、投标文件的递交</w:t>
      </w:r>
    </w:p>
    <w:p>
      <w:pPr>
        <w:pStyle w:val="BodyText"/>
        <w:spacing w:before="173"/>
        <w:ind w:left="352"/>
      </w:pPr>
      <w:r>
        <w:rPr/>
        <w:t>（十六）投标文件的密封与递交</w:t>
      </w:r>
    </w:p>
    <w:p>
      <w:pPr>
        <w:pStyle w:val="BodyText"/>
        <w:spacing w:before="12"/>
        <w:rPr>
          <w:sz w:val="14"/>
        </w:rPr>
      </w:pPr>
    </w:p>
    <w:p>
      <w:pPr>
        <w:pStyle w:val="ListParagraph"/>
        <w:numPr>
          <w:ilvl w:val="1"/>
          <w:numId w:val="19"/>
        </w:numPr>
        <w:tabs>
          <w:tab w:pos="828" w:val="left" w:leader="none"/>
        </w:tabs>
        <w:spacing w:line="240" w:lineRule="auto" w:before="0" w:after="0"/>
        <w:ind w:left="827" w:right="0" w:hanging="475"/>
        <w:jc w:val="left"/>
        <w:rPr>
          <w:sz w:val="21"/>
        </w:rPr>
      </w:pPr>
      <w:r>
        <w:rPr>
          <w:sz w:val="21"/>
        </w:rPr>
        <w:t>投标文件的密封与标志</w:t>
      </w:r>
    </w:p>
    <w:p>
      <w:pPr>
        <w:pStyle w:val="BodyText"/>
        <w:spacing w:before="6"/>
        <w:rPr>
          <w:sz w:val="14"/>
        </w:rPr>
      </w:pPr>
    </w:p>
    <w:p>
      <w:pPr>
        <w:pStyle w:val="BodyText"/>
        <w:ind w:left="776"/>
      </w:pPr>
      <w:r>
        <w:rPr/>
        <w:t>(1)见投标人须知前附表。</w:t>
      </w:r>
    </w:p>
    <w:p>
      <w:pPr>
        <w:pStyle w:val="BodyText"/>
        <w:spacing w:before="127"/>
        <w:ind w:left="776"/>
      </w:pPr>
      <w:r>
        <w:rPr/>
        <w:t>(2)所有封袋上都应写明招标人名称、工程项目名称、投标人名称、卷别；</w:t>
      </w:r>
    </w:p>
    <w:p>
      <w:pPr>
        <w:pStyle w:val="BodyText"/>
        <w:spacing w:before="120"/>
        <w:ind w:left="776"/>
      </w:pPr>
      <w:r>
        <w:rPr/>
        <w:t>(3)所有投标文件都必须在封袋上加盖投标单位法人公章及其法定代表人或授权委托人的印鉴。</w:t>
      </w:r>
    </w:p>
    <w:p>
      <w:pPr>
        <w:pStyle w:val="BodyText"/>
        <w:spacing w:line="316" w:lineRule="auto" w:before="120"/>
        <w:ind w:left="250" w:right="352" w:firstLine="526"/>
      </w:pPr>
      <w:r>
        <w:rPr/>
        <w:t>(4</w:t>
      </w:r>
      <w:r>
        <w:rPr>
          <w:spacing w:val="-3"/>
        </w:rPr>
        <w:t>)通过电子化招投标系统中上传的电子投标文件应使用数字证书认证并加密，未按要求加 密和数字</w:t>
      </w:r>
      <w:r>
        <w:rPr>
          <w:spacing w:val="-13"/>
        </w:rPr>
        <w:t>证书认证的投标文件，将被视为无效投标文件，其投标文件将被拒绝，招标人不予受理。 具体操作详见“扬州市建设工程网上招投标系统操作手册”。</w:t>
      </w:r>
    </w:p>
    <w:p>
      <w:pPr>
        <w:pStyle w:val="ListParagraph"/>
        <w:numPr>
          <w:ilvl w:val="1"/>
          <w:numId w:val="19"/>
        </w:numPr>
        <w:tabs>
          <w:tab w:pos="1253" w:val="left" w:leader="none"/>
        </w:tabs>
        <w:spacing w:line="240" w:lineRule="auto" w:before="44" w:after="0"/>
        <w:ind w:left="1252" w:right="0" w:hanging="476"/>
        <w:jc w:val="left"/>
        <w:rPr>
          <w:sz w:val="21"/>
        </w:rPr>
      </w:pPr>
      <w:r>
        <w:rPr>
          <w:sz w:val="21"/>
        </w:rPr>
        <w:t>投标截止期</w:t>
      </w:r>
    </w:p>
    <w:p>
      <w:pPr>
        <w:pStyle w:val="BodyText"/>
        <w:spacing w:line="326" w:lineRule="auto" w:before="119"/>
        <w:ind w:left="250" w:right="431" w:firstLine="418"/>
      </w:pPr>
      <w:r>
        <w:rPr>
          <w:w w:val="95"/>
        </w:rPr>
        <w:t>(1</w:t>
      </w:r>
      <w:r>
        <w:rPr>
          <w:spacing w:val="-2"/>
          <w:w w:val="95"/>
        </w:rPr>
        <w:t>)投标人应在投标须知中规定的时间之前将网上投标文件上传至网上招投标系统，并将实体投标文件   </w:t>
      </w:r>
      <w:r>
        <w:rPr>
          <w:spacing w:val="-2"/>
        </w:rPr>
        <w:t>递交到招标文件前附表指定地点。</w:t>
      </w:r>
    </w:p>
    <w:p>
      <w:pPr>
        <w:pStyle w:val="BodyText"/>
        <w:spacing w:line="321" w:lineRule="auto" w:before="18"/>
        <w:ind w:left="258" w:right="431"/>
      </w:pPr>
      <w:r>
        <w:rPr>
          <w:w w:val="95"/>
        </w:rPr>
        <w:t>(2</w:t>
      </w:r>
      <w:r>
        <w:rPr>
          <w:spacing w:val="-3"/>
          <w:w w:val="95"/>
        </w:rPr>
        <w:t>)招标人可以按本文件规定以修改通知的方式，酌情延长递交投标文件的截止日期。在上述情况下，招标   </w:t>
      </w:r>
      <w:r>
        <w:rPr>
          <w:spacing w:val="-6"/>
        </w:rPr>
        <w:t>人与投标人以前的在投标截止期方面的全部权力、责任和义务，将适用于延长后新的投标截止期。</w:t>
      </w:r>
    </w:p>
    <w:p>
      <w:pPr>
        <w:pStyle w:val="BodyText"/>
        <w:spacing w:line="319" w:lineRule="auto" w:before="27"/>
        <w:ind w:left="250" w:right="424" w:firstLine="425"/>
        <w:jc w:val="both"/>
      </w:pPr>
      <w:r>
        <w:rPr>
          <w:w w:val="95"/>
        </w:rPr>
        <w:t>(3</w:t>
      </w:r>
      <w:r>
        <w:rPr>
          <w:spacing w:val="-2"/>
          <w:w w:val="95"/>
        </w:rPr>
        <w:t>)数字投标文件的递交方式：投标人使用扬州市建设工程网提供的扬州市网上招投标系统完成投标文   </w:t>
      </w:r>
      <w:r>
        <w:rPr>
          <w:spacing w:val="-6"/>
        </w:rPr>
        <w:t>件的上传。电子光盘递交标书的应在投标截止时间前随同书面投标文件送达规定地 点。招标人收到投标人</w:t>
      </w:r>
      <w:r>
        <w:rPr>
          <w:spacing w:val="-9"/>
        </w:rPr>
        <w:t>递交的电子投标文件，招标人出具确认收讫函，投标人收到招标人的收讫 确认时，投标文件视同已递交。</w:t>
      </w:r>
    </w:p>
    <w:p>
      <w:pPr>
        <w:pStyle w:val="BodyText"/>
        <w:spacing w:line="319" w:lineRule="auto" w:before="36"/>
        <w:ind w:left="352" w:right="561" w:firstLine="417"/>
        <w:jc w:val="both"/>
      </w:pPr>
      <w:r>
        <w:rPr>
          <w:spacing w:val="1"/>
        </w:rPr>
        <w:t>(4)</w:t>
      </w:r>
      <w:r>
        <w:rPr>
          <w:spacing w:val="-1"/>
        </w:rPr>
        <w:t>投标文件接收时间：投标人将电子投标文件送入扬州市网上招投标系统，并确认提交， 招标人</w:t>
      </w:r>
      <w:r>
        <w:rPr>
          <w:spacing w:val="-6"/>
        </w:rPr>
        <w:t>确认收讫并出具确认函，投标人收到确认函的时间为投标文件接收时间。投标人应在投标 截止时间前完</w:t>
      </w:r>
      <w:r>
        <w:rPr>
          <w:spacing w:val="-8"/>
        </w:rPr>
        <w:t>成数字投标文件上传并确认提交，投标文件接收时间超过投标截止时间视为逾期送 达。</w:t>
      </w:r>
    </w:p>
    <w:p>
      <w:pPr>
        <w:pStyle w:val="BodyText"/>
        <w:spacing w:before="36"/>
        <w:ind w:left="676"/>
      </w:pPr>
      <w:r>
        <w:rPr/>
        <w:t>(5)投标人递交投标文件的地点：见投标人须知前附表。</w:t>
      </w:r>
    </w:p>
    <w:p>
      <w:pPr>
        <w:pStyle w:val="BodyText"/>
        <w:spacing w:before="120"/>
        <w:ind w:left="676"/>
      </w:pPr>
      <w:r>
        <w:rPr/>
        <w:t>(6)除投标人须知前附表另有规定外，投标人所递交的投标文件不予退还。</w:t>
      </w:r>
    </w:p>
    <w:p>
      <w:pPr>
        <w:pStyle w:val="BodyText"/>
        <w:spacing w:before="120"/>
        <w:ind w:left="676"/>
      </w:pPr>
      <w:r>
        <w:rPr/>
        <w:t>(7)招标人收到投标文件后，向投标人出具签收凭证（确认收讫函）。</w:t>
      </w:r>
    </w:p>
    <w:p>
      <w:pPr>
        <w:pStyle w:val="BodyText"/>
        <w:spacing w:before="120"/>
        <w:ind w:left="676"/>
      </w:pPr>
      <w:r>
        <w:rPr/>
        <w:t>(8)逾期送达的或者未送达指定地点的投标文件，招标人不予受理。</w:t>
      </w:r>
    </w:p>
    <w:p>
      <w:pPr>
        <w:pStyle w:val="BodyText"/>
        <w:spacing w:line="319" w:lineRule="auto" w:before="120"/>
        <w:ind w:left="395" w:right="345" w:firstLine="280"/>
      </w:pPr>
      <w:r>
        <w:rPr/>
        <w:t>(9</w:t>
      </w:r>
      <w:r>
        <w:rPr>
          <w:spacing w:val="-2"/>
        </w:rPr>
        <w:t>)投标人应当妥善保管扬州市网上招投标系统配套的由第三方认证的电子签名制作数据(数字证书)。</w:t>
      </w:r>
      <w:r>
        <w:rPr>
          <w:spacing w:val="-7"/>
        </w:rPr>
        <w:t>投标人知悉数字证书已经失密或者可能已经失密时，应及时通知招标人、招投标监 管机构等招投标各方</w:t>
      </w:r>
      <w:r>
        <w:rPr>
          <w:spacing w:val="-10"/>
        </w:rPr>
        <w:t>主体，并终止该数字证书的使用。在未接到投标人数字证书失密停用信息情 况下，招标人经扬州市网上</w:t>
      </w:r>
      <w:r>
        <w:rPr>
          <w:spacing w:val="-12"/>
        </w:rPr>
        <w:t>招投标系统接受到加盖投标人数字证书电子投标文件，并经系统提供 的数字证书对比工具核对未发现电</w:t>
      </w:r>
      <w:r>
        <w:rPr>
          <w:spacing w:val="-16"/>
        </w:rPr>
        <w:t>子投标文件任何改动的，招标人将视为投标人加盖数字证书时 数字证书由投标人专用并由投标人控制，其投标文件电子签名可靠与投标人手写签名或者盖章具 有同等法律效力。</w:t>
      </w:r>
    </w:p>
    <w:p>
      <w:pPr>
        <w:pStyle w:val="ListParagraph"/>
        <w:numPr>
          <w:ilvl w:val="1"/>
          <w:numId w:val="19"/>
        </w:numPr>
        <w:tabs>
          <w:tab w:pos="1145" w:val="left" w:leader="none"/>
        </w:tabs>
        <w:spacing w:line="240" w:lineRule="auto" w:before="35" w:after="0"/>
        <w:ind w:left="1144" w:right="0" w:hanging="476"/>
        <w:jc w:val="left"/>
        <w:rPr>
          <w:sz w:val="21"/>
        </w:rPr>
      </w:pPr>
      <w:r>
        <w:rPr>
          <w:sz w:val="21"/>
        </w:rPr>
        <w:t>投标文件的修改与撤回</w:t>
      </w:r>
    </w:p>
    <w:p>
      <w:pPr>
        <w:spacing w:after="0" w:line="240" w:lineRule="auto"/>
        <w:jc w:val="left"/>
        <w:rPr>
          <w:sz w:val="21"/>
        </w:rPr>
        <w:sectPr>
          <w:pgSz w:w="11910" w:h="16870"/>
          <w:pgMar w:top="1140" w:bottom="280" w:left="880" w:right="640"/>
        </w:sectPr>
      </w:pPr>
    </w:p>
    <w:p>
      <w:pPr>
        <w:pStyle w:val="BodyText"/>
        <w:spacing w:line="328" w:lineRule="auto" w:before="59"/>
        <w:ind w:left="250" w:right="532" w:firstLine="526"/>
      </w:pPr>
      <w:r>
        <w:rPr>
          <w:w w:val="95"/>
        </w:rPr>
        <w:t>(1</w:t>
      </w:r>
      <w:r>
        <w:rPr>
          <w:spacing w:val="-2"/>
          <w:w w:val="95"/>
        </w:rPr>
        <w:t>)投标人可以在递交投标文件以后，在规定的投标截止期之前，以书面形式向招标人递交修改或撤   </w:t>
      </w:r>
      <w:r>
        <w:rPr>
          <w:spacing w:val="-2"/>
        </w:rPr>
        <w:t>回其投标文件的通知。在投标截止期以后，不得更改、撤回投标文件。</w:t>
      </w:r>
    </w:p>
    <w:p>
      <w:pPr>
        <w:pStyle w:val="BodyText"/>
        <w:spacing w:line="321" w:lineRule="auto" w:before="19"/>
        <w:ind w:left="776" w:right="532"/>
      </w:pPr>
      <w:r>
        <w:rPr>
          <w:w w:val="95"/>
        </w:rPr>
        <w:t>(2</w:t>
      </w:r>
      <w:r>
        <w:rPr>
          <w:spacing w:val="-1"/>
          <w:w w:val="95"/>
        </w:rPr>
        <w:t>)投标文件的修改应按本文件相关条款规定的要求编制、密封、标志和递交</w:t>
      </w:r>
      <w:r>
        <w:rPr>
          <w:spacing w:val="-8"/>
          <w:w w:val="95"/>
        </w:rPr>
        <w:t>（</w:t>
      </w:r>
      <w:r>
        <w:rPr>
          <w:w w:val="95"/>
        </w:rPr>
        <w:t>密封袋上应标明“修   </w:t>
      </w:r>
      <w:r>
        <w:rPr/>
        <w:t>改”字样）。</w:t>
      </w:r>
    </w:p>
    <w:p>
      <w:pPr>
        <w:pStyle w:val="BodyText"/>
        <w:spacing w:before="28"/>
        <w:ind w:left="352"/>
      </w:pPr>
      <w:r>
        <w:rPr/>
        <w:t>(3)投标截止以后,在投标有效期内，未确定中标人前，投标人不得撤回投标文件。</w:t>
      </w:r>
    </w:p>
    <w:p>
      <w:pPr>
        <w:pStyle w:val="BodyText"/>
        <w:rPr>
          <w:sz w:val="20"/>
        </w:rPr>
      </w:pPr>
    </w:p>
    <w:p>
      <w:pPr>
        <w:pStyle w:val="Heading2"/>
        <w:tabs>
          <w:tab w:pos="1368" w:val="left" w:leader="none"/>
        </w:tabs>
        <w:spacing w:before="166"/>
        <w:ind w:left="0" w:right="1398"/>
      </w:pPr>
      <w:r>
        <w:rPr>
          <w:spacing w:val="5"/>
        </w:rPr>
        <w:t>六、</w:t>
      </w:r>
      <w:r>
        <w:rPr/>
        <w:t>开</w:t>
        <w:tab/>
        <w:t>标</w:t>
      </w:r>
    </w:p>
    <w:p>
      <w:pPr>
        <w:pStyle w:val="BodyText"/>
        <w:spacing w:before="280"/>
        <w:ind w:left="352"/>
      </w:pPr>
      <w:r>
        <w:rPr/>
        <w:t>（十七）开标</w:t>
      </w:r>
    </w:p>
    <w:p>
      <w:pPr>
        <w:pStyle w:val="ListParagraph"/>
        <w:numPr>
          <w:ilvl w:val="1"/>
          <w:numId w:val="20"/>
        </w:numPr>
        <w:tabs>
          <w:tab w:pos="1253" w:val="left" w:leader="none"/>
        </w:tabs>
        <w:spacing w:line="240" w:lineRule="auto" w:before="99" w:after="0"/>
        <w:ind w:left="352" w:right="0" w:firstLine="424"/>
        <w:jc w:val="left"/>
        <w:rPr>
          <w:sz w:val="21"/>
        </w:rPr>
      </w:pPr>
      <w:r>
        <w:rPr>
          <w:sz w:val="21"/>
        </w:rPr>
        <w:t>开标按招标文件规定的地点公开进行，开标时间为投标截止时间。</w:t>
      </w:r>
    </w:p>
    <w:p>
      <w:pPr>
        <w:pStyle w:val="ListParagraph"/>
        <w:numPr>
          <w:ilvl w:val="1"/>
          <w:numId w:val="20"/>
        </w:numPr>
        <w:tabs>
          <w:tab w:pos="1303" w:val="left" w:leader="none"/>
        </w:tabs>
        <w:spacing w:line="316" w:lineRule="auto" w:before="105" w:after="0"/>
        <w:ind w:left="352" w:right="532" w:firstLine="417"/>
        <w:jc w:val="both"/>
        <w:rPr>
          <w:sz w:val="21"/>
        </w:rPr>
      </w:pPr>
      <w:r>
        <w:rPr>
          <w:spacing w:val="-2"/>
          <w:sz w:val="21"/>
        </w:rPr>
        <w:t>开标会由招标人或招标代理机构主持，邀请所有投标人参加， 投标人法定代表人或者授权委</w:t>
      </w:r>
      <w:r>
        <w:rPr>
          <w:spacing w:val="-5"/>
          <w:sz w:val="21"/>
        </w:rPr>
        <w:t>托人应当按时参加开标会，并在招标人按开标程序进行点名时， 向招标人出示本人身份证，以证明其出席。</w:t>
      </w:r>
    </w:p>
    <w:p>
      <w:pPr>
        <w:pStyle w:val="ListParagraph"/>
        <w:numPr>
          <w:ilvl w:val="1"/>
          <w:numId w:val="20"/>
        </w:numPr>
        <w:tabs>
          <w:tab w:pos="1253" w:val="left" w:leader="none"/>
        </w:tabs>
        <w:spacing w:line="240" w:lineRule="auto" w:before="44" w:after="0"/>
        <w:ind w:left="352" w:right="0" w:firstLine="424"/>
        <w:jc w:val="left"/>
        <w:rPr>
          <w:sz w:val="21"/>
        </w:rPr>
      </w:pPr>
      <w:r>
        <w:rPr>
          <w:sz w:val="21"/>
        </w:rPr>
        <w:t>开标程序：</w:t>
      </w:r>
    </w:p>
    <w:p>
      <w:pPr>
        <w:pStyle w:val="BodyText"/>
        <w:spacing w:before="98"/>
        <w:ind w:left="776"/>
      </w:pPr>
      <w:r>
        <w:rPr/>
        <w:t>（1）宣布开标纪律；</w:t>
      </w:r>
    </w:p>
    <w:p>
      <w:pPr>
        <w:pStyle w:val="BodyText"/>
        <w:spacing w:before="105"/>
        <w:ind w:left="776"/>
      </w:pPr>
      <w:r>
        <w:rPr/>
        <w:t>（2）公布在投标截止时间前递交投标文件的投标人名称，并点名确认投标人是否派人到场；</w:t>
      </w:r>
    </w:p>
    <w:p>
      <w:pPr>
        <w:pStyle w:val="BodyText"/>
        <w:spacing w:before="99"/>
        <w:ind w:left="776"/>
      </w:pPr>
      <w:r>
        <w:rPr/>
        <w:t>（3）宣布开标人、唱标人、记录人、监标人等有关人员姓名；</w:t>
      </w:r>
    </w:p>
    <w:p>
      <w:pPr>
        <w:pStyle w:val="BodyText"/>
        <w:spacing w:before="106"/>
        <w:ind w:left="776"/>
      </w:pPr>
      <w:r>
        <w:rPr/>
        <w:t>（4）按照投标人须知前附表规定检查投标文件的密封情况；</w:t>
      </w:r>
    </w:p>
    <w:p>
      <w:pPr>
        <w:pStyle w:val="BodyText"/>
        <w:spacing w:line="314" w:lineRule="auto" w:before="134"/>
        <w:ind w:left="352" w:right="467" w:firstLine="417"/>
      </w:pPr>
      <w:r>
        <w:rPr/>
        <w:t>（5）</w:t>
      </w:r>
      <w:r>
        <w:rPr>
          <w:spacing w:val="-8"/>
        </w:rPr>
        <w:t>按照宣布的开标顺序当众开标，公布投标人名称、标段名称、投标保证金的递交情况、 投标报价、质量目标、工期及其他内容，并记录在案；</w:t>
      </w:r>
    </w:p>
    <w:p>
      <w:pPr>
        <w:pStyle w:val="BodyText"/>
        <w:spacing w:before="44"/>
        <w:ind w:left="776"/>
      </w:pPr>
      <w:r>
        <w:rPr/>
        <w:t>（6）投标人代表、招标人代表、监标人、记录人等有关人员在开标记录上签字确认；</w:t>
      </w:r>
    </w:p>
    <w:p>
      <w:pPr>
        <w:pStyle w:val="BodyText"/>
        <w:spacing w:before="98"/>
        <w:ind w:left="776"/>
      </w:pPr>
      <w:r>
        <w:rPr/>
        <w:t>（7）开标结束。</w:t>
      </w:r>
    </w:p>
    <w:p>
      <w:pPr>
        <w:pStyle w:val="BodyText"/>
        <w:rPr>
          <w:sz w:val="15"/>
        </w:rPr>
      </w:pPr>
    </w:p>
    <w:p>
      <w:pPr>
        <w:pStyle w:val="ListParagraph"/>
        <w:numPr>
          <w:ilvl w:val="1"/>
          <w:numId w:val="20"/>
        </w:numPr>
        <w:tabs>
          <w:tab w:pos="1203" w:val="left" w:leader="none"/>
        </w:tabs>
        <w:spacing w:line="314" w:lineRule="auto" w:before="0" w:after="0"/>
        <w:ind w:left="250" w:right="150" w:firstLine="418"/>
        <w:jc w:val="left"/>
        <w:rPr>
          <w:sz w:val="21"/>
        </w:rPr>
      </w:pPr>
      <w:r>
        <w:rPr>
          <w:spacing w:val="-4"/>
          <w:w w:val="95"/>
          <w:sz w:val="21"/>
        </w:rPr>
        <w:t>开标时，由投标人推选的代表或招标人委托的公证机构检查投标文件的密封情况，经确认无误后，   </w:t>
      </w:r>
      <w:r>
        <w:rPr>
          <w:spacing w:val="-4"/>
          <w:sz w:val="21"/>
        </w:rPr>
        <w:t>由工作人员当众予以拆封、宣读、记录。</w:t>
      </w:r>
    </w:p>
    <w:p>
      <w:pPr>
        <w:pStyle w:val="ListParagraph"/>
        <w:numPr>
          <w:ilvl w:val="1"/>
          <w:numId w:val="20"/>
        </w:numPr>
        <w:tabs>
          <w:tab w:pos="1203" w:val="left" w:leader="none"/>
        </w:tabs>
        <w:spacing w:line="314" w:lineRule="auto" w:before="44" w:after="0"/>
        <w:ind w:left="250" w:right="150" w:firstLine="418"/>
        <w:jc w:val="left"/>
        <w:rPr>
          <w:sz w:val="21"/>
        </w:rPr>
      </w:pPr>
      <w:r>
        <w:rPr>
          <w:w w:val="95"/>
          <w:sz w:val="21"/>
        </w:rPr>
        <w:t>招标人在招标文件要求提交投标文件的截止时间前收到的所有符合招标文件规定要求的投标文件，   </w:t>
      </w:r>
      <w:r>
        <w:rPr>
          <w:spacing w:val="-8"/>
          <w:sz w:val="21"/>
        </w:rPr>
        <w:t>开标时都将当众予以拆封、宣读、记录。电子文件将在开标会议上当众进行数据导 入，供评标使用。原始</w:t>
      </w:r>
    </w:p>
    <w:p>
      <w:pPr>
        <w:pStyle w:val="BodyText"/>
        <w:spacing w:before="8"/>
        <w:ind w:left="123" w:right="937"/>
        <w:jc w:val="center"/>
      </w:pPr>
      <w:r>
        <w:rPr/>
        <w:t>电子文件密封保存至招标文件规定的投标有效期满。投标人未提供电子文 件的，其投标将被拒绝。</w:t>
      </w:r>
    </w:p>
    <w:p>
      <w:pPr>
        <w:pStyle w:val="ListParagraph"/>
        <w:numPr>
          <w:ilvl w:val="1"/>
          <w:numId w:val="20"/>
        </w:numPr>
        <w:tabs>
          <w:tab w:pos="1253" w:val="left" w:leader="none"/>
        </w:tabs>
        <w:spacing w:line="240" w:lineRule="auto" w:before="127" w:after="0"/>
        <w:ind w:left="352" w:right="0" w:firstLine="424"/>
        <w:jc w:val="left"/>
        <w:rPr>
          <w:sz w:val="21"/>
        </w:rPr>
      </w:pPr>
      <w:r>
        <w:rPr>
          <w:spacing w:val="-1"/>
          <w:sz w:val="21"/>
        </w:rPr>
        <w:t>在开标时，投标文件出现下列情形之一的，将作为无效投标文件，不得进入评标：</w:t>
      </w:r>
    </w:p>
    <w:p>
      <w:pPr>
        <w:pStyle w:val="BodyText"/>
        <w:spacing w:before="99"/>
        <w:ind w:left="776"/>
      </w:pPr>
      <w:r>
        <w:rPr/>
        <w:t>（1）投标文件未按照招标文件的要求予以密封的；</w:t>
      </w:r>
    </w:p>
    <w:p>
      <w:pPr>
        <w:pStyle w:val="BodyText"/>
        <w:spacing w:before="105"/>
        <w:ind w:left="776"/>
      </w:pPr>
      <w:r>
        <w:rPr>
          <w:w w:val="95"/>
        </w:rPr>
        <w:t>（2）超过投标截止时间递交的投标文件；</w:t>
      </w:r>
    </w:p>
    <w:p>
      <w:pPr>
        <w:pStyle w:val="BodyText"/>
        <w:spacing w:before="98"/>
        <w:ind w:left="776"/>
      </w:pPr>
      <w:r>
        <w:rPr>
          <w:w w:val="95"/>
        </w:rPr>
        <w:t>（3）投标人未在规定时间内完成解密的；</w:t>
      </w:r>
    </w:p>
    <w:p>
      <w:pPr>
        <w:pStyle w:val="BodyText"/>
        <w:spacing w:before="142"/>
        <w:ind w:left="776"/>
      </w:pPr>
      <w:r>
        <w:rPr/>
        <w:t>（4）投标人法定代表人或者授权委托人未参加开标的。</w:t>
      </w:r>
    </w:p>
    <w:p>
      <w:pPr>
        <w:pStyle w:val="BodyText"/>
        <w:spacing w:before="98"/>
        <w:ind w:left="776"/>
      </w:pPr>
      <w:r>
        <w:rPr/>
        <w:t>（5）投标人未按招标文件要求对投标文件进行 CA 证书加密或电子签章的。</w:t>
      </w:r>
    </w:p>
    <w:p>
      <w:pPr>
        <w:pStyle w:val="BodyText"/>
        <w:spacing w:before="7"/>
        <w:rPr>
          <w:sz w:val="29"/>
        </w:rPr>
      </w:pPr>
    </w:p>
    <w:p>
      <w:pPr>
        <w:pStyle w:val="Heading2"/>
        <w:tabs>
          <w:tab w:pos="1527" w:val="left" w:leader="none"/>
        </w:tabs>
        <w:ind w:left="0" w:right="937"/>
      </w:pPr>
      <w:r>
        <w:rPr>
          <w:spacing w:val="5"/>
        </w:rPr>
        <w:t>七、</w:t>
      </w:r>
      <w:r>
        <w:rPr/>
        <w:t>评</w:t>
        <w:tab/>
        <w:t>标</w:t>
      </w:r>
    </w:p>
    <w:p>
      <w:pPr>
        <w:pStyle w:val="BodyText"/>
        <w:spacing w:before="166"/>
        <w:ind w:left="352"/>
      </w:pPr>
      <w:r>
        <w:rPr/>
        <w:t>（十八）评标与定标</w:t>
      </w:r>
    </w:p>
    <w:p>
      <w:pPr>
        <w:pStyle w:val="BodyText"/>
        <w:spacing w:before="12"/>
        <w:rPr>
          <w:sz w:val="14"/>
        </w:rPr>
      </w:pPr>
    </w:p>
    <w:p>
      <w:pPr>
        <w:pStyle w:val="ListParagraph"/>
        <w:numPr>
          <w:ilvl w:val="1"/>
          <w:numId w:val="21"/>
        </w:numPr>
        <w:tabs>
          <w:tab w:pos="828" w:val="left" w:leader="none"/>
        </w:tabs>
        <w:spacing w:line="240" w:lineRule="auto" w:before="0" w:after="0"/>
        <w:ind w:left="827" w:right="0" w:hanging="475"/>
        <w:jc w:val="left"/>
        <w:rPr>
          <w:sz w:val="21"/>
        </w:rPr>
      </w:pPr>
      <w:r>
        <w:rPr>
          <w:sz w:val="21"/>
        </w:rPr>
        <w:t>评标</w:t>
      </w:r>
    </w:p>
    <w:p>
      <w:pPr>
        <w:spacing w:after="0" w:line="240" w:lineRule="auto"/>
        <w:jc w:val="left"/>
        <w:rPr>
          <w:sz w:val="21"/>
        </w:rPr>
        <w:sectPr>
          <w:pgSz w:w="11910" w:h="16870"/>
          <w:pgMar w:top="1140" w:bottom="280" w:left="880" w:right="640"/>
        </w:sectPr>
      </w:pPr>
    </w:p>
    <w:p>
      <w:pPr>
        <w:pStyle w:val="BodyText"/>
        <w:spacing w:line="319" w:lineRule="auto" w:before="59"/>
        <w:ind w:left="352" w:right="561" w:firstLine="417"/>
        <w:jc w:val="both"/>
      </w:pPr>
      <w:r>
        <w:rPr>
          <w:spacing w:val="-2"/>
          <w:w w:val="95"/>
        </w:rPr>
        <w:t>投标文件的评审工作在仪征市招标办和公证处的监督下，由评标委员会负责进行。评标委员会的成   </w:t>
      </w:r>
      <w:r>
        <w:rPr>
          <w:spacing w:val="-7"/>
        </w:rPr>
        <w:t>员必须符合法律法规有关规定。评标委员会成员应认真阅读投标文件，严格依据国 家和省市招标投标的</w:t>
      </w:r>
      <w:r>
        <w:rPr>
          <w:spacing w:val="-10"/>
        </w:rPr>
        <w:t>法律法规精神和本招标文件规定的评标标准和方法进行评审、依法独立评标 不得带有任何倾向性。评标活动遵循公平、公正、科学和择优的原则。</w:t>
      </w:r>
    </w:p>
    <w:p>
      <w:pPr>
        <w:pStyle w:val="BodyText"/>
        <w:spacing w:line="314" w:lineRule="auto" w:before="38"/>
        <w:ind w:left="250" w:right="453" w:firstLine="425"/>
      </w:pPr>
      <w:r>
        <w:rPr/>
        <w:t>（1）</w:t>
      </w:r>
      <w:r>
        <w:rPr>
          <w:spacing w:val="-12"/>
        </w:rPr>
        <w:t>评标委员会 评标由招标人依法组建的评标委员会负责。评标委员会由有关技术、经济等方面的专家组成。评标委员会成员人数以及技术、经济等方面专家的确定方式：评标委员均在专家库中随机抽取。</w:t>
      </w:r>
    </w:p>
    <w:p>
      <w:pPr>
        <w:pStyle w:val="BodyText"/>
        <w:spacing w:before="44"/>
        <w:ind w:left="532"/>
      </w:pPr>
      <w:r>
        <w:rPr/>
        <w:t>（2）评审程序</w:t>
      </w:r>
    </w:p>
    <w:p>
      <w:pPr>
        <w:pStyle w:val="BodyText"/>
        <w:spacing w:before="6"/>
        <w:rPr>
          <w:sz w:val="14"/>
        </w:rPr>
      </w:pPr>
    </w:p>
    <w:p>
      <w:pPr>
        <w:pStyle w:val="BodyText"/>
        <w:ind w:left="250"/>
        <w:jc w:val="both"/>
      </w:pPr>
      <w:r>
        <w:rPr/>
        <w:t>①评标按照下列程序进行：</w:t>
      </w:r>
    </w:p>
    <w:p>
      <w:pPr>
        <w:pStyle w:val="BodyText"/>
        <w:spacing w:before="5"/>
        <w:rPr>
          <w:sz w:val="14"/>
        </w:rPr>
      </w:pPr>
    </w:p>
    <w:p>
      <w:pPr>
        <w:pStyle w:val="BodyText"/>
        <w:ind w:left="250"/>
        <w:jc w:val="both"/>
      </w:pPr>
      <w:r>
        <w:rPr/>
        <w:t>1）评标准备；</w:t>
      </w:r>
    </w:p>
    <w:p>
      <w:pPr>
        <w:pStyle w:val="BodyText"/>
        <w:spacing w:before="127"/>
        <w:ind w:left="250"/>
        <w:jc w:val="both"/>
      </w:pPr>
      <w:r>
        <w:rPr/>
        <w:t>2）组建评标委员会；</w:t>
      </w:r>
    </w:p>
    <w:p>
      <w:pPr>
        <w:pStyle w:val="BodyText"/>
        <w:spacing w:before="99"/>
        <w:ind w:left="250"/>
        <w:jc w:val="both"/>
      </w:pPr>
      <w:r>
        <w:rPr>
          <w:w w:val="95"/>
        </w:rPr>
        <w:t>3）初步评审；</w:t>
      </w:r>
    </w:p>
    <w:p>
      <w:pPr>
        <w:pStyle w:val="BodyText"/>
        <w:spacing w:before="105"/>
        <w:ind w:left="250"/>
        <w:jc w:val="both"/>
      </w:pPr>
      <w:r>
        <w:rPr>
          <w:w w:val="95"/>
        </w:rPr>
        <w:t>4）详细评审；</w:t>
      </w:r>
    </w:p>
    <w:p>
      <w:pPr>
        <w:pStyle w:val="BodyText"/>
        <w:spacing w:before="98"/>
        <w:ind w:left="250"/>
        <w:jc w:val="both"/>
      </w:pPr>
      <w:r>
        <w:rPr/>
        <w:t>5）推荐中标候选人，撰写评标报告。</w:t>
      </w:r>
    </w:p>
    <w:p>
      <w:pPr>
        <w:pStyle w:val="BodyText"/>
        <w:spacing w:before="106"/>
        <w:ind w:left="250"/>
        <w:jc w:val="both"/>
      </w:pPr>
      <w:r>
        <w:rPr/>
        <w:t>②评标顺序：先进行资格审查，后评审投标其他文件。</w:t>
      </w:r>
    </w:p>
    <w:p>
      <w:pPr>
        <w:pStyle w:val="BodyText"/>
        <w:spacing w:before="98"/>
        <w:ind w:left="250"/>
        <w:jc w:val="both"/>
      </w:pPr>
      <w:r>
        <w:rPr/>
        <w:t>（3）评标准备</w:t>
      </w:r>
    </w:p>
    <w:p>
      <w:pPr>
        <w:pStyle w:val="BodyText"/>
        <w:spacing w:before="134"/>
        <w:ind w:left="460"/>
      </w:pPr>
      <w:r>
        <w:rPr/>
        <w:t>①评标委员会成员签到 评标委员会成员到达评标现场时应在签到表上签到以证明其出席。</w:t>
      </w:r>
    </w:p>
    <w:p>
      <w:pPr>
        <w:pStyle w:val="BodyText"/>
        <w:spacing w:line="316" w:lineRule="auto" w:before="128"/>
        <w:ind w:left="250" w:right="460" w:firstLine="209"/>
      </w:pPr>
      <w:r>
        <w:rPr>
          <w:spacing w:val="-7"/>
        </w:rPr>
        <w:t>②评标委员会的分工 评标委员会首先推选一名评标委员会负责人。评标委员会负责人负责评标活动的组</w:t>
      </w:r>
      <w:r>
        <w:rPr>
          <w:spacing w:val="-9"/>
        </w:rPr>
        <w:t>织领导工作。评标委员会负责人在与其他评标委员会成员商议的基础上可以将评标委员会划分为技术组和商务组。</w:t>
      </w:r>
    </w:p>
    <w:p>
      <w:pPr>
        <w:pStyle w:val="BodyText"/>
        <w:spacing w:line="321" w:lineRule="auto" w:before="29"/>
        <w:ind w:left="250" w:right="143" w:firstLine="209"/>
      </w:pPr>
      <w:r>
        <w:rPr>
          <w:spacing w:val="-5"/>
        </w:rPr>
        <w:t>③熟悉文件资料 评标委员会成员应认真研究招标文件，了解和熟悉招标目的、招标范围、主要合同条件、技术标准和要求、质量标准和工期要求，掌握评标标准和方法，熟悉本章及附件中包括的评标表格 的使用， </w:t>
      </w:r>
      <w:r>
        <w:rPr>
          <w:spacing w:val="-6"/>
        </w:rPr>
        <w:t>如果本章及附件所附的表格不能满足评标所需时，评标委员会应补充编制评标所需的表 格，尤其是用于详细分析计算的表格。未在招标文件中规定的标准和方法不得作为评标的依据。 招标人或招标代理机构应向</w:t>
      </w:r>
      <w:r>
        <w:rPr>
          <w:spacing w:val="-9"/>
        </w:rPr>
        <w:t>评标委员会提供评标所需的信息和数据，包括招标文件、未在开 标会上当场拒绝的各投标文件、开标会记</w:t>
      </w:r>
    </w:p>
    <w:p>
      <w:pPr>
        <w:pStyle w:val="BodyText"/>
        <w:spacing w:line="321" w:lineRule="auto"/>
        <w:ind w:left="250" w:right="352"/>
      </w:pPr>
      <w:r>
        <w:rPr>
          <w:spacing w:val="-7"/>
          <w:w w:val="95"/>
        </w:rPr>
        <w:t>录、工程量清单、招标人预算、有关的法律、法规、规章、国家标准以及招标人或评标委员会认为必要的其   </w:t>
      </w:r>
      <w:r>
        <w:rPr>
          <w:spacing w:val="-7"/>
        </w:rPr>
        <w:t>他信息和数据。</w:t>
      </w:r>
    </w:p>
    <w:p>
      <w:pPr>
        <w:pStyle w:val="BodyText"/>
        <w:spacing w:line="319" w:lineRule="auto" w:before="127"/>
        <w:ind w:left="250" w:right="352" w:firstLine="317"/>
      </w:pPr>
      <w:r>
        <w:rPr>
          <w:spacing w:val="-6"/>
        </w:rPr>
        <w:t>④对投标文件进行基础性数据分析和整理工作(清标) 在不改变投标人投标文件实质性内容的前提下，评</w:t>
      </w:r>
      <w:r>
        <w:rPr>
          <w:spacing w:val="-8"/>
          <w:w w:val="95"/>
        </w:rPr>
        <w:t>标委员会应当通过对投标文件进行基础性数据分析和整理(本章中简称为“清标”)，从而发现并提取其中可   </w:t>
      </w:r>
      <w:r>
        <w:rPr>
          <w:spacing w:val="-10"/>
        </w:rPr>
        <w:t>能存在的对招标范围理解的偏 差、投标人资信、业绩、不良行为等方面的复核，投标报价的算术性错误、</w:t>
      </w:r>
      <w:r>
        <w:rPr>
          <w:spacing w:val="-9"/>
        </w:rPr>
        <w:t>错漏项、投标报价构 成不合理、不平衡报价等存在明显异常的问题，并就这些问题整理形成清标成果。评</w:t>
      </w:r>
      <w:r>
        <w:rPr>
          <w:spacing w:val="-11"/>
        </w:rPr>
        <w:t>标委员会对 清标成果审议后，需要投标人进行书面澄清、说明或补正的问题，形成质疑问卷，向投标人发</w:t>
      </w:r>
      <w:r>
        <w:rPr>
          <w:spacing w:val="-4"/>
        </w:rPr>
        <w:t>出 问题澄清通知(包括质疑问卷)。</w:t>
      </w:r>
    </w:p>
    <w:p>
      <w:pPr>
        <w:pStyle w:val="BodyText"/>
        <w:spacing w:before="35"/>
        <w:ind w:left="359"/>
      </w:pPr>
      <w:r>
        <w:rPr/>
        <w:t>（4）初步评审</w:t>
      </w:r>
    </w:p>
    <w:p>
      <w:pPr>
        <w:pStyle w:val="BodyText"/>
        <w:spacing w:line="321" w:lineRule="auto" w:before="98"/>
        <w:ind w:left="250" w:right="460"/>
      </w:pPr>
      <w:r>
        <w:rPr>
          <w:spacing w:val="-9"/>
        </w:rPr>
        <w:t>①响应性评审 评标委员会根据招标文件重大偏差条款的规定，对投标人的投标文件进行响应性评审，并记录评审结果。</w:t>
      </w:r>
    </w:p>
    <w:p>
      <w:pPr>
        <w:pStyle w:val="BodyText"/>
        <w:spacing w:line="319" w:lineRule="auto" w:before="100"/>
        <w:ind w:left="250" w:right="424"/>
        <w:jc w:val="both"/>
      </w:pPr>
      <w:r>
        <w:rPr>
          <w:spacing w:val="-7"/>
        </w:rPr>
        <w:t>②算术错误修正 投标报价有算术错误的，评标委员会按以下原则对投标报价进行修正，修正的价格经投标</w:t>
      </w:r>
      <w:r>
        <w:rPr>
          <w:spacing w:val="-8"/>
        </w:rPr>
        <w:t>人书面确认后具有约束力。投标人不接受修正价格的，其投标作废标处理。 </w:t>
      </w:r>
      <w:r>
        <w:rPr>
          <w:spacing w:val="-3"/>
        </w:rPr>
        <w:t>1）</w:t>
      </w:r>
      <w:r>
        <w:rPr/>
        <w:t>投标文件中的大写金额与</w:t>
      </w:r>
      <w:r>
        <w:rPr>
          <w:w w:val="95"/>
        </w:rPr>
        <w:t>小写金额不一致的，以大写金额为准；2）</w:t>
      </w:r>
      <w:r>
        <w:rPr>
          <w:spacing w:val="-1"/>
          <w:w w:val="95"/>
        </w:rPr>
        <w:t>总价金额与依据单价计算出的结果不一致的，以单价金额为准修</w:t>
      </w:r>
    </w:p>
    <w:p>
      <w:pPr>
        <w:spacing w:after="0" w:line="319" w:lineRule="auto"/>
        <w:jc w:val="both"/>
        <w:sectPr>
          <w:pgSz w:w="11910" w:h="16870"/>
          <w:pgMar w:top="1140" w:bottom="280" w:left="880" w:right="640"/>
        </w:sectPr>
      </w:pPr>
    </w:p>
    <w:p>
      <w:pPr>
        <w:pStyle w:val="BodyText"/>
        <w:spacing w:before="59"/>
        <w:ind w:left="250"/>
      </w:pPr>
      <w:r>
        <w:rPr/>
        <w:t>正总价，但单价金额小 数点有明显错误的除外。</w:t>
      </w:r>
    </w:p>
    <w:p>
      <w:pPr>
        <w:pStyle w:val="BodyText"/>
        <w:spacing w:before="120"/>
        <w:ind w:left="250"/>
      </w:pPr>
      <w:r>
        <w:rPr/>
        <w:t>③澄清、说明或补正在初步评审过程中，评标委员会应当就投标文件中不明确的内容要求投标人进行澄清．</w:t>
      </w:r>
    </w:p>
    <w:p>
      <w:pPr>
        <w:pStyle w:val="BodyText"/>
        <w:spacing w:before="106"/>
        <w:ind w:left="250"/>
      </w:pPr>
      <w:r>
        <w:rPr/>
        <w:t>（5）详细评审 只有通过了初步评审、被判定为合格的投标方可进入详细评审。</w:t>
      </w:r>
    </w:p>
    <w:p>
      <w:pPr>
        <w:pStyle w:val="BodyText"/>
        <w:spacing w:line="321" w:lineRule="auto" w:before="112"/>
        <w:ind w:left="250" w:right="424"/>
      </w:pPr>
      <w:r>
        <w:rPr>
          <w:spacing w:val="-4"/>
        </w:rPr>
        <w:t>①详细评审 </w:t>
      </w:r>
      <w:r>
        <w:rPr/>
        <w:t>1）</w:t>
      </w:r>
      <w:r>
        <w:rPr>
          <w:spacing w:val="-2"/>
        </w:rPr>
        <w:t>初步评审完成后，评标委员会应当根据招标文件确定的评标标准和方法，对投标文件进行</w:t>
      </w:r>
      <w:r>
        <w:rPr>
          <w:spacing w:val="-6"/>
        </w:rPr>
        <w:t>详细的评审和比较。 </w:t>
      </w:r>
      <w:r>
        <w:rPr/>
        <w:t>2）</w:t>
      </w:r>
      <w:r>
        <w:rPr>
          <w:spacing w:val="-2"/>
        </w:rPr>
        <w:t>投标文件未通过初步评审的，视为无效投标文件，不得进入详细评审。</w:t>
      </w:r>
      <w:r>
        <w:rPr/>
        <w:t>3）在详细评审阶段，对投标报价的评审应当以初步评审后得出的价格为依据。</w:t>
      </w:r>
    </w:p>
    <w:p>
      <w:pPr>
        <w:pStyle w:val="BodyText"/>
        <w:spacing w:before="100"/>
        <w:ind w:left="250"/>
      </w:pPr>
      <w:r>
        <w:rPr/>
        <w:t>②在评标过程中，评标委员会成员对同一问题意见不一致的，按照少数服从多数的原则形成 评标结论。</w:t>
      </w:r>
    </w:p>
    <w:p>
      <w:pPr>
        <w:pStyle w:val="BodyText"/>
        <w:spacing w:line="321" w:lineRule="auto" w:before="120"/>
        <w:ind w:left="352" w:right="352" w:hanging="102"/>
      </w:pPr>
      <w:r>
        <w:rPr>
          <w:spacing w:val="-7"/>
        </w:rPr>
        <w:t>③经过初步评审后的电子文件及投标人按照要求对其投标文件作出的澄清、说明、补正内容， 成为其投标文</w:t>
      </w:r>
      <w:r>
        <w:rPr>
          <w:spacing w:val="-8"/>
        </w:rPr>
        <w:t>件组成部分。供货合同将以包含上述文件的投标文件及招标文件内容为基准进行签 订和执行。</w:t>
      </w:r>
    </w:p>
    <w:p>
      <w:pPr>
        <w:pStyle w:val="BodyText"/>
        <w:spacing w:line="314" w:lineRule="auto" w:before="35"/>
        <w:ind w:left="352" w:right="669" w:hanging="102"/>
      </w:pPr>
      <w:r>
        <w:rPr>
          <w:spacing w:val="-3"/>
        </w:rPr>
        <w:t>④评标过程中，数据和评分的计算过程和计算结果</w:t>
      </w:r>
      <w:r>
        <w:rPr/>
        <w:t>（</w:t>
      </w:r>
      <w:r>
        <w:rPr>
          <w:spacing w:val="-2"/>
        </w:rPr>
        <w:t>除特别注明的</w:t>
      </w:r>
      <w:r>
        <w:rPr>
          <w:spacing w:val="-8"/>
        </w:rPr>
        <w:t>）</w:t>
      </w:r>
      <w:r>
        <w:rPr>
          <w:spacing w:val="-7"/>
        </w:rPr>
        <w:t>均保留两位小数，小数 点后的第三位四舍五入。</w:t>
      </w:r>
    </w:p>
    <w:p>
      <w:pPr>
        <w:pStyle w:val="BodyText"/>
        <w:spacing w:line="321" w:lineRule="auto" w:before="44"/>
        <w:ind w:left="250" w:right="547" w:firstLine="209"/>
      </w:pPr>
      <w:r>
        <w:rPr/>
        <w:t>（6）</w:t>
      </w:r>
      <w:r>
        <w:rPr>
          <w:spacing w:val="-7"/>
        </w:rPr>
        <w:t>重大偏差的认定： 投标文件有下述情况之一的，属于重大偏差，视为未能对招标文件作出实质性</w:t>
      </w:r>
      <w:r>
        <w:rPr>
          <w:spacing w:val="-6"/>
        </w:rPr>
        <w:t>响应，作废标处理：</w:t>
      </w:r>
    </w:p>
    <w:p>
      <w:pPr>
        <w:pStyle w:val="BodyText"/>
        <w:spacing w:line="316" w:lineRule="auto" w:before="93"/>
        <w:ind w:left="352" w:right="640" w:firstLine="417"/>
        <w:jc w:val="both"/>
      </w:pPr>
      <w:r>
        <w:rPr/>
        <w:t>1</w:t>
      </w:r>
      <w:r>
        <w:rPr>
          <w:spacing w:val="-1"/>
        </w:rPr>
        <w:t>、投标文件中的投标函未按招标要求加盖投标人的公章及企业法定代表人</w:t>
      </w:r>
      <w:r>
        <w:rPr/>
        <w:t>（</w:t>
      </w:r>
      <w:r>
        <w:rPr>
          <w:spacing w:val="-8"/>
        </w:rPr>
        <w:t>或企业法定代 表人委</w:t>
      </w:r>
      <w:r>
        <w:rPr>
          <w:spacing w:val="-8"/>
          <w:w w:val="95"/>
        </w:rPr>
        <w:t>托代理人）</w:t>
      </w:r>
      <w:r>
        <w:rPr>
          <w:spacing w:val="-4"/>
          <w:w w:val="95"/>
        </w:rPr>
        <w:t>印章</w:t>
      </w:r>
      <w:r>
        <w:rPr>
          <w:w w:val="95"/>
        </w:rPr>
        <w:t>（或签字</w:t>
      </w:r>
      <w:r>
        <w:rPr>
          <w:spacing w:val="-7"/>
          <w:w w:val="95"/>
        </w:rPr>
        <w:t>）</w:t>
      </w:r>
      <w:r>
        <w:rPr>
          <w:spacing w:val="-5"/>
          <w:w w:val="95"/>
        </w:rPr>
        <w:t>的，或者企业法定代表人委托代理人没有合法、有效的委托书</w:t>
      </w:r>
      <w:r>
        <w:rPr>
          <w:w w:val="95"/>
        </w:rPr>
        <w:t>（原件）及委   </w:t>
      </w:r>
      <w:r>
        <w:rPr/>
        <w:t>托代理人印章的；</w:t>
      </w:r>
    </w:p>
    <w:p>
      <w:pPr>
        <w:pStyle w:val="BodyText"/>
        <w:spacing w:before="44"/>
        <w:ind w:left="776"/>
      </w:pPr>
      <w:r>
        <w:rPr/>
        <w:t>2、未按招标文件要求加盖电子签名的；</w:t>
      </w:r>
    </w:p>
    <w:p>
      <w:pPr>
        <w:pStyle w:val="BodyText"/>
        <w:spacing w:before="120"/>
        <w:ind w:left="776"/>
      </w:pPr>
      <w:r>
        <w:rPr/>
        <w:t>3、未按招标文件要求提供投标保证金的；</w:t>
      </w:r>
    </w:p>
    <w:p>
      <w:pPr>
        <w:pStyle w:val="BodyText"/>
        <w:spacing w:before="105"/>
        <w:ind w:left="776"/>
      </w:pPr>
      <w:r>
        <w:rPr/>
        <w:t>4、未按招标文件规定的格式填写，内容不全或关键字迹模糊、无法辨认的；</w:t>
      </w:r>
    </w:p>
    <w:p>
      <w:pPr>
        <w:pStyle w:val="BodyText"/>
        <w:spacing w:line="314" w:lineRule="auto" w:before="99"/>
        <w:ind w:left="352" w:right="365" w:firstLine="417"/>
      </w:pPr>
      <w:r>
        <w:rPr/>
        <w:t>5、投标人递交两份或多份内容不同的投标文件，或在一份投标文件中对同一招标项目报有 两个或多个报价，且未声明哪一个有效，按招标文件规定提交备选投标方案的除外；</w:t>
      </w:r>
    </w:p>
    <w:p>
      <w:pPr>
        <w:pStyle w:val="BodyText"/>
        <w:spacing w:line="321" w:lineRule="auto" w:before="43"/>
        <w:ind w:left="352" w:right="575" w:firstLine="417"/>
      </w:pPr>
      <w:r>
        <w:rPr/>
        <w:t>6、投标人资格条件不符合国家有关规定或招标文件要求的，或投标人名称或组织结构与资 格预审时不一致的；</w:t>
      </w:r>
    </w:p>
    <w:p>
      <w:pPr>
        <w:pStyle w:val="BodyText"/>
        <w:spacing w:before="36"/>
        <w:ind w:left="776"/>
      </w:pPr>
      <w:r>
        <w:rPr/>
        <w:t>7、投标人资格条件不符合国家有关规定及招标文件相应条款要求的；</w:t>
      </w:r>
    </w:p>
    <w:p>
      <w:pPr>
        <w:pStyle w:val="BodyText"/>
        <w:spacing w:before="98"/>
        <w:ind w:left="769"/>
      </w:pPr>
      <w:r>
        <w:rPr/>
        <w:t>8、与招标文件提供的工程量清单中的项目编码、项目名称、项目特征、计量单位、工程量 不一致的；</w:t>
      </w:r>
    </w:p>
    <w:p>
      <w:pPr>
        <w:pStyle w:val="BodyText"/>
        <w:spacing w:line="321" w:lineRule="auto" w:before="113"/>
        <w:ind w:left="352" w:right="365" w:firstLine="417"/>
      </w:pPr>
      <w:r>
        <w:rPr/>
        <w:t>9、未按招标文件要求提供电子投标文件，或者投标文件未能解密且按照招标文件明确的投 标文件解密失败的补救方案补救不成功的；</w:t>
      </w:r>
    </w:p>
    <w:p>
      <w:pPr>
        <w:pStyle w:val="BodyText"/>
        <w:spacing w:before="35"/>
        <w:ind w:left="776"/>
      </w:pPr>
      <w:r>
        <w:rPr/>
        <w:t>10、投标文件载明的招标项目完成期限超过招标文件规定的期限的；</w:t>
      </w:r>
    </w:p>
    <w:p>
      <w:pPr>
        <w:pStyle w:val="BodyText"/>
        <w:spacing w:before="34"/>
        <w:ind w:left="776"/>
      </w:pPr>
      <w:r>
        <w:rPr/>
        <w:t>11、明显不符合技术规范、技术标准的要求；</w:t>
      </w:r>
    </w:p>
    <w:p>
      <w:pPr>
        <w:pStyle w:val="BodyText"/>
        <w:spacing w:before="98"/>
        <w:ind w:left="776"/>
      </w:pPr>
      <w:r>
        <w:rPr/>
        <w:t>12、投标报价低于成本或者高于招标文件设定的最高投标限价的；</w:t>
      </w:r>
    </w:p>
    <w:p>
      <w:pPr>
        <w:pStyle w:val="BodyText"/>
        <w:spacing w:before="141"/>
        <w:ind w:left="769"/>
      </w:pPr>
      <w:r>
        <w:rPr/>
        <w:t>13、不同投标人的投标文件以及投标文件制作过程出现了评标委员会认为不应当雷同的情况 的；</w:t>
      </w:r>
    </w:p>
    <w:p>
      <w:pPr>
        <w:pStyle w:val="BodyText"/>
        <w:spacing w:before="121"/>
        <w:ind w:left="776"/>
      </w:pPr>
      <w:r>
        <w:rPr/>
        <w:t>14、投标文件载明的货物包装方式、检验标准和方法等不符合招标文件的要求；</w:t>
      </w:r>
    </w:p>
    <w:p>
      <w:pPr>
        <w:pStyle w:val="BodyText"/>
        <w:spacing w:line="321" w:lineRule="auto" w:before="98"/>
        <w:ind w:left="352" w:right="453" w:firstLine="417"/>
      </w:pPr>
      <w:r>
        <w:rPr/>
        <w:t>15</w:t>
      </w:r>
      <w:r>
        <w:rPr>
          <w:spacing w:val="-12"/>
        </w:rPr>
        <w:t>、投标文件提出了不能满足招标文件要求或招标人不能接受的工程验收、计量、价款结算、 支付办法的；</w:t>
      </w:r>
    </w:p>
    <w:p>
      <w:pPr>
        <w:pStyle w:val="BodyText"/>
        <w:spacing w:before="28"/>
        <w:ind w:left="776"/>
      </w:pPr>
      <w:r>
        <w:rPr/>
        <w:t>16、以他人的名义投标、串通投标、以行贿手段谋取中标或者以其他弄虚作假方式投标的；</w:t>
      </w:r>
    </w:p>
    <w:p>
      <w:pPr>
        <w:pStyle w:val="BodyText"/>
        <w:spacing w:before="105"/>
        <w:ind w:left="776"/>
      </w:pPr>
      <w:r>
        <w:rPr/>
        <w:t>17、投标人未按照招标文件的要求提供必须提交的相关资料的；</w:t>
      </w:r>
    </w:p>
    <w:p>
      <w:pPr>
        <w:pStyle w:val="BodyText"/>
        <w:spacing w:before="98"/>
        <w:ind w:left="776"/>
      </w:pPr>
      <w:r>
        <w:rPr/>
        <w:t>18、投标文件附有招标人不能接受的条件；</w:t>
      </w:r>
    </w:p>
    <w:p>
      <w:pPr>
        <w:pStyle w:val="BodyText"/>
        <w:spacing w:before="106"/>
        <w:ind w:left="776"/>
      </w:pPr>
      <w:r>
        <w:rPr/>
        <w:t>19、投标文件中提供虚假资料的；</w:t>
      </w:r>
    </w:p>
    <w:p>
      <w:pPr>
        <w:spacing w:after="0"/>
        <w:sectPr>
          <w:pgSz w:w="11910" w:h="16870"/>
          <w:pgMar w:top="1140" w:bottom="280" w:left="880" w:right="640"/>
        </w:sectPr>
      </w:pPr>
    </w:p>
    <w:p>
      <w:pPr>
        <w:pStyle w:val="BodyText"/>
        <w:spacing w:line="324" w:lineRule="auto" w:before="59"/>
        <w:ind w:left="776" w:right="453"/>
      </w:pPr>
      <w:r>
        <w:rPr/>
        <w:t>20</w:t>
      </w:r>
      <w:r>
        <w:rPr>
          <w:spacing w:val="-6"/>
        </w:rPr>
        <w:t>、资格审查未通过的。 经评标委员会认定为存在重大偏差的投标文件，将作为废标处理。另在评</w:t>
      </w:r>
      <w:r>
        <w:rPr>
          <w:spacing w:val="-8"/>
          <w:w w:val="95"/>
        </w:rPr>
        <w:t>标过程中，评标委员会若发现投标人以他人的名义投标、串通投标、以行贿手段谋取中标或者以其他   </w:t>
      </w:r>
      <w:r>
        <w:rPr>
          <w:spacing w:val="-15"/>
        </w:rPr>
        <w:t>弄虚作假方式 投标的，该投标人的投标除作废标处理，并依据相关法律法规进行处罚。投标文件被确</w:t>
      </w:r>
      <w:r>
        <w:rPr>
          <w:spacing w:val="-9"/>
        </w:rPr>
        <w:t>认废标的， 招标人将告知该投标人。</w:t>
      </w:r>
    </w:p>
    <w:p>
      <w:pPr>
        <w:pStyle w:val="BodyText"/>
        <w:spacing w:before="24"/>
        <w:ind w:left="250"/>
      </w:pPr>
      <w:r>
        <w:rPr/>
        <w:t>（7）评标方法</w:t>
      </w:r>
    </w:p>
    <w:p>
      <w:pPr>
        <w:pStyle w:val="Heading6"/>
        <w:spacing w:line="218" w:lineRule="auto" w:before="85"/>
        <w:ind w:right="498" w:firstLine="209"/>
      </w:pPr>
      <w:r>
        <w:rPr>
          <w:w w:val="95"/>
        </w:rPr>
        <w:t>本次评标采用经评审的最低投标价法。是指在投标文件能够满足招标文件实质性要求的投标人中，评审    </w:t>
      </w:r>
      <w:r>
        <w:rPr/>
        <w:t>出投标价格最低的投标人，但投标价格低于其企业成本的除外。</w:t>
      </w:r>
    </w:p>
    <w:p>
      <w:pPr>
        <w:spacing w:before="20"/>
        <w:ind w:left="460" w:right="0" w:firstLine="0"/>
        <w:jc w:val="left"/>
        <w:rPr>
          <w:rFonts w:ascii="Microsoft YaHei" w:eastAsia="Microsoft YaHei" w:hint="eastAsia"/>
          <w:b/>
          <w:sz w:val="21"/>
        </w:rPr>
      </w:pPr>
      <w:r>
        <w:rPr>
          <w:rFonts w:ascii="Microsoft YaHei" w:eastAsia="Microsoft YaHei" w:hint="eastAsia"/>
          <w:b/>
          <w:sz w:val="21"/>
        </w:rPr>
        <w:t>注：评标委员会对出现的过低报价有权进行质询，根据质询结果评标委员会做出评审结论。</w:t>
      </w:r>
    </w:p>
    <w:p>
      <w:pPr>
        <w:pStyle w:val="ListParagraph"/>
        <w:numPr>
          <w:ilvl w:val="1"/>
          <w:numId w:val="21"/>
        </w:numPr>
        <w:tabs>
          <w:tab w:pos="936" w:val="left" w:leader="none"/>
        </w:tabs>
        <w:spacing w:line="240" w:lineRule="auto" w:before="76" w:after="0"/>
        <w:ind w:left="935" w:right="0" w:hanging="475"/>
        <w:jc w:val="left"/>
        <w:rPr>
          <w:sz w:val="21"/>
        </w:rPr>
      </w:pPr>
      <w:r>
        <w:rPr>
          <w:sz w:val="21"/>
        </w:rPr>
        <w:t>定标：</w:t>
      </w:r>
    </w:p>
    <w:p>
      <w:pPr>
        <w:pStyle w:val="BodyText"/>
        <w:spacing w:line="314" w:lineRule="auto" w:before="119"/>
        <w:ind w:left="352" w:right="570" w:firstLine="417"/>
      </w:pPr>
      <w:r>
        <w:rPr/>
        <w:t>（1）评标委员会完成评标后，应当向招标人提出书面评标报告，阐明评标委员会对各投标 文件的评审和比较意见，并按照招标文件中规定的评标方法，推荐不超过 3 名有排序的合格的中 标候选人。</w:t>
      </w:r>
    </w:p>
    <w:p>
      <w:pPr>
        <w:pStyle w:val="BodyText"/>
        <w:spacing w:before="45"/>
        <w:ind w:left="712"/>
      </w:pPr>
      <w:r>
        <w:rPr/>
        <w:t>（2）排序原则：经评审的最低价法：按照经评审的投标价由低到高的顺序推选中标候选人。</w:t>
      </w:r>
    </w:p>
    <w:p>
      <w:pPr>
        <w:pStyle w:val="BodyText"/>
        <w:spacing w:line="319" w:lineRule="auto" w:before="33"/>
        <w:ind w:left="352" w:right="532" w:firstLine="316"/>
        <w:jc w:val="both"/>
      </w:pPr>
      <w:r>
        <w:rPr/>
        <w:t>（3）</w:t>
      </w:r>
      <w:r>
        <w:rPr>
          <w:spacing w:val="-4"/>
        </w:rPr>
        <w:t>确定中标人的原则：招标人按照评委会的书面评标报告中的中标候选人排序，确定排 名第一的</w:t>
      </w:r>
      <w:r>
        <w:rPr>
          <w:spacing w:val="-8"/>
        </w:rPr>
        <w:t>为中标人。当排名第一的中标候选人放弃中标、因不可抗力提出不能履行合同或者未按 本招标文件的规</w:t>
      </w:r>
      <w:r>
        <w:rPr>
          <w:spacing w:val="-11"/>
        </w:rPr>
        <w:t>定提交履约保证金的，招标人可以确定排名第二的中标候选人为中标人；排名第 二的中标候选人因同样的原因不能签订合同的，招标人可以确定排名第三的中标候选人为中标 人。</w:t>
      </w:r>
    </w:p>
    <w:p>
      <w:pPr>
        <w:pStyle w:val="BodyText"/>
        <w:spacing w:line="316" w:lineRule="auto" w:before="38"/>
        <w:ind w:left="352" w:right="561" w:firstLine="417"/>
        <w:jc w:val="both"/>
      </w:pPr>
      <w:r>
        <w:rPr/>
        <w:t>（4）</w:t>
      </w:r>
      <w:r>
        <w:rPr>
          <w:spacing w:val="-3"/>
        </w:rPr>
        <w:t>评标和定标将在投标有效期结束日 </w:t>
      </w:r>
      <w:r>
        <w:rPr/>
        <w:t>30</w:t>
      </w:r>
      <w:r>
        <w:rPr>
          <w:spacing w:val="-10"/>
        </w:rPr>
        <w:t> 个工作日前完成。不能在投标有效期结束日 </w:t>
      </w:r>
      <w:r>
        <w:rPr/>
        <w:t>30</w:t>
      </w:r>
      <w:r>
        <w:rPr>
          <w:spacing w:val="-12"/>
        </w:rPr>
        <w:t> 个 工作</w:t>
      </w:r>
      <w:r>
        <w:rPr>
          <w:spacing w:val="-14"/>
        </w:rPr>
        <w:t>日前完成评标和定标的，招标人将通知所有投标人延长投标有效期。拒绝延长投标有效期的 投标人有权撤回其投标。同意延长投标有效期的投标人不得修改投标文件的实质性内容。</w:t>
      </w:r>
    </w:p>
    <w:p>
      <w:pPr>
        <w:pStyle w:val="BodyText"/>
        <w:spacing w:before="5"/>
        <w:rPr>
          <w:sz w:val="26"/>
        </w:rPr>
      </w:pPr>
    </w:p>
    <w:p>
      <w:pPr>
        <w:pStyle w:val="Heading2"/>
        <w:spacing w:before="1"/>
        <w:ind w:right="476"/>
      </w:pPr>
      <w:r>
        <w:rPr/>
        <w:t>八、合同授予</w:t>
      </w:r>
    </w:p>
    <w:p>
      <w:pPr>
        <w:pStyle w:val="BodyText"/>
        <w:spacing w:before="11"/>
        <w:rPr>
          <w:rFonts w:ascii="Microsoft JhengHei"/>
          <w:b/>
          <w:sz w:val="26"/>
        </w:rPr>
      </w:pPr>
    </w:p>
    <w:p>
      <w:pPr>
        <w:pStyle w:val="BodyText"/>
        <w:ind w:left="250"/>
      </w:pPr>
      <w:r>
        <w:rPr/>
        <w:t>（十九）授予合同</w:t>
      </w:r>
    </w:p>
    <w:p>
      <w:pPr>
        <w:pStyle w:val="BodyText"/>
        <w:spacing w:line="321" w:lineRule="auto" w:before="98"/>
        <w:ind w:left="352" w:right="453" w:firstLine="417"/>
        <w:jc w:val="both"/>
      </w:pPr>
      <w:r>
        <w:rPr>
          <w:spacing w:val="3"/>
        </w:rPr>
        <w:t>（1）</w:t>
      </w:r>
      <w:r>
        <w:rPr>
          <w:spacing w:val="-1"/>
        </w:rPr>
        <w:t>根据工程招标投标的有关法律、法规、规章和该工程招标文件的规定，评标委员会推 荐排序</w:t>
      </w:r>
      <w:r>
        <w:rPr>
          <w:spacing w:val="-5"/>
        </w:rPr>
        <w:t>第一名的中标候选人为中标人，公示结束后，未有质疑的，招标人将向中标单位发出中标 通知书，并同时通知其他投标人。中标通知书将成为合同的组成部分。</w:t>
      </w:r>
    </w:p>
    <w:p>
      <w:pPr>
        <w:pStyle w:val="BodyText"/>
        <w:spacing w:line="321" w:lineRule="auto" w:before="28"/>
        <w:ind w:left="352" w:right="539" w:firstLine="417"/>
        <w:jc w:val="both"/>
      </w:pPr>
      <w:r>
        <w:rPr/>
        <w:t>（2）中标单位收到中标通知书后，应在 </w:t>
      </w:r>
      <w:r>
        <w:rPr>
          <w:color w:val="FF0000"/>
        </w:rPr>
        <w:t>30 </w:t>
      </w:r>
      <w:r>
        <w:rPr/>
        <w:t>日内与招标人签订供货合同。中标人不与招标人 订立合同的，招标人有权取消其中标资格，由此给招标人造成的损失，应予以赔偿。</w:t>
      </w:r>
    </w:p>
    <w:p>
      <w:pPr>
        <w:pStyle w:val="BodyText"/>
        <w:spacing w:line="314" w:lineRule="auto" w:before="28"/>
        <w:ind w:left="352" w:right="475" w:firstLine="417"/>
        <w:jc w:val="both"/>
      </w:pPr>
      <w:r>
        <w:rPr/>
        <w:t>（3）招标人在授标时有权对“货物清单与技术规格”中所述货物在适当幅度内（±15%）变 更其数量。</w:t>
      </w:r>
    </w:p>
    <w:p>
      <w:pPr>
        <w:pStyle w:val="BodyText"/>
        <w:spacing w:before="44"/>
        <w:ind w:left="776"/>
      </w:pPr>
      <w:r>
        <w:rPr/>
        <w:t>（4）合同签订前，中标人必须向招标人提交合同总价的 5％履约保证金作为履约担保。</w:t>
      </w:r>
    </w:p>
    <w:p>
      <w:pPr>
        <w:pStyle w:val="BodyText"/>
        <w:spacing w:line="314" w:lineRule="auto" w:before="106"/>
        <w:ind w:left="352" w:right="525" w:firstLine="417"/>
      </w:pPr>
      <w:r>
        <w:rPr>
          <w:w w:val="95"/>
        </w:rPr>
        <w:t>（5）招标文件、招标文件的澄清与修改、中标人的投标文件、中标人对投标文件的书面澄清、中   </w:t>
      </w:r>
      <w:r>
        <w:rPr/>
        <w:t>标通知书等均应作为合同附件。</w:t>
      </w:r>
    </w:p>
    <w:p>
      <w:pPr>
        <w:pStyle w:val="BodyText"/>
        <w:rPr>
          <w:sz w:val="20"/>
        </w:rPr>
      </w:pPr>
    </w:p>
    <w:p>
      <w:pPr>
        <w:pStyle w:val="BodyText"/>
        <w:spacing w:before="8"/>
      </w:pPr>
    </w:p>
    <w:p>
      <w:pPr>
        <w:pStyle w:val="Heading1"/>
        <w:tabs>
          <w:tab w:pos="4854" w:val="left" w:leader="none"/>
        </w:tabs>
        <w:spacing w:before="1"/>
        <w:ind w:left="3096"/>
      </w:pPr>
      <w:bookmarkStart w:name="第二章 合同协议书" w:id="8"/>
      <w:bookmarkEnd w:id="8"/>
      <w:r>
        <w:rPr/>
      </w:r>
      <w:r>
        <w:rPr/>
        <w:t>第二章</w:t>
        <w:tab/>
        <w:t>合同协议书</w:t>
      </w:r>
    </w:p>
    <w:p>
      <w:pPr>
        <w:spacing w:after="0"/>
        <w:sectPr>
          <w:pgSz w:w="11910" w:h="16870"/>
          <w:pgMar w:top="1140" w:bottom="280" w:left="880" w:right="640"/>
        </w:sectPr>
      </w:pPr>
    </w:p>
    <w:p>
      <w:pPr>
        <w:spacing w:line="312" w:lineRule="auto" w:before="48"/>
        <w:ind w:left="352" w:right="8364" w:firstLine="0"/>
        <w:jc w:val="left"/>
        <w:rPr>
          <w:sz w:val="23"/>
        </w:rPr>
      </w:pPr>
      <w:r>
        <w:rPr>
          <w:sz w:val="23"/>
        </w:rPr>
        <w:t>甲方（需方）： 乙方（供方）：</w:t>
      </w:r>
    </w:p>
    <w:p>
      <w:pPr>
        <w:tabs>
          <w:tab w:pos="3471" w:val="left" w:leader="none"/>
        </w:tabs>
        <w:spacing w:line="309" w:lineRule="auto" w:before="33"/>
        <w:ind w:left="352" w:right="532" w:firstLine="482"/>
        <w:jc w:val="left"/>
        <w:rPr>
          <w:sz w:val="23"/>
        </w:rPr>
      </w:pPr>
      <w:r>
        <w:rPr>
          <w:w w:val="105"/>
          <w:sz w:val="23"/>
        </w:rPr>
        <w:t>本项目</w:t>
      </w:r>
      <w:r>
        <w:rPr>
          <w:spacing w:val="5"/>
          <w:w w:val="105"/>
          <w:sz w:val="23"/>
        </w:rPr>
        <w:t>经</w:t>
      </w:r>
      <w:r>
        <w:rPr>
          <w:w w:val="105"/>
          <w:sz w:val="23"/>
        </w:rPr>
        <w:t>公开</w:t>
      </w:r>
      <w:r>
        <w:rPr>
          <w:spacing w:val="5"/>
          <w:w w:val="105"/>
          <w:sz w:val="23"/>
        </w:rPr>
        <w:t>招</w:t>
      </w:r>
      <w:r>
        <w:rPr>
          <w:w w:val="105"/>
          <w:sz w:val="23"/>
        </w:rPr>
        <w:t>标</w:t>
      </w:r>
      <w:r>
        <w:rPr>
          <w:spacing w:val="-15"/>
          <w:w w:val="105"/>
          <w:sz w:val="23"/>
        </w:rPr>
        <w:t>，</w:t>
      </w:r>
      <w:r>
        <w:rPr>
          <w:w w:val="105"/>
          <w:sz w:val="23"/>
        </w:rPr>
        <w:t>乙方中</w:t>
      </w:r>
      <w:r>
        <w:rPr>
          <w:spacing w:val="5"/>
          <w:w w:val="105"/>
          <w:sz w:val="23"/>
        </w:rPr>
        <w:t>标</w:t>
      </w:r>
      <w:r>
        <w:rPr>
          <w:spacing w:val="-22"/>
          <w:w w:val="105"/>
          <w:sz w:val="23"/>
        </w:rPr>
        <w:t>。</w:t>
      </w:r>
      <w:r>
        <w:rPr>
          <w:spacing w:val="5"/>
          <w:w w:val="105"/>
          <w:sz w:val="23"/>
        </w:rPr>
        <w:t>根</w:t>
      </w:r>
      <w:r>
        <w:rPr>
          <w:spacing w:val="-22"/>
          <w:w w:val="105"/>
          <w:sz w:val="23"/>
        </w:rPr>
        <w:t>据</w:t>
      </w:r>
      <w:r>
        <w:rPr>
          <w:spacing w:val="5"/>
          <w:w w:val="105"/>
          <w:sz w:val="23"/>
        </w:rPr>
        <w:t>《</w:t>
      </w:r>
      <w:r>
        <w:rPr>
          <w:w w:val="105"/>
          <w:sz w:val="23"/>
        </w:rPr>
        <w:t>中</w:t>
      </w:r>
      <w:r>
        <w:rPr>
          <w:spacing w:val="5"/>
          <w:w w:val="105"/>
          <w:sz w:val="23"/>
        </w:rPr>
        <w:t>华</w:t>
      </w:r>
      <w:r>
        <w:rPr>
          <w:w w:val="105"/>
          <w:sz w:val="23"/>
        </w:rPr>
        <w:t>人民共</w:t>
      </w:r>
      <w:r>
        <w:rPr>
          <w:spacing w:val="5"/>
          <w:w w:val="105"/>
          <w:sz w:val="23"/>
        </w:rPr>
        <w:t>和</w:t>
      </w:r>
      <w:r>
        <w:rPr>
          <w:w w:val="105"/>
          <w:sz w:val="23"/>
        </w:rPr>
        <w:t>国合</w:t>
      </w:r>
      <w:r>
        <w:rPr>
          <w:spacing w:val="5"/>
          <w:w w:val="105"/>
          <w:sz w:val="23"/>
        </w:rPr>
        <w:t>同</w:t>
      </w:r>
      <w:r>
        <w:rPr>
          <w:w w:val="105"/>
          <w:sz w:val="23"/>
        </w:rPr>
        <w:t>法</w:t>
      </w:r>
      <w:r>
        <w:rPr>
          <w:spacing w:val="-15"/>
          <w:w w:val="105"/>
          <w:sz w:val="23"/>
        </w:rPr>
        <w:t>》</w:t>
      </w:r>
      <w:r>
        <w:rPr>
          <w:spacing w:val="-14"/>
          <w:w w:val="105"/>
          <w:sz w:val="23"/>
        </w:rPr>
        <w:t>，</w:t>
      </w:r>
      <w:r>
        <w:rPr>
          <w:w w:val="105"/>
          <w:sz w:val="23"/>
        </w:rPr>
        <w:t>甲</w:t>
      </w:r>
      <w:r>
        <w:rPr>
          <w:spacing w:val="5"/>
          <w:w w:val="105"/>
          <w:sz w:val="23"/>
        </w:rPr>
        <w:t>方</w:t>
      </w:r>
      <w:r>
        <w:rPr>
          <w:w w:val="105"/>
          <w:sz w:val="23"/>
        </w:rPr>
        <w:t>与乙方就</w:t>
      </w:r>
      <w:r>
        <w:rPr>
          <w:spacing w:val="-1"/>
          <w:w w:val="105"/>
          <w:sz w:val="23"/>
          <w:u w:val="single"/>
        </w:rPr>
        <w:t> </w:t>
      </w:r>
      <w:r>
        <w:rPr>
          <w:w w:val="105"/>
          <w:sz w:val="23"/>
          <w:u w:val="single"/>
        </w:rPr>
        <w:t>宝能睿城二</w:t>
      </w:r>
      <w:r>
        <w:rPr>
          <w:spacing w:val="5"/>
          <w:w w:val="105"/>
          <w:sz w:val="23"/>
          <w:u w:val="single"/>
        </w:rPr>
        <w:t>期</w:t>
      </w:r>
      <w:r>
        <w:rPr>
          <w:w w:val="105"/>
          <w:sz w:val="23"/>
          <w:u w:val="single"/>
        </w:rPr>
        <w:t>配电</w:t>
      </w:r>
      <w:r>
        <w:rPr>
          <w:spacing w:val="5"/>
          <w:w w:val="105"/>
          <w:sz w:val="23"/>
          <w:u w:val="single"/>
        </w:rPr>
        <w:t>工</w:t>
      </w:r>
      <w:r>
        <w:rPr>
          <w:w w:val="105"/>
          <w:sz w:val="23"/>
          <w:u w:val="single"/>
        </w:rPr>
        <w:t>程电</w:t>
      </w:r>
      <w:r>
        <w:rPr>
          <w:spacing w:val="5"/>
          <w:w w:val="105"/>
          <w:sz w:val="23"/>
          <w:u w:val="single"/>
        </w:rPr>
        <w:t>缆</w:t>
      </w:r>
      <w:r>
        <w:rPr>
          <w:w w:val="105"/>
          <w:sz w:val="23"/>
          <w:u w:val="single"/>
        </w:rPr>
        <w:t>采购</w:t>
        <w:tab/>
      </w:r>
      <w:r>
        <w:rPr>
          <w:w w:val="105"/>
          <w:sz w:val="23"/>
        </w:rPr>
        <w:t>项目有</w:t>
      </w:r>
      <w:r>
        <w:rPr>
          <w:spacing w:val="5"/>
          <w:w w:val="105"/>
          <w:sz w:val="23"/>
        </w:rPr>
        <w:t>关</w:t>
      </w:r>
      <w:r>
        <w:rPr>
          <w:w w:val="105"/>
          <w:sz w:val="23"/>
        </w:rPr>
        <w:t>事宜</w:t>
      </w:r>
      <w:r>
        <w:rPr>
          <w:spacing w:val="5"/>
          <w:w w:val="105"/>
          <w:sz w:val="23"/>
        </w:rPr>
        <w:t>，</w:t>
      </w:r>
      <w:r>
        <w:rPr>
          <w:w w:val="105"/>
          <w:sz w:val="23"/>
        </w:rPr>
        <w:t>经双</w:t>
      </w:r>
      <w:r>
        <w:rPr>
          <w:spacing w:val="5"/>
          <w:w w:val="105"/>
          <w:sz w:val="23"/>
        </w:rPr>
        <w:t>方</w:t>
      </w:r>
      <w:r>
        <w:rPr>
          <w:w w:val="105"/>
          <w:sz w:val="23"/>
        </w:rPr>
        <w:t>协商</w:t>
      </w:r>
      <w:r>
        <w:rPr>
          <w:spacing w:val="5"/>
          <w:w w:val="105"/>
          <w:sz w:val="23"/>
        </w:rPr>
        <w:t>一</w:t>
      </w:r>
      <w:r>
        <w:rPr>
          <w:w w:val="105"/>
          <w:sz w:val="23"/>
        </w:rPr>
        <w:t>致，</w:t>
      </w:r>
      <w:r>
        <w:rPr>
          <w:spacing w:val="5"/>
          <w:w w:val="105"/>
          <w:sz w:val="23"/>
        </w:rPr>
        <w:t>签订</w:t>
      </w:r>
      <w:r>
        <w:rPr>
          <w:w w:val="105"/>
          <w:sz w:val="23"/>
        </w:rPr>
        <w:t>本合同。</w:t>
      </w:r>
    </w:p>
    <w:p>
      <w:pPr>
        <w:pStyle w:val="ListParagraph"/>
        <w:numPr>
          <w:ilvl w:val="1"/>
          <w:numId w:val="22"/>
        </w:numPr>
        <w:tabs>
          <w:tab w:pos="849" w:val="left" w:leader="none"/>
        </w:tabs>
        <w:spacing w:line="240" w:lineRule="auto" w:before="33" w:after="0"/>
        <w:ind w:left="848" w:right="0" w:hanging="496"/>
        <w:jc w:val="left"/>
        <w:rPr>
          <w:sz w:val="28"/>
        </w:rPr>
      </w:pPr>
      <w:r>
        <w:rPr>
          <w:sz w:val="28"/>
        </w:rPr>
        <w:t>合同货物</w:t>
      </w:r>
    </w:p>
    <w:p>
      <w:pPr>
        <w:pStyle w:val="ListParagraph"/>
        <w:numPr>
          <w:ilvl w:val="2"/>
          <w:numId w:val="22"/>
        </w:numPr>
        <w:tabs>
          <w:tab w:pos="1022" w:val="left" w:leader="none"/>
        </w:tabs>
        <w:spacing w:line="240" w:lineRule="auto" w:before="15" w:after="8"/>
        <w:ind w:left="1021" w:right="0" w:hanging="669"/>
        <w:jc w:val="left"/>
        <w:rPr>
          <w:sz w:val="23"/>
        </w:rPr>
      </w:pPr>
      <w:r>
        <w:rPr>
          <w:w w:val="105"/>
          <w:sz w:val="23"/>
        </w:rPr>
        <w:t>合同货物清单：</w:t>
      </w:r>
    </w:p>
    <w:tbl>
      <w:tblPr>
        <w:tblW w:w="0" w:type="auto"/>
        <w:jc w:val="left"/>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1974"/>
        <w:gridCol w:w="3097"/>
        <w:gridCol w:w="713"/>
        <w:gridCol w:w="814"/>
        <w:gridCol w:w="987"/>
        <w:gridCol w:w="1030"/>
      </w:tblGrid>
      <w:tr>
        <w:trPr>
          <w:trHeight w:val="552" w:hRule="atLeast"/>
        </w:trPr>
        <w:tc>
          <w:tcPr>
            <w:tcW w:w="850" w:type="dxa"/>
          </w:tcPr>
          <w:p>
            <w:pPr>
              <w:pStyle w:val="TableParagraph"/>
              <w:spacing w:before="121"/>
              <w:ind w:left="117"/>
              <w:rPr>
                <w:sz w:val="23"/>
              </w:rPr>
            </w:pPr>
            <w:r>
              <w:rPr>
                <w:w w:val="105"/>
                <w:sz w:val="23"/>
              </w:rPr>
              <w:t>序号</w:t>
            </w:r>
          </w:p>
        </w:tc>
        <w:tc>
          <w:tcPr>
            <w:tcW w:w="1974" w:type="dxa"/>
          </w:tcPr>
          <w:p>
            <w:pPr>
              <w:pStyle w:val="TableParagraph"/>
              <w:spacing w:before="121"/>
              <w:ind w:left="183" w:right="169"/>
              <w:jc w:val="center"/>
              <w:rPr>
                <w:sz w:val="23"/>
              </w:rPr>
            </w:pPr>
            <w:r>
              <w:rPr>
                <w:w w:val="105"/>
                <w:sz w:val="23"/>
              </w:rPr>
              <w:t>材料名称</w:t>
            </w:r>
          </w:p>
        </w:tc>
        <w:tc>
          <w:tcPr>
            <w:tcW w:w="3097" w:type="dxa"/>
          </w:tcPr>
          <w:p>
            <w:pPr>
              <w:pStyle w:val="TableParagraph"/>
              <w:spacing w:before="121"/>
              <w:ind w:left="137" w:right="122"/>
              <w:jc w:val="center"/>
              <w:rPr>
                <w:sz w:val="23"/>
              </w:rPr>
            </w:pPr>
            <w:r>
              <w:rPr>
                <w:w w:val="105"/>
                <w:sz w:val="23"/>
              </w:rPr>
              <w:t>规格型号</w:t>
            </w:r>
          </w:p>
        </w:tc>
        <w:tc>
          <w:tcPr>
            <w:tcW w:w="713" w:type="dxa"/>
          </w:tcPr>
          <w:p>
            <w:pPr>
              <w:pStyle w:val="TableParagraph"/>
              <w:spacing w:before="121"/>
              <w:ind w:left="118"/>
              <w:rPr>
                <w:sz w:val="23"/>
              </w:rPr>
            </w:pPr>
            <w:r>
              <w:rPr>
                <w:w w:val="105"/>
                <w:sz w:val="23"/>
              </w:rPr>
              <w:t>单位</w:t>
            </w:r>
          </w:p>
        </w:tc>
        <w:tc>
          <w:tcPr>
            <w:tcW w:w="814" w:type="dxa"/>
          </w:tcPr>
          <w:p>
            <w:pPr>
              <w:pStyle w:val="TableParagraph"/>
              <w:spacing w:before="121"/>
              <w:ind w:left="111"/>
              <w:rPr>
                <w:sz w:val="23"/>
              </w:rPr>
            </w:pPr>
            <w:r>
              <w:rPr>
                <w:w w:val="105"/>
                <w:sz w:val="23"/>
              </w:rPr>
              <w:t>数量</w:t>
            </w:r>
          </w:p>
        </w:tc>
        <w:tc>
          <w:tcPr>
            <w:tcW w:w="987" w:type="dxa"/>
          </w:tcPr>
          <w:p>
            <w:pPr>
              <w:pStyle w:val="TableParagraph"/>
              <w:spacing w:before="121"/>
              <w:ind w:left="111"/>
              <w:rPr>
                <w:sz w:val="23"/>
              </w:rPr>
            </w:pPr>
            <w:r>
              <w:rPr>
                <w:w w:val="105"/>
                <w:sz w:val="23"/>
              </w:rPr>
              <w:t>单价</w:t>
            </w:r>
          </w:p>
        </w:tc>
        <w:tc>
          <w:tcPr>
            <w:tcW w:w="1030" w:type="dxa"/>
          </w:tcPr>
          <w:p>
            <w:pPr>
              <w:pStyle w:val="TableParagraph"/>
              <w:spacing w:before="121"/>
              <w:ind w:left="118"/>
              <w:rPr>
                <w:sz w:val="23"/>
              </w:rPr>
            </w:pPr>
            <w:r>
              <w:rPr>
                <w:w w:val="105"/>
                <w:sz w:val="23"/>
              </w:rPr>
              <w:t>合价</w:t>
            </w:r>
          </w:p>
        </w:tc>
      </w:tr>
      <w:tr>
        <w:trPr>
          <w:trHeight w:val="551" w:hRule="atLeast"/>
        </w:trPr>
        <w:tc>
          <w:tcPr>
            <w:tcW w:w="850" w:type="dxa"/>
          </w:tcPr>
          <w:p>
            <w:pPr>
              <w:pStyle w:val="TableParagraph"/>
              <w:spacing w:before="121"/>
              <w:ind w:left="17"/>
              <w:jc w:val="center"/>
              <w:rPr>
                <w:sz w:val="23"/>
              </w:rPr>
            </w:pPr>
            <w:r>
              <w:rPr>
                <w:w w:val="103"/>
                <w:sz w:val="23"/>
              </w:rPr>
              <w:t>1</w:t>
            </w:r>
          </w:p>
        </w:tc>
        <w:tc>
          <w:tcPr>
            <w:tcW w:w="1974" w:type="dxa"/>
          </w:tcPr>
          <w:p>
            <w:pPr>
              <w:pStyle w:val="TableParagraph"/>
              <w:spacing w:before="128"/>
              <w:ind w:left="183" w:right="170"/>
              <w:jc w:val="center"/>
              <w:rPr>
                <w:sz w:val="23"/>
              </w:rPr>
            </w:pPr>
            <w:r>
              <w:rPr>
                <w:w w:val="105"/>
                <w:sz w:val="23"/>
              </w:rPr>
              <w:t>10kV 交联电缆</w:t>
            </w:r>
          </w:p>
        </w:tc>
        <w:tc>
          <w:tcPr>
            <w:tcW w:w="3097" w:type="dxa"/>
          </w:tcPr>
          <w:p>
            <w:pPr>
              <w:pStyle w:val="TableParagraph"/>
              <w:spacing w:before="128"/>
              <w:ind w:left="147" w:right="122"/>
              <w:jc w:val="center"/>
              <w:rPr>
                <w:sz w:val="23"/>
              </w:rPr>
            </w:pPr>
            <w:r>
              <w:rPr>
                <w:w w:val="105"/>
                <w:sz w:val="23"/>
              </w:rPr>
              <w:t>ZR-YJV22-8.7/15KV-3*70</w:t>
            </w:r>
          </w:p>
        </w:tc>
        <w:tc>
          <w:tcPr>
            <w:tcW w:w="713" w:type="dxa"/>
          </w:tcPr>
          <w:p>
            <w:pPr>
              <w:pStyle w:val="TableParagraph"/>
              <w:spacing w:before="128"/>
              <w:ind w:left="118"/>
              <w:rPr>
                <w:sz w:val="23"/>
              </w:rPr>
            </w:pPr>
            <w:r>
              <w:rPr>
                <w:w w:val="105"/>
                <w:sz w:val="23"/>
              </w:rPr>
              <w:t>km</w:t>
            </w:r>
          </w:p>
        </w:tc>
        <w:tc>
          <w:tcPr>
            <w:tcW w:w="814" w:type="dxa"/>
          </w:tcPr>
          <w:p>
            <w:pPr>
              <w:pStyle w:val="TableParagraph"/>
              <w:spacing w:before="128"/>
              <w:ind w:left="111"/>
              <w:rPr>
                <w:sz w:val="23"/>
              </w:rPr>
            </w:pPr>
            <w:r>
              <w:rPr>
                <w:w w:val="105"/>
                <w:sz w:val="23"/>
              </w:rPr>
              <w:t>0.18</w:t>
            </w:r>
          </w:p>
        </w:tc>
        <w:tc>
          <w:tcPr>
            <w:tcW w:w="987" w:type="dxa"/>
          </w:tcPr>
          <w:p>
            <w:pPr>
              <w:pStyle w:val="TableParagraph"/>
              <w:rPr>
                <w:rFonts w:ascii="Times New Roman"/>
                <w:sz w:val="22"/>
              </w:rPr>
            </w:pPr>
          </w:p>
        </w:tc>
        <w:tc>
          <w:tcPr>
            <w:tcW w:w="1030" w:type="dxa"/>
          </w:tcPr>
          <w:p>
            <w:pPr>
              <w:pStyle w:val="TableParagraph"/>
              <w:rPr>
                <w:rFonts w:ascii="Times New Roman"/>
                <w:sz w:val="22"/>
              </w:rPr>
            </w:pPr>
          </w:p>
        </w:tc>
      </w:tr>
      <w:tr>
        <w:trPr>
          <w:trHeight w:val="551" w:hRule="atLeast"/>
        </w:trPr>
        <w:tc>
          <w:tcPr>
            <w:tcW w:w="850" w:type="dxa"/>
          </w:tcPr>
          <w:p>
            <w:pPr>
              <w:pStyle w:val="TableParagraph"/>
              <w:spacing w:before="121"/>
              <w:ind w:left="17"/>
              <w:jc w:val="center"/>
              <w:rPr>
                <w:sz w:val="23"/>
              </w:rPr>
            </w:pPr>
            <w:r>
              <w:rPr>
                <w:w w:val="103"/>
                <w:sz w:val="23"/>
              </w:rPr>
              <w:t>2</w:t>
            </w:r>
          </w:p>
        </w:tc>
        <w:tc>
          <w:tcPr>
            <w:tcW w:w="1974" w:type="dxa"/>
          </w:tcPr>
          <w:p>
            <w:pPr>
              <w:pStyle w:val="TableParagraph"/>
              <w:spacing w:before="128"/>
              <w:ind w:left="183" w:right="170"/>
              <w:jc w:val="center"/>
              <w:rPr>
                <w:sz w:val="23"/>
              </w:rPr>
            </w:pPr>
            <w:r>
              <w:rPr>
                <w:w w:val="105"/>
                <w:sz w:val="23"/>
              </w:rPr>
              <w:t>10kV 交联电缆</w:t>
            </w:r>
          </w:p>
        </w:tc>
        <w:tc>
          <w:tcPr>
            <w:tcW w:w="3097" w:type="dxa"/>
          </w:tcPr>
          <w:p>
            <w:pPr>
              <w:pStyle w:val="TableParagraph"/>
              <w:spacing w:before="128"/>
              <w:ind w:left="147" w:right="122"/>
              <w:jc w:val="center"/>
              <w:rPr>
                <w:sz w:val="23"/>
              </w:rPr>
            </w:pPr>
            <w:r>
              <w:rPr>
                <w:w w:val="105"/>
                <w:sz w:val="23"/>
              </w:rPr>
              <w:t>ZR-YJV22-8.7/15KV-3*240</w:t>
            </w:r>
          </w:p>
        </w:tc>
        <w:tc>
          <w:tcPr>
            <w:tcW w:w="713" w:type="dxa"/>
          </w:tcPr>
          <w:p>
            <w:pPr>
              <w:pStyle w:val="TableParagraph"/>
              <w:spacing w:before="128"/>
              <w:ind w:left="118"/>
              <w:rPr>
                <w:sz w:val="23"/>
              </w:rPr>
            </w:pPr>
            <w:r>
              <w:rPr>
                <w:w w:val="105"/>
                <w:sz w:val="23"/>
              </w:rPr>
              <w:t>km</w:t>
            </w:r>
          </w:p>
        </w:tc>
        <w:tc>
          <w:tcPr>
            <w:tcW w:w="814" w:type="dxa"/>
          </w:tcPr>
          <w:p>
            <w:pPr>
              <w:pStyle w:val="TableParagraph"/>
              <w:spacing w:before="128"/>
              <w:ind w:left="111"/>
              <w:rPr>
                <w:sz w:val="23"/>
              </w:rPr>
            </w:pPr>
            <w:r>
              <w:rPr>
                <w:w w:val="105"/>
                <w:sz w:val="23"/>
              </w:rPr>
              <w:t>0.41</w:t>
            </w:r>
          </w:p>
        </w:tc>
        <w:tc>
          <w:tcPr>
            <w:tcW w:w="987" w:type="dxa"/>
          </w:tcPr>
          <w:p>
            <w:pPr>
              <w:pStyle w:val="TableParagraph"/>
              <w:rPr>
                <w:rFonts w:ascii="Times New Roman"/>
                <w:sz w:val="22"/>
              </w:rPr>
            </w:pPr>
          </w:p>
        </w:tc>
        <w:tc>
          <w:tcPr>
            <w:tcW w:w="1030" w:type="dxa"/>
          </w:tcPr>
          <w:p>
            <w:pPr>
              <w:pStyle w:val="TableParagraph"/>
              <w:rPr>
                <w:rFonts w:ascii="Times New Roman"/>
                <w:sz w:val="22"/>
              </w:rPr>
            </w:pPr>
          </w:p>
        </w:tc>
      </w:tr>
      <w:tr>
        <w:trPr>
          <w:trHeight w:val="551" w:hRule="atLeast"/>
        </w:trPr>
        <w:tc>
          <w:tcPr>
            <w:tcW w:w="850" w:type="dxa"/>
          </w:tcPr>
          <w:p>
            <w:pPr>
              <w:pStyle w:val="TableParagraph"/>
              <w:spacing w:before="121"/>
              <w:ind w:left="17"/>
              <w:jc w:val="center"/>
              <w:rPr>
                <w:sz w:val="23"/>
              </w:rPr>
            </w:pPr>
            <w:r>
              <w:rPr>
                <w:w w:val="103"/>
                <w:sz w:val="23"/>
              </w:rPr>
              <w:t>3</w:t>
            </w:r>
          </w:p>
        </w:tc>
        <w:tc>
          <w:tcPr>
            <w:tcW w:w="1974" w:type="dxa"/>
          </w:tcPr>
          <w:p>
            <w:pPr>
              <w:pStyle w:val="TableParagraph"/>
              <w:spacing w:before="128"/>
              <w:ind w:left="183" w:right="170"/>
              <w:jc w:val="center"/>
              <w:rPr>
                <w:sz w:val="23"/>
              </w:rPr>
            </w:pPr>
            <w:r>
              <w:rPr>
                <w:w w:val="105"/>
                <w:sz w:val="23"/>
              </w:rPr>
              <w:t>10kV 交联电缆</w:t>
            </w:r>
          </w:p>
        </w:tc>
        <w:tc>
          <w:tcPr>
            <w:tcW w:w="3097" w:type="dxa"/>
          </w:tcPr>
          <w:p>
            <w:pPr>
              <w:pStyle w:val="TableParagraph"/>
              <w:spacing w:before="128"/>
              <w:ind w:left="147" w:right="122"/>
              <w:jc w:val="center"/>
              <w:rPr>
                <w:sz w:val="23"/>
              </w:rPr>
            </w:pPr>
            <w:r>
              <w:rPr>
                <w:w w:val="105"/>
                <w:sz w:val="23"/>
              </w:rPr>
              <w:t>ZR-YJV22-8.7/15KV-3*400</w:t>
            </w:r>
          </w:p>
        </w:tc>
        <w:tc>
          <w:tcPr>
            <w:tcW w:w="713" w:type="dxa"/>
          </w:tcPr>
          <w:p>
            <w:pPr>
              <w:pStyle w:val="TableParagraph"/>
              <w:spacing w:before="128"/>
              <w:ind w:left="118"/>
              <w:rPr>
                <w:sz w:val="23"/>
              </w:rPr>
            </w:pPr>
            <w:r>
              <w:rPr>
                <w:w w:val="105"/>
                <w:sz w:val="23"/>
              </w:rPr>
              <w:t>km</w:t>
            </w:r>
          </w:p>
        </w:tc>
        <w:tc>
          <w:tcPr>
            <w:tcW w:w="814" w:type="dxa"/>
          </w:tcPr>
          <w:p>
            <w:pPr>
              <w:pStyle w:val="TableParagraph"/>
              <w:spacing w:before="128"/>
              <w:ind w:left="111"/>
              <w:rPr>
                <w:sz w:val="23"/>
              </w:rPr>
            </w:pPr>
            <w:r>
              <w:rPr>
                <w:w w:val="105"/>
                <w:sz w:val="23"/>
              </w:rPr>
              <w:t>1.5</w:t>
            </w:r>
          </w:p>
        </w:tc>
        <w:tc>
          <w:tcPr>
            <w:tcW w:w="987" w:type="dxa"/>
          </w:tcPr>
          <w:p>
            <w:pPr>
              <w:pStyle w:val="TableParagraph"/>
              <w:rPr>
                <w:rFonts w:ascii="Times New Roman"/>
                <w:sz w:val="22"/>
              </w:rPr>
            </w:pPr>
          </w:p>
        </w:tc>
        <w:tc>
          <w:tcPr>
            <w:tcW w:w="1030" w:type="dxa"/>
          </w:tcPr>
          <w:p>
            <w:pPr>
              <w:pStyle w:val="TableParagraph"/>
              <w:rPr>
                <w:rFonts w:ascii="Times New Roman"/>
                <w:sz w:val="22"/>
              </w:rPr>
            </w:pPr>
          </w:p>
        </w:tc>
      </w:tr>
      <w:tr>
        <w:trPr>
          <w:trHeight w:val="551" w:hRule="atLeast"/>
        </w:trPr>
        <w:tc>
          <w:tcPr>
            <w:tcW w:w="850" w:type="dxa"/>
          </w:tcPr>
          <w:p>
            <w:pPr>
              <w:pStyle w:val="TableParagraph"/>
              <w:spacing w:before="121"/>
              <w:ind w:left="17"/>
              <w:jc w:val="center"/>
              <w:rPr>
                <w:sz w:val="23"/>
              </w:rPr>
            </w:pPr>
            <w:r>
              <w:rPr>
                <w:w w:val="103"/>
                <w:sz w:val="23"/>
              </w:rPr>
              <w:t>4</w:t>
            </w:r>
          </w:p>
        </w:tc>
        <w:tc>
          <w:tcPr>
            <w:tcW w:w="1974" w:type="dxa"/>
          </w:tcPr>
          <w:p>
            <w:pPr>
              <w:pStyle w:val="TableParagraph"/>
              <w:spacing w:before="128"/>
              <w:ind w:left="176" w:right="170"/>
              <w:jc w:val="center"/>
              <w:rPr>
                <w:sz w:val="23"/>
              </w:rPr>
            </w:pPr>
            <w:r>
              <w:rPr>
                <w:w w:val="105"/>
                <w:sz w:val="23"/>
              </w:rPr>
              <w:t>1kV 阻燃电缆</w:t>
            </w:r>
          </w:p>
        </w:tc>
        <w:tc>
          <w:tcPr>
            <w:tcW w:w="3097" w:type="dxa"/>
          </w:tcPr>
          <w:p>
            <w:pPr>
              <w:pStyle w:val="TableParagraph"/>
              <w:spacing w:before="128"/>
              <w:ind w:left="139" w:right="122"/>
              <w:jc w:val="center"/>
              <w:rPr>
                <w:sz w:val="23"/>
              </w:rPr>
            </w:pPr>
            <w:r>
              <w:rPr>
                <w:w w:val="105"/>
                <w:sz w:val="23"/>
              </w:rPr>
              <w:t>ZR-YJV22-0.6/1KV-4*95</w:t>
            </w:r>
          </w:p>
        </w:tc>
        <w:tc>
          <w:tcPr>
            <w:tcW w:w="713" w:type="dxa"/>
          </w:tcPr>
          <w:p>
            <w:pPr>
              <w:pStyle w:val="TableParagraph"/>
              <w:spacing w:before="128"/>
              <w:ind w:left="118"/>
              <w:rPr>
                <w:sz w:val="23"/>
              </w:rPr>
            </w:pPr>
            <w:r>
              <w:rPr>
                <w:w w:val="105"/>
                <w:sz w:val="23"/>
              </w:rPr>
              <w:t>Km</w:t>
            </w:r>
          </w:p>
        </w:tc>
        <w:tc>
          <w:tcPr>
            <w:tcW w:w="814" w:type="dxa"/>
          </w:tcPr>
          <w:p>
            <w:pPr>
              <w:pStyle w:val="TableParagraph"/>
              <w:spacing w:before="128"/>
              <w:ind w:left="111"/>
              <w:rPr>
                <w:sz w:val="23"/>
              </w:rPr>
            </w:pPr>
            <w:r>
              <w:rPr>
                <w:w w:val="105"/>
                <w:sz w:val="23"/>
              </w:rPr>
              <w:t>0.796</w:t>
            </w:r>
          </w:p>
        </w:tc>
        <w:tc>
          <w:tcPr>
            <w:tcW w:w="987" w:type="dxa"/>
          </w:tcPr>
          <w:p>
            <w:pPr>
              <w:pStyle w:val="TableParagraph"/>
              <w:rPr>
                <w:rFonts w:ascii="Times New Roman"/>
                <w:sz w:val="22"/>
              </w:rPr>
            </w:pPr>
          </w:p>
        </w:tc>
        <w:tc>
          <w:tcPr>
            <w:tcW w:w="1030" w:type="dxa"/>
          </w:tcPr>
          <w:p>
            <w:pPr>
              <w:pStyle w:val="TableParagraph"/>
              <w:rPr>
                <w:rFonts w:ascii="Times New Roman"/>
                <w:sz w:val="22"/>
              </w:rPr>
            </w:pPr>
          </w:p>
        </w:tc>
      </w:tr>
      <w:tr>
        <w:trPr>
          <w:trHeight w:val="551" w:hRule="atLeast"/>
        </w:trPr>
        <w:tc>
          <w:tcPr>
            <w:tcW w:w="850" w:type="dxa"/>
          </w:tcPr>
          <w:p>
            <w:pPr>
              <w:pStyle w:val="TableParagraph"/>
              <w:spacing w:before="121"/>
              <w:ind w:left="17"/>
              <w:jc w:val="center"/>
              <w:rPr>
                <w:sz w:val="23"/>
              </w:rPr>
            </w:pPr>
            <w:r>
              <w:rPr>
                <w:w w:val="103"/>
                <w:sz w:val="23"/>
              </w:rPr>
              <w:t>5</w:t>
            </w:r>
          </w:p>
        </w:tc>
        <w:tc>
          <w:tcPr>
            <w:tcW w:w="1974" w:type="dxa"/>
          </w:tcPr>
          <w:p>
            <w:pPr>
              <w:pStyle w:val="TableParagraph"/>
              <w:spacing w:before="128"/>
              <w:ind w:left="176" w:right="170"/>
              <w:jc w:val="center"/>
              <w:rPr>
                <w:sz w:val="23"/>
              </w:rPr>
            </w:pPr>
            <w:r>
              <w:rPr>
                <w:w w:val="105"/>
                <w:sz w:val="23"/>
              </w:rPr>
              <w:t>1kV 阻燃电缆</w:t>
            </w:r>
          </w:p>
        </w:tc>
        <w:tc>
          <w:tcPr>
            <w:tcW w:w="3097" w:type="dxa"/>
          </w:tcPr>
          <w:p>
            <w:pPr>
              <w:pStyle w:val="TableParagraph"/>
              <w:spacing w:before="128"/>
              <w:ind w:left="139" w:right="122"/>
              <w:jc w:val="center"/>
              <w:rPr>
                <w:sz w:val="23"/>
              </w:rPr>
            </w:pPr>
            <w:r>
              <w:rPr>
                <w:w w:val="105"/>
                <w:sz w:val="23"/>
              </w:rPr>
              <w:t>ZR-YJV22-0.6/1KV-4*70</w:t>
            </w:r>
          </w:p>
        </w:tc>
        <w:tc>
          <w:tcPr>
            <w:tcW w:w="713" w:type="dxa"/>
          </w:tcPr>
          <w:p>
            <w:pPr>
              <w:pStyle w:val="TableParagraph"/>
              <w:spacing w:before="128"/>
              <w:ind w:left="118"/>
              <w:rPr>
                <w:sz w:val="23"/>
              </w:rPr>
            </w:pPr>
            <w:r>
              <w:rPr>
                <w:w w:val="105"/>
                <w:sz w:val="23"/>
              </w:rPr>
              <w:t>Km</w:t>
            </w:r>
          </w:p>
        </w:tc>
        <w:tc>
          <w:tcPr>
            <w:tcW w:w="814" w:type="dxa"/>
          </w:tcPr>
          <w:p>
            <w:pPr>
              <w:pStyle w:val="TableParagraph"/>
              <w:spacing w:before="128"/>
              <w:ind w:left="111"/>
              <w:rPr>
                <w:sz w:val="23"/>
              </w:rPr>
            </w:pPr>
            <w:r>
              <w:rPr>
                <w:w w:val="105"/>
                <w:sz w:val="23"/>
              </w:rPr>
              <w:t>1.304</w:t>
            </w:r>
          </w:p>
        </w:tc>
        <w:tc>
          <w:tcPr>
            <w:tcW w:w="987" w:type="dxa"/>
          </w:tcPr>
          <w:p>
            <w:pPr>
              <w:pStyle w:val="TableParagraph"/>
              <w:rPr>
                <w:rFonts w:ascii="Times New Roman"/>
                <w:sz w:val="22"/>
              </w:rPr>
            </w:pPr>
          </w:p>
        </w:tc>
        <w:tc>
          <w:tcPr>
            <w:tcW w:w="1030" w:type="dxa"/>
          </w:tcPr>
          <w:p>
            <w:pPr>
              <w:pStyle w:val="TableParagraph"/>
              <w:rPr>
                <w:rFonts w:ascii="Times New Roman"/>
                <w:sz w:val="22"/>
              </w:rPr>
            </w:pPr>
          </w:p>
        </w:tc>
      </w:tr>
      <w:tr>
        <w:trPr>
          <w:trHeight w:val="552" w:hRule="atLeast"/>
        </w:trPr>
        <w:tc>
          <w:tcPr>
            <w:tcW w:w="850" w:type="dxa"/>
          </w:tcPr>
          <w:p>
            <w:pPr>
              <w:pStyle w:val="TableParagraph"/>
              <w:spacing w:before="121"/>
              <w:ind w:left="17"/>
              <w:jc w:val="center"/>
              <w:rPr>
                <w:sz w:val="23"/>
              </w:rPr>
            </w:pPr>
            <w:r>
              <w:rPr>
                <w:w w:val="103"/>
                <w:sz w:val="23"/>
              </w:rPr>
              <w:t>6</w:t>
            </w:r>
          </w:p>
        </w:tc>
        <w:tc>
          <w:tcPr>
            <w:tcW w:w="1974" w:type="dxa"/>
          </w:tcPr>
          <w:p>
            <w:pPr>
              <w:pStyle w:val="TableParagraph"/>
              <w:spacing w:before="128"/>
              <w:ind w:left="176" w:right="170"/>
              <w:jc w:val="center"/>
              <w:rPr>
                <w:sz w:val="23"/>
              </w:rPr>
            </w:pPr>
            <w:r>
              <w:rPr>
                <w:w w:val="105"/>
                <w:sz w:val="23"/>
              </w:rPr>
              <w:t>1kV 阻燃电缆</w:t>
            </w:r>
          </w:p>
        </w:tc>
        <w:tc>
          <w:tcPr>
            <w:tcW w:w="3097" w:type="dxa"/>
          </w:tcPr>
          <w:p>
            <w:pPr>
              <w:pStyle w:val="TableParagraph"/>
              <w:spacing w:before="128"/>
              <w:ind w:left="139" w:right="122"/>
              <w:jc w:val="center"/>
              <w:rPr>
                <w:sz w:val="23"/>
              </w:rPr>
            </w:pPr>
            <w:r>
              <w:rPr>
                <w:w w:val="105"/>
                <w:sz w:val="23"/>
              </w:rPr>
              <w:t>ZR-YJV22-0.6/1KV-4*50</w:t>
            </w:r>
          </w:p>
        </w:tc>
        <w:tc>
          <w:tcPr>
            <w:tcW w:w="713" w:type="dxa"/>
          </w:tcPr>
          <w:p>
            <w:pPr>
              <w:pStyle w:val="TableParagraph"/>
              <w:spacing w:before="128"/>
              <w:ind w:left="118"/>
              <w:rPr>
                <w:sz w:val="23"/>
              </w:rPr>
            </w:pPr>
            <w:r>
              <w:rPr>
                <w:w w:val="105"/>
                <w:sz w:val="23"/>
              </w:rPr>
              <w:t>Km</w:t>
            </w:r>
          </w:p>
        </w:tc>
        <w:tc>
          <w:tcPr>
            <w:tcW w:w="814" w:type="dxa"/>
          </w:tcPr>
          <w:p>
            <w:pPr>
              <w:pStyle w:val="TableParagraph"/>
              <w:spacing w:before="128"/>
              <w:ind w:left="111"/>
              <w:rPr>
                <w:sz w:val="23"/>
              </w:rPr>
            </w:pPr>
            <w:r>
              <w:rPr>
                <w:w w:val="105"/>
                <w:sz w:val="23"/>
              </w:rPr>
              <w:t>1.978</w:t>
            </w:r>
          </w:p>
        </w:tc>
        <w:tc>
          <w:tcPr>
            <w:tcW w:w="987" w:type="dxa"/>
          </w:tcPr>
          <w:p>
            <w:pPr>
              <w:pStyle w:val="TableParagraph"/>
              <w:rPr>
                <w:rFonts w:ascii="Times New Roman"/>
                <w:sz w:val="22"/>
              </w:rPr>
            </w:pPr>
          </w:p>
        </w:tc>
        <w:tc>
          <w:tcPr>
            <w:tcW w:w="1030" w:type="dxa"/>
          </w:tcPr>
          <w:p>
            <w:pPr>
              <w:pStyle w:val="TableParagraph"/>
              <w:rPr>
                <w:rFonts w:ascii="Times New Roman"/>
                <w:sz w:val="22"/>
              </w:rPr>
            </w:pPr>
          </w:p>
        </w:tc>
      </w:tr>
      <w:tr>
        <w:trPr>
          <w:trHeight w:val="551" w:hRule="atLeast"/>
        </w:trPr>
        <w:tc>
          <w:tcPr>
            <w:tcW w:w="850" w:type="dxa"/>
          </w:tcPr>
          <w:p>
            <w:pPr>
              <w:pStyle w:val="TableParagraph"/>
              <w:spacing w:before="121"/>
              <w:ind w:left="17"/>
              <w:jc w:val="center"/>
              <w:rPr>
                <w:sz w:val="23"/>
              </w:rPr>
            </w:pPr>
            <w:r>
              <w:rPr>
                <w:w w:val="103"/>
                <w:sz w:val="23"/>
              </w:rPr>
              <w:t>7</w:t>
            </w:r>
          </w:p>
        </w:tc>
        <w:tc>
          <w:tcPr>
            <w:tcW w:w="1974" w:type="dxa"/>
          </w:tcPr>
          <w:p>
            <w:pPr>
              <w:pStyle w:val="TableParagraph"/>
              <w:spacing w:before="128"/>
              <w:ind w:left="176" w:right="170"/>
              <w:jc w:val="center"/>
              <w:rPr>
                <w:sz w:val="23"/>
              </w:rPr>
            </w:pPr>
            <w:r>
              <w:rPr>
                <w:w w:val="105"/>
                <w:sz w:val="23"/>
              </w:rPr>
              <w:t>1kV 阻燃电缆</w:t>
            </w:r>
          </w:p>
        </w:tc>
        <w:tc>
          <w:tcPr>
            <w:tcW w:w="3097" w:type="dxa"/>
          </w:tcPr>
          <w:p>
            <w:pPr>
              <w:pStyle w:val="TableParagraph"/>
              <w:spacing w:before="128"/>
              <w:ind w:left="139" w:right="122"/>
              <w:jc w:val="center"/>
              <w:rPr>
                <w:sz w:val="23"/>
              </w:rPr>
            </w:pPr>
            <w:r>
              <w:rPr>
                <w:w w:val="105"/>
                <w:sz w:val="23"/>
              </w:rPr>
              <w:t>ZR-YJV22-0.6/1KV-4*25</w:t>
            </w:r>
          </w:p>
        </w:tc>
        <w:tc>
          <w:tcPr>
            <w:tcW w:w="713" w:type="dxa"/>
          </w:tcPr>
          <w:p>
            <w:pPr>
              <w:pStyle w:val="TableParagraph"/>
              <w:spacing w:before="128"/>
              <w:ind w:left="118"/>
              <w:rPr>
                <w:sz w:val="23"/>
              </w:rPr>
            </w:pPr>
            <w:r>
              <w:rPr>
                <w:w w:val="105"/>
                <w:sz w:val="23"/>
              </w:rPr>
              <w:t>Km</w:t>
            </w:r>
          </w:p>
        </w:tc>
        <w:tc>
          <w:tcPr>
            <w:tcW w:w="814" w:type="dxa"/>
          </w:tcPr>
          <w:p>
            <w:pPr>
              <w:pStyle w:val="TableParagraph"/>
              <w:spacing w:before="128"/>
              <w:ind w:left="111"/>
              <w:rPr>
                <w:sz w:val="23"/>
              </w:rPr>
            </w:pPr>
            <w:r>
              <w:rPr>
                <w:w w:val="105"/>
                <w:sz w:val="23"/>
              </w:rPr>
              <w:t>0.12</w:t>
            </w:r>
          </w:p>
        </w:tc>
        <w:tc>
          <w:tcPr>
            <w:tcW w:w="987" w:type="dxa"/>
          </w:tcPr>
          <w:p>
            <w:pPr>
              <w:pStyle w:val="TableParagraph"/>
              <w:rPr>
                <w:rFonts w:ascii="Times New Roman"/>
                <w:sz w:val="22"/>
              </w:rPr>
            </w:pPr>
          </w:p>
        </w:tc>
        <w:tc>
          <w:tcPr>
            <w:tcW w:w="1030" w:type="dxa"/>
          </w:tcPr>
          <w:p>
            <w:pPr>
              <w:pStyle w:val="TableParagraph"/>
              <w:rPr>
                <w:rFonts w:ascii="Times New Roman"/>
                <w:sz w:val="22"/>
              </w:rPr>
            </w:pPr>
          </w:p>
        </w:tc>
      </w:tr>
      <w:tr>
        <w:trPr>
          <w:trHeight w:val="544" w:hRule="atLeast"/>
        </w:trPr>
        <w:tc>
          <w:tcPr>
            <w:tcW w:w="850" w:type="dxa"/>
          </w:tcPr>
          <w:p>
            <w:pPr>
              <w:pStyle w:val="TableParagraph"/>
              <w:spacing w:before="121"/>
              <w:ind w:left="17"/>
              <w:jc w:val="center"/>
              <w:rPr>
                <w:sz w:val="23"/>
              </w:rPr>
            </w:pPr>
            <w:r>
              <w:rPr>
                <w:w w:val="103"/>
                <w:sz w:val="23"/>
              </w:rPr>
              <w:t>8</w:t>
            </w:r>
          </w:p>
        </w:tc>
        <w:tc>
          <w:tcPr>
            <w:tcW w:w="1974" w:type="dxa"/>
          </w:tcPr>
          <w:p>
            <w:pPr>
              <w:pStyle w:val="TableParagraph"/>
              <w:spacing w:before="128"/>
              <w:ind w:left="176" w:right="170"/>
              <w:jc w:val="center"/>
              <w:rPr>
                <w:sz w:val="23"/>
              </w:rPr>
            </w:pPr>
            <w:r>
              <w:rPr>
                <w:w w:val="105"/>
                <w:sz w:val="23"/>
              </w:rPr>
              <w:t>1kV 阻燃电缆</w:t>
            </w:r>
          </w:p>
        </w:tc>
        <w:tc>
          <w:tcPr>
            <w:tcW w:w="3097" w:type="dxa"/>
          </w:tcPr>
          <w:p>
            <w:pPr>
              <w:pStyle w:val="TableParagraph"/>
              <w:spacing w:before="128"/>
              <w:ind w:left="146" w:right="122"/>
              <w:jc w:val="center"/>
              <w:rPr>
                <w:sz w:val="23"/>
              </w:rPr>
            </w:pPr>
            <w:r>
              <w:rPr>
                <w:w w:val="105"/>
                <w:sz w:val="23"/>
              </w:rPr>
              <w:t>ZR-YJV22-0.6/1KV-4*240</w:t>
            </w:r>
          </w:p>
        </w:tc>
        <w:tc>
          <w:tcPr>
            <w:tcW w:w="713" w:type="dxa"/>
          </w:tcPr>
          <w:p>
            <w:pPr>
              <w:pStyle w:val="TableParagraph"/>
              <w:spacing w:before="128"/>
              <w:ind w:left="118"/>
              <w:rPr>
                <w:sz w:val="23"/>
              </w:rPr>
            </w:pPr>
            <w:r>
              <w:rPr>
                <w:w w:val="105"/>
                <w:sz w:val="23"/>
              </w:rPr>
              <w:t>Km</w:t>
            </w:r>
          </w:p>
        </w:tc>
        <w:tc>
          <w:tcPr>
            <w:tcW w:w="814" w:type="dxa"/>
          </w:tcPr>
          <w:p>
            <w:pPr>
              <w:pStyle w:val="TableParagraph"/>
              <w:spacing w:before="128"/>
              <w:ind w:left="111"/>
              <w:rPr>
                <w:sz w:val="23"/>
              </w:rPr>
            </w:pPr>
            <w:r>
              <w:rPr>
                <w:w w:val="105"/>
                <w:sz w:val="23"/>
              </w:rPr>
              <w:t>1.507</w:t>
            </w:r>
          </w:p>
        </w:tc>
        <w:tc>
          <w:tcPr>
            <w:tcW w:w="987" w:type="dxa"/>
          </w:tcPr>
          <w:p>
            <w:pPr>
              <w:pStyle w:val="TableParagraph"/>
              <w:rPr>
                <w:rFonts w:ascii="Times New Roman"/>
                <w:sz w:val="22"/>
              </w:rPr>
            </w:pPr>
          </w:p>
        </w:tc>
        <w:tc>
          <w:tcPr>
            <w:tcW w:w="1030" w:type="dxa"/>
          </w:tcPr>
          <w:p>
            <w:pPr>
              <w:pStyle w:val="TableParagraph"/>
              <w:rPr>
                <w:rFonts w:ascii="Times New Roman"/>
                <w:sz w:val="22"/>
              </w:rPr>
            </w:pPr>
          </w:p>
        </w:tc>
      </w:tr>
      <w:tr>
        <w:trPr>
          <w:trHeight w:val="558" w:hRule="atLeast"/>
        </w:trPr>
        <w:tc>
          <w:tcPr>
            <w:tcW w:w="850" w:type="dxa"/>
          </w:tcPr>
          <w:p>
            <w:pPr>
              <w:pStyle w:val="TableParagraph"/>
              <w:spacing w:before="128"/>
              <w:ind w:left="17"/>
              <w:jc w:val="center"/>
              <w:rPr>
                <w:sz w:val="23"/>
              </w:rPr>
            </w:pPr>
            <w:r>
              <w:rPr>
                <w:w w:val="103"/>
                <w:sz w:val="23"/>
              </w:rPr>
              <w:t>9</w:t>
            </w:r>
          </w:p>
        </w:tc>
        <w:tc>
          <w:tcPr>
            <w:tcW w:w="1974" w:type="dxa"/>
          </w:tcPr>
          <w:p>
            <w:pPr>
              <w:pStyle w:val="TableParagraph"/>
              <w:spacing w:before="135"/>
              <w:ind w:left="176" w:right="170"/>
              <w:jc w:val="center"/>
              <w:rPr>
                <w:sz w:val="23"/>
              </w:rPr>
            </w:pPr>
            <w:r>
              <w:rPr>
                <w:w w:val="105"/>
                <w:sz w:val="23"/>
              </w:rPr>
              <w:t>1kV 阻燃电缆</w:t>
            </w:r>
          </w:p>
        </w:tc>
        <w:tc>
          <w:tcPr>
            <w:tcW w:w="3097" w:type="dxa"/>
          </w:tcPr>
          <w:p>
            <w:pPr>
              <w:pStyle w:val="TableParagraph"/>
              <w:spacing w:before="135"/>
              <w:ind w:left="147" w:right="121"/>
              <w:jc w:val="center"/>
              <w:rPr>
                <w:sz w:val="23"/>
              </w:rPr>
            </w:pPr>
            <w:r>
              <w:rPr>
                <w:w w:val="105"/>
                <w:sz w:val="23"/>
              </w:rPr>
              <w:t>ZR-YJV22-0.6/1KV-4*150</w:t>
            </w:r>
          </w:p>
        </w:tc>
        <w:tc>
          <w:tcPr>
            <w:tcW w:w="713" w:type="dxa"/>
          </w:tcPr>
          <w:p>
            <w:pPr>
              <w:pStyle w:val="TableParagraph"/>
              <w:spacing w:before="135"/>
              <w:ind w:left="118"/>
              <w:rPr>
                <w:sz w:val="23"/>
              </w:rPr>
            </w:pPr>
            <w:r>
              <w:rPr>
                <w:w w:val="105"/>
                <w:sz w:val="23"/>
              </w:rPr>
              <w:t>Km</w:t>
            </w:r>
          </w:p>
        </w:tc>
        <w:tc>
          <w:tcPr>
            <w:tcW w:w="814" w:type="dxa"/>
          </w:tcPr>
          <w:p>
            <w:pPr>
              <w:pStyle w:val="TableParagraph"/>
              <w:spacing w:before="135"/>
              <w:ind w:left="111"/>
              <w:rPr>
                <w:sz w:val="23"/>
              </w:rPr>
            </w:pPr>
            <w:r>
              <w:rPr>
                <w:w w:val="105"/>
                <w:sz w:val="23"/>
              </w:rPr>
              <w:t>1.788</w:t>
            </w:r>
          </w:p>
        </w:tc>
        <w:tc>
          <w:tcPr>
            <w:tcW w:w="987" w:type="dxa"/>
          </w:tcPr>
          <w:p>
            <w:pPr>
              <w:pStyle w:val="TableParagraph"/>
              <w:rPr>
                <w:rFonts w:ascii="Times New Roman"/>
                <w:sz w:val="22"/>
              </w:rPr>
            </w:pPr>
          </w:p>
        </w:tc>
        <w:tc>
          <w:tcPr>
            <w:tcW w:w="1030" w:type="dxa"/>
          </w:tcPr>
          <w:p>
            <w:pPr>
              <w:pStyle w:val="TableParagraph"/>
              <w:rPr>
                <w:rFonts w:ascii="Times New Roman"/>
                <w:sz w:val="22"/>
              </w:rPr>
            </w:pPr>
          </w:p>
        </w:tc>
      </w:tr>
    </w:tbl>
    <w:p>
      <w:pPr>
        <w:spacing w:before="0"/>
        <w:ind w:left="352" w:right="0" w:firstLine="0"/>
        <w:jc w:val="left"/>
        <w:rPr>
          <w:sz w:val="23"/>
        </w:rPr>
      </w:pPr>
      <w:r>
        <w:rPr>
          <w:w w:val="105"/>
          <w:sz w:val="23"/>
        </w:rPr>
        <w:t>注：所提供的货物应符合国家及地方有关规定要求符合招标文件、图纸要求和合同要 求（含</w:t>
      </w:r>
    </w:p>
    <w:p>
      <w:pPr>
        <w:spacing w:before="145"/>
        <w:ind w:left="352" w:right="0" w:firstLine="0"/>
        <w:jc w:val="left"/>
        <w:rPr>
          <w:sz w:val="23"/>
        </w:rPr>
      </w:pPr>
      <w:r>
        <w:rPr>
          <w:w w:val="105"/>
          <w:sz w:val="23"/>
        </w:rPr>
        <w:t>《技术规范》等）。</w:t>
      </w:r>
    </w:p>
    <w:p>
      <w:pPr>
        <w:pStyle w:val="ListParagraph"/>
        <w:numPr>
          <w:ilvl w:val="1"/>
          <w:numId w:val="22"/>
        </w:numPr>
        <w:tabs>
          <w:tab w:pos="849" w:val="left" w:leader="none"/>
        </w:tabs>
        <w:spacing w:line="240" w:lineRule="auto" w:before="152" w:after="0"/>
        <w:ind w:left="848" w:right="0" w:hanging="496"/>
        <w:jc w:val="left"/>
        <w:rPr>
          <w:sz w:val="28"/>
        </w:rPr>
      </w:pPr>
      <w:r>
        <w:rPr>
          <w:sz w:val="28"/>
        </w:rPr>
        <w:t>合同价款（</w:t>
      </w:r>
      <w:r>
        <w:rPr>
          <w:spacing w:val="-3"/>
          <w:sz w:val="28"/>
        </w:rPr>
        <w:t>人民币，下同</w:t>
      </w:r>
      <w:r>
        <w:rPr>
          <w:sz w:val="28"/>
        </w:rPr>
        <w:t>）</w:t>
      </w:r>
    </w:p>
    <w:p>
      <w:pPr>
        <w:tabs>
          <w:tab w:pos="5855" w:val="left" w:leader="none"/>
          <w:tab w:pos="8189" w:val="left" w:leader="none"/>
        </w:tabs>
        <w:spacing w:line="357" w:lineRule="auto" w:before="131"/>
        <w:ind w:left="352" w:right="513" w:firstLine="482"/>
        <w:jc w:val="left"/>
        <w:rPr>
          <w:sz w:val="23"/>
        </w:rPr>
      </w:pPr>
      <w:r>
        <w:rPr>
          <w:w w:val="105"/>
          <w:sz w:val="23"/>
        </w:rPr>
        <w:t>合同总</w:t>
      </w:r>
      <w:r>
        <w:rPr>
          <w:spacing w:val="5"/>
          <w:w w:val="105"/>
          <w:sz w:val="23"/>
        </w:rPr>
        <w:t>价</w:t>
      </w:r>
      <w:r>
        <w:rPr>
          <w:w w:val="105"/>
          <w:sz w:val="23"/>
        </w:rPr>
        <w:t>为人</w:t>
      </w:r>
      <w:r>
        <w:rPr>
          <w:spacing w:val="6"/>
          <w:w w:val="105"/>
          <w:sz w:val="23"/>
        </w:rPr>
        <w:t>民</w:t>
      </w:r>
      <w:r>
        <w:rPr>
          <w:spacing w:val="-7"/>
          <w:w w:val="105"/>
          <w:sz w:val="23"/>
        </w:rPr>
        <w:t>币</w:t>
      </w:r>
      <w:r>
        <w:rPr>
          <w:w w:val="105"/>
          <w:sz w:val="23"/>
        </w:rPr>
        <w:t>（大</w:t>
      </w:r>
      <w:r>
        <w:rPr>
          <w:spacing w:val="5"/>
          <w:w w:val="105"/>
          <w:sz w:val="23"/>
        </w:rPr>
        <w:t>写</w:t>
      </w:r>
      <w:r>
        <w:rPr>
          <w:spacing w:val="-4"/>
          <w:w w:val="105"/>
          <w:sz w:val="23"/>
        </w:rPr>
        <w:t>）：</w:t>
      </w:r>
      <w:r>
        <w:rPr>
          <w:spacing w:val="-4"/>
          <w:w w:val="105"/>
          <w:sz w:val="23"/>
          <w:u w:val="single"/>
        </w:rPr>
        <w:t> </w:t>
        <w:tab/>
      </w:r>
      <w:r>
        <w:rPr>
          <w:spacing w:val="-7"/>
          <w:w w:val="105"/>
          <w:sz w:val="23"/>
        </w:rPr>
        <w:t>，</w:t>
      </w:r>
      <w:r>
        <w:rPr>
          <w:w w:val="105"/>
          <w:sz w:val="23"/>
        </w:rPr>
        <w:t>即</w:t>
      </w:r>
      <w:r>
        <w:rPr>
          <w:spacing w:val="-66"/>
          <w:w w:val="105"/>
          <w:sz w:val="23"/>
        </w:rPr>
        <w:t> </w:t>
      </w:r>
      <w:r>
        <w:rPr>
          <w:w w:val="105"/>
          <w:sz w:val="23"/>
        </w:rPr>
        <w:t>RMB￥</w:t>
      </w:r>
      <w:r>
        <w:rPr>
          <w:w w:val="105"/>
          <w:sz w:val="23"/>
          <w:u w:val="single"/>
        </w:rPr>
        <w:t> </w:t>
        <w:tab/>
      </w:r>
      <w:r>
        <w:rPr>
          <w:w w:val="105"/>
          <w:sz w:val="23"/>
        </w:rPr>
        <w:t>元</w:t>
      </w:r>
      <w:r>
        <w:rPr>
          <w:spacing w:val="-8"/>
          <w:w w:val="105"/>
          <w:sz w:val="23"/>
        </w:rPr>
        <w:t>，</w:t>
      </w:r>
      <w:r>
        <w:rPr>
          <w:w w:val="105"/>
          <w:sz w:val="23"/>
        </w:rPr>
        <w:t>该合</w:t>
      </w:r>
      <w:r>
        <w:rPr>
          <w:spacing w:val="-10"/>
          <w:w w:val="105"/>
          <w:sz w:val="23"/>
        </w:rPr>
        <w:t> </w:t>
      </w:r>
      <w:r>
        <w:rPr>
          <w:w w:val="105"/>
          <w:sz w:val="23"/>
        </w:rPr>
        <w:t>同总价按</w:t>
      </w:r>
      <w:r>
        <w:rPr>
          <w:spacing w:val="5"/>
          <w:w w:val="105"/>
          <w:sz w:val="23"/>
        </w:rPr>
        <w:t>上</w:t>
      </w:r>
      <w:r>
        <w:rPr>
          <w:w w:val="105"/>
          <w:sz w:val="23"/>
        </w:rPr>
        <w:t>述</w:t>
      </w:r>
      <w:r>
        <w:rPr>
          <w:spacing w:val="-91"/>
          <w:w w:val="105"/>
          <w:sz w:val="23"/>
        </w:rPr>
        <w:t> </w:t>
      </w:r>
      <w:r>
        <w:rPr>
          <w:w w:val="105"/>
          <w:sz w:val="23"/>
        </w:rPr>
        <w:t>1.1.1</w:t>
      </w:r>
      <w:r>
        <w:rPr>
          <w:spacing w:val="-90"/>
          <w:w w:val="105"/>
          <w:sz w:val="23"/>
        </w:rPr>
        <w:t> </w:t>
      </w:r>
      <w:r>
        <w:rPr>
          <w:w w:val="105"/>
          <w:sz w:val="23"/>
        </w:rPr>
        <w:t>条款所列货</w:t>
      </w:r>
      <w:r>
        <w:rPr>
          <w:spacing w:val="5"/>
          <w:w w:val="105"/>
          <w:sz w:val="23"/>
        </w:rPr>
        <w:t>物</w:t>
      </w:r>
      <w:r>
        <w:rPr>
          <w:w w:val="105"/>
          <w:sz w:val="23"/>
        </w:rPr>
        <w:t>名</w:t>
      </w:r>
      <w:r>
        <w:rPr>
          <w:spacing w:val="6"/>
          <w:w w:val="105"/>
          <w:sz w:val="23"/>
        </w:rPr>
        <w:t>称</w:t>
      </w:r>
      <w:r>
        <w:rPr>
          <w:spacing w:val="-72"/>
          <w:w w:val="105"/>
          <w:sz w:val="23"/>
        </w:rPr>
        <w:t>、</w:t>
      </w:r>
      <w:r>
        <w:rPr>
          <w:w w:val="105"/>
          <w:sz w:val="23"/>
        </w:rPr>
        <w:t>规</w:t>
      </w:r>
      <w:r>
        <w:rPr>
          <w:spacing w:val="5"/>
          <w:w w:val="105"/>
          <w:sz w:val="23"/>
        </w:rPr>
        <w:t>格</w:t>
      </w:r>
      <w:r>
        <w:rPr>
          <w:spacing w:val="-72"/>
          <w:w w:val="105"/>
          <w:sz w:val="23"/>
        </w:rPr>
        <w:t>、</w:t>
      </w:r>
      <w:r>
        <w:rPr>
          <w:w w:val="105"/>
          <w:sz w:val="23"/>
        </w:rPr>
        <w:t>数</w:t>
      </w:r>
      <w:r>
        <w:rPr>
          <w:spacing w:val="5"/>
          <w:w w:val="105"/>
          <w:sz w:val="23"/>
        </w:rPr>
        <w:t>量</w:t>
      </w:r>
      <w:r>
        <w:rPr>
          <w:w w:val="105"/>
          <w:sz w:val="23"/>
        </w:rPr>
        <w:t>及其</w:t>
      </w:r>
      <w:r>
        <w:rPr>
          <w:spacing w:val="5"/>
          <w:w w:val="105"/>
          <w:sz w:val="23"/>
        </w:rPr>
        <w:t>单</w:t>
      </w:r>
      <w:r>
        <w:rPr>
          <w:w w:val="105"/>
          <w:sz w:val="23"/>
        </w:rPr>
        <w:t>价确</w:t>
      </w:r>
      <w:r>
        <w:rPr>
          <w:spacing w:val="7"/>
          <w:w w:val="105"/>
          <w:sz w:val="23"/>
        </w:rPr>
        <w:t>定</w:t>
      </w:r>
      <w:r>
        <w:rPr>
          <w:spacing w:val="-72"/>
          <w:w w:val="105"/>
          <w:sz w:val="23"/>
        </w:rPr>
        <w:t>，</w:t>
      </w:r>
      <w:r>
        <w:rPr>
          <w:w w:val="105"/>
          <w:sz w:val="23"/>
        </w:rPr>
        <w:t>且</w:t>
      </w:r>
      <w:r>
        <w:rPr>
          <w:spacing w:val="5"/>
          <w:w w:val="105"/>
          <w:sz w:val="23"/>
        </w:rPr>
        <w:t>实行</w:t>
      </w:r>
      <w:r>
        <w:rPr>
          <w:w w:val="105"/>
          <w:sz w:val="23"/>
        </w:rPr>
        <w:t>单价包</w:t>
      </w:r>
      <w:r>
        <w:rPr>
          <w:spacing w:val="5"/>
          <w:w w:val="105"/>
          <w:sz w:val="23"/>
        </w:rPr>
        <w:t>干</w:t>
      </w:r>
      <w:r>
        <w:rPr>
          <w:w w:val="105"/>
          <w:sz w:val="23"/>
        </w:rPr>
        <w:t>，</w:t>
      </w:r>
      <w:r>
        <w:rPr>
          <w:spacing w:val="-57"/>
          <w:w w:val="105"/>
          <w:sz w:val="23"/>
        </w:rPr>
        <w:t> </w:t>
      </w:r>
      <w:r>
        <w:rPr>
          <w:w w:val="105"/>
          <w:sz w:val="23"/>
        </w:rPr>
        <w:t>在合</w:t>
      </w:r>
      <w:r>
        <w:rPr>
          <w:spacing w:val="5"/>
          <w:w w:val="105"/>
          <w:sz w:val="23"/>
        </w:rPr>
        <w:t>同</w:t>
      </w:r>
      <w:r>
        <w:rPr>
          <w:w w:val="105"/>
          <w:sz w:val="23"/>
        </w:rPr>
        <w:t>期内单价</w:t>
      </w:r>
      <w:r>
        <w:rPr>
          <w:spacing w:val="5"/>
          <w:w w:val="105"/>
          <w:sz w:val="23"/>
        </w:rPr>
        <w:t>均</w:t>
      </w:r>
      <w:r>
        <w:rPr>
          <w:w w:val="105"/>
          <w:sz w:val="23"/>
        </w:rPr>
        <w:t>不变</w:t>
      </w:r>
      <w:r>
        <w:rPr>
          <w:spacing w:val="-43"/>
          <w:w w:val="105"/>
          <w:sz w:val="23"/>
        </w:rPr>
        <w:t>。</w:t>
      </w:r>
      <w:r>
        <w:rPr>
          <w:spacing w:val="5"/>
          <w:w w:val="105"/>
          <w:sz w:val="23"/>
        </w:rPr>
        <w:t>在</w:t>
      </w:r>
      <w:r>
        <w:rPr>
          <w:w w:val="105"/>
          <w:sz w:val="23"/>
        </w:rPr>
        <w:t>合同</w:t>
      </w:r>
      <w:r>
        <w:rPr>
          <w:spacing w:val="5"/>
          <w:w w:val="105"/>
          <w:sz w:val="23"/>
        </w:rPr>
        <w:t>履</w:t>
      </w:r>
      <w:r>
        <w:rPr>
          <w:w w:val="105"/>
          <w:sz w:val="23"/>
        </w:rPr>
        <w:t>行中</w:t>
      </w:r>
      <w:r>
        <w:rPr>
          <w:spacing w:val="-43"/>
          <w:w w:val="105"/>
          <w:sz w:val="23"/>
        </w:rPr>
        <w:t>，</w:t>
      </w:r>
      <w:r>
        <w:rPr>
          <w:w w:val="105"/>
          <w:sz w:val="23"/>
        </w:rPr>
        <w:t>甲</w:t>
      </w:r>
      <w:r>
        <w:rPr>
          <w:spacing w:val="5"/>
          <w:w w:val="105"/>
          <w:sz w:val="23"/>
        </w:rPr>
        <w:t>方</w:t>
      </w:r>
      <w:r>
        <w:rPr>
          <w:w w:val="105"/>
          <w:sz w:val="23"/>
        </w:rPr>
        <w:t>可以</w:t>
      </w:r>
      <w:r>
        <w:rPr>
          <w:spacing w:val="5"/>
          <w:w w:val="105"/>
          <w:sz w:val="23"/>
        </w:rPr>
        <w:t>依</w:t>
      </w:r>
      <w:r>
        <w:rPr>
          <w:w w:val="105"/>
          <w:sz w:val="23"/>
        </w:rPr>
        <w:t>项目</w:t>
      </w:r>
      <w:r>
        <w:rPr>
          <w:spacing w:val="5"/>
          <w:w w:val="105"/>
          <w:sz w:val="23"/>
        </w:rPr>
        <w:t>实</w:t>
      </w:r>
      <w:r>
        <w:rPr>
          <w:w w:val="105"/>
          <w:sz w:val="23"/>
        </w:rPr>
        <w:t>际需</w:t>
      </w:r>
      <w:r>
        <w:rPr>
          <w:spacing w:val="5"/>
          <w:w w:val="105"/>
          <w:sz w:val="23"/>
        </w:rPr>
        <w:t>要</w:t>
      </w:r>
      <w:r>
        <w:rPr>
          <w:w w:val="105"/>
          <w:sz w:val="23"/>
        </w:rPr>
        <w:t>决定</w:t>
      </w:r>
      <w:r>
        <w:rPr>
          <w:spacing w:val="5"/>
          <w:w w:val="105"/>
          <w:sz w:val="23"/>
        </w:rPr>
        <w:t>增</w:t>
      </w:r>
      <w:r>
        <w:rPr>
          <w:w w:val="105"/>
          <w:sz w:val="23"/>
        </w:rPr>
        <w:t>减合</w:t>
      </w:r>
      <w:r>
        <w:rPr>
          <w:spacing w:val="5"/>
          <w:w w:val="105"/>
          <w:sz w:val="23"/>
        </w:rPr>
        <w:t>同</w:t>
      </w:r>
      <w:r>
        <w:rPr>
          <w:w w:val="105"/>
          <w:sz w:val="23"/>
        </w:rPr>
        <w:t>货物</w:t>
      </w:r>
      <w:r>
        <w:rPr>
          <w:spacing w:val="-53"/>
          <w:w w:val="105"/>
          <w:sz w:val="23"/>
        </w:rPr>
        <w:t> </w:t>
      </w:r>
      <w:r>
        <w:rPr>
          <w:w w:val="105"/>
          <w:sz w:val="23"/>
        </w:rPr>
        <w:t>采购</w:t>
      </w:r>
      <w:r>
        <w:rPr>
          <w:spacing w:val="5"/>
          <w:w w:val="105"/>
          <w:sz w:val="23"/>
        </w:rPr>
        <w:t>数</w:t>
      </w:r>
      <w:r>
        <w:rPr>
          <w:w w:val="105"/>
          <w:sz w:val="23"/>
        </w:rPr>
        <w:t>量</w:t>
      </w:r>
      <w:r>
        <w:rPr>
          <w:spacing w:val="-22"/>
          <w:w w:val="105"/>
          <w:sz w:val="23"/>
        </w:rPr>
        <w:t>，</w:t>
      </w:r>
      <w:r>
        <w:rPr>
          <w:w w:val="105"/>
          <w:sz w:val="23"/>
        </w:rPr>
        <w:t>在</w:t>
      </w:r>
      <w:r>
        <w:rPr>
          <w:sz w:val="23"/>
        </w:rPr>
        <w:t>合同结</w:t>
      </w:r>
      <w:r>
        <w:rPr>
          <w:spacing w:val="5"/>
          <w:sz w:val="23"/>
        </w:rPr>
        <w:t>算</w:t>
      </w:r>
      <w:r>
        <w:rPr>
          <w:sz w:val="23"/>
        </w:rPr>
        <w:t>时</w:t>
      </w:r>
      <w:r>
        <w:rPr>
          <w:spacing w:val="-22"/>
          <w:sz w:val="23"/>
        </w:rPr>
        <w:t>，</w:t>
      </w:r>
      <w:r>
        <w:rPr>
          <w:sz w:val="23"/>
        </w:rPr>
        <w:t>单</w:t>
      </w:r>
      <w:r>
        <w:rPr>
          <w:spacing w:val="5"/>
          <w:sz w:val="23"/>
        </w:rPr>
        <w:t>价</w:t>
      </w:r>
      <w:r>
        <w:rPr>
          <w:sz w:val="23"/>
        </w:rPr>
        <w:t>不调整</w:t>
      </w:r>
      <w:r>
        <w:rPr>
          <w:spacing w:val="-15"/>
          <w:sz w:val="23"/>
        </w:rPr>
        <w:t>，</w:t>
      </w:r>
      <w:r>
        <w:rPr>
          <w:sz w:val="23"/>
        </w:rPr>
        <w:t>按</w:t>
      </w:r>
      <w:r>
        <w:rPr>
          <w:spacing w:val="5"/>
          <w:sz w:val="23"/>
        </w:rPr>
        <w:t>双</w:t>
      </w:r>
      <w:r>
        <w:rPr>
          <w:sz w:val="23"/>
        </w:rPr>
        <w:t>方确</w:t>
      </w:r>
      <w:r>
        <w:rPr>
          <w:spacing w:val="5"/>
          <w:sz w:val="23"/>
        </w:rPr>
        <w:t>认</w:t>
      </w:r>
      <w:r>
        <w:rPr>
          <w:sz w:val="23"/>
        </w:rPr>
        <w:t>的实</w:t>
      </w:r>
      <w:r>
        <w:rPr>
          <w:spacing w:val="5"/>
          <w:sz w:val="23"/>
        </w:rPr>
        <w:t>际</w:t>
      </w:r>
      <w:r>
        <w:rPr>
          <w:sz w:val="23"/>
        </w:rPr>
        <w:t>采购数</w:t>
      </w:r>
      <w:r>
        <w:rPr>
          <w:spacing w:val="5"/>
          <w:sz w:val="23"/>
        </w:rPr>
        <w:t>量</w:t>
      </w:r>
      <w:r>
        <w:rPr>
          <w:sz w:val="23"/>
        </w:rPr>
        <w:t>进行</w:t>
      </w:r>
      <w:r>
        <w:rPr>
          <w:spacing w:val="5"/>
          <w:sz w:val="23"/>
        </w:rPr>
        <w:t>结</w:t>
      </w:r>
      <w:r>
        <w:rPr>
          <w:sz w:val="23"/>
        </w:rPr>
        <w:t>算</w:t>
      </w:r>
      <w:r>
        <w:rPr>
          <w:spacing w:val="-22"/>
          <w:sz w:val="23"/>
        </w:rPr>
        <w:t>。</w:t>
      </w:r>
      <w:r>
        <w:rPr>
          <w:sz w:val="23"/>
        </w:rPr>
        <w:t>甲</w:t>
      </w:r>
      <w:r>
        <w:rPr>
          <w:spacing w:val="5"/>
          <w:sz w:val="23"/>
        </w:rPr>
        <w:t>方</w:t>
      </w:r>
      <w:r>
        <w:rPr>
          <w:sz w:val="23"/>
        </w:rPr>
        <w:t>无须因</w:t>
      </w:r>
      <w:r>
        <w:rPr>
          <w:spacing w:val="5"/>
          <w:sz w:val="23"/>
        </w:rPr>
        <w:t>增</w:t>
      </w:r>
      <w:r>
        <w:rPr>
          <w:sz w:val="23"/>
        </w:rPr>
        <w:t>减采</w:t>
      </w:r>
      <w:r>
        <w:rPr>
          <w:spacing w:val="5"/>
          <w:sz w:val="23"/>
        </w:rPr>
        <w:t>购</w:t>
      </w:r>
      <w:r>
        <w:rPr>
          <w:sz w:val="23"/>
        </w:rPr>
        <w:t>数量 </w:t>
      </w:r>
      <w:r>
        <w:rPr>
          <w:w w:val="105"/>
          <w:sz w:val="23"/>
        </w:rPr>
        <w:t>而加付</w:t>
      </w:r>
      <w:r>
        <w:rPr>
          <w:spacing w:val="5"/>
          <w:w w:val="105"/>
          <w:sz w:val="23"/>
        </w:rPr>
        <w:t>任</w:t>
      </w:r>
      <w:r>
        <w:rPr>
          <w:w w:val="105"/>
          <w:sz w:val="23"/>
        </w:rPr>
        <w:t>何其</w:t>
      </w:r>
      <w:r>
        <w:rPr>
          <w:spacing w:val="5"/>
          <w:w w:val="105"/>
          <w:sz w:val="23"/>
        </w:rPr>
        <w:t>他</w:t>
      </w:r>
      <w:r>
        <w:rPr>
          <w:w w:val="105"/>
          <w:sz w:val="23"/>
        </w:rPr>
        <w:t>费用</w:t>
      </w:r>
      <w:r>
        <w:rPr>
          <w:spacing w:val="-29"/>
          <w:w w:val="105"/>
          <w:sz w:val="23"/>
        </w:rPr>
        <w:t>。</w:t>
      </w:r>
      <w:r>
        <w:rPr>
          <w:w w:val="105"/>
          <w:sz w:val="23"/>
        </w:rPr>
        <w:t>货</w:t>
      </w:r>
      <w:r>
        <w:rPr>
          <w:spacing w:val="5"/>
          <w:w w:val="105"/>
          <w:sz w:val="23"/>
        </w:rPr>
        <w:t>物</w:t>
      </w:r>
      <w:r>
        <w:rPr>
          <w:w w:val="105"/>
          <w:sz w:val="23"/>
        </w:rPr>
        <w:t>单价</w:t>
      </w:r>
      <w:r>
        <w:rPr>
          <w:spacing w:val="5"/>
          <w:w w:val="105"/>
          <w:sz w:val="23"/>
        </w:rPr>
        <w:t>总</w:t>
      </w:r>
      <w:r>
        <w:rPr>
          <w:w w:val="105"/>
          <w:sz w:val="23"/>
        </w:rPr>
        <w:t>价均</w:t>
      </w:r>
      <w:r>
        <w:rPr>
          <w:spacing w:val="5"/>
          <w:w w:val="105"/>
          <w:sz w:val="23"/>
        </w:rPr>
        <w:t>已</w:t>
      </w:r>
      <w:r>
        <w:rPr>
          <w:w w:val="105"/>
          <w:sz w:val="23"/>
        </w:rPr>
        <w:t>包含</w:t>
      </w:r>
      <w:r>
        <w:rPr>
          <w:spacing w:val="5"/>
          <w:w w:val="105"/>
          <w:sz w:val="23"/>
        </w:rPr>
        <w:t>了</w:t>
      </w:r>
      <w:r>
        <w:rPr>
          <w:w w:val="105"/>
          <w:sz w:val="23"/>
        </w:rPr>
        <w:t>货款</w:t>
      </w:r>
      <w:r>
        <w:rPr>
          <w:spacing w:val="-29"/>
          <w:w w:val="105"/>
          <w:sz w:val="23"/>
        </w:rPr>
        <w:t>、</w:t>
      </w:r>
      <w:r>
        <w:rPr>
          <w:spacing w:val="5"/>
          <w:w w:val="105"/>
          <w:sz w:val="23"/>
        </w:rPr>
        <w:t>制</w:t>
      </w:r>
      <w:r>
        <w:rPr>
          <w:w w:val="105"/>
          <w:sz w:val="23"/>
        </w:rPr>
        <w:t>造</w:t>
      </w:r>
      <w:r>
        <w:rPr>
          <w:spacing w:val="-29"/>
          <w:w w:val="105"/>
          <w:sz w:val="23"/>
        </w:rPr>
        <w:t>、</w:t>
      </w:r>
      <w:r>
        <w:rPr>
          <w:w w:val="105"/>
          <w:sz w:val="23"/>
        </w:rPr>
        <w:t>包</w:t>
      </w:r>
      <w:r>
        <w:rPr>
          <w:spacing w:val="-60"/>
          <w:w w:val="105"/>
          <w:sz w:val="23"/>
        </w:rPr>
        <w:t> </w:t>
      </w:r>
      <w:r>
        <w:rPr>
          <w:w w:val="105"/>
          <w:sz w:val="23"/>
        </w:rPr>
        <w:t>装</w:t>
      </w:r>
      <w:r>
        <w:rPr>
          <w:spacing w:val="5"/>
          <w:w w:val="105"/>
          <w:sz w:val="23"/>
        </w:rPr>
        <w:t>、</w:t>
      </w:r>
      <w:r>
        <w:rPr>
          <w:w w:val="105"/>
          <w:sz w:val="23"/>
        </w:rPr>
        <w:t>运输、</w:t>
      </w:r>
      <w:r>
        <w:rPr>
          <w:spacing w:val="5"/>
          <w:w w:val="105"/>
          <w:sz w:val="23"/>
        </w:rPr>
        <w:t>卸</w:t>
      </w:r>
      <w:r>
        <w:rPr>
          <w:w w:val="105"/>
          <w:sz w:val="23"/>
        </w:rPr>
        <w:t>载到</w:t>
      </w:r>
      <w:r>
        <w:rPr>
          <w:spacing w:val="5"/>
          <w:w w:val="105"/>
          <w:sz w:val="23"/>
        </w:rPr>
        <w:t>指</w:t>
      </w:r>
      <w:r>
        <w:rPr>
          <w:w w:val="105"/>
          <w:sz w:val="23"/>
        </w:rPr>
        <w:t>定地点、验</w:t>
      </w:r>
      <w:r>
        <w:rPr>
          <w:spacing w:val="5"/>
          <w:w w:val="105"/>
          <w:sz w:val="23"/>
        </w:rPr>
        <w:t>收</w:t>
      </w:r>
      <w:r>
        <w:rPr>
          <w:w w:val="105"/>
          <w:sz w:val="23"/>
        </w:rPr>
        <w:t>合格</w:t>
      </w:r>
      <w:r>
        <w:rPr>
          <w:spacing w:val="5"/>
          <w:w w:val="105"/>
          <w:sz w:val="23"/>
        </w:rPr>
        <w:t>之</w:t>
      </w:r>
      <w:r>
        <w:rPr>
          <w:w w:val="105"/>
          <w:sz w:val="23"/>
        </w:rPr>
        <w:t>前及</w:t>
      </w:r>
      <w:r>
        <w:rPr>
          <w:spacing w:val="5"/>
          <w:w w:val="105"/>
          <w:sz w:val="23"/>
        </w:rPr>
        <w:t>保</w:t>
      </w:r>
      <w:r>
        <w:rPr>
          <w:w w:val="105"/>
          <w:sz w:val="23"/>
        </w:rPr>
        <w:t>质期</w:t>
      </w:r>
      <w:r>
        <w:rPr>
          <w:spacing w:val="5"/>
          <w:w w:val="105"/>
          <w:sz w:val="23"/>
        </w:rPr>
        <w:t>内</w:t>
      </w:r>
      <w:r>
        <w:rPr>
          <w:w w:val="105"/>
          <w:sz w:val="23"/>
        </w:rPr>
        <w:t>发生</w:t>
      </w:r>
      <w:r>
        <w:rPr>
          <w:spacing w:val="5"/>
          <w:w w:val="105"/>
          <w:sz w:val="23"/>
        </w:rPr>
        <w:t>的</w:t>
      </w:r>
      <w:r>
        <w:rPr>
          <w:w w:val="105"/>
          <w:sz w:val="23"/>
        </w:rPr>
        <w:t>所有</w:t>
      </w:r>
      <w:r>
        <w:rPr>
          <w:spacing w:val="5"/>
          <w:w w:val="105"/>
          <w:sz w:val="23"/>
        </w:rPr>
        <w:t>费</w:t>
      </w:r>
      <w:r>
        <w:rPr>
          <w:spacing w:val="2"/>
          <w:w w:val="105"/>
          <w:sz w:val="23"/>
        </w:rPr>
        <w:t>用</w:t>
      </w:r>
      <w:r>
        <w:rPr>
          <w:w w:val="105"/>
          <w:sz w:val="23"/>
        </w:rPr>
        <w:t>、</w:t>
      </w:r>
      <w:r>
        <w:rPr>
          <w:spacing w:val="5"/>
          <w:w w:val="105"/>
          <w:sz w:val="23"/>
        </w:rPr>
        <w:t>售</w:t>
      </w:r>
      <w:r>
        <w:rPr>
          <w:w w:val="105"/>
          <w:sz w:val="23"/>
        </w:rPr>
        <w:t>后服</w:t>
      </w:r>
      <w:r>
        <w:rPr>
          <w:spacing w:val="5"/>
          <w:w w:val="105"/>
          <w:sz w:val="23"/>
        </w:rPr>
        <w:t>务</w:t>
      </w:r>
      <w:r>
        <w:rPr>
          <w:w w:val="105"/>
          <w:sz w:val="23"/>
        </w:rPr>
        <w:t>、</w:t>
      </w:r>
      <w:r>
        <w:rPr>
          <w:spacing w:val="-71"/>
          <w:w w:val="105"/>
          <w:sz w:val="23"/>
        </w:rPr>
        <w:t> </w:t>
      </w:r>
      <w:r>
        <w:rPr>
          <w:w w:val="105"/>
          <w:sz w:val="23"/>
        </w:rPr>
        <w:t>培</w:t>
      </w:r>
      <w:r>
        <w:rPr>
          <w:spacing w:val="5"/>
          <w:w w:val="105"/>
          <w:sz w:val="23"/>
        </w:rPr>
        <w:t>训</w:t>
      </w:r>
      <w:r>
        <w:rPr>
          <w:spacing w:val="-22"/>
          <w:w w:val="105"/>
          <w:sz w:val="23"/>
        </w:rPr>
        <w:t>、</w:t>
      </w:r>
      <w:r>
        <w:rPr>
          <w:spacing w:val="5"/>
          <w:w w:val="105"/>
          <w:sz w:val="23"/>
        </w:rPr>
        <w:t>保</w:t>
      </w:r>
      <w:r>
        <w:rPr>
          <w:w w:val="105"/>
          <w:sz w:val="23"/>
        </w:rPr>
        <w:t>险费</w:t>
      </w:r>
      <w:r>
        <w:rPr>
          <w:spacing w:val="-14"/>
          <w:w w:val="105"/>
          <w:sz w:val="23"/>
        </w:rPr>
        <w:t>、</w:t>
      </w:r>
      <w:r>
        <w:rPr>
          <w:w w:val="105"/>
          <w:sz w:val="23"/>
        </w:rPr>
        <w:t>税费</w:t>
      </w:r>
      <w:r>
        <w:rPr>
          <w:spacing w:val="-14"/>
          <w:w w:val="105"/>
          <w:sz w:val="23"/>
        </w:rPr>
        <w:t>、</w:t>
      </w:r>
      <w:r>
        <w:rPr>
          <w:w w:val="105"/>
          <w:sz w:val="23"/>
        </w:rPr>
        <w:t>利</w:t>
      </w:r>
      <w:r>
        <w:rPr>
          <w:spacing w:val="5"/>
          <w:w w:val="105"/>
          <w:sz w:val="23"/>
        </w:rPr>
        <w:t>润</w:t>
      </w:r>
      <w:r>
        <w:rPr>
          <w:w w:val="105"/>
          <w:sz w:val="23"/>
        </w:rPr>
        <w:t>、</w:t>
      </w:r>
      <w:r>
        <w:rPr>
          <w:sz w:val="23"/>
        </w:rPr>
        <w:t>进口设</w:t>
      </w:r>
      <w:r>
        <w:rPr>
          <w:spacing w:val="5"/>
          <w:sz w:val="23"/>
        </w:rPr>
        <w:t>备</w:t>
      </w:r>
      <w:r>
        <w:rPr>
          <w:sz w:val="23"/>
        </w:rPr>
        <w:t>产生</w:t>
      </w:r>
      <w:r>
        <w:rPr>
          <w:spacing w:val="5"/>
          <w:sz w:val="23"/>
        </w:rPr>
        <w:t>的</w:t>
      </w:r>
      <w:r>
        <w:rPr>
          <w:sz w:val="23"/>
        </w:rPr>
        <w:t>所有</w:t>
      </w:r>
      <w:r>
        <w:rPr>
          <w:spacing w:val="5"/>
          <w:sz w:val="23"/>
        </w:rPr>
        <w:t>费</w:t>
      </w:r>
      <w:r>
        <w:rPr>
          <w:sz w:val="23"/>
        </w:rPr>
        <w:t>用等</w:t>
      </w:r>
      <w:r>
        <w:rPr>
          <w:spacing w:val="5"/>
          <w:sz w:val="23"/>
        </w:rPr>
        <w:t>一</w:t>
      </w:r>
      <w:r>
        <w:rPr>
          <w:sz w:val="23"/>
        </w:rPr>
        <w:t>切费</w:t>
      </w:r>
      <w:r>
        <w:rPr>
          <w:spacing w:val="10"/>
          <w:sz w:val="23"/>
        </w:rPr>
        <w:t>用</w:t>
      </w:r>
      <w:r>
        <w:rPr>
          <w:spacing w:val="-21"/>
          <w:sz w:val="23"/>
        </w:rPr>
        <w:t>，</w:t>
      </w:r>
      <w:r>
        <w:rPr>
          <w:sz w:val="23"/>
        </w:rPr>
        <w:t>并</w:t>
      </w:r>
      <w:r>
        <w:rPr>
          <w:spacing w:val="5"/>
          <w:sz w:val="23"/>
        </w:rPr>
        <w:t>包</w:t>
      </w:r>
      <w:r>
        <w:rPr>
          <w:sz w:val="23"/>
        </w:rPr>
        <w:t>括了</w:t>
      </w:r>
      <w:r>
        <w:rPr>
          <w:spacing w:val="5"/>
          <w:sz w:val="23"/>
        </w:rPr>
        <w:t>乙</w:t>
      </w:r>
      <w:r>
        <w:rPr>
          <w:sz w:val="23"/>
        </w:rPr>
        <w:t>方应 </w:t>
      </w:r>
      <w:r>
        <w:rPr>
          <w:spacing w:val="80"/>
          <w:sz w:val="23"/>
        </w:rPr>
        <w:t> </w:t>
      </w:r>
      <w:r>
        <w:rPr>
          <w:sz w:val="23"/>
        </w:rPr>
        <w:t>承</w:t>
      </w:r>
      <w:r>
        <w:rPr>
          <w:spacing w:val="5"/>
          <w:sz w:val="23"/>
        </w:rPr>
        <w:t>担</w:t>
      </w:r>
      <w:r>
        <w:rPr>
          <w:sz w:val="23"/>
        </w:rPr>
        <w:t>的风</w:t>
      </w:r>
      <w:r>
        <w:rPr>
          <w:spacing w:val="5"/>
          <w:sz w:val="23"/>
        </w:rPr>
        <w:t>险费</w:t>
      </w:r>
      <w:r>
        <w:rPr>
          <w:sz w:val="23"/>
        </w:rPr>
        <w:t>用（合</w:t>
      </w:r>
      <w:r>
        <w:rPr>
          <w:spacing w:val="5"/>
          <w:sz w:val="23"/>
        </w:rPr>
        <w:t>同</w:t>
      </w:r>
      <w:r>
        <w:rPr>
          <w:sz w:val="23"/>
        </w:rPr>
        <w:t>执行</w:t>
      </w:r>
      <w:r>
        <w:rPr>
          <w:spacing w:val="5"/>
          <w:sz w:val="23"/>
        </w:rPr>
        <w:t>期</w:t>
      </w:r>
      <w:r>
        <w:rPr>
          <w:sz w:val="23"/>
        </w:rPr>
        <w:t>内货</w:t>
      </w:r>
      <w:r>
        <w:rPr>
          <w:w w:val="105"/>
          <w:sz w:val="23"/>
        </w:rPr>
        <w:t>物价格</w:t>
      </w:r>
      <w:r>
        <w:rPr>
          <w:spacing w:val="5"/>
          <w:w w:val="105"/>
          <w:sz w:val="23"/>
        </w:rPr>
        <w:t>变</w:t>
      </w:r>
      <w:r>
        <w:rPr>
          <w:w w:val="105"/>
          <w:sz w:val="23"/>
        </w:rPr>
        <w:t>化等</w:t>
      </w:r>
      <w:r>
        <w:rPr>
          <w:spacing w:val="5"/>
          <w:w w:val="105"/>
          <w:sz w:val="23"/>
        </w:rPr>
        <w:t>）</w:t>
      </w:r>
      <w:r>
        <w:rPr>
          <w:w w:val="105"/>
          <w:sz w:val="23"/>
        </w:rPr>
        <w:t>。</w:t>
      </w:r>
    </w:p>
    <w:p>
      <w:pPr>
        <w:pStyle w:val="ListParagraph"/>
        <w:numPr>
          <w:ilvl w:val="1"/>
          <w:numId w:val="22"/>
        </w:numPr>
        <w:tabs>
          <w:tab w:pos="849" w:val="left" w:leader="none"/>
        </w:tabs>
        <w:spacing w:line="240" w:lineRule="auto" w:before="46" w:after="0"/>
        <w:ind w:left="848" w:right="0" w:hanging="496"/>
        <w:jc w:val="left"/>
        <w:rPr>
          <w:sz w:val="28"/>
        </w:rPr>
      </w:pPr>
      <w:r>
        <w:rPr>
          <w:sz w:val="28"/>
        </w:rPr>
        <w:t>合同组成</w:t>
      </w:r>
    </w:p>
    <w:p>
      <w:pPr>
        <w:spacing w:before="131"/>
        <w:ind w:left="834" w:right="0" w:firstLine="0"/>
        <w:jc w:val="left"/>
        <w:rPr>
          <w:sz w:val="23"/>
        </w:rPr>
      </w:pPr>
      <w:r>
        <w:rPr>
          <w:w w:val="105"/>
          <w:sz w:val="23"/>
        </w:rPr>
        <w:t>（1）本合同及其补充协议；</w:t>
      </w:r>
    </w:p>
    <w:p>
      <w:pPr>
        <w:spacing w:before="159"/>
        <w:ind w:left="834" w:right="0" w:firstLine="0"/>
        <w:jc w:val="left"/>
        <w:rPr>
          <w:sz w:val="23"/>
        </w:rPr>
      </w:pPr>
      <w:r>
        <w:rPr>
          <w:w w:val="105"/>
          <w:sz w:val="23"/>
        </w:rPr>
        <w:t>（2）在评标及商洽本合同时，双方澄清及确认并共同签字形成的正式文件和纪 要；</w:t>
      </w:r>
    </w:p>
    <w:p>
      <w:pPr>
        <w:spacing w:after="0"/>
        <w:jc w:val="left"/>
        <w:rPr>
          <w:sz w:val="23"/>
        </w:rPr>
        <w:sectPr>
          <w:pgSz w:w="11910" w:h="16870"/>
          <w:pgMar w:top="1160" w:bottom="280" w:left="880" w:right="640"/>
        </w:sectPr>
      </w:pPr>
    </w:p>
    <w:p>
      <w:pPr>
        <w:spacing w:before="57"/>
        <w:ind w:left="834" w:right="0" w:firstLine="0"/>
        <w:jc w:val="left"/>
        <w:rPr>
          <w:sz w:val="23"/>
        </w:rPr>
      </w:pPr>
      <w:r>
        <w:rPr>
          <w:w w:val="105"/>
          <w:sz w:val="23"/>
        </w:rPr>
        <w:t>（3）招标文件及其招标答疑纪要或补充、澄清文件；</w:t>
      </w:r>
    </w:p>
    <w:p>
      <w:pPr>
        <w:spacing w:before="152"/>
        <w:ind w:left="834" w:right="0" w:firstLine="0"/>
        <w:jc w:val="left"/>
        <w:rPr>
          <w:sz w:val="23"/>
        </w:rPr>
      </w:pPr>
      <w:r>
        <w:rPr>
          <w:w w:val="105"/>
          <w:sz w:val="23"/>
        </w:rPr>
        <w:t>（4）中标通知书；</w:t>
      </w:r>
    </w:p>
    <w:p>
      <w:pPr>
        <w:spacing w:line="357" w:lineRule="auto" w:before="159"/>
        <w:ind w:left="352" w:right="338" w:firstLine="482"/>
        <w:jc w:val="left"/>
        <w:rPr>
          <w:sz w:val="23"/>
        </w:rPr>
      </w:pPr>
      <w:r>
        <w:rPr>
          <w:w w:val="105"/>
          <w:sz w:val="23"/>
        </w:rPr>
        <w:t>（5）投标文件及其补充、说明、解释和澄清等（以符合招标文件和经甲方书面 同意</w:t>
      </w:r>
      <w:r>
        <w:rPr>
          <w:sz w:val="23"/>
        </w:rPr>
        <w:t>者为准，但若经甲方确认投标文件承诺中标人的义务、责任比招标文件的规定更高、更大、  </w:t>
      </w:r>
      <w:r>
        <w:rPr>
          <w:w w:val="105"/>
          <w:sz w:val="23"/>
        </w:rPr>
        <w:t>对甲方更有利者，以该等对甲方有利的承诺为准)。</w:t>
      </w:r>
    </w:p>
    <w:p>
      <w:pPr>
        <w:spacing w:line="360" w:lineRule="auto" w:before="51"/>
        <w:ind w:left="352" w:right="353" w:firstLine="482"/>
        <w:jc w:val="left"/>
        <w:rPr>
          <w:sz w:val="23"/>
        </w:rPr>
      </w:pPr>
      <w:r>
        <w:rPr>
          <w:spacing w:val="-6"/>
          <w:w w:val="105"/>
          <w:sz w:val="23"/>
        </w:rPr>
        <w:t>以上文件均为合同的组成部分，互为补充和解释。若合同文件中对货物要求有不 一致</w:t>
      </w:r>
      <w:r>
        <w:rPr>
          <w:spacing w:val="-7"/>
          <w:w w:val="105"/>
          <w:sz w:val="23"/>
        </w:rPr>
        <w:t>的，乙方应在供货前向甲方提出，除甲方明确指示乙方适用何种规定外，以对乙 方要求高</w:t>
      </w:r>
      <w:r>
        <w:rPr>
          <w:spacing w:val="-5"/>
          <w:sz w:val="23"/>
        </w:rPr>
        <w:t>者严者为准；其他内容出现不一致的，除本合同另有明文规定外，按以上排 列在前者为准， </w:t>
      </w:r>
      <w:r>
        <w:rPr>
          <w:spacing w:val="-2"/>
          <w:w w:val="105"/>
          <w:sz w:val="23"/>
        </w:rPr>
        <w:t>同一排序文件出现不一致的，以时间在后者为准。</w:t>
      </w:r>
    </w:p>
    <w:p>
      <w:pPr>
        <w:pStyle w:val="ListParagraph"/>
        <w:numPr>
          <w:ilvl w:val="1"/>
          <w:numId w:val="22"/>
        </w:numPr>
        <w:tabs>
          <w:tab w:pos="849" w:val="left" w:leader="none"/>
        </w:tabs>
        <w:spacing w:line="356" w:lineRule="exact" w:before="0" w:after="0"/>
        <w:ind w:left="848" w:right="0" w:hanging="496"/>
        <w:jc w:val="left"/>
        <w:rPr>
          <w:sz w:val="28"/>
        </w:rPr>
      </w:pPr>
      <w:r>
        <w:rPr>
          <w:sz w:val="28"/>
        </w:rPr>
        <w:t>技术要求</w:t>
      </w:r>
    </w:p>
    <w:p>
      <w:pPr>
        <w:spacing w:line="249" w:lineRule="auto" w:before="50"/>
        <w:ind w:left="352" w:right="590" w:firstLine="482"/>
        <w:jc w:val="both"/>
        <w:rPr>
          <w:rFonts w:ascii="Microsoft YaHei" w:eastAsia="Microsoft YaHei" w:hint="eastAsia"/>
          <w:b/>
          <w:sz w:val="23"/>
        </w:rPr>
      </w:pPr>
      <w:r>
        <w:rPr>
          <w:rFonts w:ascii="Microsoft YaHei" w:eastAsia="Microsoft YaHei" w:hint="eastAsia"/>
          <w:b/>
          <w:sz w:val="23"/>
        </w:rPr>
        <w:t>乙方所提供货物必须附有性能及技术参数清单，必须满足江苏省工程建设标准</w:t>
      </w:r>
      <w:r>
        <w:rPr>
          <w:rFonts w:ascii="Microsoft YaHei" w:eastAsia="Microsoft YaHei" w:hint="eastAsia"/>
          <w:b/>
          <w:w w:val="95"/>
          <w:sz w:val="23"/>
        </w:rPr>
        <w:t>DGJ32/TJ11-2016《居住区供配电设施建筑标准》，如建设标准  DGJ32/TJ11-2016  无相关</w:t>
      </w:r>
      <w:r>
        <w:rPr>
          <w:rFonts w:ascii="Microsoft YaHei" w:eastAsia="Microsoft YaHei" w:hint="eastAsia"/>
          <w:b/>
          <w:sz w:val="23"/>
        </w:rPr>
        <w:t>要求，则必须满足苏电运检[2016]501  号《新建居住区供配电设计导则补充规定》，符合</w:t>
      </w:r>
      <w:r>
        <w:rPr>
          <w:rFonts w:ascii="Microsoft YaHei" w:eastAsia="Microsoft YaHei" w:hint="eastAsia"/>
          <w:b/>
          <w:w w:val="105"/>
          <w:sz w:val="23"/>
        </w:rPr>
        <w:t>仪征市供电部门的入网要求和规定。</w:t>
      </w:r>
    </w:p>
    <w:p>
      <w:pPr>
        <w:pStyle w:val="ListParagraph"/>
        <w:numPr>
          <w:ilvl w:val="1"/>
          <w:numId w:val="22"/>
        </w:numPr>
        <w:tabs>
          <w:tab w:pos="849" w:val="left" w:leader="none"/>
        </w:tabs>
        <w:spacing w:line="240" w:lineRule="auto" w:before="75" w:after="0"/>
        <w:ind w:left="848" w:right="0" w:hanging="496"/>
        <w:jc w:val="left"/>
        <w:rPr>
          <w:sz w:val="28"/>
        </w:rPr>
      </w:pPr>
      <w:r>
        <w:rPr>
          <w:spacing w:val="-2"/>
          <w:sz w:val="28"/>
        </w:rPr>
        <w:t>合同货物包装、交货及验收</w:t>
      </w:r>
    </w:p>
    <w:p>
      <w:pPr>
        <w:pStyle w:val="ListParagraph"/>
        <w:numPr>
          <w:ilvl w:val="2"/>
          <w:numId w:val="22"/>
        </w:numPr>
        <w:tabs>
          <w:tab w:pos="1022" w:val="left" w:leader="none"/>
        </w:tabs>
        <w:spacing w:line="357" w:lineRule="auto" w:before="130" w:after="0"/>
        <w:ind w:left="352" w:right="410" w:firstLine="0"/>
        <w:jc w:val="left"/>
        <w:rPr>
          <w:sz w:val="23"/>
        </w:rPr>
      </w:pPr>
      <w:r>
        <w:rPr>
          <w:spacing w:val="-2"/>
          <w:sz w:val="23"/>
        </w:rPr>
        <w:t>合同货物的包装：货物的包装均应有良好、可靠的包装。凡由于包装不良造成  的损失</w:t>
      </w:r>
      <w:r>
        <w:rPr>
          <w:spacing w:val="-1"/>
          <w:w w:val="105"/>
          <w:sz w:val="23"/>
        </w:rPr>
        <w:t>和由此产生的费用均由乙方承担。</w:t>
      </w:r>
    </w:p>
    <w:p>
      <w:pPr>
        <w:pStyle w:val="ListParagraph"/>
        <w:numPr>
          <w:ilvl w:val="2"/>
          <w:numId w:val="22"/>
        </w:numPr>
        <w:tabs>
          <w:tab w:pos="1022" w:val="left" w:leader="none"/>
        </w:tabs>
        <w:spacing w:line="352" w:lineRule="auto" w:before="44" w:after="0"/>
        <w:ind w:left="352" w:right="583" w:firstLine="0"/>
        <w:jc w:val="left"/>
        <w:rPr>
          <w:sz w:val="23"/>
        </w:rPr>
      </w:pPr>
      <w:r>
        <w:rPr>
          <w:w w:val="105"/>
          <w:sz w:val="23"/>
        </w:rPr>
        <w:t>交货时间</w:t>
      </w:r>
      <w:hyperlink r:id="rId7">
        <w:r>
          <w:rPr>
            <w:spacing w:val="-29"/>
            <w:w w:val="105"/>
            <w:sz w:val="23"/>
          </w:rPr>
          <w:t>：</w:t>
        </w:r>
      </w:hyperlink>
      <w:r>
        <w:rPr>
          <w:spacing w:val="-21"/>
          <w:w w:val="105"/>
          <w:sz w:val="23"/>
        </w:rPr>
        <w:t>供货期 </w:t>
      </w:r>
      <w:r>
        <w:rPr>
          <w:w w:val="105"/>
          <w:sz w:val="23"/>
          <w:u w:val="single"/>
        </w:rPr>
        <w:t>15</w:t>
      </w:r>
      <w:r>
        <w:rPr>
          <w:spacing w:val="-18"/>
          <w:w w:val="105"/>
          <w:sz w:val="23"/>
        </w:rPr>
        <w:t> 日历天，每延期一天，按 </w:t>
      </w:r>
      <w:r>
        <w:rPr>
          <w:w w:val="105"/>
          <w:sz w:val="23"/>
        </w:rPr>
        <w:t>5000</w:t>
      </w:r>
      <w:r>
        <w:rPr>
          <w:spacing w:val="-40"/>
          <w:w w:val="105"/>
          <w:sz w:val="23"/>
        </w:rPr>
        <w:t> 元</w:t>
      </w:r>
      <w:r>
        <w:rPr>
          <w:w w:val="105"/>
          <w:sz w:val="23"/>
        </w:rPr>
        <w:t>/</w:t>
      </w:r>
      <w:r>
        <w:rPr>
          <w:spacing w:val="-4"/>
          <w:w w:val="105"/>
          <w:sz w:val="23"/>
        </w:rPr>
        <w:t>天从合同价款中扣除。 招标</w:t>
      </w:r>
      <w:r>
        <w:rPr>
          <w:w w:val="105"/>
          <w:sz w:val="23"/>
        </w:rPr>
        <w:t>人发出送货通知后，中标人应在招标人规定的时间内送达指定地点。</w:t>
      </w:r>
    </w:p>
    <w:p>
      <w:pPr>
        <w:pStyle w:val="ListParagraph"/>
        <w:numPr>
          <w:ilvl w:val="2"/>
          <w:numId w:val="22"/>
        </w:numPr>
        <w:tabs>
          <w:tab w:pos="1080" w:val="left" w:leader="none"/>
        </w:tabs>
        <w:spacing w:line="240" w:lineRule="auto" w:before="13" w:after="0"/>
        <w:ind w:left="1079" w:right="0" w:hanging="727"/>
        <w:jc w:val="left"/>
        <w:rPr>
          <w:sz w:val="23"/>
        </w:rPr>
      </w:pPr>
      <w:r>
        <w:rPr>
          <w:w w:val="105"/>
          <w:sz w:val="23"/>
        </w:rPr>
        <w:t>交货地点</w:t>
      </w:r>
      <w:hyperlink r:id="rId7">
        <w:r>
          <w:rPr>
            <w:w w:val="105"/>
            <w:sz w:val="23"/>
          </w:rPr>
          <w:t>：</w:t>
        </w:r>
      </w:hyperlink>
      <w:r>
        <w:rPr>
          <w:w w:val="105"/>
          <w:sz w:val="23"/>
        </w:rPr>
        <w:t>工地现场，监理工程师指定的施工现场堆储范围内。</w:t>
      </w:r>
    </w:p>
    <w:p>
      <w:pPr>
        <w:pStyle w:val="ListParagraph"/>
        <w:numPr>
          <w:ilvl w:val="2"/>
          <w:numId w:val="22"/>
        </w:numPr>
        <w:tabs>
          <w:tab w:pos="1080" w:val="left" w:leader="none"/>
        </w:tabs>
        <w:spacing w:line="360" w:lineRule="auto" w:before="15" w:after="0"/>
        <w:ind w:left="352" w:right="583" w:firstLine="0"/>
        <w:jc w:val="both"/>
        <w:rPr>
          <w:sz w:val="23"/>
        </w:rPr>
      </w:pPr>
      <w:r>
        <w:rPr>
          <w:spacing w:val="-5"/>
          <w:sz w:val="23"/>
        </w:rPr>
        <w:t>交货方式：所有货物由乙方负责按甲方指定的时间、数量及交货地点运送至交  货地点和卸货。产品到达现场后，甲方及时组织清点。如发现与运单不符、货物破损  和损坏等</w:t>
      </w:r>
      <w:r>
        <w:rPr>
          <w:spacing w:val="-2"/>
          <w:w w:val="105"/>
          <w:sz w:val="23"/>
        </w:rPr>
        <w:t>现象，甲方可拒绝接收。</w:t>
      </w:r>
    </w:p>
    <w:p>
      <w:pPr>
        <w:pStyle w:val="ListParagraph"/>
        <w:numPr>
          <w:ilvl w:val="2"/>
          <w:numId w:val="22"/>
        </w:numPr>
        <w:tabs>
          <w:tab w:pos="1022" w:val="left" w:leader="none"/>
        </w:tabs>
        <w:spacing w:line="294" w:lineRule="exact" w:before="0" w:after="0"/>
        <w:ind w:left="352" w:right="0" w:firstLine="0"/>
        <w:jc w:val="left"/>
        <w:rPr>
          <w:sz w:val="23"/>
        </w:rPr>
      </w:pPr>
      <w:hyperlink r:id="rId7">
        <w:r>
          <w:rPr>
            <w:w w:val="105"/>
            <w:sz w:val="23"/>
          </w:rPr>
          <w:t>如甲方要求变更交货地点，</w:t>
        </w:r>
      </w:hyperlink>
      <w:r>
        <w:rPr>
          <w:spacing w:val="-6"/>
          <w:w w:val="105"/>
          <w:sz w:val="23"/>
        </w:rPr>
        <w:t>应在原定的交货日期提前 </w:t>
      </w:r>
      <w:r>
        <w:rPr>
          <w:w w:val="105"/>
          <w:sz w:val="23"/>
        </w:rPr>
        <w:t>2</w:t>
      </w:r>
      <w:r>
        <w:rPr>
          <w:spacing w:val="-10"/>
          <w:w w:val="105"/>
          <w:sz w:val="23"/>
        </w:rPr>
        <w:t> 天通知乙方</w:t>
      </w:r>
      <w:hyperlink r:id="rId7">
        <w:r>
          <w:rPr>
            <w:w w:val="105"/>
            <w:sz w:val="23"/>
          </w:rPr>
          <w:t>。</w:t>
        </w:r>
      </w:hyperlink>
    </w:p>
    <w:p>
      <w:pPr>
        <w:pStyle w:val="ListParagraph"/>
        <w:numPr>
          <w:ilvl w:val="2"/>
          <w:numId w:val="22"/>
        </w:numPr>
        <w:tabs>
          <w:tab w:pos="1022" w:val="left" w:leader="none"/>
        </w:tabs>
        <w:spacing w:line="357" w:lineRule="auto" w:before="8" w:after="0"/>
        <w:ind w:left="352" w:right="655" w:firstLine="0"/>
        <w:jc w:val="left"/>
        <w:rPr>
          <w:sz w:val="23"/>
        </w:rPr>
      </w:pPr>
      <w:r>
        <w:rPr>
          <w:spacing w:val="-2"/>
          <w:sz w:val="23"/>
        </w:rPr>
        <w:t>合同货物的安装调试：如甲方需要，乙方应负责指导甲方对本合同货物的检定  及安</w:t>
      </w:r>
      <w:r>
        <w:rPr>
          <w:spacing w:val="-1"/>
          <w:w w:val="105"/>
          <w:sz w:val="23"/>
        </w:rPr>
        <w:t>装调试，指导检定及安装调试涉及的一切费用由乙方负责。</w:t>
      </w:r>
    </w:p>
    <w:p>
      <w:pPr>
        <w:pStyle w:val="ListParagraph"/>
        <w:numPr>
          <w:ilvl w:val="2"/>
          <w:numId w:val="22"/>
        </w:numPr>
        <w:tabs>
          <w:tab w:pos="1194" w:val="left" w:leader="none"/>
          <w:tab w:pos="1195" w:val="left" w:leader="none"/>
        </w:tabs>
        <w:spacing w:line="363" w:lineRule="exact" w:before="0" w:after="0"/>
        <w:ind w:left="1195" w:right="0" w:hanging="843"/>
        <w:jc w:val="left"/>
        <w:rPr>
          <w:rFonts w:ascii="Microsoft YaHei" w:eastAsia="Microsoft YaHei" w:hint="eastAsia"/>
          <w:b/>
          <w:sz w:val="23"/>
        </w:rPr>
      </w:pPr>
      <w:r>
        <w:rPr>
          <w:sz w:val="23"/>
        </w:rPr>
        <w:t>货物的验收：</w:t>
      </w:r>
      <w:r>
        <w:rPr>
          <w:rFonts w:ascii="Microsoft YaHei" w:eastAsia="Microsoft YaHei" w:hint="eastAsia"/>
          <w:b/>
          <w:sz w:val="23"/>
        </w:rPr>
        <w:t>验收前乙方应向甲方提供产品检验报告。</w:t>
      </w:r>
    </w:p>
    <w:p>
      <w:pPr>
        <w:pStyle w:val="ListParagraph"/>
        <w:numPr>
          <w:ilvl w:val="3"/>
          <w:numId w:val="22"/>
        </w:numPr>
        <w:tabs>
          <w:tab w:pos="1260" w:val="left" w:leader="none"/>
        </w:tabs>
        <w:spacing w:line="271" w:lineRule="exact" w:before="0" w:after="0"/>
        <w:ind w:left="352" w:right="0" w:firstLine="0"/>
        <w:jc w:val="left"/>
        <w:rPr>
          <w:sz w:val="23"/>
        </w:rPr>
      </w:pPr>
      <w:r>
        <w:rPr>
          <w:spacing w:val="-2"/>
          <w:sz w:val="23"/>
        </w:rPr>
        <w:t>出厂验收：甲方有权到乙方工厂</w:t>
      </w:r>
      <w:r>
        <w:rPr>
          <w:sz w:val="23"/>
        </w:rPr>
        <w:t>（或货物生产厂家）</w:t>
      </w:r>
      <w:r>
        <w:rPr>
          <w:spacing w:val="-1"/>
          <w:sz w:val="23"/>
        </w:rPr>
        <w:t>进行出厂验收。在发货前乙</w:t>
      </w:r>
    </w:p>
    <w:p>
      <w:pPr>
        <w:spacing w:line="357" w:lineRule="auto" w:before="144"/>
        <w:ind w:left="352" w:right="706" w:firstLine="0"/>
        <w:jc w:val="left"/>
        <w:rPr>
          <w:sz w:val="23"/>
        </w:rPr>
      </w:pPr>
      <w:r>
        <w:rPr>
          <w:sz w:val="23"/>
        </w:rPr>
        <w:t>方应通知甲方进行出厂验收，除非甲方书面通知不经出厂验收直接进行工地验收，乙方方 </w:t>
      </w:r>
      <w:r>
        <w:rPr>
          <w:w w:val="105"/>
          <w:sz w:val="23"/>
        </w:rPr>
        <w:t>可发货。出厂验收甲方人员费用自理，但乙方应提供产地交通及厂内验收配合的方便。</w:t>
      </w:r>
    </w:p>
    <w:p>
      <w:pPr>
        <w:spacing w:line="360" w:lineRule="auto" w:before="1"/>
        <w:ind w:left="352" w:right="535" w:firstLine="0"/>
        <w:jc w:val="left"/>
        <w:rPr>
          <w:sz w:val="23"/>
        </w:rPr>
      </w:pPr>
      <w:r>
        <w:rPr>
          <w:spacing w:val="-7"/>
          <w:sz w:val="23"/>
        </w:rPr>
        <w:t>到货验收：货物到达工地后，甲方将与乙方共同进行验收，乙方须派出熟悉技术的人员按甲 </w:t>
      </w:r>
      <w:r>
        <w:rPr>
          <w:spacing w:val="-3"/>
          <w:sz w:val="23"/>
        </w:rPr>
        <w:t>方通知的验收时间到现场，开箱验收的费用由乙方支付。如乙方不派人参加，甲方可单独  </w:t>
      </w:r>
      <w:r>
        <w:rPr>
          <w:spacing w:val="-10"/>
          <w:w w:val="105"/>
          <w:sz w:val="23"/>
        </w:rPr>
        <w:t>验收，乙方完全认可甲方单独验收的结果。在验收中若发现货物有所短缺 破损，或与本合</w:t>
      </w:r>
    </w:p>
    <w:p>
      <w:pPr>
        <w:spacing w:after="0" w:line="360" w:lineRule="auto"/>
        <w:jc w:val="left"/>
        <w:rPr>
          <w:sz w:val="23"/>
        </w:rPr>
        <w:sectPr>
          <w:pgSz w:w="11910" w:h="16870"/>
          <w:pgMar w:top="1180" w:bottom="280" w:left="880" w:right="640"/>
        </w:sectPr>
      </w:pPr>
    </w:p>
    <w:p>
      <w:pPr>
        <w:spacing w:before="48"/>
        <w:ind w:left="352" w:right="0" w:firstLine="0"/>
        <w:jc w:val="left"/>
        <w:rPr>
          <w:sz w:val="23"/>
        </w:rPr>
      </w:pPr>
      <w:r>
        <w:rPr>
          <w:w w:val="105"/>
          <w:sz w:val="23"/>
        </w:rPr>
        <w:t>同不符的情况，乙方应负全部责任。</w:t>
      </w:r>
    </w:p>
    <w:p>
      <w:pPr>
        <w:pStyle w:val="ListParagraph"/>
        <w:numPr>
          <w:ilvl w:val="3"/>
          <w:numId w:val="22"/>
        </w:numPr>
        <w:tabs>
          <w:tab w:pos="1260" w:val="left" w:leader="none"/>
        </w:tabs>
        <w:spacing w:line="355" w:lineRule="auto" w:before="138" w:after="0"/>
        <w:ind w:left="352" w:right="352" w:firstLine="0"/>
        <w:jc w:val="left"/>
        <w:rPr>
          <w:sz w:val="23"/>
        </w:rPr>
      </w:pPr>
      <w:r>
        <w:rPr>
          <w:w w:val="105"/>
          <w:sz w:val="23"/>
        </w:rPr>
        <w:t>验收合格的，由甲乙双方签署《货物验收单》（</w:t>
      </w:r>
      <w:r>
        <w:rPr>
          <w:spacing w:val="-3"/>
          <w:w w:val="105"/>
          <w:sz w:val="23"/>
        </w:rPr>
        <w:t>甲方单独验收的，由甲方 单独签</w:t>
      </w:r>
      <w:r>
        <w:rPr>
          <w:spacing w:val="-3"/>
          <w:sz w:val="23"/>
        </w:rPr>
        <w:t>署</w:t>
      </w:r>
      <w:r>
        <w:rPr>
          <w:spacing w:val="-22"/>
          <w:sz w:val="23"/>
        </w:rPr>
        <w:t>）</w:t>
      </w:r>
      <w:r>
        <w:rPr>
          <w:spacing w:val="-3"/>
          <w:sz w:val="23"/>
        </w:rPr>
        <w:t>。如乙方提供的货物经检验不合格，甲方有权不予收货，乙方无条件接受 退货、换货， </w:t>
      </w:r>
      <w:r>
        <w:rPr>
          <w:spacing w:val="-3"/>
          <w:w w:val="105"/>
          <w:sz w:val="23"/>
        </w:rPr>
        <w:t>不合格情形严重或不合格货物较多的，</w:t>
      </w:r>
      <w:r>
        <w:rPr>
          <w:spacing w:val="-23"/>
          <w:w w:val="105"/>
          <w:sz w:val="23"/>
        </w:rPr>
        <w:t>（</w:t>
      </w:r>
      <w:r>
        <w:rPr>
          <w:spacing w:val="-7"/>
          <w:w w:val="105"/>
          <w:sz w:val="23"/>
        </w:rPr>
        <w:t>指不合格货物占该批货物总量 的 </w:t>
      </w:r>
      <w:r>
        <w:rPr>
          <w:spacing w:val="1"/>
          <w:w w:val="105"/>
          <w:sz w:val="23"/>
        </w:rPr>
        <w:t>5</w:t>
      </w:r>
      <w:r>
        <w:rPr>
          <w:w w:val="105"/>
          <w:sz w:val="23"/>
        </w:rPr>
        <w:t>%或以上的情</w:t>
      </w:r>
    </w:p>
    <w:p>
      <w:pPr>
        <w:spacing w:line="357" w:lineRule="auto" w:before="2"/>
        <w:ind w:left="352" w:right="794" w:firstLine="0"/>
        <w:jc w:val="left"/>
        <w:rPr>
          <w:sz w:val="23"/>
        </w:rPr>
      </w:pPr>
      <w:r>
        <w:rPr>
          <w:sz w:val="23"/>
        </w:rPr>
        <w:t>形）甲方可解除合同，所造成的损失（包括但不限于甲方的直接及  间接损失、退货的运</w:t>
      </w:r>
      <w:r>
        <w:rPr>
          <w:w w:val="105"/>
          <w:sz w:val="23"/>
        </w:rPr>
        <w:t>费、误工损失等相关损失费）均由乙方向甲方赔偿。</w:t>
      </w:r>
    </w:p>
    <w:p>
      <w:pPr>
        <w:pStyle w:val="ListParagraph"/>
        <w:numPr>
          <w:ilvl w:val="3"/>
          <w:numId w:val="22"/>
        </w:numPr>
        <w:tabs>
          <w:tab w:pos="1325" w:val="left" w:leader="none"/>
        </w:tabs>
        <w:spacing w:line="292" w:lineRule="auto" w:before="8" w:after="0"/>
        <w:ind w:left="352" w:right="590" w:firstLine="0"/>
        <w:jc w:val="both"/>
        <w:rPr>
          <w:sz w:val="23"/>
        </w:rPr>
      </w:pPr>
      <w:r>
        <w:rPr>
          <w:sz w:val="23"/>
        </w:rPr>
        <w:t>验收按国家有关的规定、规范进行，合同有更高标准的，按合同办理。验收时如 </w:t>
      </w:r>
      <w:r>
        <w:rPr>
          <w:spacing w:val="-4"/>
          <w:sz w:val="23"/>
        </w:rPr>
        <w:t>发现所交付的货物有短缺、次品、损坏或其它不符合本合同规定之情形者，甲方  应做出详</w:t>
      </w:r>
      <w:r>
        <w:rPr>
          <w:spacing w:val="-3"/>
          <w:sz w:val="23"/>
        </w:rPr>
        <w:t>尽的现场记录并由甲乙双方签署备忘录</w:t>
      </w:r>
      <w:r>
        <w:rPr>
          <w:spacing w:val="5"/>
          <w:sz w:val="23"/>
        </w:rPr>
        <w:t>（</w:t>
      </w:r>
      <w:r>
        <w:rPr>
          <w:spacing w:val="-2"/>
          <w:sz w:val="23"/>
        </w:rPr>
        <w:t>乙方未派人参加的，视为乙方完全  同意甲方的该</w:t>
      </w:r>
      <w:r>
        <w:rPr>
          <w:sz w:val="23"/>
        </w:rPr>
        <w:t>现场备忘录</w:t>
      </w:r>
      <w:r>
        <w:rPr>
          <w:spacing w:val="-22"/>
          <w:sz w:val="23"/>
        </w:rPr>
        <w:t>）</w:t>
      </w:r>
      <w:r>
        <w:rPr>
          <w:spacing w:val="-4"/>
          <w:sz w:val="23"/>
        </w:rPr>
        <w:t>。此现场记录或备忘录可用作补充、缺失和更换损坏部件  的有效证据。由此</w:t>
      </w:r>
      <w:r>
        <w:rPr>
          <w:spacing w:val="-5"/>
          <w:w w:val="105"/>
          <w:sz w:val="23"/>
        </w:rPr>
        <w:t>产生的有关费用由乙方承担。此情形下不减免乙方的逾期责任。此项不影响 </w:t>
      </w:r>
      <w:r>
        <w:rPr>
          <w:w w:val="105"/>
          <w:sz w:val="23"/>
        </w:rPr>
        <w:t>1.5.7.2</w:t>
      </w:r>
      <w:r>
        <w:rPr>
          <w:spacing w:val="-18"/>
          <w:w w:val="105"/>
          <w:sz w:val="23"/>
        </w:rPr>
        <w:t> 项的效力。</w:t>
      </w:r>
    </w:p>
    <w:p>
      <w:pPr>
        <w:pStyle w:val="ListParagraph"/>
        <w:numPr>
          <w:ilvl w:val="3"/>
          <w:numId w:val="22"/>
        </w:numPr>
        <w:tabs>
          <w:tab w:pos="1159" w:val="left" w:leader="none"/>
        </w:tabs>
        <w:spacing w:line="292" w:lineRule="auto" w:before="0" w:after="0"/>
        <w:ind w:left="250" w:right="360" w:firstLine="0"/>
        <w:jc w:val="left"/>
        <w:rPr>
          <w:sz w:val="23"/>
        </w:rPr>
      </w:pPr>
      <w:r>
        <w:rPr>
          <w:sz w:val="23"/>
        </w:rPr>
        <w:t>验收按国家有关的规定、规范进行，合同有更高标准的，按合同办理。验收时如发现 所交付的货物有短缺、次品、损坏或其它不符合本合同规定之情形者，甲方应做出详尽的现   场记录，或由甲乙双方签署备忘录。此现场记录或备忘录可用作补充、缺失和更换损坏部件   的有效证据。由此产生的有关费用由乙方承担。此情形下不减免乙方的逾期责任。此项不影   </w:t>
      </w:r>
      <w:r>
        <w:rPr>
          <w:spacing w:val="-32"/>
          <w:w w:val="105"/>
          <w:sz w:val="23"/>
        </w:rPr>
        <w:t>响 </w:t>
      </w:r>
      <w:r>
        <w:rPr>
          <w:w w:val="105"/>
          <w:sz w:val="23"/>
        </w:rPr>
        <w:t>1.5.7.2-1.5.7.3</w:t>
      </w:r>
      <w:r>
        <w:rPr>
          <w:spacing w:val="-10"/>
          <w:w w:val="105"/>
          <w:sz w:val="23"/>
        </w:rPr>
        <w:t> 项的效力。</w:t>
      </w:r>
    </w:p>
    <w:p>
      <w:pPr>
        <w:pStyle w:val="ListParagraph"/>
        <w:numPr>
          <w:ilvl w:val="2"/>
          <w:numId w:val="23"/>
        </w:numPr>
        <w:tabs>
          <w:tab w:pos="1022" w:val="left" w:leader="none"/>
        </w:tabs>
        <w:spacing w:line="357" w:lineRule="auto" w:before="0" w:after="0"/>
        <w:ind w:left="352" w:right="374" w:firstLine="0"/>
        <w:jc w:val="both"/>
        <w:rPr>
          <w:sz w:val="23"/>
        </w:rPr>
      </w:pPr>
      <w:r>
        <w:rPr>
          <w:sz w:val="23"/>
        </w:rPr>
        <w:t>货物在安放至甲方指定地点前，货物的毁损、灭失的风险和责任由乙方承担。  如果合同货物在交货前的运输过程中造成货物短缺、损坏，乙方应及时补充和更换，以保证合同货  </w:t>
      </w:r>
      <w:r>
        <w:rPr>
          <w:spacing w:val="-8"/>
          <w:w w:val="105"/>
          <w:sz w:val="23"/>
        </w:rPr>
        <w:t>物验收的成功完成。换货的相关费用由乙方承担。此情形下不减免乙方 的逾期责任。</w:t>
      </w:r>
    </w:p>
    <w:p>
      <w:pPr>
        <w:pStyle w:val="ListParagraph"/>
        <w:numPr>
          <w:ilvl w:val="2"/>
          <w:numId w:val="23"/>
        </w:numPr>
        <w:tabs>
          <w:tab w:pos="1022" w:val="left" w:leader="none"/>
        </w:tabs>
        <w:spacing w:line="357" w:lineRule="auto" w:before="0" w:after="0"/>
        <w:ind w:left="352" w:right="647" w:firstLine="0"/>
        <w:jc w:val="left"/>
        <w:rPr>
          <w:sz w:val="23"/>
        </w:rPr>
      </w:pPr>
      <w:r>
        <w:rPr>
          <w:spacing w:val="-1"/>
          <w:sz w:val="23"/>
        </w:rPr>
        <w:t>乙方保证合同项下提供的货物不侵犯任何第三方的知识产权或其他权益等。否 则， </w:t>
      </w:r>
      <w:r>
        <w:rPr>
          <w:w w:val="105"/>
          <w:sz w:val="23"/>
        </w:rPr>
        <w:t>乙方须承担对第三方的侵权责任并承担因此而发生的所有赔偿、费用。</w:t>
      </w:r>
    </w:p>
    <w:p>
      <w:pPr>
        <w:pStyle w:val="ListParagraph"/>
        <w:numPr>
          <w:ilvl w:val="2"/>
          <w:numId w:val="23"/>
        </w:numPr>
        <w:tabs>
          <w:tab w:pos="1181" w:val="left" w:leader="none"/>
        </w:tabs>
        <w:spacing w:line="357" w:lineRule="auto" w:before="0" w:after="0"/>
        <w:ind w:left="352" w:right="554" w:firstLine="0"/>
        <w:jc w:val="left"/>
        <w:rPr>
          <w:sz w:val="23"/>
        </w:rPr>
      </w:pPr>
      <w:r>
        <w:rPr>
          <w:spacing w:val="-9"/>
          <w:w w:val="105"/>
          <w:sz w:val="23"/>
        </w:rPr>
        <w:t>履约保证金：合同价的 </w:t>
      </w:r>
      <w:r>
        <w:rPr>
          <w:spacing w:val="-4"/>
          <w:w w:val="105"/>
          <w:sz w:val="23"/>
        </w:rPr>
        <w:t>5%</w:t>
      </w:r>
      <w:r>
        <w:rPr>
          <w:spacing w:val="-3"/>
          <w:w w:val="105"/>
          <w:sz w:val="23"/>
        </w:rPr>
        <w:t>，履约保证金在货物全部到货并验收合格后 </w:t>
      </w:r>
      <w:r>
        <w:rPr>
          <w:w w:val="105"/>
          <w:sz w:val="23"/>
        </w:rPr>
        <w:t>10</w:t>
      </w:r>
      <w:r>
        <w:rPr>
          <w:spacing w:val="-12"/>
          <w:w w:val="105"/>
          <w:sz w:val="23"/>
        </w:rPr>
        <w:t> 个工作日</w:t>
      </w:r>
      <w:r>
        <w:rPr>
          <w:spacing w:val="-4"/>
          <w:w w:val="105"/>
          <w:sz w:val="23"/>
        </w:rPr>
        <w:t>内甲方扣除乙方应支付的违约金或赔偿</w:t>
      </w:r>
      <w:r>
        <w:rPr>
          <w:w w:val="105"/>
          <w:sz w:val="23"/>
        </w:rPr>
        <w:t>（</w:t>
      </w:r>
      <w:r>
        <w:rPr>
          <w:spacing w:val="1"/>
          <w:w w:val="105"/>
          <w:sz w:val="23"/>
        </w:rPr>
        <w:t>如有</w:t>
      </w:r>
      <w:r>
        <w:rPr>
          <w:w w:val="105"/>
          <w:sz w:val="23"/>
        </w:rPr>
        <w:t>）</w:t>
      </w:r>
      <w:r>
        <w:rPr>
          <w:spacing w:val="-2"/>
          <w:w w:val="105"/>
          <w:sz w:val="23"/>
        </w:rPr>
        <w:t>后一次性退还给乙方(不计利 息)。</w:t>
      </w:r>
    </w:p>
    <w:p>
      <w:pPr>
        <w:pStyle w:val="ListParagraph"/>
        <w:numPr>
          <w:ilvl w:val="1"/>
          <w:numId w:val="24"/>
        </w:numPr>
        <w:tabs>
          <w:tab w:pos="914" w:val="left" w:leader="none"/>
        </w:tabs>
        <w:spacing w:line="240" w:lineRule="auto" w:before="0" w:after="0"/>
        <w:ind w:left="913" w:right="0" w:hanging="561"/>
        <w:jc w:val="left"/>
        <w:rPr>
          <w:sz w:val="31"/>
        </w:rPr>
      </w:pPr>
      <w:r>
        <w:rPr>
          <w:sz w:val="31"/>
        </w:rPr>
        <w:t>质量保证及售后服务</w:t>
      </w:r>
    </w:p>
    <w:p>
      <w:pPr>
        <w:pStyle w:val="ListParagraph"/>
        <w:numPr>
          <w:ilvl w:val="2"/>
          <w:numId w:val="24"/>
        </w:numPr>
        <w:tabs>
          <w:tab w:pos="1022" w:val="left" w:leader="none"/>
        </w:tabs>
        <w:spacing w:line="357" w:lineRule="auto" w:before="181" w:after="0"/>
        <w:ind w:left="352" w:right="403" w:firstLine="0"/>
        <w:jc w:val="left"/>
        <w:rPr>
          <w:sz w:val="23"/>
        </w:rPr>
      </w:pPr>
      <w:r>
        <w:rPr>
          <w:spacing w:val="-1"/>
          <w:sz w:val="23"/>
        </w:rPr>
        <w:t>乙方提供的货物应符合国家及招标文件中有关质量标准。符合本工程配电系统  设计技</w:t>
      </w:r>
      <w:r>
        <w:rPr>
          <w:spacing w:val="-7"/>
          <w:sz w:val="23"/>
        </w:rPr>
        <w:t>术要求，符合仪征市供电部门的入网规定和验收要求。在施工过程中如遇相关检测部门抽样  </w:t>
      </w:r>
      <w:r>
        <w:rPr>
          <w:spacing w:val="-6"/>
          <w:w w:val="105"/>
          <w:sz w:val="23"/>
        </w:rPr>
        <w:t>检查，乙方需自行配合检查，并妥善处理相关事宜； 且必须保证不耽误甲方工期，若工期</w:t>
      </w:r>
      <w:r>
        <w:rPr>
          <w:spacing w:val="-3"/>
          <w:w w:val="105"/>
          <w:sz w:val="23"/>
        </w:rPr>
        <w:t>延误按合同相关条款执行。</w:t>
      </w:r>
    </w:p>
    <w:p>
      <w:pPr>
        <w:pStyle w:val="ListParagraph"/>
        <w:numPr>
          <w:ilvl w:val="2"/>
          <w:numId w:val="24"/>
        </w:numPr>
        <w:tabs>
          <w:tab w:pos="1029" w:val="left" w:leader="none"/>
        </w:tabs>
        <w:spacing w:line="357" w:lineRule="auto" w:before="1" w:after="0"/>
        <w:ind w:left="352" w:right="314" w:firstLine="0"/>
        <w:jc w:val="left"/>
        <w:rPr>
          <w:sz w:val="23"/>
        </w:rPr>
      </w:pPr>
      <w:r>
        <w:rPr>
          <w:spacing w:val="-2"/>
          <w:w w:val="105"/>
          <w:sz w:val="23"/>
        </w:rPr>
        <w:t>乙方必须保证所提供的货物和合同规定的质量、规格和性能相一致，并确保其完整； </w:t>
      </w:r>
      <w:r>
        <w:rPr>
          <w:sz w:val="23"/>
        </w:rPr>
        <w:t>对于合同没有列出而对合同货物的正常安装、使用、运行和维护必不可少的部件、配件等，  </w:t>
      </w:r>
      <w:r>
        <w:rPr>
          <w:w w:val="105"/>
          <w:sz w:val="23"/>
        </w:rPr>
        <w:t>乙方必须免费提供。</w:t>
      </w:r>
    </w:p>
    <w:p>
      <w:pPr>
        <w:pStyle w:val="ListParagraph"/>
        <w:numPr>
          <w:ilvl w:val="2"/>
          <w:numId w:val="24"/>
        </w:numPr>
        <w:tabs>
          <w:tab w:pos="1080" w:val="left" w:leader="none"/>
        </w:tabs>
        <w:spacing w:line="344" w:lineRule="exact" w:before="0" w:after="0"/>
        <w:ind w:left="1079" w:right="0" w:hanging="727"/>
        <w:jc w:val="left"/>
        <w:rPr>
          <w:rFonts w:ascii="Microsoft YaHei" w:eastAsia="Microsoft YaHei" w:hint="eastAsia"/>
          <w:b/>
          <w:sz w:val="23"/>
        </w:rPr>
      </w:pPr>
      <w:r>
        <w:rPr>
          <w:rFonts w:ascii="Microsoft YaHei" w:eastAsia="Microsoft YaHei" w:hint="eastAsia"/>
          <w:b/>
          <w:w w:val="105"/>
          <w:sz w:val="23"/>
        </w:rPr>
        <w:t>货物质量保证期（下称质保期</w:t>
      </w:r>
      <w:r>
        <w:rPr>
          <w:rFonts w:ascii="Microsoft YaHei" w:eastAsia="Microsoft YaHei" w:hint="eastAsia"/>
          <w:b/>
          <w:spacing w:val="-7"/>
          <w:w w:val="105"/>
          <w:sz w:val="23"/>
        </w:rPr>
        <w:t>）</w:t>
      </w:r>
      <w:r>
        <w:rPr>
          <w:rFonts w:ascii="Microsoft YaHei" w:eastAsia="Microsoft YaHei" w:hint="eastAsia"/>
          <w:b/>
          <w:spacing w:val="7"/>
          <w:w w:val="105"/>
          <w:sz w:val="23"/>
        </w:rPr>
        <w:t>为 </w:t>
      </w:r>
      <w:r>
        <w:rPr>
          <w:rFonts w:ascii="Microsoft YaHei" w:eastAsia="Microsoft YaHei" w:hint="eastAsia"/>
          <w:b/>
          <w:w w:val="105"/>
          <w:sz w:val="23"/>
          <w:u w:val="single"/>
        </w:rPr>
        <w:t>1</w:t>
      </w:r>
      <w:r>
        <w:rPr>
          <w:rFonts w:ascii="Microsoft YaHei" w:eastAsia="Microsoft YaHei" w:hint="eastAsia"/>
          <w:b/>
          <w:spacing w:val="5"/>
          <w:w w:val="105"/>
          <w:sz w:val="23"/>
        </w:rPr>
        <w:t> 年</w:t>
      </w:r>
      <w:r>
        <w:rPr>
          <w:rFonts w:ascii="Microsoft YaHei" w:eastAsia="Microsoft YaHei" w:hint="eastAsia"/>
          <w:b/>
          <w:w w:val="105"/>
          <w:sz w:val="23"/>
        </w:rPr>
        <w:t>（自设备最终安装调试验收合格之日起计算，</w:t>
      </w:r>
    </w:p>
    <w:p>
      <w:pPr>
        <w:spacing w:before="16"/>
        <w:ind w:left="352" w:right="0" w:firstLine="0"/>
        <w:jc w:val="left"/>
        <w:rPr>
          <w:rFonts w:ascii="Microsoft YaHei" w:eastAsia="Microsoft YaHei" w:hint="eastAsia"/>
          <w:b/>
          <w:sz w:val="23"/>
        </w:rPr>
      </w:pPr>
      <w:r>
        <w:rPr>
          <w:rFonts w:ascii="Microsoft YaHei" w:eastAsia="Microsoft YaHei" w:hint="eastAsia"/>
          <w:b/>
          <w:w w:val="105"/>
          <w:sz w:val="23"/>
        </w:rPr>
        <w:t>不得少于 1 年</w:t>
      </w:r>
      <w:r>
        <w:rPr>
          <w:rFonts w:ascii="Microsoft YaHei" w:eastAsia="Microsoft YaHei" w:hint="eastAsia"/>
          <w:b/>
          <w:w w:val="125"/>
          <w:sz w:val="23"/>
        </w:rPr>
        <w:t>）, </w:t>
      </w:r>
      <w:r>
        <w:rPr>
          <w:rFonts w:ascii="Microsoft YaHei" w:eastAsia="Microsoft YaHei" w:hint="eastAsia"/>
          <w:b/>
          <w:w w:val="105"/>
          <w:sz w:val="23"/>
        </w:rPr>
        <w:t>在该质保期内乙方对产品质量负责。</w:t>
      </w:r>
    </w:p>
    <w:p>
      <w:pPr>
        <w:spacing w:after="0"/>
        <w:jc w:val="left"/>
        <w:rPr>
          <w:rFonts w:ascii="Microsoft YaHei" w:eastAsia="Microsoft YaHei" w:hint="eastAsia"/>
          <w:sz w:val="23"/>
        </w:rPr>
        <w:sectPr>
          <w:pgSz w:w="11910" w:h="16870"/>
          <w:pgMar w:top="1160" w:bottom="280" w:left="880" w:right="640"/>
        </w:sectPr>
      </w:pPr>
    </w:p>
    <w:p>
      <w:pPr>
        <w:pStyle w:val="ListParagraph"/>
        <w:numPr>
          <w:ilvl w:val="2"/>
          <w:numId w:val="24"/>
        </w:numPr>
        <w:tabs>
          <w:tab w:pos="1022" w:val="left" w:leader="none"/>
        </w:tabs>
        <w:spacing w:line="240" w:lineRule="auto" w:before="57" w:after="0"/>
        <w:ind w:left="352" w:right="0" w:firstLine="0"/>
        <w:jc w:val="left"/>
        <w:rPr>
          <w:sz w:val="23"/>
        </w:rPr>
      </w:pPr>
      <w:r>
        <w:rPr>
          <w:spacing w:val="-4"/>
          <w:w w:val="105"/>
          <w:sz w:val="23"/>
        </w:rPr>
        <w:t>质保期内乙方提供的货物出现质量问题，乙方应对有质量问题的货物在 </w:t>
      </w:r>
      <w:r>
        <w:rPr>
          <w:w w:val="105"/>
          <w:sz w:val="23"/>
        </w:rPr>
        <w:t>5</w:t>
      </w:r>
      <w:r>
        <w:rPr>
          <w:spacing w:val="-20"/>
          <w:w w:val="105"/>
          <w:sz w:val="23"/>
        </w:rPr>
        <w:t> 天内</w:t>
      </w:r>
    </w:p>
    <w:p>
      <w:pPr>
        <w:spacing w:line="362" w:lineRule="auto" w:before="152"/>
        <w:ind w:left="352" w:right="410" w:firstLine="0"/>
        <w:jc w:val="left"/>
        <w:rPr>
          <w:sz w:val="23"/>
        </w:rPr>
      </w:pPr>
      <w:r>
        <w:rPr>
          <w:spacing w:val="-6"/>
          <w:sz w:val="23"/>
        </w:rPr>
        <w:t>进行免费更换，乙方应承担因货物质量问题而造成甲方或第三方的一切经济损失。乙  方提供</w:t>
      </w:r>
      <w:r>
        <w:rPr>
          <w:spacing w:val="-3"/>
          <w:w w:val="105"/>
          <w:sz w:val="23"/>
        </w:rPr>
        <w:t>的货物在质保期满后出现质量问题，乙方仍应积极帮助甲方解决。</w:t>
      </w:r>
    </w:p>
    <w:p>
      <w:pPr>
        <w:pStyle w:val="ListParagraph"/>
        <w:numPr>
          <w:ilvl w:val="2"/>
          <w:numId w:val="24"/>
        </w:numPr>
        <w:tabs>
          <w:tab w:pos="1022" w:val="left" w:leader="none"/>
        </w:tabs>
        <w:spacing w:line="357" w:lineRule="auto" w:before="0" w:after="0"/>
        <w:ind w:left="352" w:right="374" w:firstLine="0"/>
        <w:jc w:val="left"/>
        <w:rPr>
          <w:sz w:val="23"/>
        </w:rPr>
      </w:pPr>
      <w:r>
        <w:rPr>
          <w:sz w:val="23"/>
        </w:rPr>
        <w:t>乙方应有可靠的售后服务保障，有专业的售后服务力量，能提供正常的技术、  备品备</w:t>
      </w:r>
      <w:r>
        <w:rPr>
          <w:w w:val="105"/>
          <w:sz w:val="23"/>
        </w:rPr>
        <w:t>件服务。</w:t>
      </w:r>
    </w:p>
    <w:p>
      <w:pPr>
        <w:pStyle w:val="ListParagraph"/>
        <w:numPr>
          <w:ilvl w:val="2"/>
          <w:numId w:val="24"/>
        </w:numPr>
        <w:tabs>
          <w:tab w:pos="1022" w:val="left" w:leader="none"/>
        </w:tabs>
        <w:spacing w:line="240" w:lineRule="auto" w:before="0" w:after="0"/>
        <w:ind w:left="352" w:right="0" w:firstLine="0"/>
        <w:jc w:val="left"/>
        <w:rPr>
          <w:sz w:val="23"/>
        </w:rPr>
      </w:pPr>
      <w:r>
        <w:rPr>
          <w:w w:val="105"/>
          <w:sz w:val="23"/>
        </w:rPr>
        <w:t>交货时，乙方应将服务联系方式和联系电话、联系人等资料一并提交给甲方，</w:t>
      </w:r>
    </w:p>
    <w:p>
      <w:pPr>
        <w:spacing w:line="357" w:lineRule="auto" w:before="156"/>
        <w:ind w:left="352" w:right="432" w:firstLine="0"/>
        <w:jc w:val="left"/>
        <w:rPr>
          <w:sz w:val="23"/>
        </w:rPr>
      </w:pPr>
      <w:r>
        <w:rPr>
          <w:spacing w:val="-9"/>
          <w:w w:val="105"/>
          <w:sz w:val="23"/>
        </w:rPr>
        <w:t>保证在接到故障电话后 </w:t>
      </w:r>
      <w:r>
        <w:rPr>
          <w:w w:val="105"/>
          <w:sz w:val="23"/>
        </w:rPr>
        <w:t>24</w:t>
      </w:r>
      <w:r>
        <w:rPr>
          <w:spacing w:val="-11"/>
          <w:w w:val="105"/>
          <w:sz w:val="23"/>
        </w:rPr>
        <w:t> 小时内给予答复处理，并更换质量有瑕疵或缺陷的货物及 指导排除故障。</w:t>
      </w:r>
    </w:p>
    <w:p>
      <w:pPr>
        <w:pStyle w:val="ListParagraph"/>
        <w:numPr>
          <w:ilvl w:val="2"/>
          <w:numId w:val="24"/>
        </w:numPr>
        <w:tabs>
          <w:tab w:pos="1080" w:val="left" w:leader="none"/>
        </w:tabs>
        <w:spacing w:line="355" w:lineRule="auto" w:before="0" w:after="0"/>
        <w:ind w:left="352" w:right="483" w:firstLine="0"/>
        <w:jc w:val="both"/>
        <w:rPr>
          <w:sz w:val="23"/>
        </w:rPr>
      </w:pPr>
      <w:r>
        <w:rPr>
          <w:spacing w:val="-2"/>
          <w:sz w:val="23"/>
        </w:rPr>
        <w:t>乙方应保证所供货物是由合格原材料制造而成，全新未使用过且满足合同规定  的质</w:t>
      </w:r>
      <w:r>
        <w:rPr>
          <w:spacing w:val="-1"/>
          <w:sz w:val="23"/>
        </w:rPr>
        <w:t>量、规格、性能各方面要求的合格产品。原材料的选择，检验和试验应符合招标  文件的规</w:t>
      </w:r>
      <w:r>
        <w:rPr>
          <w:spacing w:val="-1"/>
          <w:w w:val="105"/>
          <w:sz w:val="23"/>
        </w:rPr>
        <w:t>定。</w:t>
      </w:r>
    </w:p>
    <w:p>
      <w:pPr>
        <w:pStyle w:val="ListParagraph"/>
        <w:numPr>
          <w:ilvl w:val="2"/>
          <w:numId w:val="24"/>
        </w:numPr>
        <w:tabs>
          <w:tab w:pos="1022" w:val="left" w:leader="none"/>
        </w:tabs>
        <w:spacing w:line="357" w:lineRule="auto" w:before="10" w:after="0"/>
        <w:ind w:left="352" w:right="655" w:firstLine="0"/>
        <w:jc w:val="left"/>
        <w:rPr>
          <w:sz w:val="23"/>
        </w:rPr>
      </w:pPr>
      <w:r>
        <w:rPr>
          <w:spacing w:val="-2"/>
          <w:sz w:val="23"/>
        </w:rPr>
        <w:t>乙方应建立质量跟踪档案，在质保期内对甲方进行每月一次的定期回访</w:t>
      </w:r>
      <w:r>
        <w:rPr>
          <w:sz w:val="23"/>
        </w:rPr>
        <w:t>（</w:t>
      </w:r>
      <w:r>
        <w:rPr>
          <w:spacing w:val="5"/>
          <w:sz w:val="23"/>
        </w:rPr>
        <w:t>电话  或现</w:t>
      </w:r>
      <w:r>
        <w:rPr>
          <w:spacing w:val="5"/>
          <w:w w:val="105"/>
          <w:sz w:val="23"/>
        </w:rPr>
        <w:t>场），</w:t>
      </w:r>
      <w:r>
        <w:rPr>
          <w:w w:val="105"/>
          <w:sz w:val="23"/>
        </w:rPr>
        <w:t>以保证货物的正常使用；</w:t>
      </w:r>
    </w:p>
    <w:p>
      <w:pPr>
        <w:pStyle w:val="ListParagraph"/>
        <w:numPr>
          <w:ilvl w:val="2"/>
          <w:numId w:val="24"/>
        </w:numPr>
        <w:tabs>
          <w:tab w:pos="1022" w:val="left" w:leader="none"/>
        </w:tabs>
        <w:spacing w:line="240" w:lineRule="auto" w:before="0" w:after="0"/>
        <w:ind w:left="352" w:right="0" w:firstLine="0"/>
        <w:jc w:val="both"/>
        <w:rPr>
          <w:sz w:val="23"/>
        </w:rPr>
      </w:pPr>
      <w:r>
        <w:rPr>
          <w:spacing w:val="-1"/>
          <w:w w:val="105"/>
          <w:sz w:val="23"/>
        </w:rPr>
        <w:t>甲方有权定期或随时到货物制造商工厂检验货物，乙方应给予配合及提供方 便。</w:t>
      </w:r>
    </w:p>
    <w:p>
      <w:pPr>
        <w:pStyle w:val="ListParagraph"/>
        <w:numPr>
          <w:ilvl w:val="2"/>
          <w:numId w:val="24"/>
        </w:numPr>
        <w:tabs>
          <w:tab w:pos="1138" w:val="left" w:leader="none"/>
        </w:tabs>
        <w:spacing w:line="240" w:lineRule="auto" w:before="152" w:after="0"/>
        <w:ind w:left="1137" w:right="0" w:hanging="785"/>
        <w:jc w:val="both"/>
        <w:rPr>
          <w:sz w:val="23"/>
        </w:rPr>
      </w:pPr>
      <w:r>
        <w:rPr>
          <w:w w:val="105"/>
          <w:sz w:val="23"/>
        </w:rPr>
        <w:t>下列情况乙方不负责免费更换：</w:t>
      </w:r>
    </w:p>
    <w:p>
      <w:pPr>
        <w:spacing w:before="8"/>
        <w:ind w:left="834" w:right="0" w:firstLine="0"/>
        <w:jc w:val="left"/>
        <w:rPr>
          <w:sz w:val="23"/>
        </w:rPr>
      </w:pPr>
      <w:r>
        <w:rPr>
          <w:w w:val="105"/>
          <w:sz w:val="23"/>
        </w:rPr>
        <w:t>（1）乙方有确凿证据证明甲方明显不按照乙方书面载明的正确使用方法而引致 货物损</w:t>
      </w:r>
    </w:p>
    <w:p>
      <w:pPr>
        <w:spacing w:before="145"/>
        <w:ind w:left="352" w:right="0" w:firstLine="0"/>
        <w:jc w:val="left"/>
        <w:rPr>
          <w:sz w:val="23"/>
        </w:rPr>
      </w:pPr>
      <w:r>
        <w:rPr>
          <w:w w:val="105"/>
          <w:sz w:val="23"/>
        </w:rPr>
        <w:t>坏；</w:t>
      </w:r>
    </w:p>
    <w:p>
      <w:pPr>
        <w:spacing w:before="202"/>
        <w:ind w:left="834" w:right="0" w:firstLine="0"/>
        <w:jc w:val="left"/>
        <w:rPr>
          <w:sz w:val="23"/>
        </w:rPr>
      </w:pPr>
      <w:r>
        <w:rPr>
          <w:w w:val="105"/>
          <w:sz w:val="23"/>
        </w:rPr>
        <w:t>（2）甲方本身或第三人人为造成的损坏或不可抗力因素造成的损坏。</w:t>
      </w:r>
    </w:p>
    <w:p>
      <w:pPr>
        <w:pStyle w:val="ListParagraph"/>
        <w:numPr>
          <w:ilvl w:val="2"/>
          <w:numId w:val="24"/>
        </w:numPr>
        <w:tabs>
          <w:tab w:pos="1138" w:val="left" w:leader="none"/>
        </w:tabs>
        <w:spacing w:line="357" w:lineRule="auto" w:before="8" w:after="0"/>
        <w:ind w:left="352" w:right="411" w:firstLine="0"/>
        <w:jc w:val="left"/>
        <w:rPr>
          <w:sz w:val="23"/>
        </w:rPr>
      </w:pPr>
      <w:r>
        <w:rPr>
          <w:spacing w:val="-2"/>
          <w:w w:val="105"/>
          <w:sz w:val="23"/>
        </w:rPr>
        <w:t>甲方有权随时抽取乙方所供的货物送有资质的检验机构进行质量检验。因货 物的质</w:t>
      </w:r>
      <w:r>
        <w:rPr>
          <w:spacing w:val="-6"/>
          <w:sz w:val="23"/>
        </w:rPr>
        <w:t>量问题而发生争议，双方同意委托江苏省质检部门进行质量鉴定。货物符合质  量标准的，鉴</w:t>
      </w:r>
      <w:r>
        <w:rPr>
          <w:spacing w:val="-3"/>
          <w:w w:val="105"/>
          <w:sz w:val="23"/>
        </w:rPr>
        <w:t>定费用由甲方承担；货物不符合质量标准的，鉴定费用由乙方承担。</w:t>
      </w:r>
    </w:p>
    <w:p>
      <w:pPr>
        <w:pStyle w:val="ListParagraph"/>
        <w:numPr>
          <w:ilvl w:val="1"/>
          <w:numId w:val="25"/>
        </w:numPr>
        <w:tabs>
          <w:tab w:pos="849" w:val="left" w:leader="none"/>
        </w:tabs>
        <w:spacing w:line="240" w:lineRule="auto" w:before="16" w:after="0"/>
        <w:ind w:left="848" w:right="0" w:hanging="496"/>
        <w:jc w:val="left"/>
        <w:rPr>
          <w:sz w:val="28"/>
        </w:rPr>
      </w:pPr>
      <w:r>
        <w:rPr>
          <w:sz w:val="28"/>
        </w:rPr>
        <w:t>付款时间及方式</w:t>
      </w:r>
    </w:p>
    <w:p>
      <w:pPr>
        <w:spacing w:line="254" w:lineRule="auto" w:before="8"/>
        <w:ind w:left="250" w:right="398" w:firstLine="482"/>
        <w:jc w:val="left"/>
        <w:rPr>
          <w:sz w:val="23"/>
        </w:rPr>
      </w:pPr>
      <w:r>
        <w:rPr>
          <w:spacing w:val="-6"/>
          <w:sz w:val="23"/>
        </w:rPr>
        <w:t>本项目款项以人民币转账方式支付，货款按以下方式支付：</w:t>
      </w:r>
      <w:r>
        <w:rPr>
          <w:sz w:val="23"/>
          <w:u w:val="single"/>
        </w:rPr>
        <w:t>合同签订后三个工作日内买方 </w:t>
      </w:r>
      <w:r>
        <w:rPr>
          <w:spacing w:val="8"/>
          <w:sz w:val="23"/>
          <w:u w:val="single"/>
        </w:rPr>
        <w:t>支付合同价的 </w:t>
      </w:r>
      <w:r>
        <w:rPr>
          <w:sz w:val="23"/>
          <w:u w:val="single"/>
        </w:rPr>
        <w:t>10%，货物发货</w:t>
      </w:r>
      <w:r>
        <w:rPr>
          <w:spacing w:val="-232"/>
          <w:sz w:val="23"/>
          <w:u w:val="single"/>
        </w:rPr>
        <w:t>前</w:t>
      </w:r>
      <w:r>
        <w:rPr>
          <w:spacing w:val="10"/>
          <w:sz w:val="23"/>
          <w:u w:val="single"/>
        </w:rPr>
        <w:t>付至合同价的 </w:t>
      </w:r>
      <w:r>
        <w:rPr>
          <w:sz w:val="23"/>
          <w:u w:val="single"/>
        </w:rPr>
        <w:t>20%，乙方将货物送至买方指定地点且提供合同价</w:t>
      </w:r>
      <w:r>
        <w:rPr>
          <w:w w:val="105"/>
          <w:sz w:val="23"/>
          <w:u w:val="single"/>
        </w:rPr>
        <w:t>5%</w:t>
      </w:r>
      <w:r>
        <w:rPr>
          <w:spacing w:val="-3"/>
          <w:w w:val="105"/>
          <w:sz w:val="23"/>
          <w:u w:val="single"/>
        </w:rPr>
        <w:t>的银行保函给甲方，甲方在五个工作日内验收合格后付至合同价的 </w:t>
      </w:r>
      <w:r>
        <w:rPr>
          <w:w w:val="105"/>
          <w:sz w:val="23"/>
          <w:u w:val="single"/>
        </w:rPr>
        <w:t>30%，余款竣工验收合</w:t>
      </w:r>
      <w:r>
        <w:rPr>
          <w:spacing w:val="-8"/>
          <w:w w:val="105"/>
          <w:sz w:val="23"/>
          <w:u w:val="single"/>
        </w:rPr>
        <w:t>格后付清。合同价 </w:t>
      </w:r>
      <w:r>
        <w:rPr>
          <w:spacing w:val="1"/>
          <w:w w:val="105"/>
          <w:sz w:val="23"/>
          <w:u w:val="single"/>
        </w:rPr>
        <w:t>5</w:t>
      </w:r>
      <w:r>
        <w:rPr>
          <w:spacing w:val="-4"/>
          <w:w w:val="105"/>
          <w:sz w:val="23"/>
          <w:u w:val="single"/>
        </w:rPr>
        <w:t>%的银行保函作为保修金，保函有效期至 </w:t>
      </w:r>
      <w:r>
        <w:rPr>
          <w:w w:val="105"/>
          <w:sz w:val="23"/>
          <w:u w:val="single"/>
        </w:rPr>
        <w:t>2018</w:t>
      </w:r>
      <w:r>
        <w:rPr>
          <w:spacing w:val="-44"/>
          <w:w w:val="105"/>
          <w:sz w:val="23"/>
          <w:u w:val="single"/>
        </w:rPr>
        <w:t> 年 </w:t>
      </w:r>
      <w:r>
        <w:rPr>
          <w:w w:val="105"/>
          <w:sz w:val="23"/>
          <w:u w:val="single"/>
        </w:rPr>
        <w:t>12</w:t>
      </w:r>
      <w:r>
        <w:rPr>
          <w:spacing w:val="-44"/>
          <w:w w:val="105"/>
          <w:sz w:val="23"/>
          <w:u w:val="single"/>
        </w:rPr>
        <w:t> 月 </w:t>
      </w:r>
      <w:r>
        <w:rPr>
          <w:w w:val="105"/>
          <w:sz w:val="23"/>
          <w:u w:val="single"/>
        </w:rPr>
        <w:t>31</w:t>
      </w:r>
      <w:r>
        <w:rPr>
          <w:spacing w:val="-22"/>
          <w:w w:val="105"/>
          <w:sz w:val="23"/>
          <w:u w:val="single"/>
        </w:rPr>
        <w:t> 日。</w:t>
      </w:r>
    </w:p>
    <w:p>
      <w:pPr>
        <w:pStyle w:val="ListParagraph"/>
        <w:numPr>
          <w:ilvl w:val="1"/>
          <w:numId w:val="25"/>
        </w:numPr>
        <w:tabs>
          <w:tab w:pos="849" w:val="left" w:leader="none"/>
        </w:tabs>
        <w:spacing w:line="240" w:lineRule="auto" w:before="83" w:after="0"/>
        <w:ind w:left="848" w:right="0" w:hanging="496"/>
        <w:jc w:val="left"/>
        <w:rPr>
          <w:sz w:val="28"/>
        </w:rPr>
      </w:pPr>
      <w:r>
        <w:rPr>
          <w:spacing w:val="-4"/>
          <w:sz w:val="28"/>
        </w:rPr>
        <w:t>现场技术服务</w:t>
      </w:r>
    </w:p>
    <w:p>
      <w:pPr>
        <w:pStyle w:val="ListParagraph"/>
        <w:numPr>
          <w:ilvl w:val="2"/>
          <w:numId w:val="25"/>
        </w:numPr>
        <w:tabs>
          <w:tab w:pos="1022" w:val="left" w:leader="none"/>
        </w:tabs>
        <w:spacing w:line="360" w:lineRule="auto" w:before="8" w:after="0"/>
        <w:ind w:left="352" w:right="382" w:firstLine="0"/>
        <w:jc w:val="left"/>
        <w:rPr>
          <w:sz w:val="23"/>
        </w:rPr>
      </w:pPr>
      <w:r>
        <w:rPr>
          <w:spacing w:val="-1"/>
          <w:sz w:val="23"/>
        </w:rPr>
        <w:t>乙方根据甲方的要求派出专业技术人员到达现场负责相关现场柜内元件接线  安装、调</w:t>
      </w:r>
      <w:r>
        <w:rPr>
          <w:spacing w:val="-3"/>
          <w:sz w:val="23"/>
        </w:rPr>
        <w:t>试工作以及与之相关的技术指导工作。在安装期间，乙方需负责现场安装调 试及技术跟踪， </w:t>
      </w:r>
      <w:r>
        <w:rPr>
          <w:spacing w:val="-3"/>
          <w:w w:val="105"/>
          <w:sz w:val="23"/>
        </w:rPr>
        <w:t>并在甲方高低压系统联调及通电调试时提供一次现场联调技术服务， 在自控系统建设时与</w:t>
      </w:r>
      <w:r>
        <w:rPr>
          <w:spacing w:val="-6"/>
          <w:sz w:val="23"/>
        </w:rPr>
        <w:t>高低压系统通讯及联调时提供一次现场联调技术服务</w:t>
      </w:r>
      <w:r>
        <w:rPr>
          <w:sz w:val="23"/>
        </w:rPr>
        <w:t>（均需得到   甲方认可服务质量后方可计算</w:t>
      </w:r>
      <w:r>
        <w:rPr>
          <w:spacing w:val="-22"/>
          <w:sz w:val="23"/>
        </w:rPr>
        <w:t>）</w:t>
      </w:r>
      <w:r>
        <w:rPr>
          <w:spacing w:val="-5"/>
          <w:sz w:val="23"/>
        </w:rPr>
        <w:t>。乙方在收到甲方现场技术服务</w:t>
      </w:r>
      <w:r>
        <w:rPr>
          <w:sz w:val="23"/>
        </w:rPr>
        <w:t>（含保质期内</w:t>
      </w:r>
      <w:r>
        <w:rPr>
          <w:spacing w:val="-15"/>
          <w:sz w:val="23"/>
        </w:rPr>
        <w:t>）</w:t>
      </w:r>
      <w:r>
        <w:rPr>
          <w:spacing w:val="1"/>
          <w:sz w:val="23"/>
        </w:rPr>
        <w:t>要求 后半小时内应到达甲方现场处理， </w:t>
      </w:r>
      <w:r>
        <w:rPr>
          <w:spacing w:val="-16"/>
          <w:w w:val="105"/>
          <w:sz w:val="23"/>
        </w:rPr>
        <w:t>每延误 </w:t>
      </w:r>
      <w:r>
        <w:rPr>
          <w:w w:val="105"/>
          <w:sz w:val="23"/>
        </w:rPr>
        <w:t>1</w:t>
      </w:r>
      <w:r>
        <w:rPr>
          <w:spacing w:val="-11"/>
          <w:w w:val="105"/>
          <w:sz w:val="23"/>
        </w:rPr>
        <w:t> 小时到达，扣罚合同金额 </w:t>
      </w:r>
      <w:r>
        <w:rPr>
          <w:w w:val="105"/>
          <w:sz w:val="23"/>
        </w:rPr>
        <w:t>3000</w:t>
      </w:r>
      <w:r>
        <w:rPr>
          <w:spacing w:val="-12"/>
          <w:w w:val="105"/>
          <w:sz w:val="23"/>
        </w:rPr>
        <w:t> 元，直到扣完合同金额的 </w:t>
      </w:r>
      <w:r>
        <w:rPr>
          <w:spacing w:val="2"/>
          <w:w w:val="105"/>
          <w:sz w:val="23"/>
        </w:rPr>
        <w:t>5</w:t>
      </w:r>
      <w:r>
        <w:rPr>
          <w:w w:val="105"/>
          <w:sz w:val="23"/>
        </w:rPr>
        <w:t>％质量保证金。</w:t>
      </w:r>
    </w:p>
    <w:p>
      <w:pPr>
        <w:pStyle w:val="ListParagraph"/>
        <w:numPr>
          <w:ilvl w:val="2"/>
          <w:numId w:val="25"/>
        </w:numPr>
        <w:tabs>
          <w:tab w:pos="1022" w:val="left" w:leader="none"/>
        </w:tabs>
        <w:spacing w:line="279" w:lineRule="exact" w:before="0" w:after="0"/>
        <w:ind w:left="352" w:right="0" w:firstLine="0"/>
        <w:jc w:val="left"/>
        <w:rPr>
          <w:sz w:val="23"/>
        </w:rPr>
      </w:pPr>
      <w:r>
        <w:rPr>
          <w:spacing w:val="-4"/>
          <w:w w:val="105"/>
          <w:sz w:val="23"/>
        </w:rPr>
        <w:t>乙方需为甲方提供操作及维护培训，主要内容为设备的基本结构、性能、主要 部件</w:t>
      </w:r>
    </w:p>
    <w:p>
      <w:pPr>
        <w:spacing w:after="0" w:line="279" w:lineRule="exact"/>
        <w:jc w:val="left"/>
        <w:rPr>
          <w:sz w:val="23"/>
        </w:rPr>
        <w:sectPr>
          <w:pgSz w:w="11910" w:h="16870"/>
          <w:pgMar w:top="1180" w:bottom="280" w:left="880" w:right="640"/>
        </w:sectPr>
      </w:pPr>
    </w:p>
    <w:p>
      <w:pPr>
        <w:spacing w:before="60"/>
        <w:ind w:left="352" w:right="0" w:firstLine="0"/>
        <w:jc w:val="left"/>
        <w:rPr>
          <w:sz w:val="23"/>
        </w:rPr>
      </w:pPr>
      <w:r>
        <w:rPr>
          <w:w w:val="105"/>
          <w:sz w:val="23"/>
        </w:rPr>
        <w:t>的构造及原理，日常使用操作、保养与管理。</w:t>
      </w:r>
    </w:p>
    <w:p>
      <w:pPr>
        <w:pStyle w:val="ListParagraph"/>
        <w:numPr>
          <w:ilvl w:val="2"/>
          <w:numId w:val="25"/>
        </w:numPr>
        <w:tabs>
          <w:tab w:pos="1022" w:val="left" w:leader="none"/>
        </w:tabs>
        <w:spacing w:line="357" w:lineRule="auto" w:before="153" w:after="0"/>
        <w:ind w:left="352" w:right="655" w:firstLine="0"/>
        <w:jc w:val="left"/>
        <w:rPr>
          <w:sz w:val="23"/>
        </w:rPr>
      </w:pPr>
      <w:r>
        <w:rPr>
          <w:spacing w:val="-2"/>
          <w:sz w:val="23"/>
        </w:rPr>
        <w:t>现场技术服务费</w:t>
      </w:r>
      <w:r>
        <w:rPr>
          <w:sz w:val="23"/>
        </w:rPr>
        <w:t>（</w:t>
      </w:r>
      <w:r>
        <w:rPr>
          <w:spacing w:val="-2"/>
          <w:sz w:val="23"/>
        </w:rPr>
        <w:t>含人工费、差旅费、交通费、培训</w:t>
      </w:r>
      <w:r>
        <w:rPr>
          <w:sz w:val="23"/>
        </w:rPr>
        <w:t>）所需全部费用已包含在  合同</w:t>
      </w:r>
      <w:r>
        <w:rPr>
          <w:w w:val="105"/>
          <w:sz w:val="23"/>
        </w:rPr>
        <w:t>价款中，乙方无权要求甲方支付任何费用。</w:t>
      </w:r>
    </w:p>
    <w:p>
      <w:pPr>
        <w:pStyle w:val="ListParagraph"/>
        <w:numPr>
          <w:ilvl w:val="1"/>
          <w:numId w:val="26"/>
        </w:numPr>
        <w:tabs>
          <w:tab w:pos="849" w:val="left" w:leader="none"/>
        </w:tabs>
        <w:spacing w:line="353" w:lineRule="exact" w:before="0" w:after="0"/>
        <w:ind w:left="848" w:right="0" w:hanging="496"/>
        <w:jc w:val="left"/>
        <w:rPr>
          <w:sz w:val="28"/>
        </w:rPr>
      </w:pPr>
      <w:r>
        <w:rPr>
          <w:sz w:val="28"/>
        </w:rPr>
        <w:t>不可抗力</w:t>
      </w:r>
    </w:p>
    <w:p>
      <w:pPr>
        <w:pStyle w:val="ListParagraph"/>
        <w:numPr>
          <w:ilvl w:val="2"/>
          <w:numId w:val="26"/>
        </w:numPr>
        <w:tabs>
          <w:tab w:pos="1080" w:val="left" w:leader="none"/>
        </w:tabs>
        <w:spacing w:line="240" w:lineRule="auto" w:before="8" w:after="0"/>
        <w:ind w:left="352" w:right="0" w:firstLine="0"/>
        <w:jc w:val="left"/>
        <w:rPr>
          <w:sz w:val="23"/>
        </w:rPr>
      </w:pPr>
      <w:r>
        <w:rPr>
          <w:spacing w:val="-4"/>
          <w:w w:val="105"/>
          <w:sz w:val="23"/>
        </w:rPr>
        <w:t>不可抗力指战争、洪水、台风、地震等或其它不可预见、不可避免的事件、情 况等。</w:t>
      </w:r>
    </w:p>
    <w:p>
      <w:pPr>
        <w:pStyle w:val="ListParagraph"/>
        <w:numPr>
          <w:ilvl w:val="2"/>
          <w:numId w:val="26"/>
        </w:numPr>
        <w:tabs>
          <w:tab w:pos="1080" w:val="left" w:leader="none"/>
        </w:tabs>
        <w:spacing w:line="357" w:lineRule="auto" w:before="152" w:after="0"/>
        <w:ind w:left="352" w:right="554" w:firstLine="0"/>
        <w:jc w:val="both"/>
        <w:rPr>
          <w:sz w:val="23"/>
        </w:rPr>
      </w:pPr>
      <w:r>
        <w:rPr>
          <w:sz w:val="23"/>
        </w:rPr>
        <w:t>签约双方中任何一方由于不可抗力影响合同执行时，受不可抗力影响的一方应  尽快</w:t>
      </w:r>
      <w:r>
        <w:rPr>
          <w:spacing w:val="-5"/>
          <w:sz w:val="23"/>
        </w:rPr>
        <w:t>将事故通知另一方。在此情况下，乙方仍然有责任采取必要的措施供货，双方应  通过友好</w:t>
      </w:r>
      <w:r>
        <w:rPr>
          <w:spacing w:val="-2"/>
          <w:w w:val="105"/>
          <w:sz w:val="23"/>
        </w:rPr>
        <w:t>协商尽快解决本合同的履行问题。</w:t>
      </w:r>
    </w:p>
    <w:p>
      <w:pPr>
        <w:spacing w:line="353" w:lineRule="exact" w:before="0"/>
        <w:ind w:left="352" w:right="0" w:firstLine="0"/>
        <w:jc w:val="left"/>
        <w:rPr>
          <w:sz w:val="28"/>
        </w:rPr>
      </w:pPr>
      <w:r>
        <w:rPr>
          <w:sz w:val="28"/>
        </w:rPr>
        <w:t>索赔</w:t>
      </w:r>
    </w:p>
    <w:p>
      <w:pPr>
        <w:pStyle w:val="ListParagraph"/>
        <w:numPr>
          <w:ilvl w:val="2"/>
          <w:numId w:val="27"/>
        </w:numPr>
        <w:tabs>
          <w:tab w:pos="1138" w:val="left" w:leader="none"/>
        </w:tabs>
        <w:spacing w:line="357" w:lineRule="auto" w:before="152" w:after="0"/>
        <w:ind w:left="352" w:right="496" w:firstLine="0"/>
        <w:jc w:val="left"/>
        <w:rPr>
          <w:sz w:val="23"/>
        </w:rPr>
      </w:pPr>
      <w:r>
        <w:rPr>
          <w:sz w:val="23"/>
        </w:rPr>
        <w:t>到货验收不合格的，甲方有权根据双方确认的检验结果或有关政府部门或独  立第三</w:t>
      </w:r>
      <w:r>
        <w:rPr>
          <w:w w:val="105"/>
          <w:sz w:val="23"/>
        </w:rPr>
        <w:t>方检验机构的检验结果向乙方提出索赔。</w:t>
      </w:r>
    </w:p>
    <w:p>
      <w:pPr>
        <w:pStyle w:val="ListParagraph"/>
        <w:numPr>
          <w:ilvl w:val="2"/>
          <w:numId w:val="27"/>
        </w:numPr>
        <w:tabs>
          <w:tab w:pos="1138" w:val="left" w:leader="none"/>
        </w:tabs>
        <w:spacing w:line="357" w:lineRule="auto" w:before="8" w:after="0"/>
        <w:ind w:left="352" w:right="655" w:firstLine="0"/>
        <w:jc w:val="left"/>
        <w:rPr>
          <w:sz w:val="23"/>
        </w:rPr>
      </w:pPr>
      <w:r>
        <w:rPr>
          <w:spacing w:val="-2"/>
          <w:w w:val="105"/>
          <w:sz w:val="23"/>
        </w:rPr>
        <w:t>乙方已结合相关图纸阅读和核定了技术参数，并在此基础上进一步进行了细 化选</w:t>
      </w:r>
      <w:r>
        <w:rPr>
          <w:spacing w:val="-8"/>
          <w:sz w:val="23"/>
        </w:rPr>
        <w:t>型和报价，因乙方实际选型的货物无法满足甲方项目工艺要求及设计技术要求而  需更换设</w:t>
      </w:r>
      <w:r>
        <w:rPr>
          <w:spacing w:val="-3"/>
          <w:w w:val="105"/>
          <w:sz w:val="23"/>
        </w:rPr>
        <w:t>备的责任由乙方全部负责。甲方可根据设计院正式意见向乙方提出索赔。</w:t>
      </w:r>
    </w:p>
    <w:p>
      <w:pPr>
        <w:pStyle w:val="ListParagraph"/>
        <w:numPr>
          <w:ilvl w:val="2"/>
          <w:numId w:val="27"/>
        </w:numPr>
        <w:tabs>
          <w:tab w:pos="1138" w:val="left" w:leader="none"/>
        </w:tabs>
        <w:spacing w:line="357" w:lineRule="auto" w:before="0" w:after="0"/>
        <w:ind w:left="352" w:right="496" w:firstLine="0"/>
        <w:jc w:val="left"/>
        <w:rPr>
          <w:sz w:val="23"/>
        </w:rPr>
      </w:pPr>
      <w:r>
        <w:rPr>
          <w:sz w:val="23"/>
        </w:rPr>
        <w:t>在合同执行期间，对甲方提出的索赔，乙方应按照甲方决定的下列一种或多  种方式</w:t>
      </w:r>
      <w:r>
        <w:rPr>
          <w:w w:val="105"/>
          <w:sz w:val="23"/>
        </w:rPr>
        <w:t>解决索赔事宜：</w:t>
      </w:r>
    </w:p>
    <w:p>
      <w:pPr>
        <w:spacing w:line="357" w:lineRule="auto" w:before="1"/>
        <w:ind w:left="352" w:right="568" w:firstLine="482"/>
        <w:jc w:val="both"/>
        <w:rPr>
          <w:sz w:val="23"/>
        </w:rPr>
      </w:pPr>
      <w:r>
        <w:rPr>
          <w:sz w:val="23"/>
        </w:rPr>
        <w:t>（1）退货，并将甲方已付的货款退还给甲方，并赔偿甲方由此发生的一切损失  和费用[并包括但不限于诉讼(仲裁)费用、律师费用、评估鉴定检验费用、执行费用  等法律费</w:t>
      </w:r>
      <w:r>
        <w:rPr>
          <w:w w:val="105"/>
          <w:sz w:val="23"/>
        </w:rPr>
        <w:t>用，以下统称法律费用]。</w:t>
      </w:r>
    </w:p>
    <w:p>
      <w:pPr>
        <w:spacing w:line="362" w:lineRule="auto" w:before="45"/>
        <w:ind w:left="352" w:right="432" w:firstLine="482"/>
        <w:jc w:val="left"/>
        <w:rPr>
          <w:sz w:val="23"/>
        </w:rPr>
      </w:pPr>
      <w:r>
        <w:rPr>
          <w:sz w:val="23"/>
        </w:rPr>
        <w:t>（2）根据货物质量等级、损坏程度以及甲方所遭受损失的数额由甲乙双方商定  降低货</w:t>
      </w:r>
      <w:r>
        <w:rPr>
          <w:w w:val="105"/>
          <w:sz w:val="23"/>
        </w:rPr>
        <w:t>物的价格。</w:t>
      </w:r>
    </w:p>
    <w:p>
      <w:pPr>
        <w:spacing w:line="357" w:lineRule="auto" w:before="39"/>
        <w:ind w:left="352" w:right="432" w:firstLine="482"/>
        <w:jc w:val="left"/>
        <w:rPr>
          <w:sz w:val="23"/>
        </w:rPr>
      </w:pPr>
      <w:r>
        <w:rPr>
          <w:sz w:val="23"/>
        </w:rPr>
        <w:t>（3）用符合规格、质量和性能要求的新零件、部件或货物来更换有缺陷的部分  或修补</w:t>
      </w:r>
      <w:r>
        <w:rPr>
          <w:w w:val="105"/>
          <w:sz w:val="23"/>
        </w:rPr>
        <w:t>缺陷的部分，乙方应承担一切费用和风险并负责甲方所发生的一切直接费用。 同时，相应延长质量保证期。</w:t>
      </w:r>
    </w:p>
    <w:p>
      <w:pPr>
        <w:spacing w:line="357" w:lineRule="auto" w:before="44"/>
        <w:ind w:left="352" w:right="115" w:firstLine="482"/>
        <w:jc w:val="left"/>
        <w:rPr>
          <w:sz w:val="23"/>
        </w:rPr>
      </w:pPr>
      <w:r>
        <w:rPr>
          <w:sz w:val="23"/>
        </w:rPr>
        <w:t>（4）由乙方向甲方赔偿因供货不及时或产品质量问题给甲方或第三人造成的全 部损失， </w:t>
      </w:r>
      <w:r>
        <w:rPr>
          <w:w w:val="105"/>
          <w:sz w:val="23"/>
        </w:rPr>
        <w:t>并退还甲方已付货款或按甲方指定时间重新交货。</w:t>
      </w:r>
    </w:p>
    <w:p>
      <w:pPr>
        <w:pStyle w:val="ListParagraph"/>
        <w:numPr>
          <w:ilvl w:val="2"/>
          <w:numId w:val="27"/>
        </w:numPr>
        <w:tabs>
          <w:tab w:pos="1080" w:val="left" w:leader="none"/>
        </w:tabs>
        <w:spacing w:line="357" w:lineRule="auto" w:before="0" w:after="0"/>
        <w:ind w:left="352" w:right="403" w:firstLine="0"/>
        <w:jc w:val="left"/>
        <w:rPr>
          <w:sz w:val="23"/>
        </w:rPr>
      </w:pPr>
      <w:r>
        <w:rPr>
          <w:spacing w:val="-7"/>
          <w:w w:val="105"/>
          <w:sz w:val="23"/>
        </w:rPr>
        <w:t>.如果在甲方发出索赔通知后 </w:t>
      </w:r>
      <w:r>
        <w:rPr>
          <w:w w:val="105"/>
          <w:sz w:val="23"/>
        </w:rPr>
        <w:t>30</w:t>
      </w:r>
      <w:r>
        <w:rPr>
          <w:spacing w:val="-16"/>
          <w:w w:val="105"/>
          <w:sz w:val="23"/>
        </w:rPr>
        <w:t> 天内，乙方未作出书面答复，索赔事项应视为 已被乙</w:t>
      </w:r>
      <w:r>
        <w:rPr>
          <w:w w:val="105"/>
          <w:sz w:val="23"/>
        </w:rPr>
        <w:t>方接受。</w:t>
      </w:r>
    </w:p>
    <w:p>
      <w:pPr>
        <w:spacing w:line="357" w:lineRule="auto" w:before="0"/>
        <w:ind w:left="352" w:right="496" w:firstLine="0"/>
        <w:jc w:val="left"/>
        <w:rPr>
          <w:sz w:val="23"/>
        </w:rPr>
      </w:pPr>
      <w:r>
        <w:rPr>
          <w:w w:val="105"/>
          <w:sz w:val="23"/>
        </w:rPr>
        <w:t>1.10.4</w:t>
      </w:r>
      <w:r>
        <w:rPr>
          <w:spacing w:val="-13"/>
          <w:w w:val="105"/>
          <w:sz w:val="23"/>
        </w:rPr>
        <w:t> 甲方可在合同应付货款中扣取, 或在乙方提交的履约保证金中扣取违约金及 赔偿。</w:t>
      </w:r>
      <w:r>
        <w:rPr>
          <w:spacing w:val="-5"/>
          <w:w w:val="105"/>
          <w:sz w:val="23"/>
        </w:rPr>
        <w:t>如果这些金额不足以补偿索赔金额，甲方有权要求乙方另行支付。</w:t>
      </w:r>
    </w:p>
    <w:p>
      <w:pPr>
        <w:spacing w:before="0"/>
        <w:ind w:left="352" w:right="0" w:firstLine="0"/>
        <w:jc w:val="left"/>
        <w:rPr>
          <w:sz w:val="28"/>
        </w:rPr>
      </w:pPr>
      <w:r>
        <w:rPr>
          <w:sz w:val="28"/>
        </w:rPr>
        <w:t>违约责任</w:t>
      </w:r>
    </w:p>
    <w:p>
      <w:pPr>
        <w:pStyle w:val="ListParagraph"/>
        <w:numPr>
          <w:ilvl w:val="2"/>
          <w:numId w:val="28"/>
        </w:numPr>
        <w:tabs>
          <w:tab w:pos="1138" w:val="left" w:leader="none"/>
        </w:tabs>
        <w:spacing w:line="240" w:lineRule="auto" w:before="154" w:after="0"/>
        <w:ind w:left="1137" w:right="0" w:hanging="785"/>
        <w:jc w:val="left"/>
        <w:rPr>
          <w:sz w:val="23"/>
        </w:rPr>
      </w:pPr>
      <w:r>
        <w:rPr>
          <w:spacing w:val="-2"/>
          <w:sz w:val="23"/>
        </w:rPr>
        <w:t>乙方逾期到货</w:t>
      </w:r>
      <w:r>
        <w:rPr>
          <w:spacing w:val="5"/>
          <w:sz w:val="23"/>
        </w:rPr>
        <w:t>（</w:t>
      </w:r>
      <w:r>
        <w:rPr>
          <w:sz w:val="23"/>
        </w:rPr>
        <w:t>指超过甲方通知规定的时间交货到指定地点</w:t>
      </w:r>
      <w:hyperlink r:id="rId7">
        <w:r>
          <w:rPr>
            <w:spacing w:val="-4"/>
            <w:sz w:val="23"/>
          </w:rPr>
          <w:t>），</w:t>
        </w:r>
      </w:hyperlink>
      <w:r>
        <w:rPr>
          <w:sz w:val="23"/>
        </w:rPr>
        <w:t>每逾期一天</w:t>
      </w:r>
      <w:hyperlink r:id="rId7">
        <w:r>
          <w:rPr>
            <w:spacing w:val="13"/>
            <w:sz w:val="23"/>
          </w:rPr>
          <w:t>，   </w:t>
        </w:r>
      </w:hyperlink>
      <w:r>
        <w:rPr>
          <w:sz w:val="23"/>
        </w:rPr>
        <w:t>乙方</w:t>
      </w:r>
    </w:p>
    <w:p>
      <w:pPr>
        <w:spacing w:after="0" w:line="240" w:lineRule="auto"/>
        <w:jc w:val="left"/>
        <w:rPr>
          <w:sz w:val="23"/>
        </w:rPr>
        <w:sectPr>
          <w:pgSz w:w="11910" w:h="16870"/>
          <w:pgMar w:top="1140" w:bottom="280" w:left="880" w:right="640"/>
        </w:sectPr>
      </w:pPr>
    </w:p>
    <w:p>
      <w:pPr>
        <w:spacing w:line="357" w:lineRule="auto" w:before="48"/>
        <w:ind w:left="352" w:right="411" w:firstLine="0"/>
        <w:jc w:val="left"/>
        <w:rPr>
          <w:sz w:val="23"/>
        </w:rPr>
      </w:pPr>
      <w:r>
        <w:rPr>
          <w:spacing w:val="-7"/>
          <w:w w:val="105"/>
          <w:sz w:val="23"/>
        </w:rPr>
        <w:t>向甲方支付逾期到货货物款额 </w:t>
      </w:r>
      <w:r>
        <w:rPr>
          <w:w w:val="105"/>
          <w:sz w:val="23"/>
        </w:rPr>
        <w:t>1%</w:t>
      </w:r>
      <w:hyperlink r:id="rId7">
        <w:r>
          <w:rPr>
            <w:spacing w:val="-2"/>
            <w:w w:val="105"/>
            <w:sz w:val="23"/>
          </w:rPr>
          <w:t>的违约金，</w:t>
        </w:r>
      </w:hyperlink>
      <w:r>
        <w:rPr>
          <w:spacing w:val="-13"/>
          <w:w w:val="105"/>
          <w:sz w:val="23"/>
        </w:rPr>
        <w:t>逾期交货超过 </w:t>
      </w:r>
      <w:r>
        <w:rPr>
          <w:w w:val="105"/>
          <w:sz w:val="23"/>
        </w:rPr>
        <w:t>10</w:t>
      </w:r>
      <w:r>
        <w:rPr>
          <w:spacing w:val="-43"/>
          <w:w w:val="105"/>
          <w:sz w:val="23"/>
        </w:rPr>
        <w:t> 天</w:t>
      </w:r>
      <w:hyperlink r:id="rId7">
        <w:r>
          <w:rPr>
            <w:spacing w:val="-15"/>
            <w:w w:val="105"/>
            <w:sz w:val="23"/>
          </w:rPr>
          <w:t>，</w:t>
        </w:r>
      </w:hyperlink>
      <w:r>
        <w:rPr>
          <w:spacing w:val="-6"/>
          <w:w w:val="105"/>
          <w:sz w:val="23"/>
        </w:rPr>
        <w:t>甲方有权解除 合同并要求</w:t>
      </w:r>
      <w:r>
        <w:rPr>
          <w:spacing w:val="-5"/>
          <w:sz w:val="23"/>
        </w:rPr>
        <w:t>乙方支付违约金和赔偿甲方全部损失</w:t>
      </w:r>
      <w:r>
        <w:rPr>
          <w:sz w:val="23"/>
        </w:rPr>
        <w:t>（包括法律费用</w:t>
      </w:r>
      <w:r>
        <w:rPr>
          <w:spacing w:val="-26"/>
          <w:sz w:val="23"/>
        </w:rPr>
        <w:t>）</w:t>
      </w:r>
      <w:r>
        <w:rPr>
          <w:spacing w:val="-4"/>
          <w:sz w:val="23"/>
        </w:rPr>
        <w:t>，甲方可没收乙方的履约保证金</w:t>
      </w:r>
      <w:hyperlink r:id="rId7">
        <w:r>
          <w:rPr>
            <w:spacing w:val="5"/>
            <w:sz w:val="23"/>
          </w:rPr>
          <w:t>。如  </w:t>
        </w:r>
      </w:hyperlink>
      <w:hyperlink r:id="rId7">
        <w:r>
          <w:rPr>
            <w:w w:val="105"/>
            <w:sz w:val="23"/>
          </w:rPr>
          <w:t>果这些金额不足以偿付索赔金额，甲方有权要求乙方另行支付。</w:t>
        </w:r>
      </w:hyperlink>
    </w:p>
    <w:p>
      <w:pPr>
        <w:pStyle w:val="ListParagraph"/>
        <w:numPr>
          <w:ilvl w:val="2"/>
          <w:numId w:val="28"/>
        </w:numPr>
        <w:tabs>
          <w:tab w:pos="1203" w:val="left" w:leader="none"/>
        </w:tabs>
        <w:spacing w:line="240" w:lineRule="auto" w:before="1" w:after="0"/>
        <w:ind w:left="1202" w:right="0" w:hanging="850"/>
        <w:jc w:val="left"/>
        <w:rPr>
          <w:sz w:val="23"/>
        </w:rPr>
      </w:pPr>
      <w:r>
        <w:rPr>
          <w:w w:val="105"/>
          <w:sz w:val="23"/>
        </w:rPr>
        <w:t>货物验收不合格的视为未交货，按货物到达指定交货地点并验收合格的时间</w:t>
      </w:r>
    </w:p>
    <w:p>
      <w:pPr>
        <w:spacing w:before="159"/>
        <w:ind w:left="352" w:right="0" w:firstLine="0"/>
        <w:jc w:val="left"/>
        <w:rPr>
          <w:sz w:val="23"/>
        </w:rPr>
      </w:pPr>
      <w:r>
        <w:rPr>
          <w:w w:val="105"/>
          <w:sz w:val="23"/>
        </w:rPr>
        <w:t>确定是否逾期，并按前述 1.11.1 条规定执行。</w:t>
      </w:r>
    </w:p>
    <w:p>
      <w:pPr>
        <w:spacing w:before="8"/>
        <w:ind w:left="352" w:right="0" w:firstLine="0"/>
        <w:jc w:val="left"/>
        <w:rPr>
          <w:sz w:val="28"/>
        </w:rPr>
      </w:pPr>
      <w:r>
        <w:rPr>
          <w:sz w:val="28"/>
        </w:rPr>
        <w:t>1.10 合同变更</w:t>
      </w:r>
    </w:p>
    <w:p>
      <w:pPr>
        <w:spacing w:before="15"/>
        <w:ind w:left="250" w:right="0" w:firstLine="0"/>
        <w:jc w:val="left"/>
        <w:rPr>
          <w:sz w:val="23"/>
        </w:rPr>
      </w:pPr>
      <w:hyperlink r:id="rId7">
        <w:r>
          <w:rPr>
            <w:w w:val="105"/>
            <w:sz w:val="23"/>
          </w:rPr>
          <w:t>未尽事宜，</w:t>
        </w:r>
      </w:hyperlink>
      <w:r>
        <w:rPr>
          <w:w w:val="105"/>
          <w:sz w:val="23"/>
        </w:rPr>
        <w:t>双方协商解决；合同的变更及修改须经双方同意</w:t>
      </w:r>
      <w:hyperlink r:id="rId7">
        <w:r>
          <w:rPr>
            <w:w w:val="105"/>
            <w:sz w:val="23"/>
          </w:rPr>
          <w:t>，</w:t>
        </w:r>
      </w:hyperlink>
      <w:r>
        <w:rPr>
          <w:w w:val="105"/>
          <w:sz w:val="23"/>
        </w:rPr>
        <w:t>以书面形式变更</w:t>
      </w:r>
      <w:hyperlink r:id="rId7">
        <w:r>
          <w:rPr>
            <w:w w:val="105"/>
            <w:sz w:val="23"/>
          </w:rPr>
          <w:t>。</w:t>
        </w:r>
      </w:hyperlink>
    </w:p>
    <w:p>
      <w:pPr>
        <w:pStyle w:val="ListParagraph"/>
        <w:numPr>
          <w:ilvl w:val="1"/>
          <w:numId w:val="29"/>
        </w:numPr>
        <w:tabs>
          <w:tab w:pos="993" w:val="left" w:leader="none"/>
        </w:tabs>
        <w:spacing w:line="240" w:lineRule="auto" w:before="160" w:after="0"/>
        <w:ind w:left="992" w:right="0" w:hanging="640"/>
        <w:jc w:val="left"/>
        <w:rPr>
          <w:sz w:val="28"/>
        </w:rPr>
      </w:pPr>
      <w:r>
        <w:rPr>
          <w:spacing w:val="-3"/>
          <w:sz w:val="28"/>
        </w:rPr>
        <w:t>争议解决方式</w:t>
      </w:r>
    </w:p>
    <w:p>
      <w:pPr>
        <w:spacing w:line="357" w:lineRule="auto" w:before="15"/>
        <w:ind w:left="352" w:right="535" w:firstLine="237"/>
        <w:jc w:val="left"/>
        <w:rPr>
          <w:sz w:val="23"/>
        </w:rPr>
      </w:pPr>
      <w:r>
        <w:rPr>
          <w:spacing w:val="-6"/>
          <w:sz w:val="23"/>
        </w:rPr>
        <w:t>合同双方发生争议，首先应通过协商解决，协商不成的，任何一方均可向合同签订地人民 </w:t>
      </w:r>
      <w:r>
        <w:rPr>
          <w:spacing w:val="-4"/>
          <w:w w:val="105"/>
          <w:sz w:val="23"/>
        </w:rPr>
        <w:t>法院提起诉讼。</w:t>
      </w:r>
    </w:p>
    <w:p>
      <w:pPr>
        <w:pStyle w:val="ListParagraph"/>
        <w:numPr>
          <w:ilvl w:val="1"/>
          <w:numId w:val="29"/>
        </w:numPr>
        <w:tabs>
          <w:tab w:pos="986" w:val="left" w:leader="none"/>
        </w:tabs>
        <w:spacing w:line="353" w:lineRule="exact" w:before="0" w:after="0"/>
        <w:ind w:left="985" w:right="0" w:hanging="633"/>
        <w:jc w:val="left"/>
        <w:rPr>
          <w:sz w:val="28"/>
        </w:rPr>
      </w:pPr>
      <w:r>
        <w:rPr>
          <w:sz w:val="28"/>
        </w:rPr>
        <w:t>合同生效</w:t>
      </w:r>
    </w:p>
    <w:p>
      <w:pPr>
        <w:pStyle w:val="BodyText"/>
        <w:spacing w:before="10"/>
        <w:rPr>
          <w:sz w:val="19"/>
        </w:rPr>
      </w:pPr>
    </w:p>
    <w:p>
      <w:pPr>
        <w:spacing w:before="0"/>
        <w:ind w:left="834" w:right="0" w:firstLine="0"/>
        <w:jc w:val="left"/>
        <w:rPr>
          <w:sz w:val="23"/>
        </w:rPr>
      </w:pPr>
      <w:r>
        <w:rPr>
          <w:w w:val="105"/>
          <w:sz w:val="23"/>
        </w:rPr>
        <w:t>合同自双方盖章及法人代表（或授权代表）签字后生效。</w:t>
      </w:r>
    </w:p>
    <w:p>
      <w:pPr>
        <w:pStyle w:val="ListParagraph"/>
        <w:numPr>
          <w:ilvl w:val="1"/>
          <w:numId w:val="29"/>
        </w:numPr>
        <w:tabs>
          <w:tab w:pos="986" w:val="left" w:leader="none"/>
        </w:tabs>
        <w:spacing w:line="240" w:lineRule="auto" w:before="8" w:after="0"/>
        <w:ind w:left="985" w:right="0" w:hanging="633"/>
        <w:jc w:val="left"/>
        <w:rPr>
          <w:sz w:val="28"/>
        </w:rPr>
      </w:pPr>
      <w:r>
        <w:rPr>
          <w:sz w:val="28"/>
        </w:rPr>
        <w:t>合同份数</w:t>
      </w:r>
    </w:p>
    <w:p>
      <w:pPr>
        <w:spacing w:before="246"/>
        <w:ind w:left="200" w:right="2681" w:firstLine="0"/>
        <w:jc w:val="center"/>
        <w:rPr>
          <w:sz w:val="23"/>
        </w:rPr>
      </w:pPr>
      <w:r>
        <w:rPr>
          <w:sz w:val="23"/>
        </w:rPr>
        <w:t>本合同一式捌份，甲乙双方各执肆份，具有同等法律效力。</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17"/>
        </w:rPr>
      </w:pPr>
    </w:p>
    <w:p>
      <w:pPr>
        <w:tabs>
          <w:tab w:pos="6360" w:val="left" w:leader="none"/>
        </w:tabs>
        <w:spacing w:before="0"/>
        <w:ind w:left="956" w:right="0" w:firstLine="0"/>
        <w:jc w:val="left"/>
        <w:rPr>
          <w:sz w:val="23"/>
        </w:rPr>
      </w:pPr>
      <w:r>
        <w:rPr>
          <w:w w:val="105"/>
          <w:sz w:val="23"/>
        </w:rPr>
        <w:t>甲方：</w:t>
        <w:tab/>
      </w:r>
      <w:r>
        <w:rPr>
          <w:sz w:val="23"/>
        </w:rPr>
        <w:t>乙方：</w:t>
      </w:r>
    </w:p>
    <w:p>
      <w:pPr>
        <w:tabs>
          <w:tab w:pos="6295" w:val="left" w:leader="none"/>
        </w:tabs>
        <w:spacing w:before="130"/>
        <w:ind w:left="956" w:right="0" w:firstLine="0"/>
        <w:jc w:val="left"/>
        <w:rPr>
          <w:sz w:val="23"/>
        </w:rPr>
      </w:pPr>
      <w:r>
        <w:rPr>
          <w:w w:val="105"/>
          <w:sz w:val="23"/>
        </w:rPr>
        <w:t>法定（</w:t>
      </w:r>
      <w:r>
        <w:rPr>
          <w:spacing w:val="5"/>
          <w:w w:val="105"/>
          <w:sz w:val="23"/>
        </w:rPr>
        <w:t>授</w:t>
      </w:r>
      <w:r>
        <w:rPr>
          <w:w w:val="105"/>
          <w:sz w:val="23"/>
        </w:rPr>
        <w:t>权）</w:t>
      </w:r>
      <w:r>
        <w:rPr>
          <w:spacing w:val="5"/>
          <w:w w:val="105"/>
          <w:sz w:val="23"/>
        </w:rPr>
        <w:t>代</w:t>
      </w:r>
      <w:r>
        <w:rPr>
          <w:w w:val="105"/>
          <w:sz w:val="23"/>
        </w:rPr>
        <w:t>表人：</w:t>
        <w:tab/>
        <w:t>法定（</w:t>
      </w:r>
      <w:r>
        <w:rPr>
          <w:spacing w:val="5"/>
          <w:w w:val="105"/>
          <w:sz w:val="23"/>
        </w:rPr>
        <w:t>授</w:t>
      </w:r>
      <w:r>
        <w:rPr>
          <w:w w:val="105"/>
          <w:sz w:val="23"/>
        </w:rPr>
        <w:t>权）</w:t>
      </w:r>
      <w:r>
        <w:rPr>
          <w:spacing w:val="5"/>
          <w:w w:val="105"/>
          <w:sz w:val="23"/>
        </w:rPr>
        <w:t>代</w:t>
      </w:r>
      <w:r>
        <w:rPr>
          <w:w w:val="105"/>
          <w:sz w:val="23"/>
        </w:rPr>
        <w:t>表人：</w:t>
      </w:r>
    </w:p>
    <w:p>
      <w:pPr>
        <w:tabs>
          <w:tab w:pos="1670" w:val="left" w:leader="none"/>
          <w:tab w:pos="6360" w:val="left" w:leader="none"/>
          <w:tab w:pos="7080" w:val="left" w:leader="none"/>
        </w:tabs>
        <w:spacing w:before="131"/>
        <w:ind w:left="956" w:right="0" w:firstLine="0"/>
        <w:jc w:val="left"/>
        <w:rPr>
          <w:sz w:val="23"/>
        </w:rPr>
      </w:pPr>
      <w:r>
        <w:rPr>
          <w:w w:val="105"/>
          <w:sz w:val="23"/>
        </w:rPr>
        <w:t>地</w:t>
        <w:tab/>
        <w:t>址：</w:t>
        <w:tab/>
        <w:t>地</w:t>
        <w:tab/>
      </w:r>
      <w:r>
        <w:rPr>
          <w:sz w:val="23"/>
        </w:rPr>
        <w:t>址：</w:t>
      </w:r>
    </w:p>
    <w:p>
      <w:pPr>
        <w:tabs>
          <w:tab w:pos="6360" w:val="left" w:leader="none"/>
        </w:tabs>
        <w:spacing w:before="130"/>
        <w:ind w:left="956" w:right="0" w:firstLine="0"/>
        <w:jc w:val="left"/>
        <w:rPr>
          <w:sz w:val="23"/>
        </w:rPr>
      </w:pPr>
      <w:r>
        <w:rPr>
          <w:w w:val="105"/>
          <w:sz w:val="23"/>
        </w:rPr>
        <w:t>邮政编</w:t>
      </w:r>
      <w:r>
        <w:rPr>
          <w:spacing w:val="5"/>
          <w:w w:val="105"/>
          <w:sz w:val="23"/>
        </w:rPr>
        <w:t>码</w:t>
      </w:r>
      <w:r>
        <w:rPr>
          <w:w w:val="105"/>
          <w:sz w:val="23"/>
        </w:rPr>
        <w:t>：</w:t>
        <w:tab/>
      </w:r>
      <w:r>
        <w:rPr>
          <w:sz w:val="23"/>
        </w:rPr>
        <w:t>邮政编</w:t>
      </w:r>
      <w:r>
        <w:rPr>
          <w:spacing w:val="5"/>
          <w:sz w:val="23"/>
        </w:rPr>
        <w:t>码</w:t>
      </w:r>
      <w:r>
        <w:rPr>
          <w:sz w:val="23"/>
        </w:rPr>
        <w:t>：</w:t>
      </w:r>
    </w:p>
    <w:p>
      <w:pPr>
        <w:pStyle w:val="BodyText"/>
        <w:rPr>
          <w:sz w:val="15"/>
        </w:rPr>
      </w:pPr>
    </w:p>
    <w:tbl>
      <w:tblPr>
        <w:tblW w:w="0" w:type="auto"/>
        <w:jc w:val="left"/>
        <w:tblInd w:w="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7"/>
        <w:gridCol w:w="2842"/>
        <w:gridCol w:w="2583"/>
        <w:gridCol w:w="913"/>
      </w:tblGrid>
      <w:tr>
        <w:trPr>
          <w:trHeight w:val="327" w:hRule="atLeast"/>
        </w:trPr>
        <w:tc>
          <w:tcPr>
            <w:tcW w:w="697" w:type="dxa"/>
          </w:tcPr>
          <w:p>
            <w:pPr>
              <w:pStyle w:val="TableParagraph"/>
              <w:spacing w:line="269" w:lineRule="exact"/>
              <w:ind w:left="200"/>
              <w:rPr>
                <w:sz w:val="23"/>
              </w:rPr>
            </w:pPr>
            <w:r>
              <w:rPr>
                <w:w w:val="103"/>
                <w:sz w:val="23"/>
              </w:rPr>
              <w:t>电</w:t>
            </w:r>
          </w:p>
        </w:tc>
        <w:tc>
          <w:tcPr>
            <w:tcW w:w="2842" w:type="dxa"/>
          </w:tcPr>
          <w:p>
            <w:pPr>
              <w:pStyle w:val="TableParagraph"/>
              <w:spacing w:line="269" w:lineRule="exact"/>
              <w:ind w:left="259"/>
              <w:rPr>
                <w:sz w:val="23"/>
              </w:rPr>
            </w:pPr>
            <w:r>
              <w:rPr>
                <w:w w:val="105"/>
                <w:sz w:val="23"/>
              </w:rPr>
              <w:t>话：</w:t>
            </w:r>
          </w:p>
        </w:tc>
        <w:tc>
          <w:tcPr>
            <w:tcW w:w="2583" w:type="dxa"/>
          </w:tcPr>
          <w:p>
            <w:pPr>
              <w:pStyle w:val="TableParagraph"/>
              <w:spacing w:line="269" w:lineRule="exact"/>
              <w:ind w:right="235"/>
              <w:jc w:val="right"/>
              <w:rPr>
                <w:sz w:val="23"/>
              </w:rPr>
            </w:pPr>
            <w:r>
              <w:rPr>
                <w:w w:val="103"/>
                <w:sz w:val="23"/>
              </w:rPr>
              <w:t>电</w:t>
            </w:r>
          </w:p>
        </w:tc>
        <w:tc>
          <w:tcPr>
            <w:tcW w:w="913" w:type="dxa"/>
          </w:tcPr>
          <w:p>
            <w:pPr>
              <w:pStyle w:val="TableParagraph"/>
              <w:spacing w:line="269" w:lineRule="exact"/>
              <w:ind w:right="197"/>
              <w:jc w:val="right"/>
              <w:rPr>
                <w:sz w:val="23"/>
              </w:rPr>
            </w:pPr>
            <w:r>
              <w:rPr>
                <w:sz w:val="23"/>
              </w:rPr>
              <w:t>话：</w:t>
            </w:r>
          </w:p>
        </w:tc>
      </w:tr>
      <w:tr>
        <w:trPr>
          <w:trHeight w:val="327" w:hRule="atLeast"/>
        </w:trPr>
        <w:tc>
          <w:tcPr>
            <w:tcW w:w="697" w:type="dxa"/>
          </w:tcPr>
          <w:p>
            <w:pPr>
              <w:pStyle w:val="TableParagraph"/>
              <w:spacing w:line="243" w:lineRule="exact" w:before="64"/>
              <w:ind w:left="200"/>
              <w:rPr>
                <w:sz w:val="23"/>
              </w:rPr>
            </w:pPr>
            <w:r>
              <w:rPr>
                <w:w w:val="103"/>
                <w:sz w:val="23"/>
              </w:rPr>
              <w:t>传</w:t>
            </w:r>
          </w:p>
        </w:tc>
        <w:tc>
          <w:tcPr>
            <w:tcW w:w="2842" w:type="dxa"/>
          </w:tcPr>
          <w:p>
            <w:pPr>
              <w:pStyle w:val="TableParagraph"/>
              <w:spacing w:line="243" w:lineRule="exact" w:before="64"/>
              <w:ind w:left="259"/>
              <w:rPr>
                <w:sz w:val="23"/>
              </w:rPr>
            </w:pPr>
            <w:r>
              <w:rPr>
                <w:w w:val="105"/>
                <w:sz w:val="23"/>
              </w:rPr>
              <w:t>真：</w:t>
            </w:r>
          </w:p>
        </w:tc>
        <w:tc>
          <w:tcPr>
            <w:tcW w:w="2583" w:type="dxa"/>
          </w:tcPr>
          <w:p>
            <w:pPr>
              <w:pStyle w:val="TableParagraph"/>
              <w:spacing w:line="243" w:lineRule="exact" w:before="64"/>
              <w:ind w:right="235"/>
              <w:jc w:val="right"/>
              <w:rPr>
                <w:sz w:val="23"/>
              </w:rPr>
            </w:pPr>
            <w:r>
              <w:rPr>
                <w:w w:val="103"/>
                <w:sz w:val="23"/>
              </w:rPr>
              <w:t>传</w:t>
            </w:r>
          </w:p>
        </w:tc>
        <w:tc>
          <w:tcPr>
            <w:tcW w:w="913" w:type="dxa"/>
          </w:tcPr>
          <w:p>
            <w:pPr>
              <w:pStyle w:val="TableParagraph"/>
              <w:spacing w:line="243" w:lineRule="exact" w:before="64"/>
              <w:ind w:right="197"/>
              <w:jc w:val="right"/>
              <w:rPr>
                <w:sz w:val="23"/>
              </w:rPr>
            </w:pPr>
            <w:r>
              <w:rPr>
                <w:sz w:val="23"/>
              </w:rPr>
              <w:t>真：</w:t>
            </w:r>
          </w:p>
        </w:tc>
      </w:tr>
    </w:tbl>
    <w:p>
      <w:pPr>
        <w:tabs>
          <w:tab w:pos="6381" w:val="left" w:leader="none"/>
        </w:tabs>
        <w:spacing w:before="197"/>
        <w:ind w:left="971" w:right="0" w:firstLine="0"/>
        <w:jc w:val="left"/>
        <w:rPr>
          <w:sz w:val="23"/>
        </w:rPr>
      </w:pPr>
      <w:r>
        <w:rPr>
          <w:w w:val="105"/>
          <w:sz w:val="23"/>
        </w:rPr>
        <w:t>开户银</w:t>
      </w:r>
      <w:r>
        <w:rPr>
          <w:spacing w:val="5"/>
          <w:w w:val="105"/>
          <w:sz w:val="23"/>
        </w:rPr>
        <w:t>行</w:t>
      </w:r>
      <w:r>
        <w:rPr>
          <w:w w:val="105"/>
          <w:sz w:val="23"/>
        </w:rPr>
        <w:t>：</w:t>
        <w:tab/>
      </w:r>
      <w:r>
        <w:rPr>
          <w:sz w:val="23"/>
        </w:rPr>
        <w:t>开户银行：</w:t>
      </w:r>
    </w:p>
    <w:p>
      <w:pPr>
        <w:tabs>
          <w:tab w:pos="6302" w:val="left" w:leader="none"/>
        </w:tabs>
        <w:spacing w:before="138"/>
        <w:ind w:left="971" w:right="0" w:firstLine="0"/>
        <w:jc w:val="left"/>
        <w:rPr>
          <w:sz w:val="23"/>
        </w:rPr>
      </w:pPr>
      <w:r>
        <w:rPr>
          <w:w w:val="105"/>
          <w:sz w:val="23"/>
        </w:rPr>
        <w:t>帐号：</w:t>
        <w:tab/>
        <w:t>帐号：</w:t>
      </w:r>
    </w:p>
    <w:p>
      <w:pPr>
        <w:pStyle w:val="BodyText"/>
        <w:spacing w:before="4"/>
        <w:rPr>
          <w:sz w:val="34"/>
        </w:rPr>
      </w:pPr>
    </w:p>
    <w:p>
      <w:pPr>
        <w:spacing w:before="0"/>
        <w:ind w:left="1639" w:right="0" w:firstLine="0"/>
        <w:jc w:val="center"/>
        <w:rPr>
          <w:sz w:val="23"/>
        </w:rPr>
      </w:pPr>
      <w:r>
        <w:rPr>
          <w:w w:val="105"/>
          <w:sz w:val="23"/>
        </w:rPr>
        <w:t>签订地点：</w:t>
      </w:r>
    </w:p>
    <w:p>
      <w:pPr>
        <w:tabs>
          <w:tab w:pos="6735" w:val="left" w:leader="none"/>
          <w:tab w:pos="7455" w:val="left" w:leader="none"/>
          <w:tab w:pos="8175" w:val="left" w:leader="none"/>
        </w:tabs>
        <w:spacing w:before="131"/>
        <w:ind w:left="5337" w:right="0" w:firstLine="0"/>
        <w:jc w:val="left"/>
        <w:rPr>
          <w:sz w:val="23"/>
        </w:rPr>
      </w:pPr>
      <w:r>
        <w:rPr>
          <w:w w:val="105"/>
          <w:sz w:val="23"/>
        </w:rPr>
        <w:t>签订日</w:t>
      </w:r>
      <w:r>
        <w:rPr>
          <w:spacing w:val="5"/>
          <w:w w:val="105"/>
          <w:sz w:val="23"/>
        </w:rPr>
        <w:t>期</w:t>
      </w:r>
      <w:r>
        <w:rPr>
          <w:w w:val="105"/>
          <w:sz w:val="23"/>
        </w:rPr>
        <w:t>：</w:t>
        <w:tab/>
        <w:t>年</w:t>
        <w:tab/>
        <w:t>月</w:t>
        <w:tab/>
        <w:t>日</w:t>
      </w:r>
    </w:p>
    <w:p>
      <w:pPr>
        <w:spacing w:after="0"/>
        <w:jc w:val="left"/>
        <w:rPr>
          <w:sz w:val="23"/>
        </w:rPr>
        <w:sectPr>
          <w:pgSz w:w="11910" w:h="16870"/>
          <w:pgMar w:top="1160" w:bottom="280" w:left="880" w:right="640"/>
        </w:sectPr>
      </w:pPr>
    </w:p>
    <w:p>
      <w:pPr>
        <w:tabs>
          <w:tab w:pos="4321" w:val="left" w:leader="none"/>
        </w:tabs>
        <w:spacing w:line="496" w:lineRule="auto" w:before="19"/>
        <w:ind w:left="2549" w:right="1303" w:hanging="87"/>
        <w:jc w:val="left"/>
        <w:rPr>
          <w:sz w:val="44"/>
        </w:rPr>
      </w:pPr>
      <w:r>
        <w:rPr/>
        <w:pict>
          <v:shapetype id="_x0000_t202" o:spt="202" coordsize="21600,21600" path="m,l,21600r21600,l21600,xe">
            <v:stroke joinstyle="miter"/>
            <v:path gradientshapeok="t" o:connecttype="rect"/>
          </v:shapetype>
          <v:shape style="position:absolute;margin-left:77.447998pt;margin-top:111.20002pt;width:472.45pt;height:296.8pt;mso-position-horizontal-relative:page;mso-position-vertical-relative:paragraph;z-index:109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2471"/>
                    <w:gridCol w:w="3364"/>
                    <w:gridCol w:w="1556"/>
                    <w:gridCol w:w="1354"/>
                  </w:tblGrid>
                  <w:tr>
                    <w:trPr>
                      <w:trHeight w:val="868" w:hRule="atLeast"/>
                    </w:trPr>
                    <w:tc>
                      <w:tcPr>
                        <w:tcW w:w="692" w:type="dxa"/>
                      </w:tcPr>
                      <w:p>
                        <w:pPr>
                          <w:pStyle w:val="TableParagraph"/>
                          <w:spacing w:line="252" w:lineRule="auto" w:before="128"/>
                          <w:ind w:left="117" w:right="326"/>
                          <w:rPr>
                            <w:sz w:val="23"/>
                          </w:rPr>
                        </w:pPr>
                        <w:r>
                          <w:rPr>
                            <w:sz w:val="23"/>
                          </w:rPr>
                          <w:t>序号</w:t>
                        </w:r>
                      </w:p>
                    </w:tc>
                    <w:tc>
                      <w:tcPr>
                        <w:tcW w:w="2471" w:type="dxa"/>
                      </w:tcPr>
                      <w:p>
                        <w:pPr>
                          <w:pStyle w:val="TableParagraph"/>
                          <w:spacing w:before="128"/>
                          <w:ind w:left="109"/>
                          <w:rPr>
                            <w:sz w:val="23"/>
                          </w:rPr>
                        </w:pPr>
                        <w:r>
                          <w:rPr>
                            <w:w w:val="105"/>
                            <w:sz w:val="23"/>
                          </w:rPr>
                          <w:t>材料名称</w:t>
                        </w:r>
                      </w:p>
                    </w:tc>
                    <w:tc>
                      <w:tcPr>
                        <w:tcW w:w="3364" w:type="dxa"/>
                      </w:tcPr>
                      <w:p>
                        <w:pPr>
                          <w:pStyle w:val="TableParagraph"/>
                          <w:spacing w:before="128"/>
                          <w:ind w:left="109"/>
                          <w:rPr>
                            <w:sz w:val="23"/>
                          </w:rPr>
                        </w:pPr>
                        <w:r>
                          <w:rPr>
                            <w:w w:val="105"/>
                            <w:sz w:val="23"/>
                          </w:rPr>
                          <w:t>规格型号</w:t>
                        </w:r>
                      </w:p>
                    </w:tc>
                    <w:tc>
                      <w:tcPr>
                        <w:tcW w:w="1556" w:type="dxa"/>
                      </w:tcPr>
                      <w:p>
                        <w:pPr>
                          <w:pStyle w:val="TableParagraph"/>
                          <w:spacing w:before="128"/>
                          <w:ind w:right="598"/>
                          <w:jc w:val="right"/>
                          <w:rPr>
                            <w:sz w:val="23"/>
                          </w:rPr>
                        </w:pPr>
                        <w:r>
                          <w:rPr>
                            <w:sz w:val="23"/>
                          </w:rPr>
                          <w:t>单位</w:t>
                        </w:r>
                      </w:p>
                    </w:tc>
                    <w:tc>
                      <w:tcPr>
                        <w:tcW w:w="1354" w:type="dxa"/>
                      </w:tcPr>
                      <w:p>
                        <w:pPr>
                          <w:pStyle w:val="TableParagraph"/>
                          <w:spacing w:before="128"/>
                          <w:ind w:left="355"/>
                          <w:rPr>
                            <w:sz w:val="23"/>
                          </w:rPr>
                        </w:pPr>
                        <w:r>
                          <w:rPr>
                            <w:w w:val="105"/>
                            <w:sz w:val="23"/>
                          </w:rPr>
                          <w:t>数量</w:t>
                        </w:r>
                      </w:p>
                    </w:tc>
                  </w:tr>
                  <w:tr>
                    <w:trPr>
                      <w:trHeight w:val="544" w:hRule="atLeast"/>
                    </w:trPr>
                    <w:tc>
                      <w:tcPr>
                        <w:tcW w:w="692" w:type="dxa"/>
                      </w:tcPr>
                      <w:p>
                        <w:pPr>
                          <w:pStyle w:val="TableParagraph"/>
                          <w:spacing w:before="121"/>
                          <w:ind w:left="117"/>
                          <w:rPr>
                            <w:sz w:val="23"/>
                          </w:rPr>
                        </w:pPr>
                        <w:r>
                          <w:rPr>
                            <w:w w:val="103"/>
                            <w:sz w:val="23"/>
                          </w:rPr>
                          <w:t>1</w:t>
                        </w:r>
                      </w:p>
                    </w:tc>
                    <w:tc>
                      <w:tcPr>
                        <w:tcW w:w="2471" w:type="dxa"/>
                      </w:tcPr>
                      <w:p>
                        <w:pPr>
                          <w:pStyle w:val="TableParagraph"/>
                          <w:spacing w:before="128"/>
                          <w:ind w:right="476"/>
                          <w:jc w:val="right"/>
                          <w:rPr>
                            <w:sz w:val="23"/>
                          </w:rPr>
                        </w:pPr>
                        <w:r>
                          <w:rPr>
                            <w:w w:val="105"/>
                            <w:sz w:val="23"/>
                          </w:rPr>
                          <w:t>10kV 交联电缆</w:t>
                        </w:r>
                      </w:p>
                    </w:tc>
                    <w:tc>
                      <w:tcPr>
                        <w:tcW w:w="3364" w:type="dxa"/>
                      </w:tcPr>
                      <w:p>
                        <w:pPr>
                          <w:pStyle w:val="TableParagraph"/>
                          <w:spacing w:before="128"/>
                          <w:ind w:left="109"/>
                          <w:rPr>
                            <w:sz w:val="23"/>
                          </w:rPr>
                        </w:pPr>
                        <w:r>
                          <w:rPr>
                            <w:w w:val="105"/>
                            <w:sz w:val="23"/>
                          </w:rPr>
                          <w:t>ZR-YJV22-8.7/15KV-3*70</w:t>
                        </w:r>
                      </w:p>
                    </w:tc>
                    <w:tc>
                      <w:tcPr>
                        <w:tcW w:w="1556" w:type="dxa"/>
                      </w:tcPr>
                      <w:p>
                        <w:pPr>
                          <w:pStyle w:val="TableParagraph"/>
                          <w:spacing w:before="128"/>
                          <w:ind w:right="634"/>
                          <w:jc w:val="right"/>
                          <w:rPr>
                            <w:sz w:val="23"/>
                          </w:rPr>
                        </w:pPr>
                        <w:r>
                          <w:rPr>
                            <w:w w:val="105"/>
                            <w:sz w:val="23"/>
                          </w:rPr>
                          <w:t>km</w:t>
                        </w:r>
                      </w:p>
                    </w:tc>
                    <w:tc>
                      <w:tcPr>
                        <w:tcW w:w="1354" w:type="dxa"/>
                      </w:tcPr>
                      <w:p>
                        <w:pPr>
                          <w:pStyle w:val="TableParagraph"/>
                          <w:spacing w:before="128"/>
                          <w:ind w:left="442"/>
                          <w:rPr>
                            <w:sz w:val="23"/>
                          </w:rPr>
                        </w:pPr>
                        <w:r>
                          <w:rPr>
                            <w:w w:val="105"/>
                            <w:sz w:val="23"/>
                          </w:rPr>
                          <w:t>0.18</w:t>
                        </w:r>
                      </w:p>
                    </w:tc>
                  </w:tr>
                  <w:tr>
                    <w:trPr>
                      <w:trHeight w:val="551" w:hRule="atLeast"/>
                    </w:trPr>
                    <w:tc>
                      <w:tcPr>
                        <w:tcW w:w="692" w:type="dxa"/>
                      </w:tcPr>
                      <w:p>
                        <w:pPr>
                          <w:pStyle w:val="TableParagraph"/>
                          <w:spacing w:before="129"/>
                          <w:ind w:left="117"/>
                          <w:rPr>
                            <w:sz w:val="23"/>
                          </w:rPr>
                        </w:pPr>
                        <w:r>
                          <w:rPr>
                            <w:w w:val="103"/>
                            <w:sz w:val="23"/>
                          </w:rPr>
                          <w:t>2</w:t>
                        </w:r>
                      </w:p>
                    </w:tc>
                    <w:tc>
                      <w:tcPr>
                        <w:tcW w:w="2471" w:type="dxa"/>
                      </w:tcPr>
                      <w:p>
                        <w:pPr>
                          <w:pStyle w:val="TableParagraph"/>
                          <w:spacing w:before="136"/>
                          <w:ind w:right="476"/>
                          <w:jc w:val="right"/>
                          <w:rPr>
                            <w:sz w:val="23"/>
                          </w:rPr>
                        </w:pPr>
                        <w:r>
                          <w:rPr>
                            <w:w w:val="105"/>
                            <w:sz w:val="23"/>
                          </w:rPr>
                          <w:t>10kV 交联电缆</w:t>
                        </w:r>
                      </w:p>
                    </w:tc>
                    <w:tc>
                      <w:tcPr>
                        <w:tcW w:w="3364" w:type="dxa"/>
                      </w:tcPr>
                      <w:p>
                        <w:pPr>
                          <w:pStyle w:val="TableParagraph"/>
                          <w:spacing w:before="136"/>
                          <w:ind w:left="109"/>
                          <w:rPr>
                            <w:sz w:val="23"/>
                          </w:rPr>
                        </w:pPr>
                        <w:r>
                          <w:rPr>
                            <w:w w:val="105"/>
                            <w:sz w:val="23"/>
                          </w:rPr>
                          <w:t>ZR-YJV22-8.7/15KV-3*240</w:t>
                        </w:r>
                      </w:p>
                    </w:tc>
                    <w:tc>
                      <w:tcPr>
                        <w:tcW w:w="1556" w:type="dxa"/>
                      </w:tcPr>
                      <w:p>
                        <w:pPr>
                          <w:pStyle w:val="TableParagraph"/>
                          <w:spacing w:before="136"/>
                          <w:ind w:right="634"/>
                          <w:jc w:val="right"/>
                          <w:rPr>
                            <w:sz w:val="23"/>
                          </w:rPr>
                        </w:pPr>
                        <w:r>
                          <w:rPr>
                            <w:w w:val="105"/>
                            <w:sz w:val="23"/>
                          </w:rPr>
                          <w:t>km</w:t>
                        </w:r>
                      </w:p>
                    </w:tc>
                    <w:tc>
                      <w:tcPr>
                        <w:tcW w:w="1354" w:type="dxa"/>
                      </w:tcPr>
                      <w:p>
                        <w:pPr>
                          <w:pStyle w:val="TableParagraph"/>
                          <w:spacing w:before="136"/>
                          <w:ind w:left="442"/>
                          <w:rPr>
                            <w:sz w:val="23"/>
                          </w:rPr>
                        </w:pPr>
                        <w:r>
                          <w:rPr>
                            <w:w w:val="105"/>
                            <w:sz w:val="23"/>
                          </w:rPr>
                          <w:t>0.41</w:t>
                        </w:r>
                      </w:p>
                    </w:tc>
                  </w:tr>
                  <w:tr>
                    <w:trPr>
                      <w:trHeight w:val="551" w:hRule="atLeast"/>
                    </w:trPr>
                    <w:tc>
                      <w:tcPr>
                        <w:tcW w:w="692" w:type="dxa"/>
                      </w:tcPr>
                      <w:p>
                        <w:pPr>
                          <w:pStyle w:val="TableParagraph"/>
                          <w:spacing w:before="128"/>
                          <w:ind w:left="117"/>
                          <w:rPr>
                            <w:sz w:val="23"/>
                          </w:rPr>
                        </w:pPr>
                        <w:r>
                          <w:rPr>
                            <w:w w:val="103"/>
                            <w:sz w:val="23"/>
                          </w:rPr>
                          <w:t>3</w:t>
                        </w:r>
                      </w:p>
                    </w:tc>
                    <w:tc>
                      <w:tcPr>
                        <w:tcW w:w="2471" w:type="dxa"/>
                      </w:tcPr>
                      <w:p>
                        <w:pPr>
                          <w:pStyle w:val="TableParagraph"/>
                          <w:spacing w:before="128"/>
                          <w:ind w:right="476"/>
                          <w:jc w:val="right"/>
                          <w:rPr>
                            <w:sz w:val="23"/>
                          </w:rPr>
                        </w:pPr>
                        <w:r>
                          <w:rPr>
                            <w:w w:val="105"/>
                            <w:sz w:val="23"/>
                          </w:rPr>
                          <w:t>10kV 交联电缆</w:t>
                        </w:r>
                      </w:p>
                    </w:tc>
                    <w:tc>
                      <w:tcPr>
                        <w:tcW w:w="3364" w:type="dxa"/>
                      </w:tcPr>
                      <w:p>
                        <w:pPr>
                          <w:pStyle w:val="TableParagraph"/>
                          <w:spacing w:before="128"/>
                          <w:ind w:left="109"/>
                          <w:rPr>
                            <w:sz w:val="23"/>
                          </w:rPr>
                        </w:pPr>
                        <w:r>
                          <w:rPr>
                            <w:w w:val="105"/>
                            <w:sz w:val="23"/>
                          </w:rPr>
                          <w:t>ZR-YJV22-8.7/15KV-3*400</w:t>
                        </w:r>
                      </w:p>
                    </w:tc>
                    <w:tc>
                      <w:tcPr>
                        <w:tcW w:w="1556" w:type="dxa"/>
                      </w:tcPr>
                      <w:p>
                        <w:pPr>
                          <w:pStyle w:val="TableParagraph"/>
                          <w:spacing w:before="128"/>
                          <w:ind w:right="634"/>
                          <w:jc w:val="right"/>
                          <w:rPr>
                            <w:sz w:val="23"/>
                          </w:rPr>
                        </w:pPr>
                        <w:r>
                          <w:rPr>
                            <w:w w:val="105"/>
                            <w:sz w:val="23"/>
                          </w:rPr>
                          <w:t>km</w:t>
                        </w:r>
                      </w:p>
                    </w:tc>
                    <w:tc>
                      <w:tcPr>
                        <w:tcW w:w="1354" w:type="dxa"/>
                      </w:tcPr>
                      <w:p>
                        <w:pPr>
                          <w:pStyle w:val="TableParagraph"/>
                          <w:spacing w:before="128"/>
                          <w:ind w:left="488" w:right="452"/>
                          <w:jc w:val="center"/>
                          <w:rPr>
                            <w:sz w:val="23"/>
                          </w:rPr>
                        </w:pPr>
                        <w:r>
                          <w:rPr>
                            <w:w w:val="105"/>
                            <w:sz w:val="23"/>
                          </w:rPr>
                          <w:t>1.5</w:t>
                        </w:r>
                      </w:p>
                    </w:tc>
                  </w:tr>
                  <w:tr>
                    <w:trPr>
                      <w:trHeight w:val="551" w:hRule="atLeast"/>
                    </w:trPr>
                    <w:tc>
                      <w:tcPr>
                        <w:tcW w:w="692" w:type="dxa"/>
                      </w:tcPr>
                      <w:p>
                        <w:pPr>
                          <w:pStyle w:val="TableParagraph"/>
                          <w:spacing w:before="129"/>
                          <w:ind w:left="117"/>
                          <w:rPr>
                            <w:sz w:val="23"/>
                          </w:rPr>
                        </w:pPr>
                        <w:r>
                          <w:rPr>
                            <w:w w:val="103"/>
                            <w:sz w:val="23"/>
                          </w:rPr>
                          <w:t>4</w:t>
                        </w:r>
                      </w:p>
                    </w:tc>
                    <w:tc>
                      <w:tcPr>
                        <w:tcW w:w="2471" w:type="dxa"/>
                      </w:tcPr>
                      <w:p>
                        <w:pPr>
                          <w:pStyle w:val="TableParagraph"/>
                          <w:spacing w:before="129"/>
                          <w:ind w:right="541"/>
                          <w:jc w:val="right"/>
                          <w:rPr>
                            <w:sz w:val="23"/>
                          </w:rPr>
                        </w:pPr>
                        <w:r>
                          <w:rPr>
                            <w:w w:val="105"/>
                            <w:sz w:val="23"/>
                          </w:rPr>
                          <w:t>1kV 阻燃电缆</w:t>
                        </w:r>
                      </w:p>
                    </w:tc>
                    <w:tc>
                      <w:tcPr>
                        <w:tcW w:w="3364" w:type="dxa"/>
                      </w:tcPr>
                      <w:p>
                        <w:pPr>
                          <w:pStyle w:val="TableParagraph"/>
                          <w:spacing w:before="129"/>
                          <w:ind w:left="419"/>
                          <w:rPr>
                            <w:sz w:val="23"/>
                          </w:rPr>
                        </w:pPr>
                        <w:r>
                          <w:rPr>
                            <w:w w:val="105"/>
                            <w:sz w:val="23"/>
                          </w:rPr>
                          <w:t>ZR-YJV22-0.6/1KV-4*95</w:t>
                        </w:r>
                      </w:p>
                    </w:tc>
                    <w:tc>
                      <w:tcPr>
                        <w:tcW w:w="1556" w:type="dxa"/>
                      </w:tcPr>
                      <w:p>
                        <w:pPr>
                          <w:pStyle w:val="TableParagraph"/>
                          <w:spacing w:before="129"/>
                          <w:ind w:right="634"/>
                          <w:jc w:val="right"/>
                          <w:rPr>
                            <w:sz w:val="23"/>
                          </w:rPr>
                        </w:pPr>
                        <w:r>
                          <w:rPr>
                            <w:w w:val="105"/>
                            <w:sz w:val="23"/>
                          </w:rPr>
                          <w:t>Km</w:t>
                        </w:r>
                      </w:p>
                    </w:tc>
                    <w:tc>
                      <w:tcPr>
                        <w:tcW w:w="1354" w:type="dxa"/>
                      </w:tcPr>
                      <w:p>
                        <w:pPr>
                          <w:pStyle w:val="TableParagraph"/>
                          <w:spacing w:before="129"/>
                          <w:ind w:left="384"/>
                          <w:rPr>
                            <w:sz w:val="23"/>
                          </w:rPr>
                        </w:pPr>
                        <w:r>
                          <w:rPr>
                            <w:w w:val="105"/>
                            <w:sz w:val="23"/>
                          </w:rPr>
                          <w:t>0.796</w:t>
                        </w:r>
                      </w:p>
                    </w:tc>
                  </w:tr>
                  <w:tr>
                    <w:trPr>
                      <w:trHeight w:val="551" w:hRule="atLeast"/>
                    </w:trPr>
                    <w:tc>
                      <w:tcPr>
                        <w:tcW w:w="692" w:type="dxa"/>
                      </w:tcPr>
                      <w:p>
                        <w:pPr>
                          <w:pStyle w:val="TableParagraph"/>
                          <w:spacing w:before="128"/>
                          <w:ind w:left="117"/>
                          <w:rPr>
                            <w:sz w:val="23"/>
                          </w:rPr>
                        </w:pPr>
                        <w:r>
                          <w:rPr>
                            <w:w w:val="103"/>
                            <w:sz w:val="23"/>
                          </w:rPr>
                          <w:t>5</w:t>
                        </w:r>
                      </w:p>
                    </w:tc>
                    <w:tc>
                      <w:tcPr>
                        <w:tcW w:w="2471" w:type="dxa"/>
                      </w:tcPr>
                      <w:p>
                        <w:pPr>
                          <w:pStyle w:val="TableParagraph"/>
                          <w:spacing w:before="128"/>
                          <w:ind w:right="541"/>
                          <w:jc w:val="right"/>
                          <w:rPr>
                            <w:sz w:val="23"/>
                          </w:rPr>
                        </w:pPr>
                        <w:r>
                          <w:rPr>
                            <w:w w:val="105"/>
                            <w:sz w:val="23"/>
                          </w:rPr>
                          <w:t>1kV 阻燃电缆</w:t>
                        </w:r>
                      </w:p>
                    </w:tc>
                    <w:tc>
                      <w:tcPr>
                        <w:tcW w:w="3364" w:type="dxa"/>
                      </w:tcPr>
                      <w:p>
                        <w:pPr>
                          <w:pStyle w:val="TableParagraph"/>
                          <w:spacing w:before="128"/>
                          <w:ind w:left="419"/>
                          <w:rPr>
                            <w:sz w:val="23"/>
                          </w:rPr>
                        </w:pPr>
                        <w:r>
                          <w:rPr>
                            <w:w w:val="105"/>
                            <w:sz w:val="23"/>
                          </w:rPr>
                          <w:t>ZR-YJV22-0.6/1KV-4*70</w:t>
                        </w:r>
                      </w:p>
                    </w:tc>
                    <w:tc>
                      <w:tcPr>
                        <w:tcW w:w="1556" w:type="dxa"/>
                      </w:tcPr>
                      <w:p>
                        <w:pPr>
                          <w:pStyle w:val="TableParagraph"/>
                          <w:spacing w:before="128"/>
                          <w:ind w:right="634"/>
                          <w:jc w:val="right"/>
                          <w:rPr>
                            <w:sz w:val="23"/>
                          </w:rPr>
                        </w:pPr>
                        <w:r>
                          <w:rPr>
                            <w:w w:val="105"/>
                            <w:sz w:val="23"/>
                          </w:rPr>
                          <w:t>Km</w:t>
                        </w:r>
                      </w:p>
                    </w:tc>
                    <w:tc>
                      <w:tcPr>
                        <w:tcW w:w="1354" w:type="dxa"/>
                      </w:tcPr>
                      <w:p>
                        <w:pPr>
                          <w:pStyle w:val="TableParagraph"/>
                          <w:spacing w:before="128"/>
                          <w:ind w:left="384"/>
                          <w:rPr>
                            <w:sz w:val="23"/>
                          </w:rPr>
                        </w:pPr>
                        <w:r>
                          <w:rPr>
                            <w:w w:val="105"/>
                            <w:sz w:val="23"/>
                          </w:rPr>
                          <w:t>1.304</w:t>
                        </w:r>
                      </w:p>
                    </w:tc>
                  </w:tr>
                  <w:tr>
                    <w:trPr>
                      <w:trHeight w:val="552" w:hRule="atLeast"/>
                    </w:trPr>
                    <w:tc>
                      <w:tcPr>
                        <w:tcW w:w="692" w:type="dxa"/>
                      </w:tcPr>
                      <w:p>
                        <w:pPr>
                          <w:pStyle w:val="TableParagraph"/>
                          <w:spacing w:before="129"/>
                          <w:ind w:left="117"/>
                          <w:rPr>
                            <w:sz w:val="23"/>
                          </w:rPr>
                        </w:pPr>
                        <w:r>
                          <w:rPr>
                            <w:w w:val="103"/>
                            <w:sz w:val="23"/>
                          </w:rPr>
                          <w:t>6</w:t>
                        </w:r>
                      </w:p>
                    </w:tc>
                    <w:tc>
                      <w:tcPr>
                        <w:tcW w:w="2471" w:type="dxa"/>
                      </w:tcPr>
                      <w:p>
                        <w:pPr>
                          <w:pStyle w:val="TableParagraph"/>
                          <w:spacing w:before="129"/>
                          <w:ind w:right="541"/>
                          <w:jc w:val="right"/>
                          <w:rPr>
                            <w:sz w:val="23"/>
                          </w:rPr>
                        </w:pPr>
                        <w:r>
                          <w:rPr>
                            <w:w w:val="105"/>
                            <w:sz w:val="23"/>
                          </w:rPr>
                          <w:t>1kV 阻燃电缆</w:t>
                        </w:r>
                      </w:p>
                    </w:tc>
                    <w:tc>
                      <w:tcPr>
                        <w:tcW w:w="3364" w:type="dxa"/>
                      </w:tcPr>
                      <w:p>
                        <w:pPr>
                          <w:pStyle w:val="TableParagraph"/>
                          <w:spacing w:before="129"/>
                          <w:ind w:left="419"/>
                          <w:rPr>
                            <w:sz w:val="23"/>
                          </w:rPr>
                        </w:pPr>
                        <w:r>
                          <w:rPr>
                            <w:w w:val="105"/>
                            <w:sz w:val="23"/>
                          </w:rPr>
                          <w:t>ZR-YJV22-0.6/1KV-4*50</w:t>
                        </w:r>
                      </w:p>
                    </w:tc>
                    <w:tc>
                      <w:tcPr>
                        <w:tcW w:w="1556" w:type="dxa"/>
                      </w:tcPr>
                      <w:p>
                        <w:pPr>
                          <w:pStyle w:val="TableParagraph"/>
                          <w:spacing w:before="129"/>
                          <w:ind w:right="634"/>
                          <w:jc w:val="right"/>
                          <w:rPr>
                            <w:sz w:val="23"/>
                          </w:rPr>
                        </w:pPr>
                        <w:r>
                          <w:rPr>
                            <w:w w:val="105"/>
                            <w:sz w:val="23"/>
                          </w:rPr>
                          <w:t>Km</w:t>
                        </w:r>
                      </w:p>
                    </w:tc>
                    <w:tc>
                      <w:tcPr>
                        <w:tcW w:w="1354" w:type="dxa"/>
                      </w:tcPr>
                      <w:p>
                        <w:pPr>
                          <w:pStyle w:val="TableParagraph"/>
                          <w:spacing w:before="129"/>
                          <w:ind w:left="384"/>
                          <w:rPr>
                            <w:sz w:val="23"/>
                          </w:rPr>
                        </w:pPr>
                        <w:r>
                          <w:rPr>
                            <w:w w:val="105"/>
                            <w:sz w:val="23"/>
                          </w:rPr>
                          <w:t>1.978</w:t>
                        </w:r>
                      </w:p>
                    </w:tc>
                  </w:tr>
                  <w:tr>
                    <w:trPr>
                      <w:trHeight w:val="551" w:hRule="atLeast"/>
                    </w:trPr>
                    <w:tc>
                      <w:tcPr>
                        <w:tcW w:w="692" w:type="dxa"/>
                      </w:tcPr>
                      <w:p>
                        <w:pPr>
                          <w:pStyle w:val="TableParagraph"/>
                          <w:spacing w:before="128"/>
                          <w:ind w:left="117"/>
                          <w:rPr>
                            <w:sz w:val="23"/>
                          </w:rPr>
                        </w:pPr>
                        <w:r>
                          <w:rPr>
                            <w:w w:val="103"/>
                            <w:sz w:val="23"/>
                          </w:rPr>
                          <w:t>7</w:t>
                        </w:r>
                      </w:p>
                    </w:tc>
                    <w:tc>
                      <w:tcPr>
                        <w:tcW w:w="2471" w:type="dxa"/>
                      </w:tcPr>
                      <w:p>
                        <w:pPr>
                          <w:pStyle w:val="TableParagraph"/>
                          <w:spacing w:before="128"/>
                          <w:ind w:right="541"/>
                          <w:jc w:val="right"/>
                          <w:rPr>
                            <w:sz w:val="23"/>
                          </w:rPr>
                        </w:pPr>
                        <w:r>
                          <w:rPr>
                            <w:w w:val="105"/>
                            <w:sz w:val="23"/>
                          </w:rPr>
                          <w:t>1kV 阻燃电缆</w:t>
                        </w:r>
                      </w:p>
                    </w:tc>
                    <w:tc>
                      <w:tcPr>
                        <w:tcW w:w="3364" w:type="dxa"/>
                      </w:tcPr>
                      <w:p>
                        <w:pPr>
                          <w:pStyle w:val="TableParagraph"/>
                          <w:spacing w:before="128"/>
                          <w:ind w:left="419"/>
                          <w:rPr>
                            <w:sz w:val="23"/>
                          </w:rPr>
                        </w:pPr>
                        <w:r>
                          <w:rPr>
                            <w:w w:val="105"/>
                            <w:sz w:val="23"/>
                          </w:rPr>
                          <w:t>ZR-YJV22-0.6/1KV-4*25</w:t>
                        </w:r>
                      </w:p>
                    </w:tc>
                    <w:tc>
                      <w:tcPr>
                        <w:tcW w:w="1556" w:type="dxa"/>
                      </w:tcPr>
                      <w:p>
                        <w:pPr>
                          <w:pStyle w:val="TableParagraph"/>
                          <w:spacing w:before="128"/>
                          <w:ind w:right="634"/>
                          <w:jc w:val="right"/>
                          <w:rPr>
                            <w:sz w:val="23"/>
                          </w:rPr>
                        </w:pPr>
                        <w:r>
                          <w:rPr>
                            <w:w w:val="105"/>
                            <w:sz w:val="23"/>
                          </w:rPr>
                          <w:t>Km</w:t>
                        </w:r>
                      </w:p>
                    </w:tc>
                    <w:tc>
                      <w:tcPr>
                        <w:tcW w:w="1354" w:type="dxa"/>
                      </w:tcPr>
                      <w:p>
                        <w:pPr>
                          <w:pStyle w:val="TableParagraph"/>
                          <w:spacing w:before="128"/>
                          <w:ind w:left="442"/>
                          <w:rPr>
                            <w:sz w:val="23"/>
                          </w:rPr>
                        </w:pPr>
                        <w:r>
                          <w:rPr>
                            <w:w w:val="105"/>
                            <w:sz w:val="23"/>
                          </w:rPr>
                          <w:t>0.12</w:t>
                        </w:r>
                      </w:p>
                    </w:tc>
                  </w:tr>
                  <w:tr>
                    <w:trPr>
                      <w:trHeight w:val="552" w:hRule="atLeast"/>
                    </w:trPr>
                    <w:tc>
                      <w:tcPr>
                        <w:tcW w:w="692" w:type="dxa"/>
                      </w:tcPr>
                      <w:p>
                        <w:pPr>
                          <w:pStyle w:val="TableParagraph"/>
                          <w:spacing w:before="129"/>
                          <w:ind w:left="117"/>
                          <w:rPr>
                            <w:sz w:val="23"/>
                          </w:rPr>
                        </w:pPr>
                        <w:r>
                          <w:rPr>
                            <w:w w:val="103"/>
                            <w:sz w:val="23"/>
                          </w:rPr>
                          <w:t>8</w:t>
                        </w:r>
                      </w:p>
                    </w:tc>
                    <w:tc>
                      <w:tcPr>
                        <w:tcW w:w="2471" w:type="dxa"/>
                      </w:tcPr>
                      <w:p>
                        <w:pPr>
                          <w:pStyle w:val="TableParagraph"/>
                          <w:spacing w:before="129"/>
                          <w:ind w:right="541"/>
                          <w:jc w:val="right"/>
                          <w:rPr>
                            <w:sz w:val="23"/>
                          </w:rPr>
                        </w:pPr>
                        <w:r>
                          <w:rPr>
                            <w:w w:val="105"/>
                            <w:sz w:val="23"/>
                          </w:rPr>
                          <w:t>1kV 阻燃电缆</w:t>
                        </w:r>
                      </w:p>
                    </w:tc>
                    <w:tc>
                      <w:tcPr>
                        <w:tcW w:w="3364" w:type="dxa"/>
                      </w:tcPr>
                      <w:p>
                        <w:pPr>
                          <w:pStyle w:val="TableParagraph"/>
                          <w:spacing w:before="129"/>
                          <w:ind w:right="343"/>
                          <w:jc w:val="right"/>
                          <w:rPr>
                            <w:sz w:val="23"/>
                          </w:rPr>
                        </w:pPr>
                        <w:r>
                          <w:rPr>
                            <w:sz w:val="23"/>
                          </w:rPr>
                          <w:t>ZR-YJV22-0.6/1KV-4*240</w:t>
                        </w:r>
                      </w:p>
                    </w:tc>
                    <w:tc>
                      <w:tcPr>
                        <w:tcW w:w="1556" w:type="dxa"/>
                      </w:tcPr>
                      <w:p>
                        <w:pPr>
                          <w:pStyle w:val="TableParagraph"/>
                          <w:spacing w:before="129"/>
                          <w:ind w:right="634"/>
                          <w:jc w:val="right"/>
                          <w:rPr>
                            <w:sz w:val="23"/>
                          </w:rPr>
                        </w:pPr>
                        <w:r>
                          <w:rPr>
                            <w:w w:val="105"/>
                            <w:sz w:val="23"/>
                          </w:rPr>
                          <w:t>Km</w:t>
                        </w:r>
                      </w:p>
                    </w:tc>
                    <w:tc>
                      <w:tcPr>
                        <w:tcW w:w="1354" w:type="dxa"/>
                      </w:tcPr>
                      <w:p>
                        <w:pPr>
                          <w:pStyle w:val="TableParagraph"/>
                          <w:spacing w:before="129"/>
                          <w:ind w:left="384"/>
                          <w:rPr>
                            <w:sz w:val="23"/>
                          </w:rPr>
                        </w:pPr>
                        <w:r>
                          <w:rPr>
                            <w:w w:val="105"/>
                            <w:sz w:val="23"/>
                          </w:rPr>
                          <w:t>1.507</w:t>
                        </w:r>
                      </w:p>
                    </w:tc>
                  </w:tr>
                  <w:tr>
                    <w:trPr>
                      <w:trHeight w:val="551" w:hRule="atLeast"/>
                    </w:trPr>
                    <w:tc>
                      <w:tcPr>
                        <w:tcW w:w="692" w:type="dxa"/>
                      </w:tcPr>
                      <w:p>
                        <w:pPr>
                          <w:pStyle w:val="TableParagraph"/>
                          <w:spacing w:before="128"/>
                          <w:ind w:left="117"/>
                          <w:rPr>
                            <w:sz w:val="23"/>
                          </w:rPr>
                        </w:pPr>
                        <w:r>
                          <w:rPr>
                            <w:w w:val="103"/>
                            <w:sz w:val="23"/>
                          </w:rPr>
                          <w:t>9</w:t>
                        </w:r>
                      </w:p>
                    </w:tc>
                    <w:tc>
                      <w:tcPr>
                        <w:tcW w:w="2471" w:type="dxa"/>
                      </w:tcPr>
                      <w:p>
                        <w:pPr>
                          <w:pStyle w:val="TableParagraph"/>
                          <w:spacing w:before="128"/>
                          <w:ind w:right="541"/>
                          <w:jc w:val="right"/>
                          <w:rPr>
                            <w:sz w:val="23"/>
                          </w:rPr>
                        </w:pPr>
                        <w:r>
                          <w:rPr>
                            <w:w w:val="105"/>
                            <w:sz w:val="23"/>
                          </w:rPr>
                          <w:t>1kV 阻燃电缆</w:t>
                        </w:r>
                      </w:p>
                    </w:tc>
                    <w:tc>
                      <w:tcPr>
                        <w:tcW w:w="3364" w:type="dxa"/>
                      </w:tcPr>
                      <w:p>
                        <w:pPr>
                          <w:pStyle w:val="TableParagraph"/>
                          <w:spacing w:before="128"/>
                          <w:ind w:right="342"/>
                          <w:jc w:val="right"/>
                          <w:rPr>
                            <w:sz w:val="23"/>
                          </w:rPr>
                        </w:pPr>
                        <w:r>
                          <w:rPr>
                            <w:sz w:val="23"/>
                          </w:rPr>
                          <w:t>ZR-YJV22-0.6/1KV-4*150</w:t>
                        </w:r>
                      </w:p>
                    </w:tc>
                    <w:tc>
                      <w:tcPr>
                        <w:tcW w:w="1556" w:type="dxa"/>
                      </w:tcPr>
                      <w:p>
                        <w:pPr>
                          <w:pStyle w:val="TableParagraph"/>
                          <w:spacing w:before="128"/>
                          <w:ind w:right="634"/>
                          <w:jc w:val="right"/>
                          <w:rPr>
                            <w:sz w:val="23"/>
                          </w:rPr>
                        </w:pPr>
                        <w:r>
                          <w:rPr>
                            <w:w w:val="105"/>
                            <w:sz w:val="23"/>
                          </w:rPr>
                          <w:t>Km</w:t>
                        </w:r>
                      </w:p>
                    </w:tc>
                    <w:tc>
                      <w:tcPr>
                        <w:tcW w:w="1354" w:type="dxa"/>
                      </w:tcPr>
                      <w:p>
                        <w:pPr>
                          <w:pStyle w:val="TableParagraph"/>
                          <w:spacing w:before="128"/>
                          <w:ind w:left="384"/>
                          <w:rPr>
                            <w:sz w:val="23"/>
                          </w:rPr>
                        </w:pPr>
                        <w:r>
                          <w:rPr>
                            <w:w w:val="105"/>
                            <w:sz w:val="23"/>
                          </w:rPr>
                          <w:t>1.788</w:t>
                        </w:r>
                      </w:p>
                    </w:tc>
                  </w:tr>
                </w:tbl>
                <w:p>
                  <w:pPr>
                    <w:pStyle w:val="BodyText"/>
                  </w:pPr>
                </w:p>
              </w:txbxContent>
            </v:textbox>
            <w10:wrap type="none"/>
          </v:shape>
        </w:pict>
      </w:r>
      <w:r>
        <w:rPr>
          <w:w w:val="95"/>
          <w:sz w:val="44"/>
        </w:rPr>
        <w:t>第三章</w:t>
      </w:r>
      <w:r>
        <w:rPr>
          <w:spacing w:val="5"/>
          <w:w w:val="95"/>
          <w:sz w:val="44"/>
        </w:rPr>
        <w:t>技</w:t>
      </w:r>
      <w:r>
        <w:rPr>
          <w:w w:val="95"/>
          <w:sz w:val="44"/>
        </w:rPr>
        <w:t>术规</w:t>
      </w:r>
      <w:r>
        <w:rPr>
          <w:spacing w:val="6"/>
          <w:w w:val="95"/>
          <w:sz w:val="44"/>
        </w:rPr>
        <w:t>范</w:t>
      </w:r>
      <w:r>
        <w:rPr>
          <w:w w:val="95"/>
          <w:sz w:val="44"/>
        </w:rPr>
        <w:t>和</w:t>
      </w:r>
      <w:r>
        <w:rPr>
          <w:spacing w:val="5"/>
          <w:w w:val="95"/>
          <w:sz w:val="44"/>
        </w:rPr>
        <w:t>要</w:t>
      </w:r>
      <w:r>
        <w:rPr>
          <w:w w:val="95"/>
          <w:sz w:val="44"/>
        </w:rPr>
        <w:t>求（</w:t>
      </w:r>
      <w:r>
        <w:rPr>
          <w:spacing w:val="5"/>
          <w:w w:val="95"/>
          <w:sz w:val="44"/>
        </w:rPr>
        <w:t>见</w:t>
      </w:r>
      <w:r>
        <w:rPr>
          <w:w w:val="95"/>
          <w:sz w:val="44"/>
        </w:rPr>
        <w:t>附件） </w:t>
      </w:r>
      <w:r>
        <w:rPr>
          <w:sz w:val="44"/>
        </w:rPr>
        <w:t>第四章</w:t>
        <w:tab/>
        <w:t>设备</w:t>
      </w:r>
      <w:r>
        <w:rPr>
          <w:spacing w:val="6"/>
          <w:sz w:val="44"/>
        </w:rPr>
        <w:t>采</w:t>
      </w:r>
      <w:r>
        <w:rPr>
          <w:sz w:val="44"/>
        </w:rPr>
        <w:t>购清单</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spacing w:line="252" w:lineRule="auto" w:before="74"/>
        <w:ind w:left="250" w:right="512" w:firstLine="598"/>
        <w:jc w:val="left"/>
        <w:rPr>
          <w:sz w:val="23"/>
        </w:rPr>
      </w:pPr>
      <w:bookmarkStart w:name="注：品牌要求：选用国家知名品牌且符合电力部门的入网要求和规定，并最终通过电力部门" w:id="9"/>
      <w:bookmarkEnd w:id="9"/>
      <w:r>
        <w:rPr/>
      </w:r>
      <w:r>
        <w:rPr>
          <w:spacing w:val="-7"/>
          <w:sz w:val="23"/>
        </w:rPr>
        <w:t>注：品牌要求：选用国家知名品牌且符合电力部门的入网要求和规定，并最终通过电力 </w:t>
      </w:r>
      <w:r>
        <w:rPr>
          <w:w w:val="105"/>
          <w:sz w:val="23"/>
        </w:rPr>
        <w:t>部门验收合格。</w:t>
      </w:r>
    </w:p>
    <w:p>
      <w:pPr>
        <w:pStyle w:val="BodyText"/>
        <w:rPr>
          <w:sz w:val="24"/>
        </w:rPr>
      </w:pPr>
    </w:p>
    <w:p>
      <w:pPr>
        <w:pStyle w:val="BodyText"/>
        <w:spacing w:before="10"/>
        <w:rPr>
          <w:sz w:val="19"/>
        </w:rPr>
      </w:pPr>
    </w:p>
    <w:p>
      <w:pPr>
        <w:spacing w:before="0"/>
        <w:ind w:left="2462" w:right="0" w:firstLine="0"/>
        <w:jc w:val="left"/>
        <w:rPr>
          <w:sz w:val="44"/>
        </w:rPr>
      </w:pPr>
      <w:bookmarkStart w:name="第五章 图纸和技术资料（如有，另附）" w:id="10"/>
      <w:bookmarkEnd w:id="10"/>
      <w:r>
        <w:rPr/>
      </w:r>
      <w:r>
        <w:rPr>
          <w:sz w:val="44"/>
        </w:rPr>
        <w:t>第五章 图纸和技术资料（如有，另附）</w:t>
      </w:r>
    </w:p>
    <w:p>
      <w:pPr>
        <w:spacing w:after="0"/>
        <w:jc w:val="left"/>
        <w:rPr>
          <w:sz w:val="44"/>
        </w:rPr>
        <w:sectPr>
          <w:pgSz w:w="11910" w:h="16870"/>
          <w:pgMar w:top="1180" w:bottom="280" w:left="880" w:right="640"/>
        </w:sectPr>
      </w:pPr>
    </w:p>
    <w:p>
      <w:pPr>
        <w:spacing w:before="8"/>
        <w:ind w:left="3032" w:right="0" w:firstLine="0"/>
        <w:jc w:val="left"/>
        <w:rPr>
          <w:rFonts w:ascii="Microsoft YaHei" w:eastAsia="Microsoft YaHei" w:hint="eastAsia"/>
          <w:b/>
          <w:sz w:val="20"/>
        </w:rPr>
      </w:pPr>
      <w:r>
        <w:rPr>
          <w:w w:val="110"/>
          <w:sz w:val="44"/>
        </w:rPr>
        <w:t>第六章投标文件</w:t>
      </w:r>
      <w:r>
        <w:rPr>
          <w:rFonts w:ascii="Microsoft YaHei" w:eastAsia="Microsoft YaHei" w:hint="eastAsia"/>
          <w:b/>
          <w:w w:val="110"/>
          <w:sz w:val="20"/>
        </w:rPr>
        <w:t>(</w:t>
      </w:r>
      <w:r>
        <w:rPr>
          <w:w w:val="110"/>
          <w:sz w:val="36"/>
        </w:rPr>
        <w:t>格式</w:t>
      </w:r>
      <w:r>
        <w:rPr>
          <w:rFonts w:ascii="Microsoft YaHei" w:eastAsia="Microsoft YaHei" w:hint="eastAsia"/>
          <w:b/>
          <w:w w:val="110"/>
          <w:sz w:val="20"/>
        </w:rPr>
        <w:t>)</w:t>
      </w:r>
    </w:p>
    <w:p>
      <w:pPr>
        <w:spacing w:before="99"/>
        <w:ind w:left="678" w:right="0" w:firstLine="0"/>
        <w:jc w:val="center"/>
        <w:rPr>
          <w:sz w:val="31"/>
        </w:rPr>
      </w:pPr>
      <w:bookmarkStart w:name="一、资格审查部分" w:id="11"/>
      <w:bookmarkEnd w:id="11"/>
      <w:r>
        <w:rPr/>
      </w:r>
      <w:r>
        <w:rPr>
          <w:sz w:val="31"/>
        </w:rPr>
        <w:t>一、资格审查部分</w:t>
      </w:r>
    </w:p>
    <w:p>
      <w:pPr>
        <w:spacing w:before="180"/>
        <w:ind w:left="820" w:right="0" w:firstLine="0"/>
        <w:jc w:val="left"/>
        <w:rPr>
          <w:sz w:val="28"/>
        </w:rPr>
      </w:pPr>
      <w:r>
        <w:rPr>
          <w:sz w:val="28"/>
        </w:rPr>
        <w:t>（注：</w:t>
      </w:r>
      <w:r>
        <w:rPr>
          <w:sz w:val="23"/>
        </w:rPr>
        <w:t>资格审查申请书封面格式</w:t>
      </w:r>
      <w:r>
        <w:rPr>
          <w:sz w:val="28"/>
        </w:rPr>
        <w:t>）</w:t>
      </w:r>
    </w:p>
    <w:p>
      <w:pPr>
        <w:pStyle w:val="BodyText"/>
        <w:spacing w:before="11"/>
        <w:rPr>
          <w:sz w:val="34"/>
        </w:rPr>
      </w:pPr>
    </w:p>
    <w:p>
      <w:pPr>
        <w:pStyle w:val="Heading1"/>
        <w:jc w:val="center"/>
      </w:pPr>
      <w:bookmarkStart w:name="资格审查申请书" w:id="12"/>
      <w:bookmarkEnd w:id="12"/>
      <w:r>
        <w:rPr/>
      </w:r>
      <w:r>
        <w:rPr/>
        <w:t>资格审查申请书</w:t>
      </w: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spacing w:before="5"/>
        <w:rPr>
          <w:sz w:val="31"/>
        </w:rPr>
      </w:pPr>
    </w:p>
    <w:p>
      <w:pPr>
        <w:pStyle w:val="Heading4"/>
        <w:tabs>
          <w:tab w:pos="7313" w:val="left" w:leader="none"/>
        </w:tabs>
        <w:ind w:left="637"/>
        <w:jc w:val="center"/>
        <w:rPr>
          <w:rFonts w:ascii="Times New Roman" w:eastAsia="Times New Roman"/>
        </w:rPr>
      </w:pPr>
      <w:bookmarkStart w:name="工程项目名称：" w:id="13"/>
      <w:bookmarkEnd w:id="13"/>
      <w:r>
        <w:rPr/>
      </w:r>
      <w:r>
        <w:rPr/>
        <w:t>工程项</w:t>
      </w:r>
      <w:r>
        <w:rPr>
          <w:spacing w:val="-8"/>
        </w:rPr>
        <w:t>目</w:t>
      </w:r>
      <w:r>
        <w:rPr/>
        <w:t>名称</w:t>
      </w:r>
      <w:r>
        <w:rPr>
          <w:spacing w:val="-7"/>
        </w:rPr>
        <w:t>：</w:t>
      </w:r>
      <w:r>
        <w:rPr>
          <w:rFonts w:ascii="Times New Roman" w:eastAsia="Times New Roman"/>
          <w:u w:val="single"/>
        </w:rPr>
        <w:t> </w:t>
        <w:tab/>
      </w:r>
    </w:p>
    <w:p>
      <w:pPr>
        <w:pStyle w:val="BodyText"/>
        <w:spacing w:before="2"/>
        <w:rPr>
          <w:rFonts w:ascii="Times New Roman"/>
          <w:sz w:val="28"/>
        </w:rPr>
      </w:pPr>
    </w:p>
    <w:p>
      <w:pPr>
        <w:tabs>
          <w:tab w:pos="8851" w:val="left" w:leader="none"/>
        </w:tabs>
        <w:spacing w:before="70"/>
        <w:ind w:left="2174" w:right="0" w:firstLine="0"/>
        <w:jc w:val="left"/>
        <w:rPr>
          <w:rFonts w:ascii="Times New Roman" w:eastAsia="Times New Roman"/>
          <w:sz w:val="30"/>
        </w:rPr>
      </w:pPr>
      <w:r>
        <w:rPr>
          <w:sz w:val="30"/>
        </w:rPr>
        <w:t>招标人</w:t>
      </w:r>
      <w:r>
        <w:rPr>
          <w:spacing w:val="-8"/>
          <w:sz w:val="30"/>
        </w:rPr>
        <w:t>名</w:t>
      </w:r>
      <w:r>
        <w:rPr>
          <w:sz w:val="30"/>
        </w:rPr>
        <w:t>称</w:t>
      </w:r>
      <w:r>
        <w:rPr>
          <w:spacing w:val="-7"/>
          <w:sz w:val="30"/>
        </w:rPr>
        <w:t>：</w:t>
      </w:r>
      <w:r>
        <w:rPr>
          <w:rFonts w:ascii="Times New Roman" w:eastAsia="Times New Roman"/>
          <w:sz w:val="30"/>
          <w:u w:val="single"/>
        </w:rPr>
        <w:t> </w:t>
        <w:tab/>
      </w:r>
    </w:p>
    <w:p>
      <w:pPr>
        <w:pStyle w:val="BodyText"/>
        <w:spacing w:before="2"/>
        <w:rPr>
          <w:rFonts w:ascii="Times New Roman"/>
          <w:sz w:val="28"/>
        </w:rPr>
      </w:pPr>
    </w:p>
    <w:p>
      <w:pPr>
        <w:tabs>
          <w:tab w:pos="4573" w:val="left" w:leader="none"/>
        </w:tabs>
        <w:spacing w:before="69"/>
        <w:ind w:left="2174" w:right="0" w:firstLine="0"/>
        <w:jc w:val="left"/>
        <w:rPr>
          <w:sz w:val="30"/>
        </w:rPr>
      </w:pPr>
      <w:r>
        <w:rPr>
          <w:sz w:val="30"/>
        </w:rPr>
        <w:t>投标人</w:t>
      </w:r>
      <w:r>
        <w:rPr>
          <w:spacing w:val="-8"/>
          <w:sz w:val="30"/>
        </w:rPr>
        <w:t>名</w:t>
      </w:r>
      <w:r>
        <w:rPr>
          <w:sz w:val="30"/>
        </w:rPr>
        <w:t>称</w:t>
      </w:r>
      <w:r>
        <w:rPr>
          <w:spacing w:val="-7"/>
          <w:sz w:val="30"/>
        </w:rPr>
        <w:t>：</w:t>
      </w:r>
      <w:r>
        <w:rPr>
          <w:spacing w:val="-7"/>
          <w:sz w:val="30"/>
          <w:u w:val="single"/>
        </w:rPr>
        <w:t> </w:t>
        <w:tab/>
      </w:r>
      <w:r>
        <w:rPr>
          <w:sz w:val="30"/>
          <w:u w:val="single"/>
        </w:rPr>
        <w:t>（</w:t>
      </w:r>
      <w:r>
        <w:rPr>
          <w:spacing w:val="2"/>
          <w:sz w:val="30"/>
          <w:u w:val="single"/>
        </w:rPr>
        <w:t> </w:t>
      </w:r>
      <w:r>
        <w:rPr>
          <w:sz w:val="30"/>
          <w:u w:val="single"/>
        </w:rPr>
        <w:t>写</w:t>
      </w:r>
      <w:r>
        <w:rPr>
          <w:spacing w:val="-8"/>
          <w:sz w:val="30"/>
          <w:u w:val="single"/>
        </w:rPr>
        <w:t>明</w:t>
      </w:r>
      <w:r>
        <w:rPr>
          <w:sz w:val="30"/>
          <w:u w:val="single"/>
        </w:rPr>
        <w:t>单位</w:t>
      </w:r>
      <w:r>
        <w:rPr>
          <w:spacing w:val="-8"/>
          <w:sz w:val="30"/>
          <w:u w:val="single"/>
        </w:rPr>
        <w:t>名</w:t>
      </w:r>
      <w:r>
        <w:rPr>
          <w:sz w:val="30"/>
          <w:u w:val="single"/>
        </w:rPr>
        <w:t>称并</w:t>
      </w:r>
      <w:r>
        <w:rPr>
          <w:spacing w:val="-8"/>
          <w:sz w:val="30"/>
          <w:u w:val="single"/>
        </w:rPr>
        <w:t>加</w:t>
      </w:r>
      <w:r>
        <w:rPr>
          <w:sz w:val="30"/>
          <w:u w:val="single"/>
        </w:rPr>
        <w:t>盖公</w:t>
      </w:r>
      <w:r>
        <w:rPr>
          <w:spacing w:val="-8"/>
          <w:sz w:val="30"/>
          <w:u w:val="single"/>
        </w:rPr>
        <w:t>章</w:t>
      </w:r>
      <w:r>
        <w:rPr>
          <w:sz w:val="30"/>
          <w:u w:val="single"/>
        </w:rPr>
        <w:t>）</w:t>
      </w:r>
      <w:r>
        <w:rPr>
          <w:spacing w:val="2"/>
          <w:sz w:val="30"/>
          <w:u w:val="single"/>
        </w:rPr>
        <w:t> </w:t>
      </w:r>
    </w:p>
    <w:p>
      <w:pPr>
        <w:pStyle w:val="BodyText"/>
        <w:spacing w:before="1"/>
        <w:rPr>
          <w:sz w:val="26"/>
        </w:rPr>
      </w:pPr>
    </w:p>
    <w:p>
      <w:pPr>
        <w:tabs>
          <w:tab w:pos="6828" w:val="left" w:leader="none"/>
        </w:tabs>
        <w:spacing w:before="60"/>
        <w:ind w:left="2174" w:right="0" w:firstLine="0"/>
        <w:jc w:val="left"/>
        <w:rPr>
          <w:sz w:val="30"/>
        </w:rPr>
      </w:pPr>
      <w:r>
        <w:rPr>
          <w:sz w:val="30"/>
        </w:rPr>
        <w:t>法定代</w:t>
      </w:r>
      <w:r>
        <w:rPr>
          <w:spacing w:val="-8"/>
          <w:sz w:val="30"/>
        </w:rPr>
        <w:t>表</w:t>
      </w:r>
      <w:r>
        <w:rPr>
          <w:sz w:val="30"/>
        </w:rPr>
        <w:t>人或</w:t>
      </w:r>
      <w:r>
        <w:rPr>
          <w:spacing w:val="-8"/>
          <w:sz w:val="30"/>
        </w:rPr>
        <w:t>其</w:t>
      </w:r>
      <w:r>
        <w:rPr>
          <w:sz w:val="30"/>
        </w:rPr>
        <w:t>委托</w:t>
      </w:r>
      <w:r>
        <w:rPr>
          <w:spacing w:val="-8"/>
          <w:sz w:val="30"/>
        </w:rPr>
        <w:t>代</w:t>
      </w:r>
      <w:r>
        <w:rPr>
          <w:sz w:val="30"/>
        </w:rPr>
        <w:t>理人</w:t>
      </w:r>
      <w:r>
        <w:rPr>
          <w:sz w:val="30"/>
          <w:u w:val="single"/>
        </w:rPr>
        <w:t>：</w:t>
        <w:tab/>
        <w:t>（签字</w:t>
      </w:r>
      <w:r>
        <w:rPr>
          <w:spacing w:val="-8"/>
          <w:sz w:val="30"/>
          <w:u w:val="single"/>
        </w:rPr>
        <w:t>或</w:t>
      </w:r>
      <w:r>
        <w:rPr>
          <w:sz w:val="30"/>
          <w:u w:val="single"/>
        </w:rPr>
        <w:t>盖章）</w:t>
      </w:r>
    </w:p>
    <w:p>
      <w:pPr>
        <w:pStyle w:val="BodyText"/>
        <w:spacing w:before="10"/>
        <w:rPr>
          <w:sz w:val="25"/>
        </w:rPr>
      </w:pPr>
    </w:p>
    <w:p>
      <w:pPr>
        <w:tabs>
          <w:tab w:pos="3226" w:val="left" w:leader="none"/>
          <w:tab w:pos="9002" w:val="left" w:leader="none"/>
        </w:tabs>
        <w:spacing w:before="70"/>
        <w:ind w:left="2174" w:right="0" w:firstLine="0"/>
        <w:jc w:val="left"/>
        <w:rPr>
          <w:rFonts w:ascii="Times New Roman" w:eastAsia="Times New Roman"/>
          <w:sz w:val="30"/>
        </w:rPr>
      </w:pPr>
      <w:r>
        <w:rPr>
          <w:sz w:val="30"/>
        </w:rPr>
        <w:t>地</w:t>
        <w:tab/>
        <w:t>址</w:t>
      </w:r>
      <w:r>
        <w:rPr>
          <w:spacing w:val="-8"/>
          <w:sz w:val="30"/>
        </w:rPr>
        <w:t>：</w:t>
      </w:r>
      <w:r>
        <w:rPr>
          <w:rFonts w:ascii="Times New Roman" w:eastAsia="Times New Roman"/>
          <w:sz w:val="30"/>
          <w:u w:val="single"/>
        </w:rPr>
        <w:t> </w:t>
        <w:tab/>
      </w:r>
    </w:p>
    <w:p>
      <w:pPr>
        <w:pStyle w:val="BodyText"/>
        <w:rPr>
          <w:rFonts w:ascii="Times New Roman"/>
          <w:sz w:val="29"/>
        </w:rPr>
      </w:pPr>
    </w:p>
    <w:p>
      <w:pPr>
        <w:tabs>
          <w:tab w:pos="3226" w:val="left" w:leader="none"/>
          <w:tab w:pos="5178" w:val="left" w:leader="none"/>
          <w:tab w:pos="6828" w:val="left" w:leader="none"/>
          <w:tab w:pos="8334" w:val="left" w:leader="none"/>
        </w:tabs>
        <w:spacing w:before="60"/>
        <w:ind w:left="2174" w:right="0" w:firstLine="0"/>
        <w:jc w:val="left"/>
        <w:rPr>
          <w:sz w:val="30"/>
        </w:rPr>
      </w:pPr>
      <w:r>
        <w:rPr>
          <w:sz w:val="30"/>
        </w:rPr>
        <w:t>日</w:t>
        <w:tab/>
        <w:t>期：</w:t>
        <w:tab/>
        <w:t>年</w:t>
        <w:tab/>
        <w:t>月</w:t>
        <w:tab/>
        <w:t>日</w:t>
      </w:r>
    </w:p>
    <w:p>
      <w:pPr>
        <w:pStyle w:val="BodyText"/>
        <w:rPr>
          <w:sz w:val="30"/>
        </w:rPr>
      </w:pPr>
    </w:p>
    <w:p>
      <w:pPr>
        <w:pStyle w:val="BodyText"/>
        <w:rPr>
          <w:sz w:val="30"/>
        </w:rPr>
      </w:pPr>
    </w:p>
    <w:p>
      <w:pPr>
        <w:pStyle w:val="BodyText"/>
        <w:spacing w:before="5"/>
        <w:rPr>
          <w:sz w:val="36"/>
        </w:rPr>
      </w:pPr>
    </w:p>
    <w:p>
      <w:pPr>
        <w:pStyle w:val="BodyText"/>
        <w:spacing w:line="237" w:lineRule="auto"/>
        <w:ind w:left="820" w:right="872"/>
      </w:pPr>
      <w:r>
        <w:rPr>
          <w:w w:val="95"/>
          <w:sz w:val="20"/>
        </w:rPr>
        <w:t>【注:</w:t>
      </w:r>
      <w:r>
        <w:rPr>
          <w:w w:val="95"/>
        </w:rPr>
        <w:t>所有投标文件的封面及封袋上都必须加盖投标单位法人公章及其法定代表人或授权委托人  </w:t>
      </w:r>
      <w:r>
        <w:rPr/>
        <w:t>的印鉴（或签字）】</w:t>
      </w:r>
    </w:p>
    <w:p>
      <w:pPr>
        <w:spacing w:after="0" w:line="237" w:lineRule="auto"/>
        <w:sectPr>
          <w:pgSz w:w="11910" w:h="16870"/>
          <w:pgMar w:top="1300" w:bottom="280" w:left="880" w:right="640"/>
        </w:sectPr>
      </w:pPr>
    </w:p>
    <w:p>
      <w:pPr>
        <w:spacing w:before="57"/>
        <w:ind w:left="820" w:right="0" w:firstLine="0"/>
        <w:jc w:val="left"/>
        <w:rPr>
          <w:sz w:val="23"/>
        </w:rPr>
      </w:pPr>
      <w:r>
        <w:rPr>
          <w:w w:val="105"/>
          <w:sz w:val="23"/>
        </w:rPr>
        <w:t>（注：资格审查申请书目录格式）</w:t>
      </w:r>
    </w:p>
    <w:p>
      <w:pPr>
        <w:tabs>
          <w:tab w:pos="883" w:val="left" w:leader="none"/>
        </w:tabs>
        <w:spacing w:before="23"/>
        <w:ind w:left="40" w:right="0" w:firstLine="0"/>
        <w:jc w:val="center"/>
        <w:rPr>
          <w:sz w:val="23"/>
        </w:rPr>
      </w:pPr>
      <w:r>
        <w:rPr>
          <w:w w:val="105"/>
          <w:sz w:val="23"/>
        </w:rPr>
        <w:t>目</w:t>
        <w:tab/>
        <w:t>录</w:t>
      </w:r>
    </w:p>
    <w:p>
      <w:pPr>
        <w:pStyle w:val="BodyText"/>
        <w:rPr>
          <w:sz w:val="20"/>
        </w:rPr>
      </w:pPr>
    </w:p>
    <w:p>
      <w:pPr>
        <w:pStyle w:val="BodyText"/>
        <w:rPr>
          <w:sz w:val="20"/>
        </w:rPr>
      </w:pPr>
    </w:p>
    <w:p>
      <w:pPr>
        <w:pStyle w:val="BodyText"/>
        <w:spacing w:before="11"/>
        <w:rPr>
          <w:sz w:val="22"/>
        </w:rPr>
      </w:pPr>
    </w:p>
    <w:p>
      <w:pPr>
        <w:spacing w:before="74"/>
        <w:ind w:left="1303" w:right="0" w:firstLine="0"/>
        <w:jc w:val="left"/>
        <w:rPr>
          <w:sz w:val="23"/>
        </w:rPr>
      </w:pPr>
      <w:r>
        <w:rPr>
          <w:w w:val="105"/>
          <w:sz w:val="23"/>
        </w:rPr>
        <w:t>一、资格审查申请书</w:t>
      </w:r>
    </w:p>
    <w:p>
      <w:pPr>
        <w:spacing w:before="123"/>
        <w:ind w:left="1303" w:right="0" w:firstLine="0"/>
        <w:jc w:val="left"/>
        <w:rPr>
          <w:sz w:val="23"/>
        </w:rPr>
      </w:pPr>
      <w:r>
        <w:rPr>
          <w:w w:val="105"/>
          <w:sz w:val="23"/>
        </w:rPr>
        <w:t>二、资格审查申请书附表</w:t>
      </w:r>
    </w:p>
    <w:p>
      <w:pPr>
        <w:spacing w:before="116"/>
        <w:ind w:left="1303" w:right="0" w:firstLine="0"/>
        <w:jc w:val="left"/>
        <w:rPr>
          <w:sz w:val="23"/>
        </w:rPr>
      </w:pPr>
      <w:r>
        <w:rPr>
          <w:w w:val="105"/>
          <w:sz w:val="23"/>
        </w:rPr>
        <w:t>1.法定代表人授权委托书原件；</w:t>
      </w:r>
    </w:p>
    <w:p>
      <w:pPr>
        <w:spacing w:before="145"/>
        <w:ind w:left="1303" w:right="0" w:firstLine="0"/>
        <w:jc w:val="left"/>
        <w:rPr>
          <w:sz w:val="23"/>
        </w:rPr>
      </w:pPr>
      <w:r>
        <w:rPr>
          <w:w w:val="105"/>
          <w:sz w:val="23"/>
        </w:rPr>
        <w:t>2.申请资格审查人简介；</w:t>
      </w:r>
    </w:p>
    <w:p>
      <w:pPr>
        <w:spacing w:before="137"/>
        <w:ind w:left="1303" w:right="0" w:firstLine="0"/>
        <w:jc w:val="left"/>
        <w:rPr>
          <w:sz w:val="23"/>
        </w:rPr>
      </w:pPr>
      <w:r>
        <w:rPr>
          <w:w w:val="105"/>
          <w:sz w:val="23"/>
        </w:rPr>
        <w:t>3.资格审查资料真实性承诺书；</w:t>
      </w:r>
    </w:p>
    <w:p>
      <w:pPr>
        <w:spacing w:before="131"/>
        <w:ind w:left="1303" w:right="0" w:firstLine="0"/>
        <w:jc w:val="left"/>
        <w:rPr>
          <w:sz w:val="23"/>
        </w:rPr>
      </w:pPr>
      <w:r>
        <w:rPr>
          <w:w w:val="105"/>
          <w:sz w:val="23"/>
        </w:rPr>
        <w:t>4.营业执照；</w:t>
      </w:r>
    </w:p>
    <w:p>
      <w:pPr>
        <w:spacing w:line="333" w:lineRule="auto" w:before="122"/>
        <w:ind w:left="820" w:right="568" w:firstLine="482"/>
        <w:jc w:val="left"/>
        <w:rPr>
          <w:sz w:val="23"/>
        </w:rPr>
      </w:pPr>
      <w:r>
        <w:rPr>
          <w:w w:val="105"/>
          <w:sz w:val="23"/>
        </w:rPr>
        <w:t>5.</w:t>
      </w:r>
      <w:r>
        <w:rPr>
          <w:spacing w:val="-4"/>
          <w:w w:val="105"/>
          <w:sz w:val="23"/>
        </w:rPr>
        <w:t>由社保部门出具的投标人为授权委托人缴纳的 </w:t>
      </w:r>
      <w:r>
        <w:rPr>
          <w:w w:val="105"/>
          <w:sz w:val="23"/>
        </w:rPr>
        <w:t>2017</w:t>
      </w:r>
      <w:r>
        <w:rPr>
          <w:spacing w:val="-48"/>
          <w:w w:val="105"/>
          <w:sz w:val="23"/>
        </w:rPr>
        <w:t> 年 </w:t>
      </w:r>
      <w:r>
        <w:rPr>
          <w:w w:val="105"/>
          <w:sz w:val="23"/>
        </w:rPr>
        <w:t>4</w:t>
      </w:r>
      <w:r>
        <w:rPr>
          <w:spacing w:val="-35"/>
          <w:w w:val="105"/>
          <w:sz w:val="23"/>
        </w:rPr>
        <w:t> 月至 </w:t>
      </w:r>
      <w:r>
        <w:rPr>
          <w:w w:val="105"/>
          <w:sz w:val="23"/>
        </w:rPr>
        <w:t>2017</w:t>
      </w:r>
      <w:r>
        <w:rPr>
          <w:spacing w:val="-48"/>
          <w:w w:val="105"/>
          <w:sz w:val="23"/>
        </w:rPr>
        <w:t> 年 </w:t>
      </w:r>
      <w:r>
        <w:rPr>
          <w:w w:val="105"/>
          <w:sz w:val="23"/>
        </w:rPr>
        <w:t>9</w:t>
      </w:r>
      <w:r>
        <w:rPr>
          <w:spacing w:val="-19"/>
          <w:w w:val="105"/>
          <w:sz w:val="23"/>
        </w:rPr>
        <w:t> 月养 老</w:t>
      </w:r>
      <w:r>
        <w:rPr>
          <w:spacing w:val="-6"/>
          <w:w w:val="105"/>
          <w:sz w:val="23"/>
        </w:rPr>
        <w:t>保险费用的证明材料复印件；</w:t>
      </w:r>
    </w:p>
    <w:p>
      <w:pPr>
        <w:spacing w:line="333" w:lineRule="auto" w:before="38"/>
        <w:ind w:left="820" w:right="684" w:firstLine="482"/>
        <w:jc w:val="left"/>
        <w:rPr>
          <w:sz w:val="23"/>
        </w:rPr>
      </w:pPr>
      <w:r>
        <w:rPr>
          <w:sz w:val="23"/>
        </w:rPr>
        <w:t>6.提交由检察机关出具的投标人（或在检察院行贿犯罪档案查询网查询打印的） </w:t>
      </w:r>
      <w:r>
        <w:rPr>
          <w:spacing w:val="-5"/>
          <w:sz w:val="23"/>
        </w:rPr>
        <w:t>截止本工程资格审查截止时间两个月内的《行贿犯罪档案查询告知函》且投标人无行  </w:t>
      </w:r>
      <w:r>
        <w:rPr>
          <w:spacing w:val="-3"/>
          <w:w w:val="105"/>
          <w:sz w:val="23"/>
        </w:rPr>
        <w:t>贿犯罪记录；</w:t>
      </w:r>
    </w:p>
    <w:p>
      <w:pPr>
        <w:spacing w:before="39"/>
        <w:ind w:left="1303" w:right="0" w:firstLine="0"/>
        <w:jc w:val="left"/>
        <w:rPr>
          <w:sz w:val="23"/>
        </w:rPr>
      </w:pPr>
      <w:r>
        <w:rPr>
          <w:w w:val="105"/>
          <w:sz w:val="23"/>
        </w:rPr>
        <w:t>7.投标保证金收据；</w:t>
      </w:r>
    </w:p>
    <w:p>
      <w:pPr>
        <w:spacing w:before="130"/>
        <w:ind w:left="1303" w:right="0" w:firstLine="0"/>
        <w:jc w:val="left"/>
        <w:rPr>
          <w:sz w:val="23"/>
        </w:rPr>
      </w:pPr>
      <w:r>
        <w:rPr>
          <w:w w:val="105"/>
          <w:sz w:val="23"/>
        </w:rPr>
        <w:t>8.全国工业产品生产许可证；</w:t>
      </w:r>
    </w:p>
    <w:p>
      <w:pPr>
        <w:spacing w:before="131"/>
        <w:ind w:left="1303" w:right="0" w:firstLine="0"/>
        <w:jc w:val="left"/>
        <w:rPr>
          <w:sz w:val="23"/>
        </w:rPr>
      </w:pPr>
      <w:r>
        <w:rPr>
          <w:w w:val="105"/>
          <w:sz w:val="23"/>
        </w:rPr>
        <w:t>9.生产厂家授权书原件；（代理商须提供生产厂家针对本项目的唯一授权书）</w:t>
      </w:r>
    </w:p>
    <w:p>
      <w:pPr>
        <w:spacing w:before="130"/>
        <w:ind w:left="1303" w:right="0" w:firstLine="0"/>
        <w:jc w:val="left"/>
        <w:rPr>
          <w:sz w:val="23"/>
        </w:rPr>
      </w:pPr>
      <w:r>
        <w:rPr>
          <w:w w:val="105"/>
          <w:sz w:val="23"/>
        </w:rPr>
        <w:t>10.根据本招标文件资格审查要求，投标人应提供的其他相关证明文件；</w:t>
      </w:r>
    </w:p>
    <w:p>
      <w:pPr>
        <w:spacing w:after="0"/>
        <w:jc w:val="left"/>
        <w:rPr>
          <w:sz w:val="23"/>
        </w:rPr>
        <w:sectPr>
          <w:pgSz w:w="11910" w:h="16870"/>
          <w:pgMar w:top="1280" w:bottom="280" w:left="880" w:right="640"/>
        </w:sectPr>
      </w:pPr>
    </w:p>
    <w:p>
      <w:pPr>
        <w:spacing w:before="52"/>
        <w:ind w:left="820" w:right="0" w:firstLine="0"/>
        <w:jc w:val="left"/>
        <w:rPr>
          <w:sz w:val="23"/>
        </w:rPr>
      </w:pPr>
      <w:r>
        <w:rPr>
          <w:w w:val="105"/>
          <w:sz w:val="23"/>
        </w:rPr>
        <w:t>(注:资格审查申请书格式)</w:t>
      </w:r>
    </w:p>
    <w:p>
      <w:pPr>
        <w:pStyle w:val="BodyText"/>
        <w:rPr>
          <w:sz w:val="20"/>
        </w:rPr>
      </w:pPr>
    </w:p>
    <w:p>
      <w:pPr>
        <w:pStyle w:val="BodyText"/>
        <w:rPr>
          <w:sz w:val="20"/>
        </w:rPr>
      </w:pPr>
    </w:p>
    <w:p>
      <w:pPr>
        <w:pStyle w:val="BodyText"/>
        <w:spacing w:before="7"/>
        <w:rPr>
          <w:sz w:val="15"/>
        </w:rPr>
      </w:pPr>
    </w:p>
    <w:p>
      <w:pPr>
        <w:spacing w:before="74"/>
        <w:ind w:left="4372" w:right="0" w:firstLine="0"/>
        <w:jc w:val="left"/>
        <w:rPr>
          <w:sz w:val="23"/>
        </w:rPr>
      </w:pPr>
      <w:r>
        <w:rPr>
          <w:w w:val="105"/>
          <w:sz w:val="23"/>
        </w:rPr>
        <w:t>资格审查申请书</w:t>
      </w:r>
    </w:p>
    <w:p>
      <w:pPr>
        <w:pStyle w:val="BodyText"/>
        <w:rPr>
          <w:sz w:val="24"/>
        </w:rPr>
      </w:pPr>
    </w:p>
    <w:p>
      <w:pPr>
        <w:spacing w:before="154"/>
        <w:ind w:left="1303" w:right="0" w:firstLine="0"/>
        <w:jc w:val="left"/>
        <w:rPr>
          <w:sz w:val="23"/>
        </w:rPr>
      </w:pPr>
      <w:r>
        <w:rPr>
          <w:w w:val="105"/>
          <w:sz w:val="23"/>
        </w:rPr>
        <w:t>1、本申请充分理解下列情况：</w:t>
      </w:r>
    </w:p>
    <w:p>
      <w:pPr>
        <w:pStyle w:val="ListParagraph"/>
        <w:numPr>
          <w:ilvl w:val="1"/>
          <w:numId w:val="30"/>
        </w:numPr>
        <w:tabs>
          <w:tab w:pos="1671" w:val="left" w:leader="none"/>
        </w:tabs>
        <w:spacing w:line="240" w:lineRule="auto" w:before="130" w:after="0"/>
        <w:ind w:left="820" w:right="0" w:firstLine="483"/>
        <w:jc w:val="left"/>
        <w:rPr>
          <w:sz w:val="23"/>
        </w:rPr>
      </w:pPr>
      <w:r>
        <w:rPr>
          <w:w w:val="105"/>
          <w:sz w:val="23"/>
        </w:rPr>
        <w:t>、资格审查合格的投标人才有资格进入开标程序</w:t>
      </w:r>
    </w:p>
    <w:p>
      <w:pPr>
        <w:pStyle w:val="ListParagraph"/>
        <w:numPr>
          <w:ilvl w:val="1"/>
          <w:numId w:val="30"/>
        </w:numPr>
        <w:tabs>
          <w:tab w:pos="1671" w:val="left" w:leader="none"/>
        </w:tabs>
        <w:spacing w:line="333" w:lineRule="auto" w:before="131" w:after="0"/>
        <w:ind w:left="820" w:right="808" w:firstLine="483"/>
        <w:jc w:val="left"/>
        <w:rPr>
          <w:sz w:val="23"/>
        </w:rPr>
      </w:pPr>
      <w:r>
        <w:rPr>
          <w:sz w:val="23"/>
        </w:rPr>
        <w:t>、你方保留更改本招标项目的规模和金额的权利。前述情况发生时，投标仅 </w:t>
      </w:r>
      <w:r>
        <w:rPr>
          <w:w w:val="105"/>
          <w:sz w:val="23"/>
        </w:rPr>
        <w:t>面向资格审查合格且能满足变更要求的投标申请人。</w:t>
      </w:r>
    </w:p>
    <w:p>
      <w:pPr>
        <w:spacing w:line="340" w:lineRule="auto" w:before="31"/>
        <w:ind w:left="820" w:right="814" w:firstLine="482"/>
        <w:jc w:val="left"/>
        <w:rPr>
          <w:sz w:val="23"/>
        </w:rPr>
      </w:pPr>
      <w:r>
        <w:rPr>
          <w:sz w:val="23"/>
        </w:rPr>
        <w:t>2、我们确认如果我方中标，则我方的投标文件和与之相应的合同将得到签署， </w:t>
      </w:r>
      <w:r>
        <w:rPr>
          <w:w w:val="105"/>
          <w:sz w:val="23"/>
        </w:rPr>
        <w:t>从而我受到法律约束；</w:t>
      </w:r>
    </w:p>
    <w:p>
      <w:pPr>
        <w:spacing w:line="340" w:lineRule="auto" w:before="20"/>
        <w:ind w:left="820" w:right="814" w:firstLine="482"/>
        <w:jc w:val="left"/>
        <w:rPr>
          <w:sz w:val="23"/>
        </w:rPr>
      </w:pPr>
      <w:r>
        <w:rPr>
          <w:sz w:val="23"/>
        </w:rPr>
        <w:t>3、下述签字人在此声明，在本申请书所提交的声明和资料在各方面都是完整、 </w:t>
      </w:r>
      <w:r>
        <w:rPr>
          <w:w w:val="105"/>
          <w:sz w:val="23"/>
        </w:rPr>
        <w:t>真实和准确的。</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4"/>
        <w:rPr>
          <w:sz w:val="34"/>
        </w:rPr>
      </w:pPr>
    </w:p>
    <w:p>
      <w:pPr>
        <w:spacing w:before="0"/>
        <w:ind w:left="820" w:right="0" w:firstLine="0"/>
        <w:jc w:val="left"/>
        <w:rPr>
          <w:sz w:val="23"/>
        </w:rPr>
      </w:pPr>
      <w:r>
        <w:rPr>
          <w:sz w:val="23"/>
        </w:rPr>
        <w:t>投标人：(盖章)</w:t>
      </w:r>
    </w:p>
    <w:p>
      <w:pPr>
        <w:pStyle w:val="BodyText"/>
        <w:rPr>
          <w:sz w:val="24"/>
        </w:rPr>
      </w:pPr>
    </w:p>
    <w:p>
      <w:pPr>
        <w:pStyle w:val="BodyText"/>
        <w:rPr>
          <w:sz w:val="24"/>
        </w:rPr>
      </w:pPr>
    </w:p>
    <w:p>
      <w:pPr>
        <w:pStyle w:val="BodyText"/>
        <w:spacing w:before="11"/>
        <w:rPr>
          <w:sz w:val="22"/>
        </w:rPr>
      </w:pPr>
    </w:p>
    <w:p>
      <w:pPr>
        <w:spacing w:before="1"/>
        <w:ind w:left="820" w:right="0" w:firstLine="0"/>
        <w:jc w:val="left"/>
        <w:rPr>
          <w:sz w:val="23"/>
        </w:rPr>
      </w:pPr>
      <w:r>
        <w:rPr>
          <w:w w:val="105"/>
          <w:sz w:val="23"/>
        </w:rPr>
        <w:t>法定代表人：(签字或盖章)</w:t>
      </w:r>
    </w:p>
    <w:p>
      <w:pPr>
        <w:pStyle w:val="BodyText"/>
        <w:rPr>
          <w:sz w:val="24"/>
        </w:rPr>
      </w:pPr>
    </w:p>
    <w:p>
      <w:pPr>
        <w:pStyle w:val="BodyText"/>
        <w:rPr>
          <w:sz w:val="24"/>
        </w:rPr>
      </w:pPr>
    </w:p>
    <w:p>
      <w:pPr>
        <w:pStyle w:val="BodyText"/>
        <w:spacing w:before="11"/>
        <w:rPr>
          <w:sz w:val="22"/>
        </w:rPr>
      </w:pPr>
    </w:p>
    <w:p>
      <w:pPr>
        <w:tabs>
          <w:tab w:pos="2498" w:val="left" w:leader="none"/>
          <w:tab w:pos="3586" w:val="left" w:leader="none"/>
          <w:tab w:pos="4544" w:val="left" w:leader="none"/>
        </w:tabs>
        <w:spacing w:before="0"/>
        <w:ind w:left="820" w:right="0" w:firstLine="0"/>
        <w:jc w:val="left"/>
        <w:rPr>
          <w:sz w:val="23"/>
        </w:rPr>
      </w:pPr>
      <w:r>
        <w:rPr>
          <w:w w:val="105"/>
          <w:sz w:val="23"/>
        </w:rPr>
        <w:t>日期：</w:t>
        <w:tab/>
        <w:t>年</w:t>
        <w:tab/>
        <w:t>月</w:t>
        <w:tab/>
        <w:t>日</w:t>
      </w:r>
    </w:p>
    <w:p>
      <w:pPr>
        <w:spacing w:after="0"/>
        <w:jc w:val="left"/>
        <w:rPr>
          <w:sz w:val="23"/>
        </w:rPr>
        <w:sectPr>
          <w:pgSz w:w="11910" w:h="16870"/>
          <w:pgMar w:top="1300" w:bottom="280" w:left="880" w:right="640"/>
        </w:sectPr>
      </w:pPr>
    </w:p>
    <w:p>
      <w:pPr>
        <w:spacing w:before="57"/>
        <w:ind w:left="820" w:right="0" w:firstLine="0"/>
        <w:jc w:val="left"/>
        <w:rPr>
          <w:sz w:val="23"/>
        </w:rPr>
      </w:pPr>
      <w:r>
        <w:rPr>
          <w:w w:val="105"/>
          <w:sz w:val="23"/>
        </w:rPr>
        <w:t>(注:资格审查申请书附表格式)</w:t>
      </w:r>
    </w:p>
    <w:p>
      <w:pPr>
        <w:pStyle w:val="BodyText"/>
        <w:rPr>
          <w:sz w:val="20"/>
        </w:rPr>
      </w:pPr>
    </w:p>
    <w:p>
      <w:pPr>
        <w:pStyle w:val="BodyText"/>
        <w:spacing w:before="10"/>
        <w:rPr>
          <w:sz w:val="17"/>
        </w:rPr>
      </w:pPr>
    </w:p>
    <w:p>
      <w:pPr>
        <w:tabs>
          <w:tab w:pos="530" w:val="left" w:leader="none"/>
          <w:tab w:pos="1013" w:val="left" w:leader="none"/>
          <w:tab w:pos="1496" w:val="left" w:leader="none"/>
          <w:tab w:pos="1979" w:val="left" w:leader="none"/>
        </w:tabs>
        <w:spacing w:before="0"/>
        <w:ind w:left="47" w:right="0" w:firstLine="0"/>
        <w:jc w:val="center"/>
        <w:rPr>
          <w:sz w:val="23"/>
        </w:rPr>
      </w:pPr>
      <w:r>
        <w:rPr>
          <w:w w:val="105"/>
          <w:sz w:val="23"/>
        </w:rPr>
        <w:t>授</w:t>
        <w:tab/>
        <w:t>权</w:t>
        <w:tab/>
        <w:t>委</w:t>
        <w:tab/>
        <w:t>托</w:t>
        <w:tab/>
        <w:t>书</w:t>
      </w:r>
    </w:p>
    <w:p>
      <w:pPr>
        <w:pStyle w:val="BodyText"/>
        <w:spacing w:before="11"/>
        <w:rPr>
          <w:sz w:val="20"/>
        </w:rPr>
      </w:pPr>
    </w:p>
    <w:p>
      <w:pPr>
        <w:tabs>
          <w:tab w:pos="5265" w:val="left" w:leader="none"/>
          <w:tab w:pos="8989" w:val="left" w:leader="none"/>
        </w:tabs>
        <w:spacing w:before="0"/>
        <w:ind w:left="1303" w:right="0" w:firstLine="0"/>
        <w:jc w:val="left"/>
        <w:rPr>
          <w:sz w:val="23"/>
        </w:rPr>
      </w:pPr>
      <w:r>
        <w:rPr>
          <w:w w:val="105"/>
          <w:sz w:val="23"/>
        </w:rPr>
        <w:t>本授权</w:t>
      </w:r>
      <w:r>
        <w:rPr>
          <w:spacing w:val="5"/>
          <w:w w:val="105"/>
          <w:sz w:val="23"/>
        </w:rPr>
        <w:t>委</w:t>
      </w:r>
      <w:r>
        <w:rPr>
          <w:w w:val="105"/>
          <w:sz w:val="23"/>
        </w:rPr>
        <w:t>托书</w:t>
      </w:r>
      <w:r>
        <w:rPr>
          <w:spacing w:val="5"/>
          <w:w w:val="105"/>
          <w:sz w:val="23"/>
        </w:rPr>
        <w:t>声</w:t>
      </w:r>
      <w:r>
        <w:rPr>
          <w:w w:val="105"/>
          <w:sz w:val="23"/>
        </w:rPr>
        <w:t>明：</w:t>
      </w:r>
      <w:r>
        <w:rPr>
          <w:spacing w:val="7"/>
          <w:w w:val="105"/>
          <w:sz w:val="23"/>
        </w:rPr>
        <w:t>我</w:t>
      </w:r>
      <w:r>
        <w:rPr>
          <w:spacing w:val="7"/>
          <w:w w:val="105"/>
          <w:sz w:val="23"/>
          <w:u w:val="single"/>
        </w:rPr>
        <w:t> </w:t>
        <w:tab/>
      </w:r>
      <w:r>
        <w:rPr>
          <w:w w:val="105"/>
          <w:sz w:val="23"/>
        </w:rPr>
        <w:t>(姓名</w:t>
      </w:r>
      <w:r>
        <w:rPr>
          <w:spacing w:val="2"/>
          <w:w w:val="105"/>
          <w:sz w:val="23"/>
        </w:rPr>
        <w:t>)</w:t>
      </w:r>
      <w:r>
        <w:rPr>
          <w:w w:val="105"/>
          <w:sz w:val="23"/>
        </w:rPr>
        <w:t>系</w:t>
      </w:r>
      <w:r>
        <w:rPr>
          <w:w w:val="105"/>
          <w:sz w:val="23"/>
          <w:u w:val="single"/>
        </w:rPr>
        <w:t> </w:t>
        <w:tab/>
      </w:r>
      <w:r>
        <w:rPr>
          <w:spacing w:val="2"/>
          <w:sz w:val="23"/>
        </w:rPr>
        <w:t>(</w:t>
      </w:r>
      <w:r>
        <w:rPr>
          <w:sz w:val="23"/>
        </w:rPr>
        <w:t>投标</w:t>
      </w:r>
    </w:p>
    <w:p>
      <w:pPr>
        <w:pStyle w:val="BodyText"/>
        <w:spacing w:before="4"/>
        <w:rPr>
          <w:sz w:val="13"/>
        </w:rPr>
      </w:pPr>
    </w:p>
    <w:p>
      <w:pPr>
        <w:tabs>
          <w:tab w:pos="6943" w:val="left" w:leader="none"/>
        </w:tabs>
        <w:spacing w:before="82"/>
        <w:ind w:left="820" w:right="0" w:firstLine="0"/>
        <w:jc w:val="left"/>
        <w:rPr>
          <w:sz w:val="23"/>
        </w:rPr>
      </w:pPr>
      <w:r>
        <w:rPr>
          <w:w w:val="105"/>
          <w:sz w:val="23"/>
        </w:rPr>
        <w:t>人名称)的法</w:t>
      </w:r>
      <w:r>
        <w:rPr>
          <w:spacing w:val="5"/>
          <w:w w:val="105"/>
          <w:sz w:val="23"/>
        </w:rPr>
        <w:t>定</w:t>
      </w:r>
      <w:r>
        <w:rPr>
          <w:w w:val="105"/>
          <w:sz w:val="23"/>
        </w:rPr>
        <w:t>代表</w:t>
      </w:r>
      <w:r>
        <w:rPr>
          <w:spacing w:val="5"/>
          <w:w w:val="105"/>
          <w:sz w:val="23"/>
        </w:rPr>
        <w:t>人</w:t>
      </w:r>
      <w:r>
        <w:rPr>
          <w:w w:val="105"/>
          <w:sz w:val="23"/>
        </w:rPr>
        <w:t>，现</w:t>
      </w:r>
      <w:r>
        <w:rPr>
          <w:spacing w:val="5"/>
          <w:w w:val="105"/>
          <w:sz w:val="23"/>
        </w:rPr>
        <w:t>授</w:t>
      </w:r>
      <w:r>
        <w:rPr>
          <w:w w:val="105"/>
          <w:sz w:val="23"/>
        </w:rPr>
        <w:t>权委</w:t>
      </w:r>
      <w:r>
        <w:rPr>
          <w:spacing w:val="5"/>
          <w:w w:val="105"/>
          <w:sz w:val="23"/>
        </w:rPr>
        <w:t>托</w:t>
      </w:r>
      <w:r>
        <w:rPr>
          <w:w w:val="105"/>
          <w:sz w:val="23"/>
        </w:rPr>
        <w:t>我单</w:t>
      </w:r>
      <w:r>
        <w:rPr>
          <w:spacing w:val="10"/>
          <w:w w:val="105"/>
          <w:sz w:val="23"/>
        </w:rPr>
        <w:t>位</w:t>
      </w:r>
      <w:r>
        <w:rPr>
          <w:spacing w:val="5"/>
          <w:w w:val="105"/>
          <w:sz w:val="23"/>
        </w:rPr>
        <w:t>的</w:t>
      </w:r>
      <w:r>
        <w:rPr>
          <w:spacing w:val="5"/>
          <w:w w:val="105"/>
          <w:sz w:val="23"/>
          <w:u w:val="single"/>
        </w:rPr>
        <w:t> </w:t>
        <w:tab/>
      </w:r>
      <w:r>
        <w:rPr>
          <w:sz w:val="23"/>
        </w:rPr>
        <w:t>(姓名)为我</w:t>
      </w:r>
      <w:r>
        <w:rPr>
          <w:spacing w:val="5"/>
          <w:sz w:val="23"/>
        </w:rPr>
        <w:t>公</w:t>
      </w:r>
      <w:r>
        <w:rPr>
          <w:sz w:val="23"/>
        </w:rPr>
        <w:t>司代</w:t>
      </w:r>
      <w:r>
        <w:rPr>
          <w:spacing w:val="5"/>
          <w:sz w:val="23"/>
        </w:rPr>
        <w:t>理</w:t>
      </w:r>
      <w:r>
        <w:rPr>
          <w:sz w:val="23"/>
        </w:rPr>
        <w:t>人。</w:t>
      </w:r>
    </w:p>
    <w:p>
      <w:pPr>
        <w:pStyle w:val="BodyText"/>
        <w:spacing w:before="4"/>
        <w:rPr>
          <w:sz w:val="13"/>
        </w:rPr>
      </w:pPr>
    </w:p>
    <w:p>
      <w:pPr>
        <w:tabs>
          <w:tab w:pos="5985" w:val="left" w:leader="none"/>
        </w:tabs>
        <w:spacing w:before="82"/>
        <w:ind w:left="820" w:right="0" w:firstLine="0"/>
        <w:jc w:val="left"/>
        <w:rPr>
          <w:sz w:val="23"/>
        </w:rPr>
      </w:pPr>
      <w:r>
        <w:rPr>
          <w:w w:val="105"/>
          <w:sz w:val="23"/>
        </w:rPr>
        <w:t>代理人</w:t>
      </w:r>
      <w:r>
        <w:rPr>
          <w:spacing w:val="5"/>
          <w:w w:val="105"/>
          <w:sz w:val="23"/>
        </w:rPr>
        <w:t>在</w:t>
      </w:r>
      <w:r>
        <w:rPr>
          <w:spacing w:val="5"/>
          <w:w w:val="105"/>
          <w:sz w:val="23"/>
          <w:u w:val="single"/>
        </w:rPr>
        <w:t> </w:t>
        <w:tab/>
      </w:r>
      <w:r>
        <w:rPr>
          <w:sz w:val="23"/>
        </w:rPr>
        <w:t>项目招</w:t>
      </w:r>
      <w:r>
        <w:rPr>
          <w:spacing w:val="5"/>
          <w:sz w:val="23"/>
        </w:rPr>
        <w:t>投</w:t>
      </w:r>
      <w:r>
        <w:rPr>
          <w:sz w:val="23"/>
        </w:rPr>
        <w:t>标</w:t>
      </w:r>
      <w:r>
        <w:rPr>
          <w:spacing w:val="5"/>
          <w:sz w:val="23"/>
        </w:rPr>
        <w:t>活</w:t>
      </w:r>
      <w:r>
        <w:rPr>
          <w:sz w:val="23"/>
        </w:rPr>
        <w:t>动中</w:t>
      </w:r>
      <w:r>
        <w:rPr>
          <w:spacing w:val="5"/>
          <w:sz w:val="23"/>
        </w:rPr>
        <w:t>所</w:t>
      </w:r>
      <w:r>
        <w:rPr>
          <w:sz w:val="23"/>
        </w:rPr>
        <w:t>签署</w:t>
      </w:r>
      <w:r>
        <w:rPr>
          <w:spacing w:val="5"/>
          <w:sz w:val="23"/>
        </w:rPr>
        <w:t>的</w:t>
      </w:r>
      <w:r>
        <w:rPr>
          <w:sz w:val="23"/>
        </w:rPr>
        <w:t>一切文</w:t>
      </w:r>
    </w:p>
    <w:p>
      <w:pPr>
        <w:pStyle w:val="BodyText"/>
        <w:spacing w:before="12"/>
        <w:rPr>
          <w:sz w:val="13"/>
        </w:rPr>
      </w:pPr>
    </w:p>
    <w:p>
      <w:pPr>
        <w:spacing w:line="523" w:lineRule="auto" w:before="74"/>
        <w:ind w:left="1303" w:right="4535" w:hanging="483"/>
        <w:jc w:val="left"/>
        <w:rPr>
          <w:sz w:val="23"/>
        </w:rPr>
      </w:pPr>
      <w:r>
        <w:rPr>
          <w:sz w:val="23"/>
        </w:rPr>
        <w:t>件和处理与之有关的一切事务，我均予以承认。</w:t>
      </w:r>
      <w:r>
        <w:rPr>
          <w:w w:val="105"/>
          <w:sz w:val="23"/>
        </w:rPr>
        <w:t>代理人无转委权。特此委托。</w:t>
      </w:r>
    </w:p>
    <w:p>
      <w:pPr>
        <w:pStyle w:val="BodyText"/>
        <w:rPr>
          <w:sz w:val="24"/>
        </w:rPr>
      </w:pPr>
    </w:p>
    <w:p>
      <w:pPr>
        <w:pStyle w:val="BodyText"/>
        <w:spacing w:before="8"/>
        <w:rPr>
          <w:sz w:val="19"/>
        </w:rPr>
      </w:pPr>
    </w:p>
    <w:p>
      <w:pPr>
        <w:spacing w:before="0"/>
        <w:ind w:left="5416" w:right="0" w:firstLine="0"/>
        <w:jc w:val="left"/>
        <w:rPr>
          <w:sz w:val="23"/>
        </w:rPr>
      </w:pPr>
      <w:r>
        <w:rPr>
          <w:w w:val="105"/>
          <w:sz w:val="23"/>
        </w:rPr>
        <w:t>投标人：(盖章)</w:t>
      </w:r>
    </w:p>
    <w:p>
      <w:pPr>
        <w:pStyle w:val="BodyText"/>
        <w:rPr>
          <w:sz w:val="24"/>
        </w:rPr>
      </w:pPr>
    </w:p>
    <w:p>
      <w:pPr>
        <w:pStyle w:val="BodyText"/>
        <w:rPr>
          <w:sz w:val="24"/>
        </w:rPr>
      </w:pPr>
    </w:p>
    <w:p>
      <w:pPr>
        <w:pStyle w:val="BodyText"/>
        <w:spacing w:before="12"/>
        <w:rPr>
          <w:sz w:val="22"/>
        </w:rPr>
      </w:pPr>
    </w:p>
    <w:p>
      <w:pPr>
        <w:spacing w:before="0"/>
        <w:ind w:left="5416" w:right="0" w:firstLine="0"/>
        <w:jc w:val="left"/>
        <w:rPr>
          <w:sz w:val="23"/>
        </w:rPr>
      </w:pPr>
      <w:r>
        <w:rPr>
          <w:w w:val="105"/>
          <w:sz w:val="23"/>
        </w:rPr>
        <w:t>法定代表人：(签字或盖章)</w:t>
      </w:r>
    </w:p>
    <w:p>
      <w:pPr>
        <w:pStyle w:val="BodyText"/>
        <w:rPr>
          <w:sz w:val="24"/>
        </w:rPr>
      </w:pPr>
    </w:p>
    <w:p>
      <w:pPr>
        <w:pStyle w:val="BodyText"/>
        <w:rPr>
          <w:sz w:val="24"/>
        </w:rPr>
      </w:pPr>
    </w:p>
    <w:p>
      <w:pPr>
        <w:pStyle w:val="BodyText"/>
        <w:spacing w:before="11"/>
        <w:rPr>
          <w:sz w:val="22"/>
        </w:rPr>
      </w:pPr>
    </w:p>
    <w:p>
      <w:pPr>
        <w:tabs>
          <w:tab w:pos="7095" w:val="left" w:leader="none"/>
          <w:tab w:pos="8175" w:val="left" w:leader="none"/>
          <w:tab w:pos="9134" w:val="left" w:leader="none"/>
        </w:tabs>
        <w:spacing w:before="0"/>
        <w:ind w:left="5416" w:right="0" w:firstLine="0"/>
        <w:jc w:val="left"/>
        <w:rPr>
          <w:sz w:val="23"/>
        </w:rPr>
      </w:pPr>
      <w:r>
        <w:rPr>
          <w:w w:val="105"/>
          <w:sz w:val="23"/>
        </w:rPr>
        <w:t>日期：</w:t>
        <w:tab/>
        <w:t>年</w:t>
        <w:tab/>
        <w:t>月</w:t>
        <w:tab/>
        <w:t>日</w:t>
      </w:r>
    </w:p>
    <w:p>
      <w:pPr>
        <w:pStyle w:val="BodyText"/>
        <w:rPr>
          <w:sz w:val="24"/>
        </w:rPr>
      </w:pPr>
    </w:p>
    <w:p>
      <w:pPr>
        <w:pStyle w:val="BodyText"/>
        <w:rPr>
          <w:sz w:val="24"/>
        </w:rPr>
      </w:pPr>
    </w:p>
    <w:p>
      <w:pPr>
        <w:pStyle w:val="BodyText"/>
        <w:spacing w:before="11"/>
        <w:rPr>
          <w:sz w:val="22"/>
        </w:rPr>
      </w:pPr>
    </w:p>
    <w:p>
      <w:pPr>
        <w:tabs>
          <w:tab w:pos="3946" w:val="left" w:leader="none"/>
        </w:tabs>
        <w:spacing w:line="446" w:lineRule="auto" w:before="1"/>
        <w:ind w:left="820" w:right="5727" w:firstLine="0"/>
        <w:jc w:val="left"/>
        <w:rPr>
          <w:sz w:val="23"/>
        </w:rPr>
      </w:pPr>
      <w:r>
        <w:rPr>
          <w:w w:val="105"/>
          <w:sz w:val="23"/>
        </w:rPr>
        <w:t>代理人</w:t>
      </w:r>
      <w:r>
        <w:rPr>
          <w:spacing w:val="5"/>
          <w:w w:val="105"/>
          <w:sz w:val="23"/>
        </w:rPr>
        <w:t>姓</w:t>
      </w:r>
      <w:r>
        <w:rPr>
          <w:w w:val="105"/>
          <w:sz w:val="23"/>
        </w:rPr>
        <w:t>名：</w:t>
        <w:tab/>
      </w:r>
      <w:r>
        <w:rPr>
          <w:sz w:val="23"/>
        </w:rPr>
        <w:t>签字： </w:t>
      </w:r>
      <w:r>
        <w:rPr>
          <w:w w:val="105"/>
          <w:sz w:val="23"/>
        </w:rPr>
        <w:t>身份证</w:t>
      </w:r>
      <w:r>
        <w:rPr>
          <w:spacing w:val="5"/>
          <w:w w:val="105"/>
          <w:sz w:val="23"/>
        </w:rPr>
        <w:t>复</w:t>
      </w:r>
      <w:r>
        <w:rPr>
          <w:w w:val="105"/>
          <w:sz w:val="23"/>
        </w:rPr>
        <w:t>印件：</w:t>
      </w:r>
    </w:p>
    <w:p>
      <w:pPr>
        <w:spacing w:after="0" w:line="446" w:lineRule="auto"/>
        <w:jc w:val="left"/>
        <w:rPr>
          <w:sz w:val="23"/>
        </w:rPr>
        <w:sectPr>
          <w:pgSz w:w="11910" w:h="16870"/>
          <w:pgMar w:top="1280" w:bottom="280" w:left="880" w:right="640"/>
        </w:sectPr>
      </w:pPr>
    </w:p>
    <w:p>
      <w:pPr>
        <w:spacing w:before="36"/>
        <w:ind w:left="2736" w:right="0" w:firstLine="0"/>
        <w:jc w:val="left"/>
        <w:rPr>
          <w:sz w:val="36"/>
        </w:rPr>
      </w:pPr>
      <w:r>
        <w:rPr>
          <w:sz w:val="36"/>
        </w:rPr>
        <w:t>承诺书（资格审查材料真实性）</w:t>
      </w:r>
    </w:p>
    <w:p>
      <w:pPr>
        <w:pStyle w:val="BodyText"/>
        <w:rPr>
          <w:sz w:val="36"/>
        </w:rPr>
      </w:pPr>
    </w:p>
    <w:p>
      <w:pPr>
        <w:pStyle w:val="BodyText"/>
        <w:spacing w:before="8"/>
        <w:rPr>
          <w:sz w:val="32"/>
        </w:rPr>
      </w:pPr>
    </w:p>
    <w:p>
      <w:pPr>
        <w:tabs>
          <w:tab w:pos="5308" w:val="left" w:leader="none"/>
        </w:tabs>
        <w:spacing w:before="0"/>
        <w:ind w:left="820" w:right="0" w:firstLine="0"/>
        <w:jc w:val="left"/>
        <w:rPr>
          <w:sz w:val="28"/>
        </w:rPr>
      </w:pPr>
      <w:r>
        <w:rPr>
          <w:sz w:val="28"/>
        </w:rPr>
        <w:t>致：</w:t>
      </w:r>
      <w:r>
        <w:rPr>
          <w:sz w:val="28"/>
          <w:u w:val="single"/>
        </w:rPr>
        <w:t> </w:t>
        <w:tab/>
      </w:r>
      <w:r>
        <w:rPr>
          <w:sz w:val="28"/>
        </w:rPr>
        <w:t>（招标人</w:t>
      </w:r>
      <w:r>
        <w:rPr>
          <w:spacing w:val="-7"/>
          <w:sz w:val="28"/>
        </w:rPr>
        <w:t>名</w:t>
      </w:r>
      <w:r>
        <w:rPr>
          <w:sz w:val="28"/>
        </w:rPr>
        <w:t>称）</w:t>
      </w:r>
    </w:p>
    <w:p>
      <w:pPr>
        <w:tabs>
          <w:tab w:pos="9681" w:val="left" w:leader="none"/>
        </w:tabs>
        <w:spacing w:line="328" w:lineRule="auto" w:before="116"/>
        <w:ind w:left="820" w:right="705" w:firstLine="619"/>
        <w:jc w:val="left"/>
        <w:rPr>
          <w:sz w:val="28"/>
        </w:rPr>
      </w:pPr>
      <w:r>
        <w:rPr>
          <w:sz w:val="28"/>
        </w:rPr>
        <w:t>公司自愿</w:t>
      </w:r>
      <w:r>
        <w:rPr>
          <w:spacing w:val="-7"/>
          <w:sz w:val="28"/>
        </w:rPr>
        <w:t>参</w:t>
      </w:r>
      <w:r>
        <w:rPr>
          <w:sz w:val="28"/>
        </w:rPr>
        <w:t>加贵单位</w:t>
      </w:r>
      <w:r>
        <w:rPr>
          <w:spacing w:val="-7"/>
          <w:sz w:val="28"/>
        </w:rPr>
        <w:t>（</w:t>
      </w:r>
      <w:r>
        <w:rPr>
          <w:sz w:val="28"/>
        </w:rPr>
        <w:t>公司</w:t>
      </w:r>
      <w:r>
        <w:rPr>
          <w:spacing w:val="-8"/>
          <w:sz w:val="28"/>
        </w:rPr>
        <w:t>）</w:t>
      </w:r>
      <w:r>
        <w:rPr>
          <w:spacing w:val="-8"/>
          <w:sz w:val="28"/>
          <w:u w:val="single"/>
        </w:rPr>
        <w:tab/>
      </w:r>
      <w:r>
        <w:rPr>
          <w:sz w:val="28"/>
          <w:u w:val="single"/>
        </w:rPr>
        <w:t>                               </w:t>
      </w:r>
      <w:r>
        <w:rPr>
          <w:sz w:val="28"/>
        </w:rPr>
        <w:t>项目的投标</w:t>
      </w:r>
      <w:r>
        <w:rPr>
          <w:spacing w:val="-51"/>
          <w:sz w:val="28"/>
        </w:rPr>
        <w:t>，</w:t>
      </w:r>
      <w:r>
        <w:rPr>
          <w:sz w:val="28"/>
        </w:rPr>
        <w:t>并接</w:t>
      </w:r>
      <w:r>
        <w:rPr>
          <w:spacing w:val="-8"/>
          <w:sz w:val="28"/>
        </w:rPr>
        <w:t>受</w:t>
      </w:r>
      <w:r>
        <w:rPr>
          <w:sz w:val="28"/>
        </w:rPr>
        <w:t>对我公司</w:t>
      </w:r>
      <w:r>
        <w:rPr>
          <w:spacing w:val="-7"/>
          <w:sz w:val="28"/>
        </w:rPr>
        <w:t>的</w:t>
      </w:r>
      <w:r>
        <w:rPr>
          <w:sz w:val="28"/>
        </w:rPr>
        <w:t>资</w:t>
      </w:r>
      <w:r>
        <w:rPr>
          <w:spacing w:val="-7"/>
          <w:sz w:val="28"/>
        </w:rPr>
        <w:t>格</w:t>
      </w:r>
      <w:r>
        <w:rPr>
          <w:sz w:val="28"/>
        </w:rPr>
        <w:t>审查</w:t>
      </w:r>
      <w:r>
        <w:rPr>
          <w:spacing w:val="-43"/>
          <w:sz w:val="28"/>
        </w:rPr>
        <w:t>，</w:t>
      </w:r>
      <w:r>
        <w:rPr>
          <w:spacing w:val="-8"/>
          <w:sz w:val="28"/>
        </w:rPr>
        <w:t>我</w:t>
      </w:r>
      <w:r>
        <w:rPr>
          <w:sz w:val="28"/>
        </w:rPr>
        <w:t>公司承</w:t>
      </w:r>
      <w:r>
        <w:rPr>
          <w:spacing w:val="-8"/>
          <w:sz w:val="28"/>
        </w:rPr>
        <w:t>诺</w:t>
      </w:r>
      <w:r>
        <w:rPr>
          <w:spacing w:val="-43"/>
          <w:sz w:val="28"/>
        </w:rPr>
        <w:t>：</w:t>
      </w:r>
      <w:r>
        <w:rPr>
          <w:spacing w:val="-8"/>
          <w:sz w:val="28"/>
        </w:rPr>
        <w:t>根</w:t>
      </w:r>
      <w:r>
        <w:rPr>
          <w:sz w:val="28"/>
        </w:rPr>
        <w:t>据贵单</w:t>
      </w:r>
      <w:r>
        <w:rPr>
          <w:spacing w:val="-44"/>
          <w:sz w:val="28"/>
        </w:rPr>
        <w:t>位</w:t>
      </w:r>
      <w:r>
        <w:rPr>
          <w:sz w:val="28"/>
        </w:rPr>
        <w:t>（公司）提出的</w:t>
      </w:r>
      <w:r>
        <w:rPr>
          <w:spacing w:val="-8"/>
          <w:sz w:val="28"/>
        </w:rPr>
        <w:t>资</w:t>
      </w:r>
      <w:r>
        <w:rPr>
          <w:sz w:val="28"/>
        </w:rPr>
        <w:t>格审查</w:t>
      </w:r>
      <w:r>
        <w:rPr>
          <w:spacing w:val="-8"/>
          <w:sz w:val="28"/>
        </w:rPr>
        <w:t>合</w:t>
      </w:r>
      <w:r>
        <w:rPr>
          <w:sz w:val="28"/>
        </w:rPr>
        <w:t>格条件</w:t>
      </w:r>
      <w:r>
        <w:rPr>
          <w:spacing w:val="-7"/>
          <w:sz w:val="28"/>
        </w:rPr>
        <w:t>标</w:t>
      </w:r>
      <w:r>
        <w:rPr>
          <w:sz w:val="28"/>
        </w:rPr>
        <w:t>准和</w:t>
      </w:r>
      <w:r>
        <w:rPr>
          <w:spacing w:val="-8"/>
          <w:sz w:val="28"/>
        </w:rPr>
        <w:t>要</w:t>
      </w:r>
      <w:r>
        <w:rPr>
          <w:sz w:val="28"/>
        </w:rPr>
        <w:t>求，本公</w:t>
      </w:r>
      <w:r>
        <w:rPr>
          <w:spacing w:val="-8"/>
          <w:sz w:val="28"/>
        </w:rPr>
        <w:t>司</w:t>
      </w:r>
      <w:r>
        <w:rPr>
          <w:sz w:val="28"/>
        </w:rPr>
        <w:t>没</w:t>
      </w:r>
      <w:r>
        <w:rPr>
          <w:spacing w:val="-7"/>
          <w:sz w:val="28"/>
        </w:rPr>
        <w:t>有</w:t>
      </w:r>
      <w:r>
        <w:rPr>
          <w:sz w:val="28"/>
        </w:rPr>
        <w:t>因</w:t>
      </w:r>
      <w:r>
        <w:rPr>
          <w:spacing w:val="-8"/>
          <w:sz w:val="28"/>
        </w:rPr>
        <w:t>骗</w:t>
      </w:r>
      <w:r>
        <w:rPr>
          <w:sz w:val="28"/>
        </w:rPr>
        <w:t>取中标或者严重违约以</w:t>
      </w:r>
      <w:r>
        <w:rPr>
          <w:spacing w:val="-8"/>
          <w:sz w:val="28"/>
        </w:rPr>
        <w:t>及</w:t>
      </w:r>
      <w:r>
        <w:rPr>
          <w:sz w:val="28"/>
        </w:rPr>
        <w:t>发生重</w:t>
      </w:r>
      <w:r>
        <w:rPr>
          <w:spacing w:val="-8"/>
          <w:sz w:val="28"/>
        </w:rPr>
        <w:t>大</w:t>
      </w:r>
      <w:r>
        <w:rPr>
          <w:sz w:val="28"/>
        </w:rPr>
        <w:t>工程质</w:t>
      </w:r>
      <w:r>
        <w:rPr>
          <w:spacing w:val="-7"/>
          <w:sz w:val="28"/>
        </w:rPr>
        <w:t>量</w:t>
      </w:r>
      <w:r>
        <w:rPr>
          <w:sz w:val="28"/>
        </w:rPr>
        <w:t>、安</w:t>
      </w:r>
      <w:r>
        <w:rPr>
          <w:spacing w:val="-8"/>
          <w:sz w:val="28"/>
        </w:rPr>
        <w:t>全</w:t>
      </w:r>
      <w:r>
        <w:rPr>
          <w:sz w:val="28"/>
        </w:rPr>
        <w:t>生产事故</w:t>
      </w:r>
      <w:r>
        <w:rPr>
          <w:spacing w:val="-7"/>
          <w:sz w:val="28"/>
        </w:rPr>
        <w:t>等</w:t>
      </w:r>
      <w:r>
        <w:rPr>
          <w:spacing w:val="-8"/>
          <w:sz w:val="28"/>
        </w:rPr>
        <w:t>问</w:t>
      </w:r>
      <w:r>
        <w:rPr>
          <w:sz w:val="28"/>
        </w:rPr>
        <w:t>题，</w:t>
      </w:r>
      <w:r>
        <w:rPr>
          <w:spacing w:val="-8"/>
          <w:sz w:val="28"/>
        </w:rPr>
        <w:t>被</w:t>
      </w:r>
      <w:r>
        <w:rPr>
          <w:sz w:val="28"/>
        </w:rPr>
        <w:t>有关部门暂</w:t>
      </w:r>
    </w:p>
    <w:p>
      <w:pPr>
        <w:spacing w:line="319" w:lineRule="auto" w:before="0"/>
        <w:ind w:left="820" w:right="907" w:firstLine="0"/>
        <w:jc w:val="both"/>
        <w:rPr>
          <w:sz w:val="28"/>
        </w:rPr>
      </w:pPr>
      <w:r>
        <w:rPr>
          <w:spacing w:val="-8"/>
          <w:sz w:val="28"/>
        </w:rPr>
        <w:t>停投标资格并在暂停期内。本公司递交的资格审查申请书中的内容没有隐瞒、虚假、伪造等弄虚作假行为。发现该行为，贵公司可以拒绝我公司投标，如已中标，可取消我公司中标资格，并接受建设行政主管部门对我公司弄虚作假、违反公平和诚实信用原则做出的任何处理。</w:t>
      </w:r>
    </w:p>
    <w:p>
      <w:pPr>
        <w:pStyle w:val="BodyText"/>
        <w:rPr>
          <w:sz w:val="28"/>
        </w:rPr>
      </w:pPr>
    </w:p>
    <w:p>
      <w:pPr>
        <w:spacing w:line="640" w:lineRule="auto" w:before="226"/>
        <w:ind w:left="5553" w:right="2592" w:firstLine="0"/>
        <w:jc w:val="left"/>
        <w:rPr>
          <w:sz w:val="28"/>
        </w:rPr>
      </w:pPr>
      <w:r>
        <w:rPr>
          <w:sz w:val="28"/>
        </w:rPr>
        <w:t>单位：（公章） </w:t>
      </w:r>
      <w:r>
        <w:rPr>
          <w:spacing w:val="-2"/>
          <w:sz w:val="28"/>
        </w:rPr>
        <w:t>法定代表人签名：</w:t>
      </w:r>
    </w:p>
    <w:p>
      <w:pPr>
        <w:pStyle w:val="BodyText"/>
        <w:rPr>
          <w:sz w:val="28"/>
        </w:rPr>
      </w:pPr>
    </w:p>
    <w:p>
      <w:pPr>
        <w:pStyle w:val="BodyText"/>
        <w:spacing w:before="7"/>
        <w:rPr>
          <w:sz w:val="31"/>
        </w:rPr>
      </w:pPr>
    </w:p>
    <w:p>
      <w:pPr>
        <w:tabs>
          <w:tab w:pos="842" w:val="left" w:leader="none"/>
          <w:tab w:pos="1678" w:val="left" w:leader="none"/>
        </w:tabs>
        <w:spacing w:before="1"/>
        <w:ind w:left="0" w:right="763" w:firstLine="0"/>
        <w:jc w:val="right"/>
        <w:rPr>
          <w:sz w:val="28"/>
        </w:rPr>
      </w:pPr>
      <w:r>
        <w:rPr>
          <w:sz w:val="28"/>
        </w:rPr>
        <w:t>年</w:t>
        <w:tab/>
        <w:t>月</w:t>
        <w:tab/>
      </w:r>
      <w:r>
        <w:rPr>
          <w:spacing w:val="-1"/>
          <w:sz w:val="28"/>
        </w:rPr>
        <w:t>日</w:t>
      </w:r>
    </w:p>
    <w:p>
      <w:pPr>
        <w:spacing w:after="0"/>
        <w:jc w:val="right"/>
        <w:rPr>
          <w:sz w:val="28"/>
        </w:rPr>
        <w:sectPr>
          <w:pgSz w:w="11910" w:h="16870"/>
          <w:pgMar w:top="1280" w:bottom="280" w:left="880" w:right="640"/>
        </w:sectPr>
      </w:pPr>
    </w:p>
    <w:p>
      <w:pPr>
        <w:spacing w:before="39"/>
        <w:ind w:left="820" w:right="0" w:firstLine="0"/>
        <w:jc w:val="left"/>
        <w:rPr>
          <w:sz w:val="28"/>
        </w:rPr>
      </w:pPr>
      <w:r>
        <w:rPr>
          <w:sz w:val="28"/>
        </w:rPr>
        <w:t>封面</w:t>
      </w:r>
    </w:p>
    <w:p>
      <w:pPr>
        <w:tabs>
          <w:tab w:pos="8399" w:val="left" w:leader="none"/>
        </w:tabs>
        <w:spacing w:line="461" w:lineRule="exact" w:before="1"/>
        <w:ind w:left="3154" w:right="0" w:firstLine="0"/>
        <w:jc w:val="left"/>
        <w:rPr>
          <w:sz w:val="36"/>
        </w:rPr>
      </w:pPr>
      <w:r>
        <w:rPr>
          <w:rFonts w:ascii="Times New Roman" w:eastAsia="Times New Roman"/>
          <w:sz w:val="36"/>
          <w:u w:val="thick"/>
        </w:rPr>
        <w:t>  </w:t>
      </w:r>
      <w:r>
        <w:rPr>
          <w:sz w:val="36"/>
          <w:u w:val="thick"/>
        </w:rPr>
        <w:t>招标人名称：</w:t>
        <w:tab/>
      </w:r>
    </w:p>
    <w:p>
      <w:pPr>
        <w:spacing w:line="461" w:lineRule="exact" w:before="0"/>
        <w:ind w:left="5668" w:right="0" w:firstLine="0"/>
        <w:jc w:val="left"/>
        <w:rPr>
          <w:sz w:val="36"/>
        </w:rPr>
      </w:pPr>
      <w:r>
        <w:rPr/>
        <w:pict>
          <v:line style="position:absolute;mso-position-horizontal-relative:page;mso-position-vertical-relative:paragraph;z-index:1144" from="173.619995pt,21.22876pt" to="327.439995pt,21.22876pt" stroked="true" strokeweight="2.16pt" strokecolor="#000000">
            <v:stroke dashstyle="solid"/>
            <w10:wrap type="none"/>
          </v:line>
        </w:pict>
      </w:r>
      <w:r>
        <w:rPr>
          <w:sz w:val="36"/>
        </w:rPr>
        <w:t>（项目名称）</w:t>
      </w:r>
    </w:p>
    <w:p>
      <w:pPr>
        <w:pStyle w:val="BodyText"/>
        <w:rPr>
          <w:sz w:val="20"/>
        </w:rPr>
      </w:pPr>
    </w:p>
    <w:p>
      <w:pPr>
        <w:pStyle w:val="BodyText"/>
        <w:spacing w:before="11"/>
        <w:rPr>
          <w:sz w:val="25"/>
        </w:rPr>
      </w:pPr>
    </w:p>
    <w:p>
      <w:pPr>
        <w:tabs>
          <w:tab w:pos="4616" w:val="left" w:leader="none"/>
          <w:tab w:pos="5574" w:val="left" w:leader="none"/>
          <w:tab w:pos="6540" w:val="left" w:leader="none"/>
        </w:tabs>
        <w:spacing w:before="34"/>
        <w:ind w:left="3406" w:right="0" w:firstLine="0"/>
        <w:jc w:val="left"/>
        <w:rPr>
          <w:sz w:val="48"/>
        </w:rPr>
      </w:pPr>
      <w:r>
        <w:rPr>
          <w:sz w:val="48"/>
        </w:rPr>
        <w:t>商</w:t>
        <w:tab/>
        <w:t>务</w:t>
        <w:tab/>
        <w:t>文</w:t>
        <w:tab/>
        <w:t>件</w:t>
      </w:r>
    </w:p>
    <w:p>
      <w:pPr>
        <w:pStyle w:val="BodyText"/>
        <w:rPr>
          <w:sz w:val="48"/>
        </w:rPr>
      </w:pPr>
    </w:p>
    <w:p>
      <w:pPr>
        <w:pStyle w:val="BodyText"/>
        <w:rPr>
          <w:sz w:val="48"/>
        </w:rPr>
      </w:pPr>
    </w:p>
    <w:p>
      <w:pPr>
        <w:pStyle w:val="BodyText"/>
        <w:rPr>
          <w:sz w:val="48"/>
        </w:rPr>
      </w:pPr>
    </w:p>
    <w:p>
      <w:pPr>
        <w:pStyle w:val="BodyText"/>
        <w:rPr>
          <w:sz w:val="48"/>
        </w:rPr>
      </w:pPr>
    </w:p>
    <w:p>
      <w:pPr>
        <w:pStyle w:val="BodyText"/>
        <w:rPr>
          <w:sz w:val="58"/>
        </w:rPr>
      </w:pPr>
    </w:p>
    <w:p>
      <w:pPr>
        <w:pStyle w:val="Heading4"/>
        <w:tabs>
          <w:tab w:pos="9616" w:val="left" w:leader="none"/>
        </w:tabs>
        <w:ind w:left="2023"/>
      </w:pPr>
      <w:bookmarkStart w:name="投标申请人： 写明投标单位名称并 加盖单位公章" w:id="14"/>
      <w:bookmarkEnd w:id="14"/>
      <w:r>
        <w:rPr/>
      </w:r>
      <w:r>
        <w:rPr/>
        <w:t>投标申</w:t>
      </w:r>
      <w:r>
        <w:rPr>
          <w:spacing w:val="-8"/>
        </w:rPr>
        <w:t>请</w:t>
      </w:r>
      <w:r>
        <w:rPr/>
        <w:t>人：</w:t>
      </w:r>
      <w:r>
        <w:rPr>
          <w:spacing w:val="18"/>
        </w:rPr>
        <w:t> </w:t>
      </w:r>
      <w:r>
        <w:rPr>
          <w:u w:val="single"/>
        </w:rPr>
        <w:t>写明</w:t>
      </w:r>
      <w:r>
        <w:rPr>
          <w:spacing w:val="-8"/>
          <w:u w:val="single"/>
        </w:rPr>
        <w:t>投</w:t>
      </w:r>
      <w:r>
        <w:rPr>
          <w:u w:val="single"/>
        </w:rPr>
        <w:t>标单</w:t>
      </w:r>
      <w:r>
        <w:rPr>
          <w:spacing w:val="-8"/>
          <w:u w:val="single"/>
        </w:rPr>
        <w:t>位</w:t>
      </w:r>
      <w:r>
        <w:rPr>
          <w:u w:val="single"/>
        </w:rPr>
        <w:t>名称并</w:t>
      </w:r>
      <w:r>
        <w:rPr>
          <w:spacing w:val="20"/>
          <w:u w:val="single"/>
        </w:rPr>
        <w:t> </w:t>
      </w:r>
      <w:r>
        <w:rPr>
          <w:u w:val="single"/>
        </w:rPr>
        <w:t>加盖</w:t>
      </w:r>
      <w:r>
        <w:rPr>
          <w:spacing w:val="-8"/>
          <w:u w:val="single"/>
        </w:rPr>
        <w:t>单</w:t>
      </w:r>
      <w:r>
        <w:rPr>
          <w:u w:val="single"/>
        </w:rPr>
        <w:t>位公章</w:t>
        <w:tab/>
      </w:r>
    </w:p>
    <w:p>
      <w:pPr>
        <w:pStyle w:val="BodyText"/>
        <w:rPr>
          <w:sz w:val="20"/>
        </w:rPr>
      </w:pPr>
    </w:p>
    <w:p>
      <w:pPr>
        <w:pStyle w:val="BodyText"/>
        <w:rPr>
          <w:sz w:val="20"/>
        </w:rPr>
      </w:pPr>
    </w:p>
    <w:p>
      <w:pPr>
        <w:pStyle w:val="BodyText"/>
        <w:spacing w:before="5"/>
        <w:rPr>
          <w:sz w:val="16"/>
        </w:rPr>
      </w:pPr>
    </w:p>
    <w:p>
      <w:pPr>
        <w:tabs>
          <w:tab w:pos="6381" w:val="left" w:leader="none"/>
          <w:tab w:pos="9616" w:val="left" w:leader="none"/>
        </w:tabs>
        <w:spacing w:before="60"/>
        <w:ind w:left="2023" w:right="0" w:firstLine="0"/>
        <w:jc w:val="left"/>
        <w:rPr>
          <w:sz w:val="30"/>
        </w:rPr>
      </w:pPr>
      <w:r>
        <w:rPr>
          <w:sz w:val="30"/>
        </w:rPr>
        <w:t>法定代</w:t>
      </w:r>
      <w:r>
        <w:rPr>
          <w:spacing w:val="-8"/>
          <w:sz w:val="30"/>
        </w:rPr>
        <w:t>表</w:t>
      </w:r>
      <w:r>
        <w:rPr>
          <w:sz w:val="30"/>
        </w:rPr>
        <w:t>人或</w:t>
      </w:r>
      <w:r>
        <w:rPr>
          <w:spacing w:val="-8"/>
          <w:sz w:val="30"/>
        </w:rPr>
        <w:t>其</w:t>
      </w:r>
      <w:r>
        <w:rPr>
          <w:sz w:val="30"/>
        </w:rPr>
        <w:t>委托</w:t>
      </w:r>
      <w:r>
        <w:rPr>
          <w:spacing w:val="-8"/>
          <w:sz w:val="30"/>
        </w:rPr>
        <w:t>代</w:t>
      </w:r>
      <w:r>
        <w:rPr>
          <w:sz w:val="30"/>
        </w:rPr>
        <w:t>理人</w:t>
      </w:r>
      <w:r>
        <w:rPr>
          <w:sz w:val="30"/>
          <w:u w:val="single"/>
        </w:rPr>
        <w:t>：</w:t>
        <w:tab/>
        <w:t>（签</w:t>
      </w:r>
      <w:r>
        <w:rPr>
          <w:spacing w:val="-8"/>
          <w:sz w:val="30"/>
          <w:u w:val="single"/>
        </w:rPr>
        <w:t>字</w:t>
      </w:r>
      <w:r>
        <w:rPr>
          <w:sz w:val="30"/>
          <w:u w:val="single"/>
        </w:rPr>
        <w:t>或盖</w:t>
      </w:r>
      <w:r>
        <w:rPr>
          <w:spacing w:val="-8"/>
          <w:sz w:val="30"/>
          <w:u w:val="single"/>
        </w:rPr>
        <w:t>章</w:t>
      </w:r>
      <w:r>
        <w:rPr>
          <w:sz w:val="30"/>
          <w:u w:val="single"/>
        </w:rPr>
        <w:t>）</w:t>
        <w:tab/>
      </w:r>
    </w:p>
    <w:p>
      <w:pPr>
        <w:pStyle w:val="BodyText"/>
        <w:rPr>
          <w:sz w:val="20"/>
        </w:rPr>
      </w:pPr>
    </w:p>
    <w:p>
      <w:pPr>
        <w:pStyle w:val="BodyText"/>
        <w:rPr>
          <w:sz w:val="20"/>
        </w:rPr>
      </w:pPr>
    </w:p>
    <w:p>
      <w:pPr>
        <w:pStyle w:val="BodyText"/>
        <w:spacing w:before="8"/>
        <w:rPr>
          <w:sz w:val="15"/>
        </w:rPr>
      </w:pPr>
    </w:p>
    <w:p>
      <w:pPr>
        <w:tabs>
          <w:tab w:pos="3075" w:val="left" w:leader="none"/>
          <w:tab w:pos="9687" w:val="left" w:leader="none"/>
        </w:tabs>
        <w:spacing w:before="70"/>
        <w:ind w:left="2023" w:right="0" w:firstLine="0"/>
        <w:jc w:val="left"/>
        <w:rPr>
          <w:rFonts w:ascii="Times New Roman" w:eastAsia="Times New Roman"/>
          <w:sz w:val="30"/>
        </w:rPr>
      </w:pPr>
      <w:r>
        <w:rPr>
          <w:sz w:val="30"/>
        </w:rPr>
        <w:t>地</w:t>
        <w:tab/>
        <w:t>址</w:t>
      </w:r>
      <w:r>
        <w:rPr>
          <w:spacing w:val="-7"/>
          <w:sz w:val="30"/>
        </w:rPr>
        <w:t>：</w:t>
      </w:r>
      <w:r>
        <w:rPr>
          <w:rFonts w:ascii="Times New Roman" w:eastAsia="Times New Roman"/>
          <w:sz w:val="30"/>
          <w:u w:val="single"/>
        </w:rPr>
        <w:t> </w:t>
        <w:tab/>
      </w: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tabs>
          <w:tab w:pos="3226" w:val="left" w:leader="none"/>
          <w:tab w:pos="5481" w:val="left" w:leader="none"/>
          <w:tab w:pos="6677" w:val="left" w:leader="none"/>
          <w:tab w:pos="8182" w:val="left" w:leader="none"/>
        </w:tabs>
        <w:spacing w:before="61"/>
        <w:ind w:left="2174" w:right="0" w:firstLine="0"/>
        <w:jc w:val="left"/>
        <w:rPr>
          <w:sz w:val="30"/>
        </w:rPr>
      </w:pPr>
      <w:r>
        <w:rPr>
          <w:sz w:val="30"/>
        </w:rPr>
        <w:t>日</w:t>
        <w:tab/>
        <w:t>期：</w:t>
        <w:tab/>
        <w:t>年</w:t>
        <w:tab/>
        <w:t>月</w:t>
        <w:tab/>
        <w:t>日</w:t>
      </w:r>
    </w:p>
    <w:p>
      <w:pPr>
        <w:pStyle w:val="BodyText"/>
        <w:spacing w:line="20" w:lineRule="exact"/>
        <w:ind w:left="3816"/>
        <w:rPr>
          <w:sz w:val="2"/>
        </w:rPr>
      </w:pPr>
      <w:r>
        <w:rPr>
          <w:rFonts w:ascii="Times New Roman"/>
          <w:spacing w:val="5"/>
          <w:sz w:val="2"/>
        </w:rPr>
        <w:t> </w:t>
      </w:r>
      <w:r>
        <w:rPr>
          <w:spacing w:val="5"/>
          <w:sz w:val="2"/>
        </w:rPr>
        <w:pict>
          <v:group style="width:247.5pt;height:.85pt;mso-position-horizontal-relative:char;mso-position-vertical-relative:line" coordorigin="0,0" coordsize="4950,17">
            <v:line style="position:absolute" from="0,8" to="4950,8" stroked="true" strokeweight=".82pt" strokecolor="#000000">
              <v:stroke dashstyle="solid"/>
            </v:line>
          </v:group>
        </w:pict>
      </w:r>
      <w:r>
        <w:rPr>
          <w:spacing w:val="5"/>
          <w:sz w:val="2"/>
        </w:rPr>
      </w:r>
    </w:p>
    <w:p>
      <w:pPr>
        <w:spacing w:after="0" w:line="20" w:lineRule="exact"/>
        <w:rPr>
          <w:sz w:val="2"/>
        </w:rPr>
        <w:sectPr>
          <w:pgSz w:w="11910" w:h="16870"/>
          <w:pgMar w:top="1320" w:bottom="280" w:left="880" w:right="640"/>
        </w:sectPr>
      </w:pPr>
    </w:p>
    <w:p>
      <w:pPr>
        <w:spacing w:before="36"/>
        <w:ind w:left="40" w:right="0" w:firstLine="0"/>
        <w:jc w:val="center"/>
        <w:rPr>
          <w:sz w:val="36"/>
        </w:rPr>
      </w:pPr>
      <w:r>
        <w:rPr>
          <w:sz w:val="36"/>
        </w:rPr>
        <w:t>一、投标函</w:t>
      </w:r>
    </w:p>
    <w:p>
      <w:pPr>
        <w:tabs>
          <w:tab w:pos="688" w:val="left" w:leader="none"/>
          <w:tab w:pos="1337" w:val="left" w:leader="none"/>
        </w:tabs>
        <w:spacing w:before="21"/>
        <w:ind w:left="47" w:right="0" w:firstLine="0"/>
        <w:jc w:val="center"/>
        <w:rPr>
          <w:sz w:val="31"/>
        </w:rPr>
      </w:pPr>
      <w:r>
        <w:rPr>
          <w:sz w:val="31"/>
        </w:rPr>
        <w:t>投</w:t>
        <w:tab/>
        <w:t>标</w:t>
        <w:tab/>
        <w:t>函</w:t>
      </w:r>
    </w:p>
    <w:p>
      <w:pPr>
        <w:pStyle w:val="BodyText"/>
        <w:spacing w:before="7"/>
        <w:rPr>
          <w:sz w:val="24"/>
        </w:rPr>
      </w:pPr>
    </w:p>
    <w:p>
      <w:pPr>
        <w:spacing w:before="74"/>
        <w:ind w:left="820" w:right="0" w:firstLine="0"/>
        <w:jc w:val="left"/>
        <w:rPr>
          <w:sz w:val="23"/>
        </w:rPr>
      </w:pPr>
      <w:r>
        <w:rPr>
          <w:w w:val="105"/>
          <w:sz w:val="23"/>
        </w:rPr>
        <w:t>招标人：</w:t>
      </w:r>
    </w:p>
    <w:p>
      <w:pPr>
        <w:pStyle w:val="BodyText"/>
        <w:spacing w:before="12"/>
      </w:pPr>
    </w:p>
    <w:p>
      <w:pPr>
        <w:tabs>
          <w:tab w:pos="4854" w:val="left" w:leader="none"/>
          <w:tab w:pos="6972" w:val="left" w:leader="none"/>
        </w:tabs>
        <w:spacing w:line="446" w:lineRule="auto" w:before="0"/>
        <w:ind w:left="820" w:right="663" w:firstLine="482"/>
        <w:jc w:val="left"/>
        <w:rPr>
          <w:sz w:val="23"/>
        </w:rPr>
      </w:pPr>
      <w:r>
        <w:rPr>
          <w:sz w:val="23"/>
        </w:rPr>
        <w:t>1、根据</w:t>
      </w:r>
      <w:r>
        <w:rPr>
          <w:spacing w:val="5"/>
          <w:sz w:val="23"/>
        </w:rPr>
        <w:t>贵</w:t>
      </w:r>
      <w:r>
        <w:rPr>
          <w:sz w:val="23"/>
        </w:rPr>
        <w:t>方</w:t>
      </w:r>
      <w:r>
        <w:rPr>
          <w:spacing w:val="5"/>
          <w:sz w:val="23"/>
        </w:rPr>
        <w:t>招</w:t>
      </w:r>
      <w:r>
        <w:rPr>
          <w:sz w:val="23"/>
        </w:rPr>
        <w:t>标</w:t>
      </w:r>
      <w:r>
        <w:rPr>
          <w:spacing w:val="5"/>
          <w:sz w:val="23"/>
        </w:rPr>
        <w:t>项</w:t>
      </w:r>
      <w:r>
        <w:rPr>
          <w:sz w:val="23"/>
        </w:rPr>
        <w:t>目名</w:t>
      </w:r>
      <w:r>
        <w:rPr>
          <w:spacing w:val="5"/>
          <w:sz w:val="23"/>
        </w:rPr>
        <w:t>称</w:t>
      </w:r>
      <w:r>
        <w:rPr>
          <w:sz w:val="23"/>
        </w:rPr>
        <w:t>的</w:t>
      </w:r>
      <w:r>
        <w:rPr>
          <w:spacing w:val="5"/>
          <w:sz w:val="23"/>
        </w:rPr>
        <w:t>招</w:t>
      </w:r>
      <w:r>
        <w:rPr>
          <w:sz w:val="23"/>
        </w:rPr>
        <w:t>标</w:t>
      </w:r>
      <w:r>
        <w:rPr>
          <w:spacing w:val="5"/>
          <w:sz w:val="23"/>
        </w:rPr>
        <w:t>文</w:t>
      </w:r>
      <w:r>
        <w:rPr>
          <w:sz w:val="23"/>
        </w:rPr>
        <w:t>件</w:t>
      </w:r>
      <w:r>
        <w:rPr>
          <w:spacing w:val="5"/>
          <w:sz w:val="23"/>
        </w:rPr>
        <w:t>，</w:t>
      </w:r>
      <w:r>
        <w:rPr>
          <w:sz w:val="23"/>
        </w:rPr>
        <w:t>遵照</w:t>
      </w:r>
      <w:r>
        <w:rPr>
          <w:spacing w:val="5"/>
          <w:sz w:val="23"/>
        </w:rPr>
        <w:t>《</w:t>
      </w:r>
      <w:r>
        <w:rPr>
          <w:sz w:val="23"/>
        </w:rPr>
        <w:t>中</w:t>
      </w:r>
      <w:r>
        <w:rPr>
          <w:spacing w:val="5"/>
          <w:sz w:val="23"/>
        </w:rPr>
        <w:t>华</w:t>
      </w:r>
      <w:r>
        <w:rPr>
          <w:sz w:val="23"/>
        </w:rPr>
        <w:t>人民</w:t>
      </w:r>
      <w:r>
        <w:rPr>
          <w:spacing w:val="5"/>
          <w:sz w:val="23"/>
        </w:rPr>
        <w:t>共</w:t>
      </w:r>
      <w:r>
        <w:rPr>
          <w:sz w:val="23"/>
        </w:rPr>
        <w:t>和</w:t>
      </w:r>
      <w:r>
        <w:rPr>
          <w:spacing w:val="5"/>
          <w:sz w:val="23"/>
        </w:rPr>
        <w:t>国招</w:t>
      </w:r>
      <w:r>
        <w:rPr>
          <w:sz w:val="23"/>
        </w:rPr>
        <w:t>标</w:t>
      </w:r>
      <w:r>
        <w:rPr>
          <w:spacing w:val="5"/>
          <w:sz w:val="23"/>
        </w:rPr>
        <w:t>投</w:t>
      </w:r>
      <w:r>
        <w:rPr>
          <w:sz w:val="23"/>
        </w:rPr>
        <w:t>标法》等  有关法</w:t>
      </w:r>
      <w:r>
        <w:rPr>
          <w:spacing w:val="5"/>
          <w:sz w:val="23"/>
        </w:rPr>
        <w:t>律</w:t>
      </w:r>
      <w:r>
        <w:rPr>
          <w:sz w:val="23"/>
        </w:rPr>
        <w:t>法规</w:t>
      </w:r>
      <w:r>
        <w:rPr>
          <w:spacing w:val="5"/>
          <w:sz w:val="23"/>
        </w:rPr>
        <w:t>的</w:t>
      </w:r>
      <w:r>
        <w:rPr>
          <w:sz w:val="23"/>
        </w:rPr>
        <w:t>规定</w:t>
      </w:r>
      <w:r>
        <w:rPr>
          <w:spacing w:val="-51"/>
          <w:sz w:val="23"/>
        </w:rPr>
        <w:t>，</w:t>
      </w:r>
      <w:r>
        <w:rPr>
          <w:spacing w:val="5"/>
          <w:sz w:val="23"/>
        </w:rPr>
        <w:t>经</w:t>
      </w:r>
      <w:r>
        <w:rPr>
          <w:sz w:val="23"/>
        </w:rPr>
        <w:t>研究</w:t>
      </w:r>
      <w:r>
        <w:rPr>
          <w:spacing w:val="5"/>
          <w:sz w:val="23"/>
        </w:rPr>
        <w:t>招</w:t>
      </w:r>
      <w:r>
        <w:rPr>
          <w:sz w:val="23"/>
        </w:rPr>
        <w:t>标文</w:t>
      </w:r>
      <w:r>
        <w:rPr>
          <w:spacing w:val="5"/>
          <w:sz w:val="23"/>
        </w:rPr>
        <w:t>件</w:t>
      </w:r>
      <w:r>
        <w:rPr>
          <w:sz w:val="23"/>
        </w:rPr>
        <w:t>的投</w:t>
      </w:r>
      <w:r>
        <w:rPr>
          <w:spacing w:val="5"/>
          <w:sz w:val="23"/>
        </w:rPr>
        <w:t>标</w:t>
      </w:r>
      <w:r>
        <w:rPr>
          <w:sz w:val="23"/>
        </w:rPr>
        <w:t>须知</w:t>
      </w:r>
      <w:r>
        <w:rPr>
          <w:spacing w:val="-51"/>
          <w:sz w:val="23"/>
        </w:rPr>
        <w:t>、</w:t>
      </w:r>
      <w:r>
        <w:rPr>
          <w:sz w:val="23"/>
        </w:rPr>
        <w:t>合</w:t>
      </w:r>
      <w:r>
        <w:rPr>
          <w:spacing w:val="5"/>
          <w:sz w:val="23"/>
        </w:rPr>
        <w:t>同</w:t>
      </w:r>
      <w:r>
        <w:rPr>
          <w:sz w:val="23"/>
        </w:rPr>
        <w:t>条款</w:t>
      </w:r>
      <w:r>
        <w:rPr>
          <w:spacing w:val="-51"/>
          <w:sz w:val="23"/>
        </w:rPr>
        <w:t>、</w:t>
      </w:r>
      <w:r>
        <w:rPr>
          <w:spacing w:val="5"/>
          <w:sz w:val="23"/>
        </w:rPr>
        <w:t>图</w:t>
      </w:r>
      <w:r>
        <w:rPr>
          <w:sz w:val="23"/>
        </w:rPr>
        <w:t>纸</w:t>
      </w:r>
      <w:r>
        <w:rPr>
          <w:spacing w:val="-44"/>
          <w:sz w:val="23"/>
        </w:rPr>
        <w:t>、</w:t>
      </w:r>
      <w:r>
        <w:rPr>
          <w:sz w:val="23"/>
        </w:rPr>
        <w:t>等有关</w:t>
      </w:r>
      <w:r>
        <w:rPr>
          <w:spacing w:val="5"/>
          <w:sz w:val="23"/>
        </w:rPr>
        <w:t>文</w:t>
      </w:r>
      <w:r>
        <w:rPr>
          <w:sz w:val="23"/>
        </w:rPr>
        <w:t>件后， </w:t>
      </w:r>
      <w:r>
        <w:rPr>
          <w:w w:val="105"/>
          <w:sz w:val="23"/>
        </w:rPr>
        <w:t>我方愿</w:t>
      </w:r>
      <w:r>
        <w:rPr>
          <w:spacing w:val="5"/>
          <w:w w:val="105"/>
          <w:sz w:val="23"/>
        </w:rPr>
        <w:t>以</w:t>
      </w:r>
      <w:r>
        <w:rPr>
          <w:w w:val="105"/>
          <w:sz w:val="23"/>
        </w:rPr>
        <w:t>人民</w:t>
      </w:r>
      <w:r>
        <w:rPr>
          <w:spacing w:val="-22"/>
          <w:w w:val="105"/>
          <w:sz w:val="23"/>
        </w:rPr>
        <w:t>币</w:t>
      </w:r>
      <w:r>
        <w:rPr>
          <w:spacing w:val="5"/>
          <w:w w:val="105"/>
          <w:sz w:val="23"/>
        </w:rPr>
        <w:t>（</w:t>
      </w:r>
      <w:r>
        <w:rPr>
          <w:w w:val="105"/>
          <w:sz w:val="23"/>
        </w:rPr>
        <w:t>大写</w:t>
      </w:r>
      <w:r>
        <w:rPr>
          <w:spacing w:val="-15"/>
          <w:w w:val="105"/>
          <w:sz w:val="23"/>
        </w:rPr>
        <w:t>）</w:t>
      </w:r>
      <w:r>
        <w:rPr>
          <w:spacing w:val="-15"/>
          <w:w w:val="105"/>
          <w:sz w:val="23"/>
          <w:u w:val="single"/>
        </w:rPr>
        <w:t> </w:t>
        <w:tab/>
      </w:r>
      <w:r>
        <w:rPr>
          <w:spacing w:val="-22"/>
          <w:w w:val="105"/>
          <w:sz w:val="23"/>
        </w:rPr>
        <w:t>元</w:t>
      </w:r>
      <w:r>
        <w:rPr>
          <w:w w:val="105"/>
          <w:sz w:val="23"/>
        </w:rPr>
        <w:t>（小写</w:t>
      </w:r>
      <w:r>
        <w:rPr>
          <w:spacing w:val="-14"/>
          <w:w w:val="105"/>
          <w:sz w:val="23"/>
        </w:rPr>
        <w:t>）</w:t>
      </w:r>
      <w:r>
        <w:rPr>
          <w:spacing w:val="-14"/>
          <w:w w:val="105"/>
          <w:sz w:val="23"/>
          <w:u w:val="single"/>
        </w:rPr>
        <w:t> </w:t>
        <w:tab/>
      </w:r>
      <w:r>
        <w:rPr>
          <w:w w:val="105"/>
          <w:sz w:val="23"/>
        </w:rPr>
        <w:t>元报价</w:t>
      </w:r>
      <w:r>
        <w:rPr>
          <w:spacing w:val="5"/>
          <w:w w:val="105"/>
          <w:sz w:val="23"/>
        </w:rPr>
        <w:t>并</w:t>
      </w:r>
      <w:r>
        <w:rPr>
          <w:w w:val="105"/>
          <w:sz w:val="23"/>
        </w:rPr>
        <w:t>按招</w:t>
      </w:r>
      <w:r>
        <w:rPr>
          <w:spacing w:val="5"/>
          <w:w w:val="105"/>
          <w:sz w:val="23"/>
        </w:rPr>
        <w:t>标</w:t>
      </w:r>
      <w:r>
        <w:rPr>
          <w:w w:val="105"/>
          <w:sz w:val="23"/>
        </w:rPr>
        <w:t>文件</w:t>
      </w:r>
      <w:r>
        <w:rPr>
          <w:spacing w:val="5"/>
          <w:w w:val="105"/>
          <w:sz w:val="23"/>
        </w:rPr>
        <w:t>技</w:t>
      </w:r>
      <w:r>
        <w:rPr>
          <w:w w:val="105"/>
          <w:sz w:val="23"/>
        </w:rPr>
        <w:t>术</w:t>
      </w:r>
    </w:p>
    <w:p>
      <w:pPr>
        <w:spacing w:line="446" w:lineRule="auto" w:before="0"/>
        <w:ind w:left="820" w:right="791" w:firstLine="0"/>
        <w:jc w:val="left"/>
        <w:rPr>
          <w:sz w:val="23"/>
        </w:rPr>
      </w:pPr>
      <w:r>
        <w:rPr>
          <w:spacing w:val="-9"/>
          <w:sz w:val="23"/>
        </w:rPr>
        <w:t>要求、合同条款、国家技术标准和参数和工程图纸说明等要求提供所要求的全部货物 </w:t>
      </w:r>
      <w:r>
        <w:rPr>
          <w:spacing w:val="-5"/>
          <w:w w:val="105"/>
          <w:sz w:val="23"/>
        </w:rPr>
        <w:t>和相关服务。</w:t>
      </w:r>
    </w:p>
    <w:p>
      <w:pPr>
        <w:spacing w:before="83"/>
        <w:ind w:left="1303" w:right="0" w:firstLine="0"/>
        <w:jc w:val="left"/>
        <w:rPr>
          <w:sz w:val="23"/>
        </w:rPr>
      </w:pPr>
      <w:r>
        <w:rPr>
          <w:w w:val="105"/>
          <w:sz w:val="23"/>
        </w:rPr>
        <w:t>2、我方已详细阅读全部报价文件，包括澄清或者修改文件。</w:t>
      </w:r>
    </w:p>
    <w:p>
      <w:pPr>
        <w:pStyle w:val="BodyText"/>
        <w:rPr>
          <w:sz w:val="22"/>
        </w:rPr>
      </w:pPr>
    </w:p>
    <w:p>
      <w:pPr>
        <w:spacing w:line="446" w:lineRule="auto" w:before="0"/>
        <w:ind w:left="820" w:right="785" w:firstLine="482"/>
        <w:jc w:val="left"/>
        <w:rPr>
          <w:sz w:val="23"/>
        </w:rPr>
      </w:pPr>
      <w:r>
        <w:rPr>
          <w:sz w:val="23"/>
        </w:rPr>
        <w:t>3、一旦我方中标，我方保证在接到中标通知书之日起日内完成招标文件约定的 </w:t>
      </w:r>
      <w:r>
        <w:rPr>
          <w:w w:val="105"/>
          <w:sz w:val="23"/>
        </w:rPr>
        <w:t>合同工作内容。</w:t>
      </w:r>
    </w:p>
    <w:p>
      <w:pPr>
        <w:spacing w:line="446" w:lineRule="auto" w:before="85"/>
        <w:ind w:left="820" w:right="785" w:firstLine="482"/>
        <w:jc w:val="left"/>
        <w:rPr>
          <w:sz w:val="23"/>
        </w:rPr>
      </w:pPr>
      <w:r>
        <w:rPr>
          <w:sz w:val="23"/>
        </w:rPr>
        <w:t>4、我方同意所提交的投标文件在招标文件规定的投标有效期内有效，在此期间 </w:t>
      </w:r>
      <w:r>
        <w:rPr>
          <w:w w:val="105"/>
          <w:sz w:val="23"/>
        </w:rPr>
        <w:t>内如果中标，我方将受此约束。</w:t>
      </w:r>
    </w:p>
    <w:p>
      <w:pPr>
        <w:spacing w:line="307" w:lineRule="auto" w:before="11"/>
        <w:ind w:left="820" w:right="643" w:firstLine="482"/>
        <w:jc w:val="left"/>
        <w:rPr>
          <w:rFonts w:ascii="Microsoft YaHei" w:hAnsi="Microsoft YaHei" w:eastAsia="Microsoft YaHei" w:hint="eastAsia"/>
          <w:b/>
          <w:sz w:val="23"/>
        </w:rPr>
      </w:pPr>
      <w:r>
        <w:rPr>
          <w:rFonts w:ascii="Microsoft YaHei" w:hAnsi="Microsoft YaHei" w:eastAsia="Microsoft YaHei" w:hint="eastAsia"/>
          <w:b/>
          <w:sz w:val="23"/>
        </w:rPr>
        <w:t>5、我方承诺所提供货物 “满足江苏省工程建设标准 DGJ32/TJ11-2016《居住区供配电设施建筑标准》，如建设标准 DGJ32/TJ11-2016 无相关要求，则满足苏电运检</w:t>
      </w:r>
    </w:p>
    <w:p>
      <w:pPr>
        <w:spacing w:before="3"/>
        <w:ind w:left="820" w:right="0" w:firstLine="0"/>
        <w:jc w:val="left"/>
        <w:rPr>
          <w:rFonts w:ascii="Microsoft YaHei" w:eastAsia="Microsoft YaHei" w:hint="eastAsia"/>
          <w:b/>
          <w:sz w:val="23"/>
        </w:rPr>
      </w:pPr>
      <w:r>
        <w:rPr>
          <w:rFonts w:ascii="Microsoft YaHei" w:eastAsia="Microsoft YaHei" w:hint="eastAsia"/>
          <w:b/>
          <w:sz w:val="23"/>
        </w:rPr>
        <w:t>[2016]501 号《新建居住区供配电设计导则补充规定》，符合仪征市供电部门的入网</w:t>
      </w:r>
    </w:p>
    <w:p>
      <w:pPr>
        <w:spacing w:before="124"/>
        <w:ind w:left="820" w:right="0" w:firstLine="0"/>
        <w:jc w:val="left"/>
        <w:rPr>
          <w:rFonts w:ascii="Microsoft YaHei" w:hAnsi="Microsoft YaHei" w:eastAsia="Microsoft YaHei" w:hint="eastAsia"/>
          <w:b/>
          <w:sz w:val="23"/>
        </w:rPr>
      </w:pPr>
      <w:r>
        <w:rPr>
          <w:rFonts w:ascii="Microsoft YaHei" w:hAnsi="Microsoft YaHei" w:eastAsia="Microsoft YaHei" w:hint="eastAsia"/>
          <w:b/>
          <w:w w:val="105"/>
          <w:sz w:val="23"/>
        </w:rPr>
        <w:t>要求和规定。技术规范和要求按照招标文件“第三章技术规范和要求”的标准执行”。</w:t>
      </w:r>
    </w:p>
    <w:p>
      <w:pPr>
        <w:pStyle w:val="BodyText"/>
        <w:spacing w:before="6"/>
        <w:rPr>
          <w:rFonts w:ascii="Microsoft YaHei"/>
          <w:b/>
          <w:sz w:val="15"/>
        </w:rPr>
      </w:pPr>
    </w:p>
    <w:p>
      <w:pPr>
        <w:spacing w:line="439" w:lineRule="auto" w:before="0"/>
        <w:ind w:left="820" w:right="785" w:firstLine="482"/>
        <w:jc w:val="left"/>
        <w:rPr>
          <w:sz w:val="23"/>
        </w:rPr>
      </w:pPr>
      <w:r>
        <w:rPr>
          <w:sz w:val="23"/>
        </w:rPr>
        <w:t>6、除非达成另外协议并生效，中标通知书和本投标文件将成为约束双方的合同 </w:t>
      </w:r>
      <w:r>
        <w:rPr>
          <w:w w:val="105"/>
          <w:sz w:val="23"/>
        </w:rPr>
        <w:t>文件组成部分。</w:t>
      </w:r>
    </w:p>
    <w:p>
      <w:pPr>
        <w:spacing w:before="103"/>
        <w:ind w:left="1303" w:right="0" w:firstLine="0"/>
        <w:jc w:val="left"/>
        <w:rPr>
          <w:sz w:val="23"/>
        </w:rPr>
      </w:pPr>
      <w:r>
        <w:rPr>
          <w:spacing w:val="-30"/>
          <w:w w:val="103"/>
          <w:sz w:val="23"/>
        </w:rPr>
        <w:t>投标人：</w:t>
      </w:r>
      <w:r>
        <w:rPr>
          <w:w w:val="103"/>
          <w:sz w:val="23"/>
        </w:rPr>
        <w:t>（</w:t>
      </w:r>
      <w:r>
        <w:rPr>
          <w:spacing w:val="1"/>
          <w:w w:val="103"/>
          <w:sz w:val="23"/>
        </w:rPr>
        <w:t>盖章</w:t>
      </w:r>
      <w:r>
        <w:rPr>
          <w:w w:val="103"/>
          <w:sz w:val="23"/>
        </w:rPr>
        <w:t>）</w:t>
      </w:r>
    </w:p>
    <w:p>
      <w:pPr>
        <w:pStyle w:val="BodyText"/>
        <w:spacing w:before="6"/>
        <w:rPr>
          <w:sz w:val="26"/>
        </w:rPr>
      </w:pPr>
    </w:p>
    <w:p>
      <w:pPr>
        <w:tabs>
          <w:tab w:pos="2261" w:val="left" w:leader="none"/>
          <w:tab w:pos="2743" w:val="left" w:leader="none"/>
          <w:tab w:pos="3226" w:val="left" w:leader="none"/>
        </w:tabs>
        <w:spacing w:line="516" w:lineRule="auto" w:before="0"/>
        <w:ind w:left="1303" w:right="4892" w:firstLine="0"/>
        <w:jc w:val="left"/>
        <w:rPr>
          <w:sz w:val="23"/>
        </w:rPr>
      </w:pPr>
      <w:r>
        <w:rPr>
          <w:w w:val="103"/>
          <w:sz w:val="23"/>
        </w:rPr>
        <w:t>法定代</w:t>
      </w:r>
      <w:r>
        <w:rPr>
          <w:spacing w:val="5"/>
          <w:w w:val="103"/>
          <w:sz w:val="23"/>
        </w:rPr>
        <w:t>表</w:t>
      </w:r>
      <w:r>
        <w:rPr>
          <w:w w:val="103"/>
          <w:sz w:val="23"/>
        </w:rPr>
        <w:t>人或</w:t>
      </w:r>
      <w:r>
        <w:rPr>
          <w:spacing w:val="5"/>
          <w:w w:val="103"/>
          <w:sz w:val="23"/>
        </w:rPr>
        <w:t>授</w:t>
      </w:r>
      <w:r>
        <w:rPr>
          <w:w w:val="103"/>
          <w:sz w:val="23"/>
        </w:rPr>
        <w:t>权代</w:t>
      </w:r>
      <w:r>
        <w:rPr>
          <w:spacing w:val="8"/>
          <w:w w:val="103"/>
          <w:sz w:val="23"/>
        </w:rPr>
        <w:t>表</w:t>
      </w:r>
      <w:r>
        <w:rPr>
          <w:spacing w:val="-123"/>
          <w:w w:val="103"/>
          <w:sz w:val="23"/>
        </w:rPr>
        <w:t>：</w:t>
      </w:r>
      <w:r>
        <w:rPr>
          <w:spacing w:val="5"/>
          <w:w w:val="103"/>
          <w:sz w:val="23"/>
        </w:rPr>
        <w:t>（</w:t>
      </w:r>
      <w:r>
        <w:rPr>
          <w:w w:val="103"/>
          <w:sz w:val="23"/>
        </w:rPr>
        <w:t>签字</w:t>
      </w:r>
      <w:r>
        <w:rPr>
          <w:spacing w:val="5"/>
          <w:w w:val="103"/>
          <w:sz w:val="23"/>
        </w:rPr>
        <w:t>或</w:t>
      </w:r>
      <w:r>
        <w:rPr>
          <w:w w:val="103"/>
          <w:sz w:val="23"/>
        </w:rPr>
        <w:t>盖章）</w:t>
      </w:r>
      <w:r>
        <w:rPr>
          <w:w w:val="105"/>
          <w:sz w:val="23"/>
        </w:rPr>
        <w:t>日期：</w:t>
        <w:tab/>
        <w:t>年</w:t>
        <w:tab/>
        <w:t>月</w:t>
        <w:tab/>
        <w:t>日</w:t>
      </w:r>
    </w:p>
    <w:p>
      <w:pPr>
        <w:spacing w:after="0" w:line="516" w:lineRule="auto"/>
        <w:jc w:val="left"/>
        <w:rPr>
          <w:sz w:val="23"/>
        </w:rPr>
        <w:sectPr>
          <w:pgSz w:w="11910" w:h="16870"/>
          <w:pgMar w:top="1280" w:bottom="280" w:left="880" w:right="640"/>
        </w:sectPr>
      </w:pPr>
    </w:p>
    <w:p>
      <w:pPr>
        <w:pStyle w:val="BodyText"/>
        <w:rPr>
          <w:sz w:val="20"/>
        </w:rPr>
      </w:pPr>
    </w:p>
    <w:p>
      <w:pPr>
        <w:pStyle w:val="BodyText"/>
        <w:spacing w:before="6"/>
        <w:rPr>
          <w:sz w:val="19"/>
        </w:rPr>
      </w:pPr>
    </w:p>
    <w:p>
      <w:pPr>
        <w:spacing w:before="62"/>
        <w:ind w:left="2949" w:right="2825" w:firstLine="0"/>
        <w:jc w:val="center"/>
        <w:rPr>
          <w:sz w:val="31"/>
        </w:rPr>
      </w:pPr>
      <w:r>
        <w:rPr>
          <w:sz w:val="31"/>
        </w:rPr>
        <w:t>二、投标报价表</w:t>
      </w:r>
    </w:p>
    <w:p>
      <w:pPr>
        <w:pStyle w:val="BodyText"/>
        <w:spacing w:before="1"/>
        <w:rPr>
          <w:sz w:val="14"/>
        </w:rPr>
      </w:pPr>
    </w:p>
    <w:p>
      <w:pPr>
        <w:pStyle w:val="BodyText"/>
        <w:spacing w:before="70"/>
        <w:ind w:left="247"/>
      </w:pPr>
      <w:r>
        <w:rPr/>
        <w:t>项目名称：</w:t>
      </w:r>
    </w:p>
    <w:p>
      <w:pPr>
        <w:pStyle w:val="BodyText"/>
        <w:spacing w:before="3" w:after="1"/>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413"/>
        <w:gridCol w:w="3263"/>
        <w:gridCol w:w="713"/>
        <w:gridCol w:w="705"/>
        <w:gridCol w:w="1347"/>
        <w:gridCol w:w="1490"/>
        <w:gridCol w:w="2556"/>
      </w:tblGrid>
      <w:tr>
        <w:trPr>
          <w:trHeight w:val="580" w:hRule="atLeast"/>
        </w:trPr>
        <w:tc>
          <w:tcPr>
            <w:tcW w:w="814" w:type="dxa"/>
          </w:tcPr>
          <w:p>
            <w:pPr>
              <w:pStyle w:val="TableParagraph"/>
              <w:spacing w:before="106"/>
              <w:ind w:left="205" w:right="198"/>
              <w:jc w:val="center"/>
              <w:rPr>
                <w:sz w:val="18"/>
              </w:rPr>
            </w:pPr>
            <w:r>
              <w:rPr>
                <w:sz w:val="18"/>
              </w:rPr>
              <w:t>序号</w:t>
            </w:r>
          </w:p>
        </w:tc>
        <w:tc>
          <w:tcPr>
            <w:tcW w:w="2413" w:type="dxa"/>
          </w:tcPr>
          <w:p>
            <w:pPr>
              <w:pStyle w:val="TableParagraph"/>
              <w:spacing w:before="106"/>
              <w:ind w:left="825" w:right="818"/>
              <w:jc w:val="center"/>
              <w:rPr>
                <w:sz w:val="18"/>
              </w:rPr>
            </w:pPr>
            <w:r>
              <w:rPr>
                <w:sz w:val="18"/>
              </w:rPr>
              <w:t>设备名称</w:t>
            </w:r>
          </w:p>
        </w:tc>
        <w:tc>
          <w:tcPr>
            <w:tcW w:w="3263" w:type="dxa"/>
          </w:tcPr>
          <w:p>
            <w:pPr>
              <w:pStyle w:val="TableParagraph"/>
              <w:spacing w:before="106"/>
              <w:ind w:left="1249" w:right="1243"/>
              <w:jc w:val="center"/>
              <w:rPr>
                <w:sz w:val="18"/>
              </w:rPr>
            </w:pPr>
            <w:r>
              <w:rPr>
                <w:sz w:val="18"/>
              </w:rPr>
              <w:t>型号规格</w:t>
            </w:r>
          </w:p>
        </w:tc>
        <w:tc>
          <w:tcPr>
            <w:tcW w:w="713" w:type="dxa"/>
          </w:tcPr>
          <w:p>
            <w:pPr>
              <w:pStyle w:val="TableParagraph"/>
              <w:spacing w:before="106"/>
              <w:ind w:left="175"/>
              <w:rPr>
                <w:sz w:val="18"/>
              </w:rPr>
            </w:pPr>
            <w:r>
              <w:rPr>
                <w:sz w:val="18"/>
              </w:rPr>
              <w:t>单位</w:t>
            </w:r>
          </w:p>
        </w:tc>
        <w:tc>
          <w:tcPr>
            <w:tcW w:w="705" w:type="dxa"/>
          </w:tcPr>
          <w:p>
            <w:pPr>
              <w:pStyle w:val="TableParagraph"/>
              <w:spacing w:before="106"/>
              <w:ind w:left="168"/>
              <w:rPr>
                <w:sz w:val="18"/>
              </w:rPr>
            </w:pPr>
            <w:r>
              <w:rPr>
                <w:sz w:val="18"/>
              </w:rPr>
              <w:t>数量</w:t>
            </w:r>
          </w:p>
        </w:tc>
        <w:tc>
          <w:tcPr>
            <w:tcW w:w="1347" w:type="dxa"/>
          </w:tcPr>
          <w:p>
            <w:pPr>
              <w:pStyle w:val="TableParagraph"/>
              <w:spacing w:before="106"/>
              <w:ind w:left="467" w:right="469"/>
              <w:jc w:val="center"/>
              <w:rPr>
                <w:sz w:val="18"/>
              </w:rPr>
            </w:pPr>
            <w:r>
              <w:rPr>
                <w:sz w:val="18"/>
              </w:rPr>
              <w:t>单价</w:t>
            </w:r>
          </w:p>
        </w:tc>
        <w:tc>
          <w:tcPr>
            <w:tcW w:w="1490" w:type="dxa"/>
          </w:tcPr>
          <w:p>
            <w:pPr>
              <w:pStyle w:val="TableParagraph"/>
              <w:spacing w:before="106"/>
              <w:ind w:left="545" w:right="535"/>
              <w:jc w:val="center"/>
              <w:rPr>
                <w:sz w:val="18"/>
              </w:rPr>
            </w:pPr>
            <w:r>
              <w:rPr>
                <w:sz w:val="18"/>
              </w:rPr>
              <w:t>合价</w:t>
            </w:r>
          </w:p>
        </w:tc>
        <w:tc>
          <w:tcPr>
            <w:tcW w:w="2556" w:type="dxa"/>
          </w:tcPr>
          <w:p>
            <w:pPr>
              <w:pStyle w:val="TableParagraph"/>
              <w:spacing w:before="106"/>
              <w:ind w:left="1072" w:right="1073"/>
              <w:jc w:val="center"/>
              <w:rPr>
                <w:sz w:val="18"/>
              </w:rPr>
            </w:pPr>
            <w:r>
              <w:rPr>
                <w:sz w:val="18"/>
              </w:rPr>
              <w:t>备注</w:t>
            </w:r>
          </w:p>
        </w:tc>
      </w:tr>
      <w:tr>
        <w:trPr>
          <w:trHeight w:val="587" w:hRule="atLeast"/>
        </w:trPr>
        <w:tc>
          <w:tcPr>
            <w:tcW w:w="814" w:type="dxa"/>
          </w:tcPr>
          <w:p>
            <w:pPr>
              <w:pStyle w:val="TableParagraph"/>
              <w:spacing w:before="6"/>
              <w:rPr>
                <w:sz w:val="14"/>
              </w:rPr>
            </w:pPr>
          </w:p>
          <w:p>
            <w:pPr>
              <w:pStyle w:val="TableParagraph"/>
              <w:spacing w:before="1"/>
              <w:ind w:left="11"/>
              <w:jc w:val="center"/>
              <w:rPr>
                <w:sz w:val="18"/>
              </w:rPr>
            </w:pPr>
            <w:r>
              <w:rPr>
                <w:sz w:val="18"/>
              </w:rPr>
              <w:t>1</w:t>
            </w:r>
          </w:p>
        </w:tc>
        <w:tc>
          <w:tcPr>
            <w:tcW w:w="2413" w:type="dxa"/>
          </w:tcPr>
          <w:p>
            <w:pPr>
              <w:pStyle w:val="TableParagraph"/>
              <w:rPr>
                <w:rFonts w:ascii="Times New Roman"/>
                <w:sz w:val="20"/>
              </w:rPr>
            </w:pPr>
          </w:p>
        </w:tc>
        <w:tc>
          <w:tcPr>
            <w:tcW w:w="3263" w:type="dxa"/>
          </w:tcPr>
          <w:p>
            <w:pPr>
              <w:pStyle w:val="TableParagraph"/>
              <w:rPr>
                <w:rFonts w:ascii="Times New Roman"/>
                <w:sz w:val="20"/>
              </w:rPr>
            </w:pPr>
          </w:p>
        </w:tc>
        <w:tc>
          <w:tcPr>
            <w:tcW w:w="713" w:type="dxa"/>
          </w:tcPr>
          <w:p>
            <w:pPr>
              <w:pStyle w:val="TableParagraph"/>
              <w:rPr>
                <w:rFonts w:ascii="Times New Roman"/>
                <w:sz w:val="20"/>
              </w:rPr>
            </w:pPr>
          </w:p>
        </w:tc>
        <w:tc>
          <w:tcPr>
            <w:tcW w:w="705" w:type="dxa"/>
          </w:tcPr>
          <w:p>
            <w:pPr>
              <w:pStyle w:val="TableParagraph"/>
              <w:rPr>
                <w:rFonts w:ascii="Times New Roman"/>
                <w:sz w:val="20"/>
              </w:rPr>
            </w:pPr>
          </w:p>
        </w:tc>
        <w:tc>
          <w:tcPr>
            <w:tcW w:w="1347" w:type="dxa"/>
          </w:tcPr>
          <w:p>
            <w:pPr>
              <w:pStyle w:val="TableParagraph"/>
              <w:rPr>
                <w:rFonts w:ascii="Times New Roman"/>
                <w:sz w:val="20"/>
              </w:rPr>
            </w:pPr>
          </w:p>
        </w:tc>
        <w:tc>
          <w:tcPr>
            <w:tcW w:w="1490" w:type="dxa"/>
          </w:tcPr>
          <w:p>
            <w:pPr>
              <w:pStyle w:val="TableParagraph"/>
              <w:rPr>
                <w:rFonts w:ascii="Times New Roman"/>
                <w:sz w:val="20"/>
              </w:rPr>
            </w:pPr>
          </w:p>
        </w:tc>
        <w:tc>
          <w:tcPr>
            <w:tcW w:w="2556" w:type="dxa"/>
          </w:tcPr>
          <w:p>
            <w:pPr>
              <w:pStyle w:val="TableParagraph"/>
              <w:rPr>
                <w:rFonts w:ascii="Times New Roman"/>
                <w:sz w:val="20"/>
              </w:rPr>
            </w:pPr>
          </w:p>
        </w:tc>
      </w:tr>
      <w:tr>
        <w:trPr>
          <w:trHeight w:val="588" w:hRule="atLeast"/>
        </w:trPr>
        <w:tc>
          <w:tcPr>
            <w:tcW w:w="814" w:type="dxa"/>
          </w:tcPr>
          <w:p>
            <w:pPr>
              <w:pStyle w:val="TableParagraph"/>
              <w:spacing w:before="12"/>
              <w:rPr>
                <w:sz w:val="13"/>
              </w:rPr>
            </w:pPr>
          </w:p>
          <w:p>
            <w:pPr>
              <w:pStyle w:val="TableParagraph"/>
              <w:ind w:left="11"/>
              <w:jc w:val="center"/>
              <w:rPr>
                <w:sz w:val="18"/>
              </w:rPr>
            </w:pPr>
            <w:r>
              <w:rPr>
                <w:sz w:val="18"/>
              </w:rPr>
              <w:t>2</w:t>
            </w:r>
          </w:p>
        </w:tc>
        <w:tc>
          <w:tcPr>
            <w:tcW w:w="2413" w:type="dxa"/>
          </w:tcPr>
          <w:p>
            <w:pPr>
              <w:pStyle w:val="TableParagraph"/>
              <w:rPr>
                <w:rFonts w:ascii="Times New Roman"/>
                <w:sz w:val="20"/>
              </w:rPr>
            </w:pPr>
          </w:p>
        </w:tc>
        <w:tc>
          <w:tcPr>
            <w:tcW w:w="3263" w:type="dxa"/>
          </w:tcPr>
          <w:p>
            <w:pPr>
              <w:pStyle w:val="TableParagraph"/>
              <w:rPr>
                <w:rFonts w:ascii="Times New Roman"/>
                <w:sz w:val="20"/>
              </w:rPr>
            </w:pPr>
          </w:p>
        </w:tc>
        <w:tc>
          <w:tcPr>
            <w:tcW w:w="713" w:type="dxa"/>
          </w:tcPr>
          <w:p>
            <w:pPr>
              <w:pStyle w:val="TableParagraph"/>
              <w:rPr>
                <w:rFonts w:ascii="Times New Roman"/>
                <w:sz w:val="20"/>
              </w:rPr>
            </w:pPr>
          </w:p>
        </w:tc>
        <w:tc>
          <w:tcPr>
            <w:tcW w:w="705" w:type="dxa"/>
          </w:tcPr>
          <w:p>
            <w:pPr>
              <w:pStyle w:val="TableParagraph"/>
              <w:rPr>
                <w:rFonts w:ascii="Times New Roman"/>
                <w:sz w:val="20"/>
              </w:rPr>
            </w:pPr>
          </w:p>
        </w:tc>
        <w:tc>
          <w:tcPr>
            <w:tcW w:w="1347" w:type="dxa"/>
          </w:tcPr>
          <w:p>
            <w:pPr>
              <w:pStyle w:val="TableParagraph"/>
              <w:rPr>
                <w:rFonts w:ascii="Times New Roman"/>
                <w:sz w:val="20"/>
              </w:rPr>
            </w:pPr>
          </w:p>
        </w:tc>
        <w:tc>
          <w:tcPr>
            <w:tcW w:w="1490" w:type="dxa"/>
          </w:tcPr>
          <w:p>
            <w:pPr>
              <w:pStyle w:val="TableParagraph"/>
              <w:rPr>
                <w:rFonts w:ascii="Times New Roman"/>
                <w:sz w:val="20"/>
              </w:rPr>
            </w:pPr>
          </w:p>
        </w:tc>
        <w:tc>
          <w:tcPr>
            <w:tcW w:w="2556" w:type="dxa"/>
          </w:tcPr>
          <w:p>
            <w:pPr>
              <w:pStyle w:val="TableParagraph"/>
              <w:rPr>
                <w:rFonts w:ascii="Times New Roman"/>
                <w:sz w:val="20"/>
              </w:rPr>
            </w:pPr>
          </w:p>
        </w:tc>
      </w:tr>
      <w:tr>
        <w:trPr>
          <w:trHeight w:val="580" w:hRule="atLeast"/>
        </w:trPr>
        <w:tc>
          <w:tcPr>
            <w:tcW w:w="814" w:type="dxa"/>
          </w:tcPr>
          <w:p>
            <w:pPr>
              <w:pStyle w:val="TableParagraph"/>
              <w:spacing w:before="12"/>
              <w:rPr>
                <w:sz w:val="13"/>
              </w:rPr>
            </w:pPr>
          </w:p>
          <w:p>
            <w:pPr>
              <w:pStyle w:val="TableParagraph"/>
              <w:ind w:left="11"/>
              <w:jc w:val="center"/>
              <w:rPr>
                <w:sz w:val="18"/>
              </w:rPr>
            </w:pPr>
            <w:r>
              <w:rPr>
                <w:sz w:val="18"/>
              </w:rPr>
              <w:t>3</w:t>
            </w:r>
          </w:p>
        </w:tc>
        <w:tc>
          <w:tcPr>
            <w:tcW w:w="2413" w:type="dxa"/>
          </w:tcPr>
          <w:p>
            <w:pPr>
              <w:pStyle w:val="TableParagraph"/>
              <w:rPr>
                <w:rFonts w:ascii="Times New Roman"/>
                <w:sz w:val="20"/>
              </w:rPr>
            </w:pPr>
          </w:p>
        </w:tc>
        <w:tc>
          <w:tcPr>
            <w:tcW w:w="3263" w:type="dxa"/>
          </w:tcPr>
          <w:p>
            <w:pPr>
              <w:pStyle w:val="TableParagraph"/>
              <w:rPr>
                <w:rFonts w:ascii="Times New Roman"/>
                <w:sz w:val="20"/>
              </w:rPr>
            </w:pPr>
          </w:p>
        </w:tc>
        <w:tc>
          <w:tcPr>
            <w:tcW w:w="713" w:type="dxa"/>
          </w:tcPr>
          <w:p>
            <w:pPr>
              <w:pStyle w:val="TableParagraph"/>
              <w:rPr>
                <w:rFonts w:ascii="Times New Roman"/>
                <w:sz w:val="20"/>
              </w:rPr>
            </w:pPr>
          </w:p>
        </w:tc>
        <w:tc>
          <w:tcPr>
            <w:tcW w:w="705" w:type="dxa"/>
          </w:tcPr>
          <w:p>
            <w:pPr>
              <w:pStyle w:val="TableParagraph"/>
              <w:rPr>
                <w:rFonts w:ascii="Times New Roman"/>
                <w:sz w:val="20"/>
              </w:rPr>
            </w:pPr>
          </w:p>
        </w:tc>
        <w:tc>
          <w:tcPr>
            <w:tcW w:w="1347" w:type="dxa"/>
          </w:tcPr>
          <w:p>
            <w:pPr>
              <w:pStyle w:val="TableParagraph"/>
              <w:rPr>
                <w:rFonts w:ascii="Times New Roman"/>
                <w:sz w:val="20"/>
              </w:rPr>
            </w:pPr>
          </w:p>
        </w:tc>
        <w:tc>
          <w:tcPr>
            <w:tcW w:w="1490" w:type="dxa"/>
          </w:tcPr>
          <w:p>
            <w:pPr>
              <w:pStyle w:val="TableParagraph"/>
              <w:rPr>
                <w:rFonts w:ascii="Times New Roman"/>
                <w:sz w:val="20"/>
              </w:rPr>
            </w:pPr>
          </w:p>
        </w:tc>
        <w:tc>
          <w:tcPr>
            <w:tcW w:w="2556" w:type="dxa"/>
          </w:tcPr>
          <w:p>
            <w:pPr>
              <w:pStyle w:val="TableParagraph"/>
              <w:rPr>
                <w:rFonts w:ascii="Times New Roman"/>
                <w:sz w:val="20"/>
              </w:rPr>
            </w:pPr>
          </w:p>
        </w:tc>
      </w:tr>
      <w:tr>
        <w:trPr>
          <w:trHeight w:val="587" w:hRule="atLeast"/>
        </w:trPr>
        <w:tc>
          <w:tcPr>
            <w:tcW w:w="814" w:type="dxa"/>
          </w:tcPr>
          <w:p>
            <w:pPr>
              <w:pStyle w:val="TableParagraph"/>
              <w:spacing w:before="6"/>
              <w:rPr>
                <w:sz w:val="14"/>
              </w:rPr>
            </w:pPr>
          </w:p>
          <w:p>
            <w:pPr>
              <w:pStyle w:val="TableParagraph"/>
              <w:ind w:left="11"/>
              <w:jc w:val="center"/>
              <w:rPr>
                <w:sz w:val="18"/>
              </w:rPr>
            </w:pPr>
            <w:r>
              <w:rPr>
                <w:sz w:val="18"/>
              </w:rPr>
              <w:t>4</w:t>
            </w:r>
          </w:p>
        </w:tc>
        <w:tc>
          <w:tcPr>
            <w:tcW w:w="2413" w:type="dxa"/>
          </w:tcPr>
          <w:p>
            <w:pPr>
              <w:pStyle w:val="TableParagraph"/>
              <w:rPr>
                <w:rFonts w:ascii="Times New Roman"/>
                <w:sz w:val="20"/>
              </w:rPr>
            </w:pPr>
          </w:p>
        </w:tc>
        <w:tc>
          <w:tcPr>
            <w:tcW w:w="3263" w:type="dxa"/>
          </w:tcPr>
          <w:p>
            <w:pPr>
              <w:pStyle w:val="TableParagraph"/>
              <w:rPr>
                <w:rFonts w:ascii="Times New Roman"/>
                <w:sz w:val="20"/>
              </w:rPr>
            </w:pPr>
          </w:p>
        </w:tc>
        <w:tc>
          <w:tcPr>
            <w:tcW w:w="713" w:type="dxa"/>
          </w:tcPr>
          <w:p>
            <w:pPr>
              <w:pStyle w:val="TableParagraph"/>
              <w:rPr>
                <w:rFonts w:ascii="Times New Roman"/>
                <w:sz w:val="20"/>
              </w:rPr>
            </w:pPr>
          </w:p>
        </w:tc>
        <w:tc>
          <w:tcPr>
            <w:tcW w:w="705" w:type="dxa"/>
          </w:tcPr>
          <w:p>
            <w:pPr>
              <w:pStyle w:val="TableParagraph"/>
              <w:rPr>
                <w:rFonts w:ascii="Times New Roman"/>
                <w:sz w:val="20"/>
              </w:rPr>
            </w:pPr>
          </w:p>
        </w:tc>
        <w:tc>
          <w:tcPr>
            <w:tcW w:w="1347" w:type="dxa"/>
          </w:tcPr>
          <w:p>
            <w:pPr>
              <w:pStyle w:val="TableParagraph"/>
              <w:rPr>
                <w:rFonts w:ascii="Times New Roman"/>
                <w:sz w:val="20"/>
              </w:rPr>
            </w:pPr>
          </w:p>
        </w:tc>
        <w:tc>
          <w:tcPr>
            <w:tcW w:w="1490" w:type="dxa"/>
          </w:tcPr>
          <w:p>
            <w:pPr>
              <w:pStyle w:val="TableParagraph"/>
              <w:rPr>
                <w:rFonts w:ascii="Times New Roman"/>
                <w:sz w:val="20"/>
              </w:rPr>
            </w:pPr>
          </w:p>
        </w:tc>
        <w:tc>
          <w:tcPr>
            <w:tcW w:w="2556" w:type="dxa"/>
          </w:tcPr>
          <w:p>
            <w:pPr>
              <w:pStyle w:val="TableParagraph"/>
              <w:rPr>
                <w:rFonts w:ascii="Times New Roman"/>
                <w:sz w:val="20"/>
              </w:rPr>
            </w:pPr>
          </w:p>
        </w:tc>
      </w:tr>
      <w:tr>
        <w:trPr>
          <w:trHeight w:val="587" w:hRule="atLeast"/>
        </w:trPr>
        <w:tc>
          <w:tcPr>
            <w:tcW w:w="814" w:type="dxa"/>
          </w:tcPr>
          <w:p>
            <w:pPr>
              <w:pStyle w:val="TableParagraph"/>
              <w:spacing w:before="12"/>
              <w:rPr>
                <w:sz w:val="13"/>
              </w:rPr>
            </w:pPr>
          </w:p>
          <w:p>
            <w:pPr>
              <w:pStyle w:val="TableParagraph"/>
              <w:ind w:left="11"/>
              <w:jc w:val="center"/>
              <w:rPr>
                <w:sz w:val="18"/>
              </w:rPr>
            </w:pPr>
            <w:r>
              <w:rPr>
                <w:sz w:val="18"/>
              </w:rPr>
              <w:t>5</w:t>
            </w:r>
          </w:p>
        </w:tc>
        <w:tc>
          <w:tcPr>
            <w:tcW w:w="2413" w:type="dxa"/>
          </w:tcPr>
          <w:p>
            <w:pPr>
              <w:pStyle w:val="TableParagraph"/>
              <w:rPr>
                <w:rFonts w:ascii="Times New Roman"/>
                <w:sz w:val="20"/>
              </w:rPr>
            </w:pPr>
          </w:p>
        </w:tc>
        <w:tc>
          <w:tcPr>
            <w:tcW w:w="3263" w:type="dxa"/>
          </w:tcPr>
          <w:p>
            <w:pPr>
              <w:pStyle w:val="TableParagraph"/>
              <w:rPr>
                <w:rFonts w:ascii="Times New Roman"/>
                <w:sz w:val="20"/>
              </w:rPr>
            </w:pPr>
          </w:p>
        </w:tc>
        <w:tc>
          <w:tcPr>
            <w:tcW w:w="713" w:type="dxa"/>
          </w:tcPr>
          <w:p>
            <w:pPr>
              <w:pStyle w:val="TableParagraph"/>
              <w:rPr>
                <w:rFonts w:ascii="Times New Roman"/>
                <w:sz w:val="20"/>
              </w:rPr>
            </w:pPr>
          </w:p>
        </w:tc>
        <w:tc>
          <w:tcPr>
            <w:tcW w:w="705" w:type="dxa"/>
          </w:tcPr>
          <w:p>
            <w:pPr>
              <w:pStyle w:val="TableParagraph"/>
              <w:rPr>
                <w:rFonts w:ascii="Times New Roman"/>
                <w:sz w:val="20"/>
              </w:rPr>
            </w:pPr>
          </w:p>
        </w:tc>
        <w:tc>
          <w:tcPr>
            <w:tcW w:w="1347" w:type="dxa"/>
          </w:tcPr>
          <w:p>
            <w:pPr>
              <w:pStyle w:val="TableParagraph"/>
              <w:rPr>
                <w:rFonts w:ascii="Times New Roman"/>
                <w:sz w:val="20"/>
              </w:rPr>
            </w:pPr>
          </w:p>
        </w:tc>
        <w:tc>
          <w:tcPr>
            <w:tcW w:w="1490" w:type="dxa"/>
          </w:tcPr>
          <w:p>
            <w:pPr>
              <w:pStyle w:val="TableParagraph"/>
              <w:rPr>
                <w:rFonts w:ascii="Times New Roman"/>
                <w:sz w:val="20"/>
              </w:rPr>
            </w:pPr>
          </w:p>
        </w:tc>
        <w:tc>
          <w:tcPr>
            <w:tcW w:w="2556" w:type="dxa"/>
          </w:tcPr>
          <w:p>
            <w:pPr>
              <w:pStyle w:val="TableParagraph"/>
              <w:rPr>
                <w:rFonts w:ascii="Times New Roman"/>
                <w:sz w:val="20"/>
              </w:rPr>
            </w:pPr>
          </w:p>
        </w:tc>
      </w:tr>
      <w:tr>
        <w:trPr>
          <w:trHeight w:val="581" w:hRule="atLeast"/>
        </w:trPr>
        <w:tc>
          <w:tcPr>
            <w:tcW w:w="814" w:type="dxa"/>
          </w:tcPr>
          <w:p>
            <w:pPr>
              <w:pStyle w:val="TableParagraph"/>
              <w:spacing w:before="12"/>
              <w:rPr>
                <w:sz w:val="13"/>
              </w:rPr>
            </w:pPr>
          </w:p>
          <w:p>
            <w:pPr>
              <w:pStyle w:val="TableParagraph"/>
              <w:ind w:left="11"/>
              <w:jc w:val="center"/>
              <w:rPr>
                <w:sz w:val="18"/>
              </w:rPr>
            </w:pPr>
            <w:r>
              <w:rPr>
                <w:sz w:val="18"/>
              </w:rPr>
              <w:t>6</w:t>
            </w:r>
          </w:p>
        </w:tc>
        <w:tc>
          <w:tcPr>
            <w:tcW w:w="2413" w:type="dxa"/>
          </w:tcPr>
          <w:p>
            <w:pPr>
              <w:pStyle w:val="TableParagraph"/>
              <w:rPr>
                <w:rFonts w:ascii="Times New Roman"/>
                <w:sz w:val="20"/>
              </w:rPr>
            </w:pPr>
          </w:p>
        </w:tc>
        <w:tc>
          <w:tcPr>
            <w:tcW w:w="3263" w:type="dxa"/>
          </w:tcPr>
          <w:p>
            <w:pPr>
              <w:pStyle w:val="TableParagraph"/>
              <w:rPr>
                <w:rFonts w:ascii="Times New Roman"/>
                <w:sz w:val="20"/>
              </w:rPr>
            </w:pPr>
          </w:p>
        </w:tc>
        <w:tc>
          <w:tcPr>
            <w:tcW w:w="713" w:type="dxa"/>
          </w:tcPr>
          <w:p>
            <w:pPr>
              <w:pStyle w:val="TableParagraph"/>
              <w:rPr>
                <w:rFonts w:ascii="Times New Roman"/>
                <w:sz w:val="20"/>
              </w:rPr>
            </w:pPr>
          </w:p>
        </w:tc>
        <w:tc>
          <w:tcPr>
            <w:tcW w:w="705" w:type="dxa"/>
          </w:tcPr>
          <w:p>
            <w:pPr>
              <w:pStyle w:val="TableParagraph"/>
              <w:rPr>
                <w:rFonts w:ascii="Times New Roman"/>
                <w:sz w:val="20"/>
              </w:rPr>
            </w:pPr>
          </w:p>
        </w:tc>
        <w:tc>
          <w:tcPr>
            <w:tcW w:w="1347" w:type="dxa"/>
          </w:tcPr>
          <w:p>
            <w:pPr>
              <w:pStyle w:val="TableParagraph"/>
              <w:rPr>
                <w:rFonts w:ascii="Times New Roman"/>
                <w:sz w:val="20"/>
              </w:rPr>
            </w:pPr>
          </w:p>
        </w:tc>
        <w:tc>
          <w:tcPr>
            <w:tcW w:w="1490" w:type="dxa"/>
          </w:tcPr>
          <w:p>
            <w:pPr>
              <w:pStyle w:val="TableParagraph"/>
              <w:rPr>
                <w:rFonts w:ascii="Times New Roman"/>
                <w:sz w:val="20"/>
              </w:rPr>
            </w:pPr>
          </w:p>
        </w:tc>
        <w:tc>
          <w:tcPr>
            <w:tcW w:w="2556" w:type="dxa"/>
          </w:tcPr>
          <w:p>
            <w:pPr>
              <w:pStyle w:val="TableParagraph"/>
              <w:rPr>
                <w:rFonts w:ascii="Times New Roman"/>
                <w:sz w:val="20"/>
              </w:rPr>
            </w:pPr>
          </w:p>
        </w:tc>
      </w:tr>
      <w:tr>
        <w:trPr>
          <w:trHeight w:val="587" w:hRule="atLeast"/>
        </w:trPr>
        <w:tc>
          <w:tcPr>
            <w:tcW w:w="814" w:type="dxa"/>
          </w:tcPr>
          <w:p>
            <w:pPr>
              <w:pStyle w:val="TableParagraph"/>
              <w:spacing w:before="6"/>
              <w:rPr>
                <w:sz w:val="14"/>
              </w:rPr>
            </w:pPr>
          </w:p>
          <w:p>
            <w:pPr>
              <w:pStyle w:val="TableParagraph"/>
              <w:spacing w:before="1"/>
              <w:ind w:left="11"/>
              <w:jc w:val="center"/>
              <w:rPr>
                <w:sz w:val="18"/>
              </w:rPr>
            </w:pPr>
            <w:r>
              <w:rPr>
                <w:sz w:val="18"/>
              </w:rPr>
              <w:t>7</w:t>
            </w:r>
          </w:p>
        </w:tc>
        <w:tc>
          <w:tcPr>
            <w:tcW w:w="2413" w:type="dxa"/>
          </w:tcPr>
          <w:p>
            <w:pPr>
              <w:pStyle w:val="TableParagraph"/>
              <w:rPr>
                <w:rFonts w:ascii="Times New Roman"/>
                <w:sz w:val="20"/>
              </w:rPr>
            </w:pPr>
          </w:p>
        </w:tc>
        <w:tc>
          <w:tcPr>
            <w:tcW w:w="3263" w:type="dxa"/>
          </w:tcPr>
          <w:p>
            <w:pPr>
              <w:pStyle w:val="TableParagraph"/>
              <w:rPr>
                <w:rFonts w:ascii="Times New Roman"/>
                <w:sz w:val="20"/>
              </w:rPr>
            </w:pPr>
          </w:p>
        </w:tc>
        <w:tc>
          <w:tcPr>
            <w:tcW w:w="713" w:type="dxa"/>
          </w:tcPr>
          <w:p>
            <w:pPr>
              <w:pStyle w:val="TableParagraph"/>
              <w:rPr>
                <w:rFonts w:ascii="Times New Roman"/>
                <w:sz w:val="20"/>
              </w:rPr>
            </w:pPr>
          </w:p>
        </w:tc>
        <w:tc>
          <w:tcPr>
            <w:tcW w:w="705" w:type="dxa"/>
          </w:tcPr>
          <w:p>
            <w:pPr>
              <w:pStyle w:val="TableParagraph"/>
              <w:rPr>
                <w:rFonts w:ascii="Times New Roman"/>
                <w:sz w:val="20"/>
              </w:rPr>
            </w:pPr>
          </w:p>
        </w:tc>
        <w:tc>
          <w:tcPr>
            <w:tcW w:w="1347" w:type="dxa"/>
          </w:tcPr>
          <w:p>
            <w:pPr>
              <w:pStyle w:val="TableParagraph"/>
              <w:rPr>
                <w:rFonts w:ascii="Times New Roman"/>
                <w:sz w:val="20"/>
              </w:rPr>
            </w:pPr>
          </w:p>
        </w:tc>
        <w:tc>
          <w:tcPr>
            <w:tcW w:w="1490" w:type="dxa"/>
          </w:tcPr>
          <w:p>
            <w:pPr>
              <w:pStyle w:val="TableParagraph"/>
              <w:rPr>
                <w:rFonts w:ascii="Times New Roman"/>
                <w:sz w:val="20"/>
              </w:rPr>
            </w:pPr>
          </w:p>
        </w:tc>
        <w:tc>
          <w:tcPr>
            <w:tcW w:w="2556" w:type="dxa"/>
          </w:tcPr>
          <w:p>
            <w:pPr>
              <w:pStyle w:val="TableParagraph"/>
              <w:rPr>
                <w:rFonts w:ascii="Times New Roman"/>
                <w:sz w:val="20"/>
              </w:rPr>
            </w:pPr>
          </w:p>
        </w:tc>
      </w:tr>
      <w:tr>
        <w:trPr>
          <w:trHeight w:val="588" w:hRule="atLeast"/>
        </w:trPr>
        <w:tc>
          <w:tcPr>
            <w:tcW w:w="814" w:type="dxa"/>
          </w:tcPr>
          <w:p>
            <w:pPr>
              <w:pStyle w:val="TableParagraph"/>
              <w:rPr>
                <w:rFonts w:ascii="Times New Roman"/>
                <w:sz w:val="20"/>
              </w:rPr>
            </w:pPr>
          </w:p>
        </w:tc>
        <w:tc>
          <w:tcPr>
            <w:tcW w:w="2413" w:type="dxa"/>
          </w:tcPr>
          <w:p>
            <w:pPr>
              <w:pStyle w:val="TableParagraph"/>
              <w:spacing w:before="114"/>
              <w:ind w:left="110"/>
              <w:rPr>
                <w:sz w:val="18"/>
              </w:rPr>
            </w:pPr>
            <w:r>
              <w:rPr>
                <w:sz w:val="18"/>
              </w:rPr>
              <w:t>小计</w:t>
            </w:r>
          </w:p>
        </w:tc>
        <w:tc>
          <w:tcPr>
            <w:tcW w:w="3263" w:type="dxa"/>
          </w:tcPr>
          <w:p>
            <w:pPr>
              <w:pStyle w:val="TableParagraph"/>
              <w:rPr>
                <w:rFonts w:ascii="Times New Roman"/>
                <w:sz w:val="20"/>
              </w:rPr>
            </w:pPr>
          </w:p>
        </w:tc>
        <w:tc>
          <w:tcPr>
            <w:tcW w:w="713" w:type="dxa"/>
          </w:tcPr>
          <w:p>
            <w:pPr>
              <w:pStyle w:val="TableParagraph"/>
              <w:rPr>
                <w:rFonts w:ascii="Times New Roman"/>
                <w:sz w:val="20"/>
              </w:rPr>
            </w:pPr>
          </w:p>
        </w:tc>
        <w:tc>
          <w:tcPr>
            <w:tcW w:w="705" w:type="dxa"/>
          </w:tcPr>
          <w:p>
            <w:pPr>
              <w:pStyle w:val="TableParagraph"/>
              <w:rPr>
                <w:rFonts w:ascii="Times New Roman"/>
                <w:sz w:val="20"/>
              </w:rPr>
            </w:pPr>
          </w:p>
        </w:tc>
        <w:tc>
          <w:tcPr>
            <w:tcW w:w="1347" w:type="dxa"/>
          </w:tcPr>
          <w:p>
            <w:pPr>
              <w:pStyle w:val="TableParagraph"/>
              <w:rPr>
                <w:rFonts w:ascii="Times New Roman"/>
                <w:sz w:val="20"/>
              </w:rPr>
            </w:pPr>
          </w:p>
        </w:tc>
        <w:tc>
          <w:tcPr>
            <w:tcW w:w="1490" w:type="dxa"/>
          </w:tcPr>
          <w:p>
            <w:pPr>
              <w:pStyle w:val="TableParagraph"/>
              <w:rPr>
                <w:rFonts w:ascii="Times New Roman"/>
                <w:sz w:val="20"/>
              </w:rPr>
            </w:pPr>
          </w:p>
        </w:tc>
        <w:tc>
          <w:tcPr>
            <w:tcW w:w="2556" w:type="dxa"/>
          </w:tcPr>
          <w:p>
            <w:pPr>
              <w:pStyle w:val="TableParagraph"/>
              <w:rPr>
                <w:rFonts w:ascii="Times New Roman"/>
                <w:sz w:val="20"/>
              </w:rPr>
            </w:pPr>
          </w:p>
        </w:tc>
      </w:tr>
      <w:tr>
        <w:trPr>
          <w:trHeight w:val="587" w:hRule="atLeast"/>
        </w:trPr>
        <w:tc>
          <w:tcPr>
            <w:tcW w:w="3227" w:type="dxa"/>
            <w:gridSpan w:val="2"/>
          </w:tcPr>
          <w:p>
            <w:pPr>
              <w:pStyle w:val="TableParagraph"/>
              <w:spacing w:before="4"/>
              <w:rPr>
                <w:sz w:val="13"/>
              </w:rPr>
            </w:pPr>
          </w:p>
          <w:p>
            <w:pPr>
              <w:pStyle w:val="TableParagraph"/>
              <w:spacing w:before="1"/>
              <w:ind w:left="1136" w:right="1141"/>
              <w:jc w:val="center"/>
              <w:rPr>
                <w:sz w:val="18"/>
              </w:rPr>
            </w:pPr>
            <w:r>
              <w:rPr>
                <w:sz w:val="18"/>
              </w:rPr>
              <w:t>投标总报价</w:t>
            </w:r>
          </w:p>
        </w:tc>
        <w:tc>
          <w:tcPr>
            <w:tcW w:w="10074" w:type="dxa"/>
            <w:gridSpan w:val="6"/>
          </w:tcPr>
          <w:p>
            <w:pPr>
              <w:pStyle w:val="TableParagraph"/>
              <w:spacing w:line="276" w:lineRule="exact"/>
              <w:ind w:left="4250" w:right="4233"/>
              <w:jc w:val="center"/>
              <w:rPr>
                <w:sz w:val="22"/>
              </w:rPr>
            </w:pPr>
            <w:r>
              <w:rPr>
                <w:sz w:val="22"/>
              </w:rPr>
              <w:t>（大写）￥：元</w:t>
            </w:r>
          </w:p>
        </w:tc>
      </w:tr>
    </w:tbl>
    <w:p>
      <w:pPr>
        <w:pStyle w:val="BodyText"/>
        <w:rPr>
          <w:sz w:val="20"/>
        </w:rPr>
      </w:pPr>
    </w:p>
    <w:p>
      <w:pPr>
        <w:pStyle w:val="BodyText"/>
        <w:tabs>
          <w:tab w:pos="7756" w:val="left" w:leader="none"/>
        </w:tabs>
        <w:spacing w:line="321" w:lineRule="auto" w:before="153"/>
        <w:ind w:left="3820" w:right="5694"/>
      </w:pPr>
      <w:r>
        <w:rPr/>
        <w:t>投标单位：</w:t>
      </w:r>
      <w:r>
        <w:rPr>
          <w:u w:val="single"/>
        </w:rPr>
        <w:tab/>
      </w:r>
      <w:r>
        <w:rPr/>
        <w:t>法定代表人或其委托代理人： </w:t>
      </w:r>
      <w:r>
        <w:rPr>
          <w:u w:val="single"/>
        </w:rPr>
        <w:t>（盖章或签字</w:t>
      </w:r>
      <w:r>
        <w:rPr>
          <w:spacing w:val="-7"/>
          <w:u w:val="single"/>
        </w:rPr>
        <w:t> </w:t>
      </w:r>
      <w:r>
        <w:rPr>
          <w:u w:val="single"/>
        </w:rPr>
        <w:t>）</w:t>
      </w:r>
      <w:r>
        <w:rPr>
          <w:spacing w:val="23"/>
          <w:u w:val="single"/>
        </w:rPr>
        <w:t> </w:t>
      </w:r>
    </w:p>
    <w:p>
      <w:pPr>
        <w:pStyle w:val="BodyText"/>
        <w:tabs>
          <w:tab w:pos="741" w:val="left" w:leader="none"/>
          <w:tab w:pos="1577" w:val="left" w:leader="none"/>
        </w:tabs>
        <w:spacing w:before="36"/>
        <w:ind w:right="2825"/>
        <w:jc w:val="center"/>
      </w:pPr>
      <w:r>
        <w:rPr/>
        <w:t>年</w:t>
        <w:tab/>
        <w:t>月</w:t>
        <w:tab/>
        <w:t>日</w:t>
      </w:r>
    </w:p>
    <w:p>
      <w:pPr>
        <w:pStyle w:val="BodyText"/>
        <w:spacing w:before="1"/>
        <w:rPr>
          <w:sz w:val="8"/>
        </w:rPr>
      </w:pPr>
    </w:p>
    <w:p>
      <w:pPr>
        <w:spacing w:before="75"/>
        <w:ind w:left="0" w:right="101" w:firstLine="0"/>
        <w:jc w:val="right"/>
        <w:rPr>
          <w:sz w:val="18"/>
        </w:rPr>
      </w:pPr>
      <w:r>
        <w:rPr>
          <w:sz w:val="18"/>
        </w:rPr>
        <w:t>1</w:t>
      </w:r>
    </w:p>
    <w:p>
      <w:pPr>
        <w:spacing w:after="0"/>
        <w:jc w:val="right"/>
        <w:rPr>
          <w:sz w:val="18"/>
        </w:rPr>
        <w:sectPr>
          <w:pgSz w:w="16850" w:h="11930" w:orient="landscape"/>
          <w:pgMar w:top="1100" w:bottom="280" w:left="1460" w:right="1240"/>
        </w:sectPr>
      </w:pPr>
    </w:p>
    <w:p>
      <w:pPr>
        <w:spacing w:before="46"/>
        <w:ind w:left="247" w:right="0" w:firstLine="0"/>
        <w:jc w:val="left"/>
        <w:rPr>
          <w:sz w:val="23"/>
        </w:rPr>
      </w:pPr>
      <w:r>
        <w:rPr>
          <w:w w:val="105"/>
          <w:sz w:val="23"/>
        </w:rPr>
        <w:t>三、商务承诺</w:t>
      </w:r>
    </w:p>
    <w:p>
      <w:pPr>
        <w:pStyle w:val="BodyText"/>
        <w:rPr>
          <w:sz w:val="24"/>
        </w:rPr>
      </w:pPr>
    </w:p>
    <w:p>
      <w:pPr>
        <w:pStyle w:val="BodyText"/>
        <w:spacing w:before="2"/>
        <w:rPr>
          <w:sz w:val="18"/>
        </w:rPr>
      </w:pPr>
    </w:p>
    <w:p>
      <w:pPr>
        <w:tabs>
          <w:tab w:pos="3179" w:val="left" w:leader="none"/>
          <w:tab w:pos="3647" w:val="left" w:leader="none"/>
        </w:tabs>
        <w:spacing w:line="312" w:lineRule="auto" w:before="0"/>
        <w:ind w:left="484" w:right="38" w:hanging="238"/>
        <w:jc w:val="left"/>
        <w:rPr>
          <w:sz w:val="23"/>
        </w:rPr>
      </w:pPr>
      <w:r>
        <w:rPr>
          <w:spacing w:val="5"/>
          <w:w w:val="105"/>
          <w:sz w:val="23"/>
        </w:rPr>
        <w:t>致</w:t>
      </w:r>
      <w:r>
        <w:rPr>
          <w:spacing w:val="12"/>
          <w:w w:val="105"/>
          <w:sz w:val="23"/>
        </w:rPr>
        <w:t>（</w:t>
      </w:r>
      <w:r>
        <w:rPr>
          <w:spacing w:val="5"/>
          <w:w w:val="105"/>
          <w:sz w:val="23"/>
        </w:rPr>
        <w:t>招</w:t>
      </w:r>
      <w:r>
        <w:rPr>
          <w:spacing w:val="12"/>
          <w:w w:val="105"/>
          <w:sz w:val="23"/>
        </w:rPr>
        <w:t>标</w:t>
      </w:r>
      <w:r>
        <w:rPr>
          <w:spacing w:val="7"/>
          <w:w w:val="105"/>
          <w:sz w:val="23"/>
        </w:rPr>
        <w:t>）</w:t>
      </w:r>
      <w:r>
        <w:rPr>
          <w:spacing w:val="7"/>
          <w:w w:val="105"/>
          <w:sz w:val="23"/>
          <w:u w:val="single"/>
        </w:rPr>
        <w:t> </w:t>
        <w:tab/>
      </w:r>
      <w:r>
        <w:rPr>
          <w:w w:val="105"/>
          <w:sz w:val="23"/>
          <w:u w:val="single"/>
        </w:rPr>
        <w:t>：</w:t>
        <w:tab/>
        <w:t> </w:t>
      </w:r>
      <w:r>
        <w:rPr>
          <w:w w:val="105"/>
          <w:sz w:val="23"/>
        </w:rPr>
        <w:t>若我单</w:t>
      </w:r>
      <w:r>
        <w:rPr>
          <w:spacing w:val="5"/>
          <w:w w:val="105"/>
          <w:sz w:val="23"/>
        </w:rPr>
        <w:t>位</w:t>
      </w:r>
      <w:r>
        <w:rPr>
          <w:w w:val="105"/>
          <w:sz w:val="23"/>
        </w:rPr>
        <w:t>中标</w:t>
      </w:r>
      <w:r>
        <w:rPr>
          <w:spacing w:val="5"/>
          <w:w w:val="105"/>
          <w:sz w:val="23"/>
        </w:rPr>
        <w:t>，</w:t>
      </w:r>
      <w:r>
        <w:rPr>
          <w:w w:val="105"/>
          <w:sz w:val="23"/>
        </w:rPr>
        <w:t>我方</w:t>
      </w:r>
      <w:r>
        <w:rPr>
          <w:spacing w:val="5"/>
          <w:w w:val="105"/>
          <w:sz w:val="23"/>
        </w:rPr>
        <w:t>承</w:t>
      </w:r>
      <w:r>
        <w:rPr>
          <w:w w:val="105"/>
          <w:sz w:val="23"/>
        </w:rPr>
        <w:t>诺：</w:t>
      </w:r>
    </w:p>
    <w:p>
      <w:pPr>
        <w:pStyle w:val="BodyText"/>
        <w:spacing w:before="6"/>
        <w:rPr>
          <w:sz w:val="29"/>
        </w:rPr>
      </w:pPr>
      <w:r>
        <w:rPr/>
        <w:br w:type="column"/>
      </w:r>
      <w:r>
        <w:rPr>
          <w:sz w:val="29"/>
        </w:rPr>
      </w:r>
    </w:p>
    <w:p>
      <w:pPr>
        <w:spacing w:before="0"/>
        <w:ind w:left="247" w:right="0" w:firstLine="0"/>
        <w:jc w:val="left"/>
        <w:rPr>
          <w:sz w:val="28"/>
        </w:rPr>
      </w:pPr>
      <w:r>
        <w:rPr>
          <w:sz w:val="28"/>
        </w:rPr>
        <w:t>商务承诺</w:t>
      </w:r>
    </w:p>
    <w:p>
      <w:pPr>
        <w:spacing w:after="0"/>
        <w:jc w:val="left"/>
        <w:rPr>
          <w:sz w:val="28"/>
        </w:rPr>
        <w:sectPr>
          <w:pgSz w:w="11910" w:h="16870"/>
          <w:pgMar w:top="1400" w:bottom="280" w:left="1460" w:right="1200"/>
          <w:cols w:num="2" w:equalWidth="0">
            <w:col w:w="3688" w:space="930"/>
            <w:col w:w="4632"/>
          </w:cols>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1"/>
        <w:gridCol w:w="3479"/>
        <w:gridCol w:w="4221"/>
      </w:tblGrid>
      <w:tr>
        <w:trPr>
          <w:trHeight w:val="436" w:hRule="atLeast"/>
        </w:trPr>
        <w:tc>
          <w:tcPr>
            <w:tcW w:w="1311" w:type="dxa"/>
          </w:tcPr>
          <w:p>
            <w:pPr>
              <w:pStyle w:val="TableParagraph"/>
              <w:spacing w:before="32"/>
              <w:ind w:left="354" w:right="424"/>
              <w:jc w:val="center"/>
              <w:rPr>
                <w:sz w:val="23"/>
              </w:rPr>
            </w:pPr>
            <w:r>
              <w:rPr>
                <w:w w:val="105"/>
                <w:sz w:val="23"/>
              </w:rPr>
              <w:t>序号</w:t>
            </w:r>
          </w:p>
        </w:tc>
        <w:tc>
          <w:tcPr>
            <w:tcW w:w="3479" w:type="dxa"/>
          </w:tcPr>
          <w:p>
            <w:pPr>
              <w:pStyle w:val="TableParagraph"/>
              <w:spacing w:before="32"/>
              <w:ind w:left="947" w:right="1032"/>
              <w:jc w:val="center"/>
              <w:rPr>
                <w:sz w:val="23"/>
              </w:rPr>
            </w:pPr>
            <w:r>
              <w:rPr>
                <w:w w:val="105"/>
                <w:sz w:val="23"/>
              </w:rPr>
              <w:t>商务条款名称</w:t>
            </w:r>
          </w:p>
        </w:tc>
        <w:tc>
          <w:tcPr>
            <w:tcW w:w="4221" w:type="dxa"/>
          </w:tcPr>
          <w:p>
            <w:pPr>
              <w:pStyle w:val="TableParagraph"/>
              <w:spacing w:before="32"/>
              <w:ind w:left="1076"/>
              <w:rPr>
                <w:sz w:val="23"/>
              </w:rPr>
            </w:pPr>
            <w:r>
              <w:rPr>
                <w:w w:val="105"/>
                <w:sz w:val="23"/>
              </w:rPr>
              <w:t>招标文件要求</w:t>
            </w:r>
          </w:p>
        </w:tc>
      </w:tr>
      <w:tr>
        <w:trPr>
          <w:trHeight w:val="444" w:hRule="atLeast"/>
        </w:trPr>
        <w:tc>
          <w:tcPr>
            <w:tcW w:w="1311" w:type="dxa"/>
          </w:tcPr>
          <w:p>
            <w:pPr>
              <w:pStyle w:val="TableParagraph"/>
              <w:spacing w:before="32"/>
              <w:ind w:right="66"/>
              <w:jc w:val="center"/>
              <w:rPr>
                <w:sz w:val="23"/>
              </w:rPr>
            </w:pPr>
            <w:r>
              <w:rPr>
                <w:w w:val="103"/>
                <w:sz w:val="23"/>
              </w:rPr>
              <w:t>1</w:t>
            </w:r>
          </w:p>
        </w:tc>
        <w:tc>
          <w:tcPr>
            <w:tcW w:w="3479" w:type="dxa"/>
          </w:tcPr>
          <w:p>
            <w:pPr>
              <w:pStyle w:val="TableParagraph"/>
              <w:spacing w:before="32"/>
              <w:ind w:left="947" w:right="1023"/>
              <w:jc w:val="center"/>
              <w:rPr>
                <w:sz w:val="23"/>
              </w:rPr>
            </w:pPr>
            <w:r>
              <w:rPr>
                <w:w w:val="105"/>
                <w:sz w:val="23"/>
              </w:rPr>
              <w:t>工期</w:t>
            </w:r>
          </w:p>
        </w:tc>
        <w:tc>
          <w:tcPr>
            <w:tcW w:w="4221" w:type="dxa"/>
          </w:tcPr>
          <w:p>
            <w:pPr>
              <w:pStyle w:val="TableParagraph"/>
              <w:spacing w:line="281" w:lineRule="exact"/>
              <w:ind w:left="3"/>
              <w:rPr>
                <w:sz w:val="22"/>
              </w:rPr>
            </w:pPr>
            <w:r>
              <w:rPr>
                <w:sz w:val="22"/>
              </w:rPr>
              <w:t>供货期 15 天</w:t>
            </w:r>
          </w:p>
        </w:tc>
      </w:tr>
      <w:tr>
        <w:trPr>
          <w:trHeight w:val="436" w:hRule="atLeast"/>
        </w:trPr>
        <w:tc>
          <w:tcPr>
            <w:tcW w:w="1311" w:type="dxa"/>
          </w:tcPr>
          <w:p>
            <w:pPr>
              <w:pStyle w:val="TableParagraph"/>
              <w:spacing w:before="32"/>
              <w:ind w:right="66"/>
              <w:jc w:val="center"/>
              <w:rPr>
                <w:sz w:val="23"/>
              </w:rPr>
            </w:pPr>
            <w:r>
              <w:rPr>
                <w:w w:val="103"/>
                <w:sz w:val="23"/>
              </w:rPr>
              <w:t>2</w:t>
            </w:r>
          </w:p>
        </w:tc>
        <w:tc>
          <w:tcPr>
            <w:tcW w:w="3479" w:type="dxa"/>
          </w:tcPr>
          <w:p>
            <w:pPr>
              <w:pStyle w:val="TableParagraph"/>
              <w:spacing w:before="32"/>
              <w:ind w:left="947" w:right="1023"/>
              <w:jc w:val="center"/>
              <w:rPr>
                <w:sz w:val="23"/>
              </w:rPr>
            </w:pPr>
            <w:r>
              <w:rPr>
                <w:w w:val="105"/>
                <w:sz w:val="23"/>
              </w:rPr>
              <w:t>质量要求</w:t>
            </w:r>
          </w:p>
        </w:tc>
        <w:tc>
          <w:tcPr>
            <w:tcW w:w="4221" w:type="dxa"/>
          </w:tcPr>
          <w:p>
            <w:pPr>
              <w:pStyle w:val="TableParagraph"/>
              <w:spacing w:line="274" w:lineRule="exact"/>
              <w:ind w:left="3"/>
              <w:rPr>
                <w:sz w:val="22"/>
              </w:rPr>
            </w:pPr>
            <w:r>
              <w:rPr>
                <w:sz w:val="22"/>
              </w:rPr>
              <w:t>合格，确保通过供电部门验收</w:t>
            </w:r>
          </w:p>
        </w:tc>
      </w:tr>
      <w:tr>
        <w:trPr>
          <w:trHeight w:val="1985" w:hRule="atLeast"/>
        </w:trPr>
        <w:tc>
          <w:tcPr>
            <w:tcW w:w="1311" w:type="dxa"/>
          </w:tcPr>
          <w:p>
            <w:pPr>
              <w:pStyle w:val="TableParagraph"/>
              <w:spacing w:before="32"/>
              <w:ind w:right="66"/>
              <w:jc w:val="center"/>
              <w:rPr>
                <w:sz w:val="23"/>
              </w:rPr>
            </w:pPr>
            <w:r>
              <w:rPr>
                <w:w w:val="103"/>
                <w:sz w:val="23"/>
              </w:rPr>
              <w:t>3</w:t>
            </w:r>
          </w:p>
        </w:tc>
        <w:tc>
          <w:tcPr>
            <w:tcW w:w="3479" w:type="dxa"/>
          </w:tcPr>
          <w:p>
            <w:pPr>
              <w:pStyle w:val="TableParagraph"/>
              <w:spacing w:before="32"/>
              <w:ind w:left="947" w:right="1023"/>
              <w:jc w:val="center"/>
              <w:rPr>
                <w:sz w:val="23"/>
              </w:rPr>
            </w:pPr>
            <w:r>
              <w:rPr>
                <w:w w:val="105"/>
                <w:sz w:val="23"/>
              </w:rPr>
              <w:t>付款方式</w:t>
            </w:r>
          </w:p>
        </w:tc>
        <w:tc>
          <w:tcPr>
            <w:tcW w:w="4221" w:type="dxa"/>
          </w:tcPr>
          <w:p>
            <w:pPr>
              <w:pStyle w:val="TableParagraph"/>
              <w:spacing w:line="281" w:lineRule="exact"/>
              <w:ind w:left="3"/>
              <w:rPr>
                <w:sz w:val="22"/>
              </w:rPr>
            </w:pPr>
            <w:r>
              <w:rPr>
                <w:sz w:val="22"/>
              </w:rPr>
              <w:t>合同签订后三个工作日内买方支付合同价的</w:t>
            </w:r>
          </w:p>
          <w:p>
            <w:pPr>
              <w:pStyle w:val="TableParagraph"/>
              <w:spacing w:line="242" w:lineRule="auto" w:before="6"/>
              <w:ind w:left="3" w:right="22"/>
              <w:rPr>
                <w:sz w:val="22"/>
              </w:rPr>
            </w:pPr>
            <w:r>
              <w:rPr>
                <w:sz w:val="22"/>
              </w:rPr>
              <w:t>10%</w:t>
            </w:r>
            <w:r>
              <w:rPr>
                <w:spacing w:val="-11"/>
                <w:sz w:val="22"/>
              </w:rPr>
              <w:t>，货物发货前付至合同价的 </w:t>
            </w:r>
            <w:r>
              <w:rPr>
                <w:sz w:val="22"/>
              </w:rPr>
              <w:t>20%，乙方</w:t>
            </w:r>
            <w:r>
              <w:rPr>
                <w:spacing w:val="-10"/>
                <w:sz w:val="22"/>
              </w:rPr>
              <w:t>将货物送至买方指定地点且提供合同价 </w:t>
            </w:r>
            <w:r>
              <w:rPr>
                <w:sz w:val="22"/>
              </w:rPr>
              <w:t>5% </w:t>
            </w:r>
            <w:r>
              <w:rPr>
                <w:spacing w:val="-8"/>
                <w:sz w:val="22"/>
              </w:rPr>
              <w:t>的银行保函给甲方，甲方在五个工作日内验</w:t>
            </w:r>
            <w:r>
              <w:rPr>
                <w:spacing w:val="-11"/>
                <w:sz w:val="22"/>
              </w:rPr>
              <w:t>收合格后付至合同价的 </w:t>
            </w:r>
            <w:r>
              <w:rPr>
                <w:sz w:val="22"/>
              </w:rPr>
              <w:t>30</w:t>
            </w:r>
            <w:r>
              <w:rPr>
                <w:spacing w:val="-3"/>
                <w:sz w:val="22"/>
              </w:rPr>
              <w:t>%，余款竣工验收</w:t>
            </w:r>
            <w:r>
              <w:rPr>
                <w:spacing w:val="-10"/>
                <w:sz w:val="22"/>
              </w:rPr>
              <w:t>合格后付清。合同价 </w:t>
            </w:r>
            <w:r>
              <w:rPr>
                <w:sz w:val="22"/>
              </w:rPr>
              <w:t>5</w:t>
            </w:r>
            <w:r>
              <w:rPr>
                <w:spacing w:val="-5"/>
                <w:sz w:val="22"/>
              </w:rPr>
              <w:t>%的银行保函作为保</w:t>
            </w:r>
          </w:p>
          <w:p>
            <w:pPr>
              <w:pStyle w:val="TableParagraph"/>
              <w:spacing w:line="251" w:lineRule="exact" w:before="3"/>
              <w:ind w:left="3"/>
              <w:rPr>
                <w:sz w:val="22"/>
              </w:rPr>
            </w:pPr>
            <w:r>
              <w:rPr>
                <w:spacing w:val="-10"/>
                <w:sz w:val="22"/>
              </w:rPr>
              <w:t>修金，保函有效期至 </w:t>
            </w:r>
            <w:r>
              <w:rPr>
                <w:spacing w:val="-3"/>
                <w:sz w:val="22"/>
              </w:rPr>
              <w:t>2018</w:t>
            </w:r>
            <w:r>
              <w:rPr>
                <w:spacing w:val="-33"/>
                <w:sz w:val="22"/>
              </w:rPr>
              <w:t> 年 </w:t>
            </w:r>
            <w:r>
              <w:rPr>
                <w:sz w:val="22"/>
              </w:rPr>
              <w:t>12</w:t>
            </w:r>
            <w:r>
              <w:rPr>
                <w:spacing w:val="-36"/>
                <w:sz w:val="22"/>
              </w:rPr>
              <w:t> 月 </w:t>
            </w:r>
            <w:r>
              <w:rPr>
                <w:sz w:val="22"/>
              </w:rPr>
              <w:t>31</w:t>
            </w:r>
            <w:r>
              <w:rPr>
                <w:spacing w:val="-18"/>
                <w:sz w:val="22"/>
              </w:rPr>
              <w:t> 日。</w:t>
            </w:r>
          </w:p>
        </w:tc>
      </w:tr>
      <w:tr>
        <w:trPr>
          <w:trHeight w:val="436" w:hRule="atLeast"/>
        </w:trPr>
        <w:tc>
          <w:tcPr>
            <w:tcW w:w="1311" w:type="dxa"/>
          </w:tcPr>
          <w:p>
            <w:pPr>
              <w:pStyle w:val="TableParagraph"/>
              <w:spacing w:before="32"/>
              <w:ind w:right="66"/>
              <w:jc w:val="center"/>
              <w:rPr>
                <w:sz w:val="23"/>
              </w:rPr>
            </w:pPr>
            <w:r>
              <w:rPr>
                <w:w w:val="103"/>
                <w:sz w:val="23"/>
              </w:rPr>
              <w:t>4</w:t>
            </w:r>
          </w:p>
        </w:tc>
        <w:tc>
          <w:tcPr>
            <w:tcW w:w="3479" w:type="dxa"/>
          </w:tcPr>
          <w:p>
            <w:pPr>
              <w:pStyle w:val="TableParagraph"/>
              <w:spacing w:before="32"/>
              <w:ind w:left="947" w:right="1024"/>
              <w:jc w:val="center"/>
              <w:rPr>
                <w:sz w:val="23"/>
              </w:rPr>
            </w:pPr>
            <w:r>
              <w:rPr>
                <w:w w:val="105"/>
                <w:sz w:val="23"/>
              </w:rPr>
              <w:t>履约保证金</w:t>
            </w:r>
          </w:p>
        </w:tc>
        <w:tc>
          <w:tcPr>
            <w:tcW w:w="4221" w:type="dxa"/>
          </w:tcPr>
          <w:p>
            <w:pPr>
              <w:pStyle w:val="TableParagraph"/>
              <w:spacing w:line="274" w:lineRule="exact"/>
              <w:ind w:left="3"/>
              <w:rPr>
                <w:sz w:val="22"/>
              </w:rPr>
            </w:pPr>
            <w:r>
              <w:rPr>
                <w:sz w:val="22"/>
              </w:rPr>
              <w:t>合同价的 5%</w:t>
            </w:r>
          </w:p>
        </w:tc>
      </w:tr>
      <w:tr>
        <w:trPr>
          <w:trHeight w:val="444" w:hRule="atLeast"/>
        </w:trPr>
        <w:tc>
          <w:tcPr>
            <w:tcW w:w="1311" w:type="dxa"/>
          </w:tcPr>
          <w:p>
            <w:pPr>
              <w:pStyle w:val="TableParagraph"/>
              <w:spacing w:before="32"/>
              <w:ind w:right="66"/>
              <w:jc w:val="center"/>
              <w:rPr>
                <w:sz w:val="23"/>
              </w:rPr>
            </w:pPr>
            <w:r>
              <w:rPr>
                <w:w w:val="103"/>
                <w:sz w:val="23"/>
              </w:rPr>
              <w:t>5</w:t>
            </w:r>
          </w:p>
        </w:tc>
        <w:tc>
          <w:tcPr>
            <w:tcW w:w="3479" w:type="dxa"/>
          </w:tcPr>
          <w:p>
            <w:pPr>
              <w:pStyle w:val="TableParagraph"/>
              <w:spacing w:before="32"/>
              <w:ind w:left="947" w:right="1016"/>
              <w:jc w:val="center"/>
              <w:rPr>
                <w:sz w:val="23"/>
              </w:rPr>
            </w:pPr>
            <w:r>
              <w:rPr>
                <w:w w:val="105"/>
                <w:sz w:val="23"/>
              </w:rPr>
              <w:t>质保期</w:t>
            </w:r>
          </w:p>
        </w:tc>
        <w:tc>
          <w:tcPr>
            <w:tcW w:w="4221" w:type="dxa"/>
          </w:tcPr>
          <w:p>
            <w:pPr>
              <w:pStyle w:val="TableParagraph"/>
              <w:spacing w:line="281" w:lineRule="exact"/>
              <w:ind w:left="3"/>
              <w:rPr>
                <w:sz w:val="22"/>
              </w:rPr>
            </w:pPr>
            <w:r>
              <w:rPr>
                <w:sz w:val="22"/>
              </w:rPr>
              <w:t>1 年</w:t>
            </w:r>
          </w:p>
        </w:tc>
      </w:tr>
    </w:tbl>
    <w:p>
      <w:pPr>
        <w:pStyle w:val="BodyText"/>
        <w:rPr>
          <w:sz w:val="20"/>
        </w:rPr>
      </w:pPr>
    </w:p>
    <w:p>
      <w:pPr>
        <w:pStyle w:val="BodyText"/>
        <w:rPr>
          <w:sz w:val="15"/>
        </w:rPr>
      </w:pPr>
    </w:p>
    <w:p>
      <w:pPr>
        <w:spacing w:before="75"/>
        <w:ind w:left="247" w:right="0" w:firstLine="0"/>
        <w:jc w:val="left"/>
        <w:rPr>
          <w:sz w:val="23"/>
        </w:rPr>
      </w:pPr>
      <w:r>
        <w:rPr>
          <w:w w:val="105"/>
          <w:sz w:val="23"/>
        </w:rPr>
        <w:t>投标人（盖章）</w:t>
      </w:r>
    </w:p>
    <w:p>
      <w:pPr>
        <w:pStyle w:val="BodyText"/>
        <w:rPr>
          <w:sz w:val="24"/>
        </w:rPr>
      </w:pPr>
    </w:p>
    <w:p>
      <w:pPr>
        <w:pStyle w:val="BodyText"/>
        <w:spacing w:before="8"/>
        <w:rPr>
          <w:sz w:val="17"/>
        </w:rPr>
      </w:pPr>
    </w:p>
    <w:p>
      <w:pPr>
        <w:spacing w:before="0"/>
        <w:ind w:left="247" w:right="0" w:firstLine="0"/>
        <w:jc w:val="left"/>
        <w:rPr>
          <w:sz w:val="23"/>
        </w:rPr>
      </w:pPr>
      <w:r>
        <w:rPr>
          <w:w w:val="105"/>
          <w:sz w:val="23"/>
        </w:rPr>
        <w:t>法定代表人或其委托代理人（签字或盖章）</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4"/>
        </w:rPr>
      </w:pPr>
    </w:p>
    <w:p>
      <w:pPr>
        <w:spacing w:before="93"/>
        <w:ind w:left="0" w:right="206" w:firstLine="0"/>
        <w:jc w:val="right"/>
        <w:rPr>
          <w:rFonts w:ascii="Times New Roman"/>
          <w:sz w:val="18"/>
        </w:rPr>
      </w:pPr>
      <w:r>
        <w:rPr>
          <w:rFonts w:ascii="Times New Roman"/>
          <w:sz w:val="18"/>
        </w:rPr>
        <w:t>1</w:t>
      </w:r>
    </w:p>
    <w:p>
      <w:pPr>
        <w:spacing w:after="0"/>
        <w:jc w:val="right"/>
        <w:rPr>
          <w:rFonts w:ascii="Times New Roman"/>
          <w:sz w:val="18"/>
        </w:rPr>
        <w:sectPr>
          <w:type w:val="continuous"/>
          <w:pgSz w:w="11910" w:h="16870"/>
          <w:pgMar w:top="1600" w:bottom="280" w:left="1460" w:right="1200"/>
        </w:sectPr>
      </w:pPr>
    </w:p>
    <w:p>
      <w:pPr>
        <w:pStyle w:val="BodyText"/>
        <w:spacing w:before="1"/>
        <w:rPr>
          <w:rFonts w:ascii="Times New Roman"/>
          <w:sz w:val="14"/>
        </w:rPr>
      </w:pPr>
    </w:p>
    <w:p>
      <w:pPr>
        <w:spacing w:before="74"/>
        <w:ind w:left="664" w:right="0" w:firstLine="0"/>
        <w:jc w:val="left"/>
        <w:rPr>
          <w:sz w:val="23"/>
        </w:rPr>
      </w:pPr>
      <w:r>
        <w:rPr>
          <w:w w:val="105"/>
          <w:sz w:val="23"/>
        </w:rPr>
        <w:t>四、设备及材料技术说明</w:t>
      </w:r>
    </w:p>
    <w:p>
      <w:pPr>
        <w:spacing w:line="314" w:lineRule="auto" w:before="94"/>
        <w:ind w:left="664" w:right="817" w:firstLine="0"/>
        <w:jc w:val="both"/>
        <w:rPr>
          <w:sz w:val="23"/>
        </w:rPr>
      </w:pPr>
      <w:r>
        <w:rPr>
          <w:sz w:val="23"/>
        </w:rPr>
        <w:t>投标人应详细描述本次投标设备及材料的技术规格、功能、性能、可靠 性、寿命等。投标人应就本次投标设备各部件所选用的材质等投标人认 为应该说明的技术资料进行详细描述。投标人还须提供采用的生产标准 </w:t>
      </w:r>
      <w:r>
        <w:rPr>
          <w:w w:val="105"/>
          <w:sz w:val="23"/>
        </w:rPr>
        <w:t>及技术规范的情况以及生产设备、材料的检测设备和方法。</w:t>
      </w:r>
    </w:p>
    <w:p>
      <w:pPr>
        <w:pStyle w:val="BodyText"/>
        <w:rPr>
          <w:sz w:val="24"/>
        </w:rPr>
      </w:pPr>
    </w:p>
    <w:p>
      <w:pPr>
        <w:pStyle w:val="BodyText"/>
        <w:rPr>
          <w:sz w:val="24"/>
        </w:rPr>
      </w:pPr>
    </w:p>
    <w:p>
      <w:pPr>
        <w:pStyle w:val="BodyText"/>
        <w:spacing w:before="3"/>
        <w:rPr>
          <w:sz w:val="23"/>
        </w:rPr>
      </w:pPr>
    </w:p>
    <w:p>
      <w:pPr>
        <w:spacing w:before="0"/>
        <w:ind w:left="664" w:right="0" w:firstLine="0"/>
        <w:jc w:val="both"/>
        <w:rPr>
          <w:sz w:val="23"/>
        </w:rPr>
      </w:pPr>
      <w:r>
        <w:rPr>
          <w:w w:val="105"/>
          <w:sz w:val="23"/>
        </w:rPr>
        <w:t>五 、售后服务体系及承诺</w:t>
      </w:r>
    </w:p>
    <w:p>
      <w:pPr>
        <w:pStyle w:val="BodyText"/>
        <w:rPr>
          <w:sz w:val="24"/>
        </w:rPr>
      </w:pPr>
    </w:p>
    <w:p>
      <w:pPr>
        <w:pStyle w:val="BodyText"/>
        <w:spacing w:before="2"/>
        <w:rPr>
          <w:sz w:val="18"/>
        </w:rPr>
      </w:pPr>
    </w:p>
    <w:p>
      <w:pPr>
        <w:spacing w:before="1"/>
        <w:ind w:left="664" w:right="0" w:firstLine="0"/>
        <w:jc w:val="both"/>
        <w:rPr>
          <w:sz w:val="23"/>
        </w:rPr>
      </w:pPr>
      <w:r>
        <w:rPr>
          <w:w w:val="105"/>
          <w:sz w:val="23"/>
        </w:rPr>
        <w:t>六 、其它投标人认为有必要提供的资料</w:t>
      </w:r>
    </w:p>
    <w:p>
      <w:pPr>
        <w:spacing w:after="0"/>
        <w:jc w:val="both"/>
        <w:rPr>
          <w:sz w:val="23"/>
        </w:rPr>
        <w:sectPr>
          <w:pgSz w:w="11910" w:h="16850"/>
          <w:pgMar w:top="1600" w:bottom="280" w:left="1360" w:right="1360"/>
        </w:sectPr>
      </w:pPr>
    </w:p>
    <w:p>
      <w:pPr>
        <w:spacing w:before="60"/>
        <w:ind w:left="440" w:right="0" w:firstLine="0"/>
        <w:jc w:val="left"/>
        <w:rPr>
          <w:sz w:val="23"/>
        </w:rPr>
      </w:pPr>
      <w:r>
        <w:rPr>
          <w:w w:val="105"/>
          <w:sz w:val="23"/>
        </w:rPr>
        <w:t>附件 1：低压电力电缆技术规范</w:t>
      </w:r>
    </w:p>
    <w:p>
      <w:pPr>
        <w:pStyle w:val="BodyText"/>
        <w:spacing w:before="1"/>
        <w:rPr>
          <w:sz w:val="29"/>
        </w:rPr>
      </w:pPr>
    </w:p>
    <w:p>
      <w:pPr>
        <w:spacing w:before="1"/>
        <w:ind w:left="0" w:right="1" w:firstLine="0"/>
        <w:jc w:val="center"/>
        <w:rPr>
          <w:sz w:val="52"/>
        </w:rPr>
      </w:pPr>
      <w:r>
        <w:rPr>
          <w:sz w:val="52"/>
        </w:rPr>
        <w:t>低压电力电缆技术规范</w:t>
      </w:r>
    </w:p>
    <w:p>
      <w:pPr>
        <w:pStyle w:val="BodyText"/>
        <w:spacing w:before="1"/>
        <w:rPr>
          <w:sz w:val="43"/>
        </w:rPr>
      </w:pPr>
    </w:p>
    <w:p>
      <w:pPr>
        <w:spacing w:before="0"/>
        <w:ind w:left="0" w:right="5" w:firstLine="0"/>
        <w:jc w:val="center"/>
        <w:rPr>
          <w:sz w:val="31"/>
        </w:rPr>
      </w:pPr>
      <w:r>
        <w:rPr>
          <w:sz w:val="31"/>
        </w:rPr>
        <w:t>目录</w:t>
      </w:r>
    </w:p>
    <w:p>
      <w:pPr>
        <w:pStyle w:val="ListParagraph"/>
        <w:numPr>
          <w:ilvl w:val="0"/>
          <w:numId w:val="31"/>
        </w:numPr>
        <w:tabs>
          <w:tab w:pos="765" w:val="left" w:leader="none"/>
          <w:tab w:pos="766" w:val="left" w:leader="none"/>
          <w:tab w:pos="8752" w:val="right" w:leader="dot"/>
        </w:tabs>
        <w:spacing w:line="240" w:lineRule="auto" w:before="214" w:after="0"/>
        <w:ind w:left="765" w:right="0" w:hanging="325"/>
        <w:jc w:val="left"/>
        <w:rPr>
          <w:rFonts w:ascii="Calibri" w:eastAsia="Calibri"/>
          <w:sz w:val="22"/>
        </w:rPr>
      </w:pPr>
      <w:hyperlink w:history="true" w:anchor="_bookmark0">
        <w:r>
          <w:rPr>
            <w:color w:val="0000FF"/>
            <w:sz w:val="21"/>
            <w:u w:val="single" w:color="0000FF"/>
          </w:rPr>
          <w:t>规范性引用文件</w:t>
        </w:r>
        <w:r>
          <w:rPr>
            <w:sz w:val="21"/>
          </w:rPr>
          <w:tab/>
        </w:r>
        <w:r>
          <w:rPr>
            <w:rFonts w:ascii="Calibri" w:eastAsia="Calibri"/>
            <w:sz w:val="22"/>
          </w:rPr>
          <w:t>3</w:t>
        </w:r>
      </w:hyperlink>
    </w:p>
    <w:p>
      <w:pPr>
        <w:pStyle w:val="ListParagraph"/>
        <w:numPr>
          <w:ilvl w:val="0"/>
          <w:numId w:val="31"/>
        </w:numPr>
        <w:tabs>
          <w:tab w:pos="765" w:val="left" w:leader="none"/>
          <w:tab w:pos="766" w:val="left" w:leader="none"/>
          <w:tab w:pos="8752" w:val="right" w:leader="dot"/>
        </w:tabs>
        <w:spacing w:line="240" w:lineRule="auto" w:before="5" w:after="0"/>
        <w:ind w:left="765" w:right="0" w:hanging="325"/>
        <w:jc w:val="left"/>
        <w:rPr>
          <w:rFonts w:ascii="Calibri" w:eastAsia="Calibri"/>
          <w:sz w:val="22"/>
        </w:rPr>
      </w:pPr>
      <w:hyperlink w:history="true" w:anchor="_bookmark1">
        <w:r>
          <w:rPr>
            <w:color w:val="0000FF"/>
            <w:sz w:val="21"/>
            <w:u w:val="single" w:color="0000FF"/>
          </w:rPr>
          <w:t>技术参数及要求</w:t>
        </w:r>
        <w:r>
          <w:rPr>
            <w:sz w:val="21"/>
          </w:rPr>
          <w:tab/>
        </w:r>
        <w:r>
          <w:rPr>
            <w:rFonts w:ascii="Calibri" w:eastAsia="Calibri"/>
            <w:sz w:val="22"/>
          </w:rPr>
          <w:t>3</w:t>
        </w:r>
      </w:hyperlink>
    </w:p>
    <w:p>
      <w:pPr>
        <w:pStyle w:val="ListParagraph"/>
        <w:numPr>
          <w:ilvl w:val="0"/>
          <w:numId w:val="31"/>
        </w:numPr>
        <w:tabs>
          <w:tab w:pos="758" w:val="left" w:leader="none"/>
          <w:tab w:pos="759" w:val="left" w:leader="none"/>
          <w:tab w:pos="8754" w:val="right" w:leader="dot"/>
        </w:tabs>
        <w:spacing w:line="240" w:lineRule="auto" w:before="5" w:after="0"/>
        <w:ind w:left="758" w:right="0" w:hanging="318"/>
        <w:jc w:val="left"/>
        <w:rPr>
          <w:rFonts w:ascii="Calibri" w:eastAsia="Calibri"/>
          <w:sz w:val="22"/>
        </w:rPr>
      </w:pPr>
      <w:hyperlink w:history="true" w:anchor="_bookmark2">
        <w:r>
          <w:rPr>
            <w:color w:val="0000FF"/>
            <w:sz w:val="21"/>
            <w:u w:val="single" w:color="0000FF"/>
          </w:rPr>
          <w:t>使用环境条件表</w:t>
        </w:r>
        <w:r>
          <w:rPr>
            <w:sz w:val="21"/>
          </w:rPr>
          <w:tab/>
        </w:r>
        <w:r>
          <w:rPr>
            <w:rFonts w:ascii="Calibri" w:eastAsia="Calibri"/>
            <w:sz w:val="22"/>
          </w:rPr>
          <w:t>10</w:t>
        </w:r>
      </w:hyperlink>
    </w:p>
    <w:p>
      <w:pPr>
        <w:tabs>
          <w:tab w:pos="765" w:val="left" w:leader="none"/>
          <w:tab w:pos="8754" w:val="right" w:leader="dot"/>
        </w:tabs>
        <w:spacing w:before="4"/>
        <w:ind w:left="440" w:right="0" w:firstLine="0"/>
        <w:jc w:val="left"/>
        <w:rPr>
          <w:rFonts w:ascii="Calibri" w:eastAsia="Calibri"/>
          <w:sz w:val="22"/>
        </w:rPr>
      </w:pPr>
      <w:hyperlink w:history="true" w:anchor="_bookmark3">
        <w:r>
          <w:rPr>
            <w:color w:val="0000FF"/>
            <w:sz w:val="21"/>
            <w:u w:val="single" w:color="0000FF"/>
          </w:rPr>
          <w:t>4</w:t>
          <w:tab/>
          <w:t>试验</w:t>
        </w:r>
        <w:r>
          <w:rPr>
            <w:sz w:val="21"/>
          </w:rPr>
          <w:tab/>
        </w:r>
        <w:r>
          <w:rPr>
            <w:rFonts w:ascii="Calibri" w:eastAsia="Calibri"/>
            <w:sz w:val="22"/>
          </w:rPr>
          <w:t>11</w:t>
        </w:r>
      </w:hyperlink>
    </w:p>
    <w:p>
      <w:pPr>
        <w:pStyle w:val="BodyText"/>
        <w:tabs>
          <w:tab w:pos="765" w:val="left" w:leader="none"/>
          <w:tab w:pos="8754" w:val="right" w:leader="dot"/>
        </w:tabs>
        <w:spacing w:before="5"/>
        <w:ind w:left="440"/>
        <w:rPr>
          <w:rFonts w:ascii="Calibri" w:eastAsia="Calibri"/>
          <w:sz w:val="22"/>
        </w:rPr>
      </w:pPr>
      <w:hyperlink w:history="true" w:anchor="_bookmark4">
        <w:r>
          <w:rPr>
            <w:color w:val="0000FF"/>
            <w:u w:val="single" w:color="0000FF"/>
          </w:rPr>
          <w:t>5</w:t>
          <w:tab/>
          <w:t>包装及运输</w:t>
        </w:r>
        <w:r>
          <w:rPr/>
          <w:tab/>
        </w:r>
        <w:r>
          <w:rPr>
            <w:rFonts w:ascii="Calibri" w:eastAsia="Calibri"/>
            <w:sz w:val="22"/>
          </w:rPr>
          <w:t>13</w:t>
        </w:r>
      </w:hyperlink>
    </w:p>
    <w:p>
      <w:pPr>
        <w:spacing w:before="697"/>
        <w:ind w:left="2998" w:right="0" w:firstLine="0"/>
        <w:jc w:val="left"/>
        <w:rPr>
          <w:sz w:val="31"/>
        </w:rPr>
      </w:pPr>
      <w:r>
        <w:rPr>
          <w:sz w:val="31"/>
        </w:rPr>
        <w:t>低压电力电缆技术规范</w:t>
      </w:r>
    </w:p>
    <w:p>
      <w:pPr>
        <w:pStyle w:val="BodyText"/>
        <w:rPr>
          <w:sz w:val="28"/>
        </w:rPr>
      </w:pPr>
    </w:p>
    <w:p>
      <w:pPr>
        <w:pStyle w:val="BodyText"/>
        <w:spacing w:before="8"/>
        <w:rPr>
          <w:sz w:val="25"/>
        </w:rPr>
      </w:pPr>
    </w:p>
    <w:p>
      <w:pPr>
        <w:pStyle w:val="ListParagraph"/>
        <w:numPr>
          <w:ilvl w:val="0"/>
          <w:numId w:val="32"/>
        </w:numPr>
        <w:tabs>
          <w:tab w:pos="672" w:val="left" w:leader="none"/>
        </w:tabs>
        <w:spacing w:line="240" w:lineRule="auto" w:before="0" w:after="0"/>
        <w:ind w:left="671" w:right="0" w:hanging="231"/>
        <w:jc w:val="left"/>
        <w:rPr>
          <w:rFonts w:ascii="PMingLiU" w:eastAsia="PMingLiU" w:hint="eastAsia"/>
          <w:sz w:val="21"/>
        </w:rPr>
      </w:pPr>
      <w:bookmarkStart w:name="1  规范性引用文件" w:id="15"/>
      <w:bookmarkEnd w:id="15"/>
      <w:r>
        <w:rPr/>
      </w:r>
      <w:bookmarkStart w:name="_bookmark0" w:id="16"/>
      <w:bookmarkEnd w:id="16"/>
      <w:r>
        <w:rPr/>
      </w:r>
      <w:bookmarkStart w:name="_bookmark0" w:id="17"/>
      <w:bookmarkEnd w:id="17"/>
      <w:r>
        <w:rPr>
          <w:rFonts w:ascii="PMingLiU" w:eastAsia="PMingLiU" w:hint="eastAsia"/>
          <w:sz w:val="21"/>
        </w:rPr>
        <w:t>规范性引用文件</w:t>
      </w:r>
    </w:p>
    <w:p>
      <w:pPr>
        <w:pStyle w:val="BodyText"/>
        <w:spacing w:line="417" w:lineRule="auto" w:before="220"/>
        <w:ind w:left="440" w:right="451"/>
      </w:pPr>
      <w:r>
        <w:rPr>
          <w:w w:val="95"/>
        </w:rPr>
        <w:t>下列文件对于本文件的应用是必不可少的。凡是注日期的引用文件，仅注日期的版本适用   </w:t>
      </w:r>
      <w:r>
        <w:rPr/>
        <w:t>于本文件。凡是不注日期的引用文件，其最新版本适用于本文件。</w:t>
      </w:r>
    </w:p>
    <w:p>
      <w:pPr>
        <w:pStyle w:val="BodyText"/>
        <w:tabs>
          <w:tab w:pos="1601" w:val="left" w:leader="none"/>
        </w:tabs>
        <w:spacing w:line="417" w:lineRule="auto"/>
        <w:ind w:left="440" w:right="556"/>
      </w:pPr>
      <w:r>
        <w:rPr/>
        <w:t>GB 12706</w:t>
        <w:tab/>
        <w:t>额定电压1kV（Um＝1.2kV）到35kV（</w:t>
      </w:r>
      <w:r>
        <w:rPr>
          <w:spacing w:val="-21"/>
        </w:rPr>
        <w:t> </w:t>
      </w:r>
      <w:r>
        <w:rPr/>
        <w:t>Um＝40.5kV）挤包绝缘电力</w:t>
      </w:r>
      <w:r>
        <w:rPr>
          <w:spacing w:val="5"/>
        </w:rPr>
        <w:t>电</w:t>
      </w:r>
      <w:r>
        <w:rPr/>
        <w:t>缆及附件IEC</w:t>
      </w:r>
      <w:r>
        <w:rPr>
          <w:spacing w:val="-2"/>
        </w:rPr>
        <w:t> </w:t>
      </w:r>
      <w:r>
        <w:rPr/>
        <w:t>60502</w:t>
        <w:tab/>
        <w:t>额定电压1kV（Um＝1.2kV）到30kV</w:t>
      </w:r>
      <w:r>
        <w:rPr>
          <w:spacing w:val="-6"/>
        </w:rPr>
        <w:t> </w:t>
      </w:r>
      <w:r>
        <w:rPr/>
        <w:t>Um＝36kV）的挤包绝缘电力电</w:t>
      </w:r>
      <w:r>
        <w:rPr>
          <w:spacing w:val="5"/>
        </w:rPr>
        <w:t>缆</w:t>
      </w:r>
      <w:r>
        <w:rPr/>
        <w:t>及附件GB</w:t>
      </w:r>
      <w:r>
        <w:rPr>
          <w:spacing w:val="-1"/>
        </w:rPr>
        <w:t> </w:t>
      </w:r>
      <w:r>
        <w:rPr/>
        <w:t>3597</w:t>
        <w:tab/>
        <w:t>电力电缆铜、铝导电线芯</w:t>
      </w:r>
    </w:p>
    <w:p>
      <w:pPr>
        <w:pStyle w:val="BodyText"/>
        <w:tabs>
          <w:tab w:pos="1601" w:val="left" w:leader="none"/>
        </w:tabs>
        <w:ind w:left="440"/>
      </w:pPr>
      <w:r>
        <w:rPr/>
        <w:t>GB/T3048</w:t>
        <w:tab/>
      </w:r>
      <w:r>
        <w:rPr>
          <w:w w:val="95"/>
        </w:rPr>
        <w:t>电线电缆电性能试验方法</w:t>
      </w:r>
    </w:p>
    <w:p>
      <w:pPr>
        <w:pStyle w:val="BodyText"/>
        <w:spacing w:before="7"/>
        <w:rPr>
          <w:sz w:val="15"/>
        </w:rPr>
      </w:pPr>
    </w:p>
    <w:p>
      <w:pPr>
        <w:pStyle w:val="BodyText"/>
        <w:tabs>
          <w:tab w:pos="1601" w:val="left" w:leader="none"/>
        </w:tabs>
        <w:spacing w:before="1"/>
        <w:ind w:left="440"/>
      </w:pPr>
      <w:r>
        <w:rPr/>
        <w:t>GB/T3956</w:t>
        <w:tab/>
        <w:t>电缆的导体</w:t>
      </w:r>
    </w:p>
    <w:p>
      <w:pPr>
        <w:pStyle w:val="BodyText"/>
        <w:spacing w:before="6"/>
        <w:rPr>
          <w:sz w:val="15"/>
        </w:rPr>
      </w:pPr>
    </w:p>
    <w:p>
      <w:pPr>
        <w:pStyle w:val="BodyText"/>
        <w:tabs>
          <w:tab w:pos="1601" w:val="left" w:leader="none"/>
        </w:tabs>
        <w:ind w:left="440"/>
      </w:pPr>
      <w:r>
        <w:rPr/>
        <w:t>GB</w:t>
      </w:r>
      <w:r>
        <w:rPr>
          <w:spacing w:val="-1"/>
        </w:rPr>
        <w:t> </w:t>
      </w:r>
      <w:r>
        <w:rPr/>
        <w:t>6995</w:t>
        <w:tab/>
        <w:t>电线电缆识别标志方法</w:t>
      </w:r>
    </w:p>
    <w:p>
      <w:pPr>
        <w:pStyle w:val="BodyText"/>
        <w:spacing w:before="7"/>
        <w:rPr>
          <w:sz w:val="15"/>
        </w:rPr>
      </w:pPr>
    </w:p>
    <w:p>
      <w:pPr>
        <w:pStyle w:val="BodyText"/>
        <w:tabs>
          <w:tab w:pos="1601" w:val="left" w:leader="none"/>
        </w:tabs>
        <w:ind w:left="440"/>
      </w:pPr>
      <w:r>
        <w:rPr/>
        <w:t>DL/T 401</w:t>
        <w:tab/>
        <w:t>高压电缆选用导则</w:t>
      </w:r>
    </w:p>
    <w:p>
      <w:pPr>
        <w:pStyle w:val="BodyText"/>
        <w:spacing w:before="7"/>
        <w:rPr>
          <w:sz w:val="15"/>
        </w:rPr>
      </w:pPr>
    </w:p>
    <w:p>
      <w:pPr>
        <w:pStyle w:val="BodyText"/>
        <w:tabs>
          <w:tab w:pos="1601" w:val="left" w:leader="none"/>
        </w:tabs>
        <w:ind w:left="440"/>
      </w:pPr>
      <w:r>
        <w:rPr/>
        <w:t>GB</w:t>
      </w:r>
      <w:r>
        <w:rPr>
          <w:spacing w:val="-1"/>
        </w:rPr>
        <w:t> </w:t>
      </w:r>
      <w:r>
        <w:rPr/>
        <w:t>2952</w:t>
        <w:tab/>
        <w:t>电缆外护套</w:t>
      </w:r>
    </w:p>
    <w:p>
      <w:pPr>
        <w:pStyle w:val="BodyText"/>
        <w:spacing w:before="7"/>
        <w:rPr>
          <w:sz w:val="15"/>
        </w:rPr>
      </w:pPr>
    </w:p>
    <w:p>
      <w:pPr>
        <w:pStyle w:val="BodyText"/>
        <w:tabs>
          <w:tab w:pos="1601" w:val="left" w:leader="none"/>
        </w:tabs>
        <w:ind w:left="440"/>
      </w:pPr>
      <w:r>
        <w:rPr/>
        <w:t>GB 50217</w:t>
        <w:tab/>
        <w:t>电力工程电缆设计规范</w:t>
      </w:r>
    </w:p>
    <w:p>
      <w:pPr>
        <w:pStyle w:val="BodyText"/>
        <w:spacing w:before="1"/>
        <w:rPr>
          <w:sz w:val="17"/>
        </w:rPr>
      </w:pPr>
    </w:p>
    <w:p>
      <w:pPr>
        <w:pStyle w:val="ListParagraph"/>
        <w:numPr>
          <w:ilvl w:val="0"/>
          <w:numId w:val="32"/>
        </w:numPr>
        <w:tabs>
          <w:tab w:pos="672" w:val="left" w:leader="none"/>
        </w:tabs>
        <w:spacing w:line="240" w:lineRule="auto" w:before="0" w:after="0"/>
        <w:ind w:left="671" w:right="0" w:hanging="231"/>
        <w:jc w:val="left"/>
        <w:rPr>
          <w:rFonts w:ascii="PMingLiU" w:eastAsia="PMingLiU" w:hint="eastAsia"/>
          <w:sz w:val="21"/>
        </w:rPr>
      </w:pPr>
      <w:bookmarkStart w:name="2  技术参数及要求" w:id="18"/>
      <w:bookmarkEnd w:id="18"/>
      <w:r>
        <w:rPr/>
      </w:r>
      <w:bookmarkStart w:name="_bookmark1" w:id="19"/>
      <w:bookmarkEnd w:id="19"/>
      <w:r>
        <w:rPr/>
      </w:r>
      <w:bookmarkStart w:name="_bookmark1" w:id="20"/>
      <w:bookmarkEnd w:id="20"/>
      <w:r>
        <w:rPr>
          <w:rFonts w:ascii="PMingLiU" w:eastAsia="PMingLiU" w:hint="eastAsia"/>
          <w:sz w:val="21"/>
        </w:rPr>
        <w:t>技术参数及要求</w:t>
      </w:r>
    </w:p>
    <w:p>
      <w:pPr>
        <w:pStyle w:val="ListParagraph"/>
        <w:numPr>
          <w:ilvl w:val="1"/>
          <w:numId w:val="32"/>
        </w:numPr>
        <w:tabs>
          <w:tab w:pos="867" w:val="left" w:leader="none"/>
          <w:tab w:pos="1917" w:val="left" w:leader="none"/>
        </w:tabs>
        <w:spacing w:line="240" w:lineRule="auto" w:before="213" w:after="0"/>
        <w:ind w:left="866" w:right="0" w:hanging="426"/>
        <w:jc w:val="left"/>
        <w:rPr>
          <w:sz w:val="21"/>
        </w:rPr>
      </w:pPr>
      <w:r>
        <w:rPr>
          <w:sz w:val="21"/>
        </w:rPr>
        <w:t>设备名称</w:t>
        <w:tab/>
        <w:t>1kV交联电缆</w:t>
      </w:r>
    </w:p>
    <w:p>
      <w:pPr>
        <w:pStyle w:val="BodyText"/>
        <w:spacing w:before="7"/>
        <w:rPr>
          <w:sz w:val="15"/>
        </w:rPr>
      </w:pPr>
    </w:p>
    <w:p>
      <w:pPr>
        <w:pStyle w:val="ListParagraph"/>
        <w:numPr>
          <w:ilvl w:val="1"/>
          <w:numId w:val="32"/>
        </w:numPr>
        <w:tabs>
          <w:tab w:pos="867" w:val="left" w:leader="none"/>
        </w:tabs>
        <w:spacing w:line="240" w:lineRule="auto" w:before="0" w:after="0"/>
        <w:ind w:left="866" w:right="0" w:hanging="426"/>
        <w:jc w:val="left"/>
        <w:rPr>
          <w:sz w:val="21"/>
        </w:rPr>
      </w:pPr>
      <w:r>
        <w:rPr>
          <w:sz w:val="21"/>
        </w:rPr>
        <w:t>系统额定电压：1kV及以下</w:t>
      </w:r>
    </w:p>
    <w:p>
      <w:pPr>
        <w:pStyle w:val="BodyText"/>
        <w:spacing w:before="7"/>
        <w:rPr>
          <w:sz w:val="15"/>
        </w:rPr>
      </w:pPr>
    </w:p>
    <w:p>
      <w:pPr>
        <w:pStyle w:val="ListParagraph"/>
        <w:numPr>
          <w:ilvl w:val="1"/>
          <w:numId w:val="32"/>
        </w:numPr>
        <w:tabs>
          <w:tab w:pos="867" w:val="left" w:leader="none"/>
        </w:tabs>
        <w:spacing w:line="240" w:lineRule="auto" w:before="0" w:after="0"/>
        <w:ind w:left="866" w:right="0" w:hanging="426"/>
        <w:jc w:val="left"/>
        <w:rPr>
          <w:sz w:val="21"/>
        </w:rPr>
      </w:pPr>
      <w:r>
        <w:rPr>
          <w:sz w:val="21"/>
        </w:rPr>
        <w:t>电缆额定电压（U0/U）：0.6/1kV</w:t>
      </w:r>
    </w:p>
    <w:p>
      <w:pPr>
        <w:pStyle w:val="BodyText"/>
        <w:spacing w:before="6"/>
        <w:rPr>
          <w:sz w:val="15"/>
        </w:rPr>
      </w:pPr>
    </w:p>
    <w:p>
      <w:pPr>
        <w:pStyle w:val="ListParagraph"/>
        <w:numPr>
          <w:ilvl w:val="1"/>
          <w:numId w:val="32"/>
        </w:numPr>
        <w:tabs>
          <w:tab w:pos="867" w:val="left" w:leader="none"/>
        </w:tabs>
        <w:spacing w:line="240" w:lineRule="auto" w:before="1" w:after="0"/>
        <w:ind w:left="866" w:right="0" w:hanging="426"/>
        <w:jc w:val="left"/>
        <w:rPr>
          <w:sz w:val="21"/>
        </w:rPr>
      </w:pPr>
      <w:r>
        <w:rPr>
          <w:sz w:val="21"/>
        </w:rPr>
        <w:t>额定频率：50Hz</w:t>
      </w:r>
    </w:p>
    <w:p>
      <w:pPr>
        <w:spacing w:after="0" w:line="240" w:lineRule="auto"/>
        <w:jc w:val="left"/>
        <w:rPr>
          <w:sz w:val="21"/>
        </w:rPr>
        <w:sectPr>
          <w:pgSz w:w="11910" w:h="16850"/>
          <w:pgMar w:top="1380" w:bottom="280" w:left="1360" w:right="1360"/>
        </w:sectPr>
      </w:pPr>
    </w:p>
    <w:p>
      <w:pPr>
        <w:pStyle w:val="ListParagraph"/>
        <w:numPr>
          <w:ilvl w:val="1"/>
          <w:numId w:val="32"/>
        </w:numPr>
        <w:tabs>
          <w:tab w:pos="867" w:val="left" w:leader="none"/>
        </w:tabs>
        <w:spacing w:line="240" w:lineRule="auto" w:before="39" w:after="0"/>
        <w:ind w:left="866" w:right="0" w:hanging="426"/>
        <w:jc w:val="left"/>
        <w:rPr>
          <w:sz w:val="21"/>
        </w:rPr>
      </w:pPr>
      <w:r>
        <w:rPr>
          <w:sz w:val="21"/>
        </w:rPr>
        <w:t>敷设条件</w:t>
      </w:r>
    </w:p>
    <w:p>
      <w:pPr>
        <w:pStyle w:val="BodyText"/>
        <w:spacing w:before="7"/>
        <w:rPr>
          <w:sz w:val="15"/>
        </w:rPr>
      </w:pPr>
    </w:p>
    <w:p>
      <w:pPr>
        <w:pStyle w:val="BodyText"/>
        <w:spacing w:line="417" w:lineRule="auto"/>
        <w:ind w:left="440" w:right="451"/>
      </w:pPr>
      <w:r>
        <w:rPr>
          <w:w w:val="95"/>
        </w:rPr>
        <w:t>敷设环境有空气中、直埋、沟槽、排管、桥架、竖井、隧道等多种方式。地下敷设时电缆   </w:t>
      </w:r>
      <w:r>
        <w:rPr/>
        <w:t>局部可能完全浸于水中。</w:t>
      </w:r>
    </w:p>
    <w:p>
      <w:pPr>
        <w:pStyle w:val="ListParagraph"/>
        <w:numPr>
          <w:ilvl w:val="1"/>
          <w:numId w:val="32"/>
        </w:numPr>
        <w:tabs>
          <w:tab w:pos="867" w:val="left" w:leader="none"/>
        </w:tabs>
        <w:spacing w:line="198" w:lineRule="exact" w:before="0" w:after="0"/>
        <w:ind w:left="866" w:right="0" w:hanging="426"/>
        <w:jc w:val="left"/>
        <w:rPr>
          <w:sz w:val="21"/>
        </w:rPr>
      </w:pPr>
      <w:r>
        <w:rPr>
          <w:sz w:val="21"/>
        </w:rPr>
        <w:t>0.6/1kV</w:t>
      </w:r>
      <w:r>
        <w:rPr>
          <w:spacing w:val="-11"/>
          <w:sz w:val="21"/>
        </w:rPr>
        <w:t> 挤包绝缘电力电缆结构及技术参数见表 </w:t>
      </w:r>
      <w:r>
        <w:rPr>
          <w:sz w:val="21"/>
        </w:rPr>
        <w:t>1。</w:t>
      </w:r>
    </w:p>
    <w:p>
      <w:pPr>
        <w:pStyle w:val="BodyText"/>
        <w:tabs>
          <w:tab w:pos="590" w:val="left" w:leader="none"/>
        </w:tabs>
        <w:spacing w:line="374" w:lineRule="exact"/>
        <w:jc w:val="center"/>
      </w:pPr>
      <w:r>
        <w:rPr/>
        <w:pict>
          <v:shape style="position:absolute;margin-left:73.127998pt;margin-top:16.432507pt;width:449.05pt;height:576.65pt;mso-position-horizontal-relative:page;mso-position-vertical-relative:paragraph;z-index:116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900"/>
                    <w:gridCol w:w="2744"/>
                    <w:gridCol w:w="835"/>
                    <w:gridCol w:w="93"/>
                    <w:gridCol w:w="93"/>
                    <w:gridCol w:w="1916"/>
                    <w:gridCol w:w="1808"/>
                  </w:tblGrid>
                  <w:tr>
                    <w:trPr>
                      <w:trHeight w:val="854" w:hRule="atLeast"/>
                    </w:trPr>
                    <w:tc>
                      <w:tcPr>
                        <w:tcW w:w="576" w:type="dxa"/>
                      </w:tcPr>
                      <w:p>
                        <w:pPr>
                          <w:pStyle w:val="TableParagraph"/>
                          <w:spacing w:line="283" w:lineRule="auto"/>
                          <w:ind w:left="110" w:right="230"/>
                          <w:rPr>
                            <w:sz w:val="22"/>
                          </w:rPr>
                        </w:pPr>
                        <w:r>
                          <w:rPr>
                            <w:sz w:val="22"/>
                          </w:rPr>
                          <w:t>序号</w:t>
                        </w:r>
                      </w:p>
                    </w:tc>
                    <w:tc>
                      <w:tcPr>
                        <w:tcW w:w="3644" w:type="dxa"/>
                        <w:gridSpan w:val="2"/>
                      </w:tcPr>
                      <w:p>
                        <w:pPr>
                          <w:pStyle w:val="TableParagraph"/>
                          <w:tabs>
                            <w:tab w:pos="613" w:val="left" w:leader="none"/>
                          </w:tabs>
                          <w:spacing w:before="160"/>
                          <w:ind w:left="23"/>
                          <w:jc w:val="center"/>
                          <w:rPr>
                            <w:sz w:val="22"/>
                          </w:rPr>
                        </w:pPr>
                        <w:r>
                          <w:rPr>
                            <w:sz w:val="22"/>
                          </w:rPr>
                          <w:t>项</w:t>
                          <w:tab/>
                          <w:t>目</w:t>
                        </w:r>
                      </w:p>
                    </w:tc>
                    <w:tc>
                      <w:tcPr>
                        <w:tcW w:w="1021" w:type="dxa"/>
                        <w:gridSpan w:val="3"/>
                      </w:tcPr>
                      <w:p>
                        <w:pPr>
                          <w:pStyle w:val="TableParagraph"/>
                          <w:spacing w:before="160"/>
                          <w:ind w:left="292"/>
                          <w:rPr>
                            <w:sz w:val="22"/>
                          </w:rPr>
                        </w:pPr>
                        <w:r>
                          <w:rPr>
                            <w:sz w:val="22"/>
                          </w:rPr>
                          <w:t>单位</w:t>
                        </w:r>
                      </w:p>
                    </w:tc>
                    <w:tc>
                      <w:tcPr>
                        <w:tcW w:w="1916" w:type="dxa"/>
                      </w:tcPr>
                      <w:p>
                        <w:pPr>
                          <w:pStyle w:val="TableParagraph"/>
                          <w:spacing w:before="160"/>
                          <w:ind w:left="416"/>
                          <w:rPr>
                            <w:sz w:val="22"/>
                          </w:rPr>
                        </w:pPr>
                        <w:r>
                          <w:rPr>
                            <w:sz w:val="22"/>
                          </w:rPr>
                          <w:t>标准参数值</w:t>
                        </w:r>
                      </w:p>
                    </w:tc>
                    <w:tc>
                      <w:tcPr>
                        <w:tcW w:w="1808" w:type="dxa"/>
                      </w:tcPr>
                      <w:p>
                        <w:pPr>
                          <w:pStyle w:val="TableParagraph"/>
                          <w:spacing w:before="160"/>
                          <w:ind w:left="688" w:right="630"/>
                          <w:jc w:val="center"/>
                          <w:rPr>
                            <w:sz w:val="22"/>
                          </w:rPr>
                        </w:pPr>
                        <w:r>
                          <w:rPr>
                            <w:sz w:val="22"/>
                          </w:rPr>
                          <w:t>备注</w:t>
                        </w:r>
                      </w:p>
                    </w:tc>
                  </w:tr>
                  <w:tr>
                    <w:trPr>
                      <w:trHeight w:val="530" w:hRule="atLeast"/>
                    </w:trPr>
                    <w:tc>
                      <w:tcPr>
                        <w:tcW w:w="576" w:type="dxa"/>
                      </w:tcPr>
                      <w:p>
                        <w:pPr>
                          <w:pStyle w:val="TableParagraph"/>
                          <w:spacing w:before="15"/>
                          <w:ind w:left="8"/>
                          <w:jc w:val="center"/>
                          <w:rPr>
                            <w:rFonts w:ascii="Arial"/>
                            <w:sz w:val="22"/>
                          </w:rPr>
                        </w:pPr>
                        <w:r>
                          <w:rPr>
                            <w:rFonts w:ascii="Arial"/>
                            <w:w w:val="101"/>
                            <w:sz w:val="22"/>
                          </w:rPr>
                          <w:t>1</w:t>
                        </w:r>
                      </w:p>
                    </w:tc>
                    <w:tc>
                      <w:tcPr>
                        <w:tcW w:w="8389" w:type="dxa"/>
                        <w:gridSpan w:val="7"/>
                      </w:tcPr>
                      <w:p>
                        <w:pPr>
                          <w:pStyle w:val="TableParagraph"/>
                          <w:spacing w:line="276" w:lineRule="exact"/>
                          <w:ind w:left="110"/>
                          <w:rPr>
                            <w:sz w:val="22"/>
                          </w:rPr>
                        </w:pPr>
                        <w:r>
                          <w:rPr>
                            <w:sz w:val="22"/>
                          </w:rPr>
                          <w:t>0.6/1kV 挤包绝缘电力电缆结构参数</w:t>
                        </w:r>
                      </w:p>
                    </w:tc>
                  </w:tr>
                  <w:tr>
                    <w:trPr>
                      <w:trHeight w:val="1423" w:hRule="atLeast"/>
                    </w:trPr>
                    <w:tc>
                      <w:tcPr>
                        <w:tcW w:w="576" w:type="dxa"/>
                        <w:vMerge w:val="restart"/>
                      </w:tcPr>
                      <w:p>
                        <w:pPr>
                          <w:pStyle w:val="TableParagraph"/>
                          <w:rPr>
                            <w:sz w:val="24"/>
                          </w:rPr>
                        </w:pPr>
                      </w:p>
                      <w:p>
                        <w:pPr>
                          <w:pStyle w:val="TableParagraph"/>
                          <w:spacing w:before="11"/>
                          <w:rPr>
                            <w:sz w:val="32"/>
                          </w:rPr>
                        </w:pPr>
                      </w:p>
                      <w:p>
                        <w:pPr>
                          <w:pStyle w:val="TableParagraph"/>
                          <w:ind w:left="139"/>
                          <w:rPr>
                            <w:rFonts w:ascii="Arial"/>
                            <w:sz w:val="22"/>
                          </w:rPr>
                        </w:pPr>
                        <w:r>
                          <w:rPr>
                            <w:rFonts w:ascii="Arial"/>
                            <w:sz w:val="22"/>
                          </w:rPr>
                          <w:t>1.1</w:t>
                        </w:r>
                      </w:p>
                    </w:tc>
                    <w:tc>
                      <w:tcPr>
                        <w:tcW w:w="3644" w:type="dxa"/>
                        <w:gridSpan w:val="2"/>
                      </w:tcPr>
                      <w:p>
                        <w:pPr>
                          <w:pStyle w:val="TableParagraph"/>
                          <w:rPr>
                            <w:sz w:val="22"/>
                          </w:rPr>
                        </w:pPr>
                      </w:p>
                      <w:p>
                        <w:pPr>
                          <w:pStyle w:val="TableParagraph"/>
                          <w:spacing w:before="159"/>
                          <w:ind w:left="22"/>
                          <w:jc w:val="center"/>
                          <w:rPr>
                            <w:sz w:val="22"/>
                          </w:rPr>
                        </w:pPr>
                        <w:r>
                          <w:rPr>
                            <w:sz w:val="22"/>
                          </w:rPr>
                          <w:t>电缆型号</w:t>
                        </w:r>
                      </w:p>
                    </w:tc>
                    <w:tc>
                      <w:tcPr>
                        <w:tcW w:w="835" w:type="dxa"/>
                      </w:tcPr>
                      <w:p>
                        <w:pPr>
                          <w:pStyle w:val="TableParagraph"/>
                          <w:rPr>
                            <w:sz w:val="24"/>
                          </w:rPr>
                        </w:pPr>
                      </w:p>
                      <w:p>
                        <w:pPr>
                          <w:pStyle w:val="TableParagraph"/>
                          <w:spacing w:before="154"/>
                          <w:ind w:left="23"/>
                          <w:jc w:val="center"/>
                          <w:rPr>
                            <w:rFonts w:ascii="Arial"/>
                            <w:sz w:val="22"/>
                          </w:rPr>
                        </w:pPr>
                        <w:r>
                          <w:rPr>
                            <w:rFonts w:ascii="Arial"/>
                            <w:w w:val="101"/>
                            <w:sz w:val="22"/>
                          </w:rPr>
                          <w:t>/</w:t>
                        </w:r>
                      </w:p>
                    </w:tc>
                    <w:tc>
                      <w:tcPr>
                        <w:tcW w:w="2102" w:type="dxa"/>
                        <w:gridSpan w:val="3"/>
                      </w:tcPr>
                      <w:p>
                        <w:pPr>
                          <w:pStyle w:val="TableParagraph"/>
                          <w:spacing w:line="242" w:lineRule="auto"/>
                          <w:ind w:left="112" w:right="478"/>
                          <w:rPr>
                            <w:rFonts w:ascii="Arial" w:eastAsia="Arial"/>
                            <w:sz w:val="22"/>
                          </w:rPr>
                        </w:pPr>
                        <w:r>
                          <w:rPr>
                            <w:rFonts w:ascii="Arial" w:eastAsia="Arial"/>
                            <w:sz w:val="22"/>
                          </w:rPr>
                          <w:t>YJV</w:t>
                        </w:r>
                        <w:r>
                          <w:rPr>
                            <w:sz w:val="22"/>
                          </w:rPr>
                          <w:t>、</w:t>
                        </w:r>
                        <w:r>
                          <w:rPr>
                            <w:rFonts w:ascii="Arial" w:eastAsia="Arial"/>
                            <w:sz w:val="22"/>
                          </w:rPr>
                          <w:t>YJV22</w:t>
                        </w:r>
                        <w:r>
                          <w:rPr>
                            <w:sz w:val="22"/>
                          </w:rPr>
                          <w:t>、</w:t>
                        </w:r>
                        <w:r>
                          <w:rPr>
                            <w:rFonts w:ascii="Arial" w:eastAsia="Arial"/>
                            <w:sz w:val="22"/>
                          </w:rPr>
                          <w:t>WD-YJY</w:t>
                        </w:r>
                        <w:r>
                          <w:rPr>
                            <w:sz w:val="22"/>
                          </w:rPr>
                          <w:t>、</w:t>
                        </w:r>
                        <w:r>
                          <w:rPr>
                            <w:rFonts w:ascii="Arial" w:eastAsia="Arial"/>
                            <w:sz w:val="22"/>
                          </w:rPr>
                          <w:t>WD-YJY22</w:t>
                        </w:r>
                        <w:r>
                          <w:rPr>
                            <w:sz w:val="22"/>
                          </w:rPr>
                          <w:t>、</w:t>
                        </w:r>
                        <w:r>
                          <w:rPr>
                            <w:rFonts w:ascii="Arial" w:eastAsia="Arial"/>
                            <w:sz w:val="22"/>
                          </w:rPr>
                          <w:t>NH-YJV</w:t>
                        </w:r>
                        <w:r>
                          <w:rPr>
                            <w:sz w:val="22"/>
                          </w:rPr>
                          <w:t>、</w:t>
                        </w:r>
                        <w:r>
                          <w:rPr>
                            <w:rFonts w:ascii="Arial" w:eastAsia="Arial"/>
                            <w:sz w:val="22"/>
                          </w:rPr>
                          <w:t>NH-</w:t>
                        </w:r>
                      </w:p>
                      <w:p>
                        <w:pPr>
                          <w:pStyle w:val="TableParagraph"/>
                          <w:spacing w:line="263" w:lineRule="exact" w:before="1"/>
                          <w:ind w:left="112"/>
                          <w:rPr>
                            <w:sz w:val="22"/>
                          </w:rPr>
                        </w:pPr>
                        <w:r>
                          <w:rPr>
                            <w:rFonts w:ascii="Arial" w:eastAsia="Arial"/>
                            <w:sz w:val="22"/>
                          </w:rPr>
                          <w:t>YJV22</w:t>
                        </w:r>
                        <w:r>
                          <w:rPr>
                            <w:sz w:val="22"/>
                          </w:rPr>
                          <w:t>、</w:t>
                        </w:r>
                      </w:p>
                    </w:tc>
                    <w:tc>
                      <w:tcPr>
                        <w:tcW w:w="1808" w:type="dxa"/>
                      </w:tcPr>
                      <w:p>
                        <w:pPr>
                          <w:pStyle w:val="TableParagraph"/>
                          <w:rPr>
                            <w:rFonts w:ascii="Times New Roman"/>
                            <w:sz w:val="22"/>
                          </w:rPr>
                        </w:pPr>
                      </w:p>
                    </w:tc>
                  </w:tr>
                  <w:tr>
                    <w:trPr>
                      <w:trHeight w:val="529" w:hRule="atLeast"/>
                    </w:trPr>
                    <w:tc>
                      <w:tcPr>
                        <w:tcW w:w="576" w:type="dxa"/>
                        <w:vMerge/>
                        <w:tcBorders>
                          <w:top w:val="nil"/>
                        </w:tcBorders>
                      </w:tcPr>
                      <w:p>
                        <w:pPr>
                          <w:rPr>
                            <w:sz w:val="2"/>
                            <w:szCs w:val="2"/>
                          </w:rPr>
                        </w:pPr>
                      </w:p>
                    </w:tc>
                    <w:tc>
                      <w:tcPr>
                        <w:tcW w:w="3644" w:type="dxa"/>
                        <w:gridSpan w:val="2"/>
                      </w:tcPr>
                      <w:p>
                        <w:pPr>
                          <w:pStyle w:val="TableParagraph"/>
                          <w:spacing w:before="1"/>
                          <w:ind w:left="22"/>
                          <w:jc w:val="center"/>
                          <w:rPr>
                            <w:sz w:val="22"/>
                          </w:rPr>
                        </w:pPr>
                        <w:r>
                          <w:rPr>
                            <w:sz w:val="22"/>
                          </w:rPr>
                          <w:t>阻燃等级</w:t>
                        </w:r>
                      </w:p>
                    </w:tc>
                    <w:tc>
                      <w:tcPr>
                        <w:tcW w:w="2937" w:type="dxa"/>
                        <w:gridSpan w:val="4"/>
                      </w:tcPr>
                      <w:p>
                        <w:pPr>
                          <w:pStyle w:val="TableParagraph"/>
                          <w:spacing w:before="1"/>
                          <w:ind w:left="810"/>
                          <w:rPr>
                            <w:rFonts w:ascii="Arial" w:eastAsia="Arial"/>
                            <w:sz w:val="22"/>
                          </w:rPr>
                        </w:pPr>
                        <w:r>
                          <w:rPr>
                            <w:rFonts w:ascii="Arial" w:eastAsia="Arial"/>
                            <w:sz w:val="22"/>
                          </w:rPr>
                          <w:t>ZA</w:t>
                        </w:r>
                        <w:r>
                          <w:rPr>
                            <w:sz w:val="22"/>
                          </w:rPr>
                          <w:t>、</w:t>
                        </w:r>
                        <w:r>
                          <w:rPr>
                            <w:rFonts w:ascii="Arial" w:eastAsia="Arial"/>
                            <w:sz w:val="22"/>
                          </w:rPr>
                          <w:t>ZB</w:t>
                        </w:r>
                        <w:r>
                          <w:rPr>
                            <w:sz w:val="22"/>
                          </w:rPr>
                          <w:t>、</w:t>
                        </w:r>
                        <w:r>
                          <w:rPr>
                            <w:rFonts w:ascii="Arial" w:eastAsia="Arial"/>
                            <w:sz w:val="22"/>
                          </w:rPr>
                          <w:t>ZC</w:t>
                        </w:r>
                      </w:p>
                    </w:tc>
                    <w:tc>
                      <w:tcPr>
                        <w:tcW w:w="1808" w:type="dxa"/>
                      </w:tcPr>
                      <w:p>
                        <w:pPr>
                          <w:pStyle w:val="TableParagraph"/>
                          <w:rPr>
                            <w:rFonts w:ascii="Times New Roman"/>
                            <w:sz w:val="22"/>
                          </w:rPr>
                        </w:pPr>
                      </w:p>
                    </w:tc>
                  </w:tr>
                  <w:tr>
                    <w:trPr>
                      <w:trHeight w:val="530" w:hRule="atLeast"/>
                    </w:trPr>
                    <w:tc>
                      <w:tcPr>
                        <w:tcW w:w="576"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34"/>
                          </w:rPr>
                        </w:pPr>
                      </w:p>
                      <w:p>
                        <w:pPr>
                          <w:pStyle w:val="TableParagraph"/>
                          <w:spacing w:before="1"/>
                          <w:ind w:left="139"/>
                          <w:rPr>
                            <w:rFonts w:ascii="Arial"/>
                            <w:sz w:val="22"/>
                          </w:rPr>
                        </w:pPr>
                        <w:r>
                          <w:rPr>
                            <w:rFonts w:ascii="Arial"/>
                            <w:sz w:val="22"/>
                          </w:rPr>
                          <w:t>1.2</w:t>
                        </w:r>
                      </w:p>
                    </w:tc>
                    <w:tc>
                      <w:tcPr>
                        <w:tcW w:w="90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7"/>
                          </w:rPr>
                        </w:pPr>
                      </w:p>
                      <w:p>
                        <w:pPr>
                          <w:pStyle w:val="TableParagraph"/>
                          <w:spacing w:before="1"/>
                          <w:ind w:left="117"/>
                          <w:rPr>
                            <w:sz w:val="22"/>
                          </w:rPr>
                        </w:pPr>
                        <w:r>
                          <w:rPr>
                            <w:sz w:val="22"/>
                          </w:rPr>
                          <w:t>铜导体</w:t>
                        </w:r>
                      </w:p>
                    </w:tc>
                    <w:tc>
                      <w:tcPr>
                        <w:tcW w:w="2744" w:type="dxa"/>
                      </w:tcPr>
                      <w:p>
                        <w:pPr>
                          <w:pStyle w:val="TableParagraph"/>
                          <w:spacing w:line="276" w:lineRule="exact"/>
                          <w:ind w:left="145" w:right="122"/>
                          <w:jc w:val="center"/>
                          <w:rPr>
                            <w:sz w:val="22"/>
                          </w:rPr>
                        </w:pPr>
                        <w:r>
                          <w:rPr>
                            <w:sz w:val="22"/>
                          </w:rPr>
                          <w:t>材料</w:t>
                        </w:r>
                      </w:p>
                    </w:tc>
                    <w:tc>
                      <w:tcPr>
                        <w:tcW w:w="928" w:type="dxa"/>
                        <w:gridSpan w:val="2"/>
                      </w:tcPr>
                      <w:p>
                        <w:pPr>
                          <w:pStyle w:val="TableParagraph"/>
                          <w:spacing w:before="15"/>
                          <w:ind w:left="16"/>
                          <w:jc w:val="center"/>
                          <w:rPr>
                            <w:rFonts w:ascii="Arial"/>
                            <w:sz w:val="22"/>
                          </w:rPr>
                        </w:pPr>
                        <w:r>
                          <w:rPr>
                            <w:rFonts w:ascii="Arial"/>
                            <w:w w:val="101"/>
                            <w:sz w:val="22"/>
                          </w:rPr>
                          <w:t>/</w:t>
                        </w:r>
                      </w:p>
                    </w:tc>
                    <w:tc>
                      <w:tcPr>
                        <w:tcW w:w="2009" w:type="dxa"/>
                        <w:gridSpan w:val="2"/>
                      </w:tcPr>
                      <w:p>
                        <w:pPr>
                          <w:pStyle w:val="TableParagraph"/>
                          <w:spacing w:line="276" w:lineRule="exact"/>
                          <w:ind w:right="5"/>
                          <w:jc w:val="center"/>
                          <w:rPr>
                            <w:sz w:val="22"/>
                          </w:rPr>
                        </w:pPr>
                        <w:r>
                          <w:rPr>
                            <w:w w:val="101"/>
                            <w:sz w:val="22"/>
                          </w:rPr>
                          <w:t>铜</w:t>
                        </w:r>
                      </w:p>
                    </w:tc>
                    <w:tc>
                      <w:tcPr>
                        <w:tcW w:w="1808" w:type="dxa"/>
                      </w:tcPr>
                      <w:p>
                        <w:pPr>
                          <w:pStyle w:val="TableParagraph"/>
                          <w:rPr>
                            <w:rFonts w:ascii="Times New Roman"/>
                            <w:sz w:val="22"/>
                          </w:rPr>
                        </w:pPr>
                      </w:p>
                    </w:tc>
                  </w:tr>
                  <w:tr>
                    <w:trPr>
                      <w:trHeight w:val="522" w:hRule="atLeast"/>
                    </w:trPr>
                    <w:tc>
                      <w:tcPr>
                        <w:tcW w:w="576" w:type="dxa"/>
                        <w:vMerge/>
                        <w:tcBorders>
                          <w:top w:val="nil"/>
                        </w:tcBorders>
                      </w:tcPr>
                      <w:p>
                        <w:pPr>
                          <w:rPr>
                            <w:sz w:val="2"/>
                            <w:szCs w:val="2"/>
                          </w:rPr>
                        </w:pPr>
                      </w:p>
                    </w:tc>
                    <w:tc>
                      <w:tcPr>
                        <w:tcW w:w="900" w:type="dxa"/>
                        <w:vMerge/>
                        <w:tcBorders>
                          <w:top w:val="nil"/>
                        </w:tcBorders>
                      </w:tcPr>
                      <w:p>
                        <w:pPr>
                          <w:rPr>
                            <w:sz w:val="2"/>
                            <w:szCs w:val="2"/>
                          </w:rPr>
                        </w:pPr>
                      </w:p>
                    </w:tc>
                    <w:tc>
                      <w:tcPr>
                        <w:tcW w:w="2744" w:type="dxa"/>
                      </w:tcPr>
                      <w:p>
                        <w:pPr>
                          <w:pStyle w:val="TableParagraph"/>
                          <w:spacing w:line="276" w:lineRule="exact"/>
                          <w:ind w:left="144" w:right="129"/>
                          <w:jc w:val="center"/>
                          <w:rPr>
                            <w:sz w:val="22"/>
                          </w:rPr>
                        </w:pPr>
                        <w:r>
                          <w:rPr>
                            <w:sz w:val="22"/>
                          </w:rPr>
                          <w:t>材料生产厂及牌号</w:t>
                        </w:r>
                      </w:p>
                    </w:tc>
                    <w:tc>
                      <w:tcPr>
                        <w:tcW w:w="928" w:type="dxa"/>
                        <w:gridSpan w:val="2"/>
                      </w:tcPr>
                      <w:p>
                        <w:pPr>
                          <w:pStyle w:val="TableParagraph"/>
                          <w:spacing w:before="15"/>
                          <w:ind w:left="16"/>
                          <w:jc w:val="center"/>
                          <w:rPr>
                            <w:rFonts w:ascii="Arial"/>
                            <w:sz w:val="22"/>
                          </w:rPr>
                        </w:pPr>
                        <w:r>
                          <w:rPr>
                            <w:rFonts w:ascii="Arial"/>
                            <w:w w:val="101"/>
                            <w:sz w:val="22"/>
                          </w:rPr>
                          <w:t>/</w:t>
                        </w:r>
                      </w:p>
                    </w:tc>
                    <w:tc>
                      <w:tcPr>
                        <w:tcW w:w="2009" w:type="dxa"/>
                        <w:gridSpan w:val="2"/>
                      </w:tcPr>
                      <w:p>
                        <w:pPr>
                          <w:pStyle w:val="TableParagraph"/>
                          <w:spacing w:line="276" w:lineRule="exact"/>
                          <w:ind w:left="444"/>
                          <w:rPr>
                            <w:sz w:val="22"/>
                          </w:rPr>
                        </w:pPr>
                        <w:r>
                          <w:rPr>
                            <w:sz w:val="22"/>
                          </w:rPr>
                          <w:t>供货方提供</w:t>
                        </w:r>
                      </w:p>
                    </w:tc>
                    <w:tc>
                      <w:tcPr>
                        <w:tcW w:w="1808" w:type="dxa"/>
                      </w:tcPr>
                      <w:p>
                        <w:pPr>
                          <w:pStyle w:val="TableParagraph"/>
                          <w:rPr>
                            <w:rFonts w:ascii="Times New Roman"/>
                            <w:sz w:val="22"/>
                          </w:rPr>
                        </w:pPr>
                      </w:p>
                    </w:tc>
                  </w:tr>
                  <w:tr>
                    <w:trPr>
                      <w:trHeight w:val="1963" w:hRule="atLeast"/>
                    </w:trPr>
                    <w:tc>
                      <w:tcPr>
                        <w:tcW w:w="576" w:type="dxa"/>
                        <w:vMerge/>
                        <w:tcBorders>
                          <w:top w:val="nil"/>
                        </w:tcBorders>
                      </w:tcPr>
                      <w:p>
                        <w:pPr>
                          <w:rPr>
                            <w:sz w:val="2"/>
                            <w:szCs w:val="2"/>
                          </w:rPr>
                        </w:pPr>
                      </w:p>
                    </w:tc>
                    <w:tc>
                      <w:tcPr>
                        <w:tcW w:w="900" w:type="dxa"/>
                        <w:vMerge/>
                        <w:tcBorders>
                          <w:top w:val="nil"/>
                        </w:tcBorders>
                      </w:tcPr>
                      <w:p>
                        <w:pPr>
                          <w:rPr>
                            <w:sz w:val="2"/>
                            <w:szCs w:val="2"/>
                          </w:rPr>
                        </w:pPr>
                      </w:p>
                    </w:tc>
                    <w:tc>
                      <w:tcPr>
                        <w:tcW w:w="274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4"/>
                          <w:ind w:left="111"/>
                          <w:rPr>
                            <w:sz w:val="22"/>
                          </w:rPr>
                        </w:pPr>
                        <w:r>
                          <w:rPr>
                            <w:sz w:val="22"/>
                          </w:rPr>
                          <w:t>芯数×标称截面</w:t>
                        </w:r>
                      </w:p>
                    </w:tc>
                    <w:tc>
                      <w:tcPr>
                        <w:tcW w:w="928" w:type="dxa"/>
                        <w:gridSpan w:val="2"/>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3"/>
                          </w:rPr>
                        </w:pPr>
                      </w:p>
                      <w:p>
                        <w:pPr>
                          <w:pStyle w:val="TableParagraph"/>
                          <w:ind w:left="248"/>
                          <w:rPr>
                            <w:sz w:val="22"/>
                          </w:rPr>
                        </w:pPr>
                        <w:r>
                          <w:rPr>
                            <w:sz w:val="22"/>
                          </w:rPr>
                          <w:t>芯×</w:t>
                        </w:r>
                      </w:p>
                      <w:p>
                        <w:pPr>
                          <w:pStyle w:val="TableParagraph"/>
                          <w:spacing w:before="26"/>
                          <w:ind w:left="241"/>
                          <w:rPr>
                            <w:rFonts w:ascii="Arial"/>
                            <w:sz w:val="13"/>
                          </w:rPr>
                        </w:pPr>
                        <w:r>
                          <w:rPr>
                            <w:rFonts w:ascii="Arial"/>
                            <w:w w:val="105"/>
                            <w:sz w:val="22"/>
                          </w:rPr>
                          <w:t>mm</w:t>
                        </w:r>
                        <w:r>
                          <w:rPr>
                            <w:rFonts w:ascii="Arial"/>
                            <w:w w:val="105"/>
                            <w:position w:val="10"/>
                            <w:sz w:val="13"/>
                          </w:rPr>
                          <w:t>2</w:t>
                        </w:r>
                      </w:p>
                    </w:tc>
                    <w:tc>
                      <w:tcPr>
                        <w:tcW w:w="2009" w:type="dxa"/>
                        <w:gridSpan w:val="2"/>
                      </w:tcPr>
                      <w:p>
                        <w:pPr>
                          <w:pStyle w:val="TableParagraph"/>
                          <w:spacing w:before="2"/>
                          <w:ind w:left="132" w:right="126"/>
                          <w:jc w:val="center"/>
                          <w:rPr>
                            <w:sz w:val="22"/>
                          </w:rPr>
                        </w:pPr>
                        <w:r>
                          <w:rPr>
                            <w:sz w:val="22"/>
                          </w:rPr>
                          <w:t>一芯：</w:t>
                        </w:r>
                      </w:p>
                      <w:p>
                        <w:pPr>
                          <w:pStyle w:val="TableParagraph"/>
                          <w:spacing w:before="54"/>
                          <w:ind w:left="132" w:right="136"/>
                          <w:jc w:val="center"/>
                          <w:rPr>
                            <w:sz w:val="23"/>
                          </w:rPr>
                        </w:pPr>
                        <w:r>
                          <w:rPr>
                            <w:w w:val="105"/>
                            <w:sz w:val="23"/>
                          </w:rPr>
                          <w:t>2.5;4;6;10;16;</w:t>
                        </w:r>
                      </w:p>
                      <w:p>
                        <w:pPr>
                          <w:pStyle w:val="TableParagraph"/>
                          <w:spacing w:before="65"/>
                          <w:ind w:left="132" w:right="136"/>
                          <w:jc w:val="center"/>
                          <w:rPr>
                            <w:sz w:val="23"/>
                          </w:rPr>
                        </w:pPr>
                        <w:r>
                          <w:rPr>
                            <w:w w:val="105"/>
                            <w:sz w:val="23"/>
                          </w:rPr>
                          <w:t>25;35;50;70;95</w:t>
                        </w:r>
                      </w:p>
                      <w:p>
                        <w:pPr>
                          <w:pStyle w:val="TableParagraph"/>
                          <w:spacing w:before="65"/>
                          <w:ind w:left="132" w:right="136"/>
                          <w:jc w:val="center"/>
                          <w:rPr>
                            <w:sz w:val="23"/>
                          </w:rPr>
                        </w:pPr>
                        <w:r>
                          <w:rPr>
                            <w:w w:val="105"/>
                            <w:sz w:val="23"/>
                          </w:rPr>
                          <w:t>;120;150;185;2</w:t>
                        </w:r>
                      </w:p>
                      <w:p>
                        <w:pPr>
                          <w:pStyle w:val="TableParagraph"/>
                          <w:spacing w:before="66"/>
                          <w:ind w:left="132" w:right="130"/>
                          <w:jc w:val="center"/>
                          <w:rPr>
                            <w:sz w:val="23"/>
                          </w:rPr>
                        </w:pPr>
                        <w:r>
                          <w:rPr>
                            <w:w w:val="105"/>
                            <w:sz w:val="23"/>
                          </w:rPr>
                          <w:t>40;300</w:t>
                        </w:r>
                      </w:p>
                    </w:tc>
                    <w:tc>
                      <w:tcPr>
                        <w:tcW w:w="1808" w:type="dxa"/>
                      </w:tcPr>
                      <w:p>
                        <w:pPr>
                          <w:pStyle w:val="TableParagraph"/>
                          <w:rPr>
                            <w:rFonts w:ascii="Times New Roman"/>
                            <w:sz w:val="22"/>
                          </w:rPr>
                        </w:pPr>
                      </w:p>
                    </w:tc>
                  </w:tr>
                  <w:tr>
                    <w:trPr>
                      <w:trHeight w:val="1603" w:hRule="atLeast"/>
                    </w:trPr>
                    <w:tc>
                      <w:tcPr>
                        <w:tcW w:w="576" w:type="dxa"/>
                        <w:vMerge/>
                        <w:tcBorders>
                          <w:top w:val="nil"/>
                        </w:tcBorders>
                      </w:tcPr>
                      <w:p>
                        <w:pPr>
                          <w:rPr>
                            <w:sz w:val="2"/>
                            <w:szCs w:val="2"/>
                          </w:rPr>
                        </w:pPr>
                      </w:p>
                    </w:tc>
                    <w:tc>
                      <w:tcPr>
                        <w:tcW w:w="900" w:type="dxa"/>
                        <w:vMerge/>
                        <w:tcBorders>
                          <w:top w:val="nil"/>
                        </w:tcBorders>
                      </w:tcPr>
                      <w:p>
                        <w:pPr>
                          <w:rPr>
                            <w:sz w:val="2"/>
                            <w:szCs w:val="2"/>
                          </w:rPr>
                        </w:pPr>
                      </w:p>
                    </w:tc>
                    <w:tc>
                      <w:tcPr>
                        <w:tcW w:w="2744" w:type="dxa"/>
                        <w:vMerge/>
                        <w:tcBorders>
                          <w:top w:val="nil"/>
                        </w:tcBorders>
                      </w:tcPr>
                      <w:p>
                        <w:pPr>
                          <w:rPr>
                            <w:sz w:val="2"/>
                            <w:szCs w:val="2"/>
                          </w:rPr>
                        </w:pPr>
                      </w:p>
                    </w:tc>
                    <w:tc>
                      <w:tcPr>
                        <w:tcW w:w="928" w:type="dxa"/>
                        <w:gridSpan w:val="2"/>
                        <w:vMerge/>
                        <w:tcBorders>
                          <w:top w:val="nil"/>
                        </w:tcBorders>
                      </w:tcPr>
                      <w:p>
                        <w:pPr>
                          <w:rPr>
                            <w:sz w:val="2"/>
                            <w:szCs w:val="2"/>
                          </w:rPr>
                        </w:pPr>
                      </w:p>
                    </w:tc>
                    <w:tc>
                      <w:tcPr>
                        <w:tcW w:w="2009" w:type="dxa"/>
                        <w:gridSpan w:val="2"/>
                      </w:tcPr>
                      <w:p>
                        <w:pPr>
                          <w:pStyle w:val="TableParagraph"/>
                          <w:spacing w:line="276" w:lineRule="exact"/>
                          <w:ind w:left="132" w:right="126"/>
                          <w:jc w:val="center"/>
                          <w:rPr>
                            <w:sz w:val="22"/>
                          </w:rPr>
                        </w:pPr>
                        <w:r>
                          <w:rPr>
                            <w:sz w:val="22"/>
                          </w:rPr>
                          <w:t>二芯：</w:t>
                        </w:r>
                      </w:p>
                      <w:p>
                        <w:pPr>
                          <w:pStyle w:val="TableParagraph"/>
                          <w:spacing w:before="61"/>
                          <w:ind w:left="132" w:right="136"/>
                          <w:jc w:val="center"/>
                          <w:rPr>
                            <w:sz w:val="23"/>
                          </w:rPr>
                        </w:pPr>
                        <w:r>
                          <w:rPr>
                            <w:w w:val="105"/>
                            <w:sz w:val="23"/>
                          </w:rPr>
                          <w:t>4;6;10;16;25;3</w:t>
                        </w:r>
                      </w:p>
                      <w:p>
                        <w:pPr>
                          <w:pStyle w:val="TableParagraph"/>
                          <w:spacing w:before="65"/>
                          <w:ind w:left="132" w:right="136"/>
                          <w:jc w:val="center"/>
                          <w:rPr>
                            <w:sz w:val="23"/>
                          </w:rPr>
                        </w:pPr>
                        <w:r>
                          <w:rPr>
                            <w:w w:val="105"/>
                            <w:sz w:val="23"/>
                          </w:rPr>
                          <w:t>5;50;70;95;120</w:t>
                        </w:r>
                      </w:p>
                      <w:p>
                        <w:pPr>
                          <w:pStyle w:val="TableParagraph"/>
                          <w:spacing w:before="58"/>
                          <w:ind w:left="132" w:right="132"/>
                          <w:jc w:val="center"/>
                          <w:rPr>
                            <w:sz w:val="23"/>
                          </w:rPr>
                        </w:pPr>
                        <w:r>
                          <w:rPr>
                            <w:w w:val="105"/>
                            <w:sz w:val="23"/>
                          </w:rPr>
                          <w:t>;150</w:t>
                        </w:r>
                      </w:p>
                    </w:tc>
                    <w:tc>
                      <w:tcPr>
                        <w:tcW w:w="1808" w:type="dxa"/>
                      </w:tcPr>
                      <w:p>
                        <w:pPr>
                          <w:pStyle w:val="TableParagraph"/>
                          <w:rPr>
                            <w:rFonts w:ascii="Times New Roman"/>
                            <w:sz w:val="22"/>
                          </w:rPr>
                        </w:pPr>
                      </w:p>
                    </w:tc>
                  </w:tr>
                  <w:tr>
                    <w:trPr>
                      <w:trHeight w:val="559" w:hRule="atLeast"/>
                    </w:trPr>
                    <w:tc>
                      <w:tcPr>
                        <w:tcW w:w="576" w:type="dxa"/>
                        <w:vMerge/>
                        <w:tcBorders>
                          <w:top w:val="nil"/>
                        </w:tcBorders>
                      </w:tcPr>
                      <w:p>
                        <w:pPr>
                          <w:rPr>
                            <w:sz w:val="2"/>
                            <w:szCs w:val="2"/>
                          </w:rPr>
                        </w:pPr>
                      </w:p>
                    </w:tc>
                    <w:tc>
                      <w:tcPr>
                        <w:tcW w:w="900" w:type="dxa"/>
                        <w:vMerge/>
                        <w:tcBorders>
                          <w:top w:val="nil"/>
                        </w:tcBorders>
                      </w:tcPr>
                      <w:p>
                        <w:pPr>
                          <w:rPr>
                            <w:sz w:val="2"/>
                            <w:szCs w:val="2"/>
                          </w:rPr>
                        </w:pPr>
                      </w:p>
                    </w:tc>
                    <w:tc>
                      <w:tcPr>
                        <w:tcW w:w="2744" w:type="dxa"/>
                        <w:vMerge/>
                        <w:tcBorders>
                          <w:top w:val="nil"/>
                        </w:tcBorders>
                      </w:tcPr>
                      <w:p>
                        <w:pPr>
                          <w:rPr>
                            <w:sz w:val="2"/>
                            <w:szCs w:val="2"/>
                          </w:rPr>
                        </w:pPr>
                      </w:p>
                    </w:tc>
                    <w:tc>
                      <w:tcPr>
                        <w:tcW w:w="928" w:type="dxa"/>
                        <w:gridSpan w:val="2"/>
                        <w:vMerge/>
                        <w:tcBorders>
                          <w:top w:val="nil"/>
                        </w:tcBorders>
                      </w:tcPr>
                      <w:p>
                        <w:pPr>
                          <w:rPr>
                            <w:sz w:val="2"/>
                            <w:szCs w:val="2"/>
                          </w:rPr>
                        </w:pPr>
                      </w:p>
                    </w:tc>
                    <w:tc>
                      <w:tcPr>
                        <w:tcW w:w="2009" w:type="dxa"/>
                        <w:gridSpan w:val="2"/>
                      </w:tcPr>
                      <w:p>
                        <w:pPr>
                          <w:pStyle w:val="TableParagraph"/>
                          <w:spacing w:before="6"/>
                          <w:ind w:left="250"/>
                          <w:rPr>
                            <w:sz w:val="23"/>
                          </w:rPr>
                        </w:pPr>
                        <w:r>
                          <w:rPr>
                            <w:sz w:val="22"/>
                          </w:rPr>
                          <w:t>三芯：</w:t>
                        </w:r>
                        <w:r>
                          <w:rPr>
                            <w:sz w:val="23"/>
                          </w:rPr>
                          <w:t>6;10;16</w:t>
                        </w:r>
                      </w:p>
                    </w:tc>
                    <w:tc>
                      <w:tcPr>
                        <w:tcW w:w="1808" w:type="dxa"/>
                      </w:tcPr>
                      <w:p>
                        <w:pPr>
                          <w:pStyle w:val="TableParagraph"/>
                          <w:rPr>
                            <w:rFonts w:ascii="Times New Roman"/>
                            <w:sz w:val="22"/>
                          </w:rPr>
                        </w:pPr>
                      </w:p>
                    </w:tc>
                  </w:tr>
                  <w:tr>
                    <w:trPr>
                      <w:trHeight w:val="2907" w:hRule="atLeast"/>
                    </w:trPr>
                    <w:tc>
                      <w:tcPr>
                        <w:tcW w:w="576" w:type="dxa"/>
                        <w:vMerge/>
                        <w:tcBorders>
                          <w:top w:val="nil"/>
                        </w:tcBorders>
                      </w:tcPr>
                      <w:p>
                        <w:pPr>
                          <w:rPr>
                            <w:sz w:val="2"/>
                            <w:szCs w:val="2"/>
                          </w:rPr>
                        </w:pPr>
                      </w:p>
                    </w:tc>
                    <w:tc>
                      <w:tcPr>
                        <w:tcW w:w="900" w:type="dxa"/>
                        <w:vMerge/>
                        <w:tcBorders>
                          <w:top w:val="nil"/>
                        </w:tcBorders>
                      </w:tcPr>
                      <w:p>
                        <w:pPr>
                          <w:rPr>
                            <w:sz w:val="2"/>
                            <w:szCs w:val="2"/>
                          </w:rPr>
                        </w:pPr>
                      </w:p>
                    </w:tc>
                    <w:tc>
                      <w:tcPr>
                        <w:tcW w:w="2744" w:type="dxa"/>
                        <w:vMerge/>
                        <w:tcBorders>
                          <w:top w:val="nil"/>
                        </w:tcBorders>
                      </w:tcPr>
                      <w:p>
                        <w:pPr>
                          <w:rPr>
                            <w:sz w:val="2"/>
                            <w:szCs w:val="2"/>
                          </w:rPr>
                        </w:pPr>
                      </w:p>
                    </w:tc>
                    <w:tc>
                      <w:tcPr>
                        <w:tcW w:w="928" w:type="dxa"/>
                        <w:gridSpan w:val="2"/>
                        <w:vMerge/>
                        <w:tcBorders>
                          <w:top w:val="nil"/>
                        </w:tcBorders>
                      </w:tcPr>
                      <w:p>
                        <w:pPr>
                          <w:rPr>
                            <w:sz w:val="2"/>
                            <w:szCs w:val="2"/>
                          </w:rPr>
                        </w:pPr>
                      </w:p>
                    </w:tc>
                    <w:tc>
                      <w:tcPr>
                        <w:tcW w:w="2009" w:type="dxa"/>
                        <w:gridSpan w:val="2"/>
                      </w:tcPr>
                      <w:p>
                        <w:pPr>
                          <w:pStyle w:val="TableParagraph"/>
                          <w:spacing w:before="6"/>
                          <w:ind w:left="545"/>
                          <w:rPr>
                            <w:sz w:val="23"/>
                          </w:rPr>
                        </w:pPr>
                        <w:r>
                          <w:rPr>
                            <w:w w:val="105"/>
                            <w:sz w:val="23"/>
                          </w:rPr>
                          <w:t>4+1 芯：</w:t>
                        </w:r>
                      </w:p>
                      <w:p>
                        <w:pPr>
                          <w:pStyle w:val="TableParagraph"/>
                          <w:spacing w:before="10"/>
                          <w:rPr>
                            <w:sz w:val="20"/>
                          </w:rPr>
                        </w:pPr>
                      </w:p>
                      <w:p>
                        <w:pPr>
                          <w:pStyle w:val="TableParagraph"/>
                          <w:spacing w:before="1"/>
                          <w:ind w:left="156"/>
                          <w:rPr>
                            <w:sz w:val="23"/>
                          </w:rPr>
                        </w:pPr>
                        <w:r>
                          <w:rPr>
                            <w:w w:val="105"/>
                            <w:sz w:val="23"/>
                          </w:rPr>
                          <w:t>10/6;16/10;25/</w:t>
                        </w:r>
                      </w:p>
                      <w:p>
                        <w:pPr>
                          <w:pStyle w:val="TableParagraph"/>
                          <w:spacing w:before="58"/>
                          <w:ind w:left="156"/>
                          <w:rPr>
                            <w:sz w:val="23"/>
                          </w:rPr>
                        </w:pPr>
                        <w:r>
                          <w:rPr>
                            <w:w w:val="105"/>
                            <w:sz w:val="23"/>
                          </w:rPr>
                          <w:t>16;35/16;50/25</w:t>
                        </w:r>
                      </w:p>
                      <w:p>
                        <w:pPr>
                          <w:pStyle w:val="TableParagraph"/>
                          <w:spacing w:line="292" w:lineRule="auto" w:before="66"/>
                          <w:ind w:left="156"/>
                          <w:rPr>
                            <w:sz w:val="23"/>
                          </w:rPr>
                        </w:pPr>
                        <w:r>
                          <w:rPr>
                            <w:sz w:val="23"/>
                          </w:rPr>
                          <w:t>;70/35;95/50;1 20/70;120/95;1</w:t>
                        </w:r>
                      </w:p>
                      <w:p>
                        <w:pPr>
                          <w:pStyle w:val="TableParagraph"/>
                          <w:spacing w:before="1"/>
                          <w:ind w:left="156"/>
                          <w:rPr>
                            <w:sz w:val="23"/>
                          </w:rPr>
                        </w:pPr>
                        <w:r>
                          <w:rPr>
                            <w:w w:val="105"/>
                            <w:sz w:val="23"/>
                          </w:rPr>
                          <w:t>50/95;185/95;2</w:t>
                        </w:r>
                      </w:p>
                      <w:p>
                        <w:pPr>
                          <w:pStyle w:val="TableParagraph"/>
                          <w:spacing w:before="58"/>
                          <w:ind w:left="132" w:right="130"/>
                          <w:jc w:val="center"/>
                          <w:rPr>
                            <w:sz w:val="23"/>
                          </w:rPr>
                        </w:pPr>
                        <w:r>
                          <w:rPr>
                            <w:w w:val="105"/>
                            <w:sz w:val="23"/>
                          </w:rPr>
                          <w:t>40/120</w:t>
                        </w:r>
                      </w:p>
                    </w:tc>
                    <w:tc>
                      <w:tcPr>
                        <w:tcW w:w="1808" w:type="dxa"/>
                      </w:tcPr>
                      <w:p>
                        <w:pPr>
                          <w:pStyle w:val="TableParagraph"/>
                          <w:rPr>
                            <w:rFonts w:ascii="Times New Roman"/>
                            <w:sz w:val="22"/>
                          </w:rPr>
                        </w:pPr>
                      </w:p>
                    </w:tc>
                  </w:tr>
                </w:tbl>
                <w:p>
                  <w:pPr>
                    <w:pStyle w:val="BodyText"/>
                  </w:pPr>
                </w:p>
              </w:txbxContent>
            </v:textbox>
            <w10:wrap type="none"/>
          </v:shape>
        </w:pict>
      </w:r>
      <w:r>
        <w:rPr/>
        <w:t>表</w:t>
      </w:r>
      <w:r>
        <w:rPr>
          <w:spacing w:val="-50"/>
        </w:rPr>
        <w:t> </w:t>
      </w:r>
      <w:r>
        <w:rPr>
          <w:rFonts w:ascii="Microsoft YaHei" w:eastAsia="Microsoft YaHei" w:hint="eastAsia"/>
        </w:rPr>
        <w:t>1</w:t>
        <w:tab/>
      </w:r>
      <w:r>
        <w:rPr>
          <w:spacing w:val="26"/>
        </w:rPr>
        <w:t>技</w:t>
      </w:r>
      <w:r>
        <w:rPr>
          <w:spacing w:val="35"/>
        </w:rPr>
        <w:t>术</w:t>
      </w:r>
      <w:r>
        <w:rPr>
          <w:spacing w:val="26"/>
        </w:rPr>
        <w:t>参数</w:t>
      </w:r>
      <w:r>
        <w:rPr>
          <w:spacing w:val="35"/>
        </w:rPr>
        <w:t>特</w:t>
      </w:r>
      <w:r>
        <w:rPr>
          <w:spacing w:val="30"/>
        </w:rPr>
        <w:t>性</w:t>
      </w:r>
      <w:r>
        <w:rPr/>
        <w:t>表</w:t>
      </w:r>
    </w:p>
    <w:p>
      <w:pPr>
        <w:spacing w:after="0" w:line="374" w:lineRule="exact"/>
        <w:jc w:val="center"/>
        <w:sectPr>
          <w:pgSz w:w="11910" w:h="16850"/>
          <w:pgMar w:top="1500" w:bottom="280" w:left="1360" w:right="136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900"/>
        <w:gridCol w:w="2744"/>
        <w:gridCol w:w="929"/>
        <w:gridCol w:w="93"/>
        <w:gridCol w:w="1855"/>
        <w:gridCol w:w="1869"/>
      </w:tblGrid>
      <w:tr>
        <w:trPr>
          <w:trHeight w:val="854" w:hRule="atLeast"/>
        </w:trPr>
        <w:tc>
          <w:tcPr>
            <w:tcW w:w="576" w:type="dxa"/>
          </w:tcPr>
          <w:p>
            <w:pPr>
              <w:pStyle w:val="TableParagraph"/>
              <w:spacing w:line="283" w:lineRule="auto"/>
              <w:ind w:left="110" w:right="230"/>
              <w:rPr>
                <w:sz w:val="22"/>
              </w:rPr>
            </w:pPr>
            <w:r>
              <w:rPr>
                <w:sz w:val="22"/>
              </w:rPr>
              <w:t>序号</w:t>
            </w:r>
          </w:p>
        </w:tc>
        <w:tc>
          <w:tcPr>
            <w:tcW w:w="3644" w:type="dxa"/>
            <w:gridSpan w:val="2"/>
          </w:tcPr>
          <w:p>
            <w:pPr>
              <w:pStyle w:val="TableParagraph"/>
              <w:tabs>
                <w:tab w:pos="613" w:val="left" w:leader="none"/>
              </w:tabs>
              <w:spacing w:before="161"/>
              <w:ind w:left="23"/>
              <w:jc w:val="center"/>
              <w:rPr>
                <w:sz w:val="22"/>
              </w:rPr>
            </w:pPr>
            <w:r>
              <w:rPr>
                <w:sz w:val="22"/>
              </w:rPr>
              <w:t>项</w:t>
              <w:tab/>
              <w:t>目</w:t>
            </w:r>
          </w:p>
        </w:tc>
        <w:tc>
          <w:tcPr>
            <w:tcW w:w="1022" w:type="dxa"/>
            <w:gridSpan w:val="2"/>
          </w:tcPr>
          <w:p>
            <w:pPr>
              <w:pStyle w:val="TableParagraph"/>
              <w:spacing w:before="161"/>
              <w:ind w:left="292"/>
              <w:rPr>
                <w:sz w:val="22"/>
              </w:rPr>
            </w:pPr>
            <w:r>
              <w:rPr>
                <w:sz w:val="22"/>
              </w:rPr>
              <w:t>单位</w:t>
            </w:r>
          </w:p>
        </w:tc>
        <w:tc>
          <w:tcPr>
            <w:tcW w:w="1855" w:type="dxa"/>
          </w:tcPr>
          <w:p>
            <w:pPr>
              <w:pStyle w:val="TableParagraph"/>
              <w:spacing w:before="161"/>
              <w:ind w:left="415"/>
              <w:rPr>
                <w:sz w:val="22"/>
              </w:rPr>
            </w:pPr>
            <w:r>
              <w:rPr>
                <w:sz w:val="22"/>
              </w:rPr>
              <w:t>标准参数值</w:t>
            </w:r>
          </w:p>
        </w:tc>
        <w:tc>
          <w:tcPr>
            <w:tcW w:w="1869" w:type="dxa"/>
          </w:tcPr>
          <w:p>
            <w:pPr>
              <w:pStyle w:val="TableParagraph"/>
              <w:spacing w:before="161"/>
              <w:ind w:left="611" w:right="494"/>
              <w:jc w:val="center"/>
              <w:rPr>
                <w:sz w:val="22"/>
              </w:rPr>
            </w:pPr>
            <w:r>
              <w:rPr>
                <w:sz w:val="22"/>
              </w:rPr>
              <w:t>备注</w:t>
            </w:r>
          </w:p>
        </w:tc>
      </w:tr>
      <w:tr>
        <w:trPr>
          <w:trHeight w:val="1632" w:hRule="atLeast"/>
        </w:trPr>
        <w:tc>
          <w:tcPr>
            <w:tcW w:w="576" w:type="dxa"/>
            <w:vMerge w:val="restart"/>
          </w:tcPr>
          <w:p>
            <w:pPr>
              <w:pStyle w:val="TableParagraph"/>
              <w:rPr>
                <w:rFonts w:ascii="Times New Roman"/>
                <w:sz w:val="22"/>
              </w:rPr>
            </w:pPr>
          </w:p>
        </w:tc>
        <w:tc>
          <w:tcPr>
            <w:tcW w:w="900" w:type="dxa"/>
            <w:vMerge w:val="restart"/>
          </w:tcPr>
          <w:p>
            <w:pPr>
              <w:pStyle w:val="TableParagraph"/>
              <w:rPr>
                <w:rFonts w:ascii="Times New Roman"/>
                <w:sz w:val="22"/>
              </w:rPr>
            </w:pPr>
          </w:p>
        </w:tc>
        <w:tc>
          <w:tcPr>
            <w:tcW w:w="2744" w:type="dxa"/>
          </w:tcPr>
          <w:p>
            <w:pPr>
              <w:pStyle w:val="TableParagraph"/>
              <w:rPr>
                <w:rFonts w:ascii="Times New Roman"/>
                <w:sz w:val="22"/>
              </w:rPr>
            </w:pPr>
          </w:p>
        </w:tc>
        <w:tc>
          <w:tcPr>
            <w:tcW w:w="929" w:type="dxa"/>
          </w:tcPr>
          <w:p>
            <w:pPr>
              <w:pStyle w:val="TableParagraph"/>
              <w:rPr>
                <w:rFonts w:ascii="Times New Roman"/>
                <w:sz w:val="22"/>
              </w:rPr>
            </w:pPr>
          </w:p>
        </w:tc>
        <w:tc>
          <w:tcPr>
            <w:tcW w:w="1948" w:type="dxa"/>
            <w:gridSpan w:val="2"/>
          </w:tcPr>
          <w:p>
            <w:pPr>
              <w:pStyle w:val="TableParagraph"/>
              <w:spacing w:before="13"/>
              <w:ind w:left="128" w:right="77"/>
              <w:jc w:val="center"/>
              <w:rPr>
                <w:sz w:val="23"/>
              </w:rPr>
            </w:pPr>
            <w:r>
              <w:rPr>
                <w:w w:val="105"/>
                <w:sz w:val="23"/>
              </w:rPr>
              <w:t>4 芯：</w:t>
            </w:r>
          </w:p>
          <w:p>
            <w:pPr>
              <w:pStyle w:val="TableParagraph"/>
              <w:spacing w:before="59"/>
              <w:ind w:left="129" w:right="77"/>
              <w:jc w:val="center"/>
              <w:rPr>
                <w:sz w:val="23"/>
              </w:rPr>
            </w:pPr>
            <w:r>
              <w:rPr>
                <w:w w:val="105"/>
                <w:sz w:val="23"/>
              </w:rPr>
              <w:t>10;16;25;35;50</w:t>
            </w:r>
          </w:p>
          <w:p>
            <w:pPr>
              <w:pStyle w:val="TableParagraph"/>
              <w:spacing w:before="65"/>
              <w:ind w:left="129" w:right="77"/>
              <w:jc w:val="center"/>
              <w:rPr>
                <w:sz w:val="23"/>
              </w:rPr>
            </w:pPr>
            <w:r>
              <w:rPr>
                <w:w w:val="105"/>
                <w:sz w:val="23"/>
              </w:rPr>
              <w:t>;70;95;120;150</w:t>
            </w:r>
          </w:p>
          <w:p>
            <w:pPr>
              <w:pStyle w:val="TableParagraph"/>
              <w:spacing w:before="65"/>
              <w:ind w:left="129" w:right="76"/>
              <w:jc w:val="center"/>
              <w:rPr>
                <w:sz w:val="23"/>
              </w:rPr>
            </w:pPr>
            <w:r>
              <w:rPr>
                <w:w w:val="105"/>
                <w:sz w:val="23"/>
              </w:rPr>
              <w:t>;185;240</w:t>
            </w:r>
          </w:p>
        </w:tc>
        <w:tc>
          <w:tcPr>
            <w:tcW w:w="1869" w:type="dxa"/>
          </w:tcPr>
          <w:p>
            <w:pPr>
              <w:pStyle w:val="TableParagraph"/>
              <w:rPr>
                <w:rFonts w:ascii="Times New Roman"/>
                <w:sz w:val="22"/>
              </w:rPr>
            </w:pPr>
          </w:p>
        </w:tc>
      </w:tr>
      <w:tr>
        <w:trPr>
          <w:trHeight w:val="530" w:hRule="atLeast"/>
        </w:trPr>
        <w:tc>
          <w:tcPr>
            <w:tcW w:w="576" w:type="dxa"/>
            <w:vMerge/>
            <w:tcBorders>
              <w:top w:val="nil"/>
            </w:tcBorders>
          </w:tcPr>
          <w:p>
            <w:pPr>
              <w:rPr>
                <w:sz w:val="2"/>
                <w:szCs w:val="2"/>
              </w:rPr>
            </w:pPr>
          </w:p>
        </w:tc>
        <w:tc>
          <w:tcPr>
            <w:tcW w:w="900" w:type="dxa"/>
            <w:vMerge/>
            <w:tcBorders>
              <w:top w:val="nil"/>
            </w:tcBorders>
          </w:tcPr>
          <w:p>
            <w:pPr>
              <w:rPr>
                <w:sz w:val="2"/>
                <w:szCs w:val="2"/>
              </w:rPr>
            </w:pPr>
          </w:p>
        </w:tc>
        <w:tc>
          <w:tcPr>
            <w:tcW w:w="2744" w:type="dxa"/>
          </w:tcPr>
          <w:p>
            <w:pPr>
              <w:pStyle w:val="TableParagraph"/>
              <w:spacing w:before="1"/>
              <w:ind w:left="145" w:right="129"/>
              <w:jc w:val="center"/>
              <w:rPr>
                <w:sz w:val="22"/>
              </w:rPr>
            </w:pPr>
            <w:r>
              <w:rPr>
                <w:sz w:val="22"/>
              </w:rPr>
              <w:t>结构形式</w:t>
            </w:r>
          </w:p>
        </w:tc>
        <w:tc>
          <w:tcPr>
            <w:tcW w:w="929" w:type="dxa"/>
          </w:tcPr>
          <w:p>
            <w:pPr>
              <w:pStyle w:val="TableParagraph"/>
              <w:rPr>
                <w:rFonts w:ascii="Times New Roman"/>
                <w:sz w:val="22"/>
              </w:rPr>
            </w:pPr>
          </w:p>
        </w:tc>
        <w:tc>
          <w:tcPr>
            <w:tcW w:w="1948" w:type="dxa"/>
            <w:gridSpan w:val="2"/>
          </w:tcPr>
          <w:p>
            <w:pPr>
              <w:pStyle w:val="TableParagraph"/>
              <w:spacing w:before="1"/>
              <w:ind w:left="559"/>
              <w:rPr>
                <w:sz w:val="22"/>
              </w:rPr>
            </w:pPr>
            <w:r>
              <w:rPr>
                <w:sz w:val="22"/>
              </w:rPr>
              <w:t>圆形紧压</w:t>
            </w:r>
          </w:p>
        </w:tc>
        <w:tc>
          <w:tcPr>
            <w:tcW w:w="1869" w:type="dxa"/>
          </w:tcPr>
          <w:p>
            <w:pPr>
              <w:pStyle w:val="TableParagraph"/>
              <w:rPr>
                <w:rFonts w:ascii="Times New Roman"/>
                <w:sz w:val="22"/>
              </w:rPr>
            </w:pPr>
          </w:p>
        </w:tc>
      </w:tr>
      <w:tr>
        <w:trPr>
          <w:trHeight w:val="530" w:hRule="atLeast"/>
        </w:trPr>
        <w:tc>
          <w:tcPr>
            <w:tcW w:w="576" w:type="dxa"/>
            <w:vMerge/>
            <w:tcBorders>
              <w:top w:val="nil"/>
            </w:tcBorders>
          </w:tcPr>
          <w:p>
            <w:pPr>
              <w:rPr>
                <w:sz w:val="2"/>
                <w:szCs w:val="2"/>
              </w:rPr>
            </w:pPr>
          </w:p>
        </w:tc>
        <w:tc>
          <w:tcPr>
            <w:tcW w:w="900" w:type="dxa"/>
            <w:vMerge/>
            <w:tcBorders>
              <w:top w:val="nil"/>
            </w:tcBorders>
          </w:tcPr>
          <w:p>
            <w:pPr>
              <w:rPr>
                <w:sz w:val="2"/>
                <w:szCs w:val="2"/>
              </w:rPr>
            </w:pPr>
          </w:p>
        </w:tc>
        <w:tc>
          <w:tcPr>
            <w:tcW w:w="2744" w:type="dxa"/>
          </w:tcPr>
          <w:p>
            <w:pPr>
              <w:pStyle w:val="TableParagraph"/>
              <w:spacing w:line="276" w:lineRule="exact"/>
              <w:ind w:left="145" w:right="129"/>
              <w:jc w:val="center"/>
              <w:rPr>
                <w:sz w:val="22"/>
              </w:rPr>
            </w:pPr>
            <w:r>
              <w:rPr>
                <w:sz w:val="22"/>
              </w:rPr>
              <w:t>紧压系数</w:t>
            </w:r>
          </w:p>
        </w:tc>
        <w:tc>
          <w:tcPr>
            <w:tcW w:w="929" w:type="dxa"/>
          </w:tcPr>
          <w:p>
            <w:pPr>
              <w:pStyle w:val="TableParagraph"/>
              <w:rPr>
                <w:rFonts w:ascii="Times New Roman"/>
                <w:sz w:val="22"/>
              </w:rPr>
            </w:pPr>
          </w:p>
        </w:tc>
        <w:tc>
          <w:tcPr>
            <w:tcW w:w="1948" w:type="dxa"/>
            <w:gridSpan w:val="2"/>
          </w:tcPr>
          <w:p>
            <w:pPr>
              <w:pStyle w:val="TableParagraph"/>
              <w:spacing w:line="276" w:lineRule="exact"/>
              <w:ind w:left="129" w:right="69"/>
              <w:jc w:val="center"/>
              <w:rPr>
                <w:rFonts w:ascii="Arial" w:hAnsi="Arial"/>
                <w:sz w:val="22"/>
              </w:rPr>
            </w:pPr>
            <w:r>
              <w:rPr>
                <w:sz w:val="22"/>
              </w:rPr>
              <w:t>≥</w:t>
            </w:r>
            <w:r>
              <w:rPr>
                <w:rFonts w:ascii="Arial" w:hAnsi="Arial"/>
                <w:sz w:val="22"/>
              </w:rPr>
              <w:t>0.9</w:t>
            </w:r>
          </w:p>
        </w:tc>
        <w:tc>
          <w:tcPr>
            <w:tcW w:w="1869" w:type="dxa"/>
          </w:tcPr>
          <w:p>
            <w:pPr>
              <w:pStyle w:val="TableParagraph"/>
              <w:rPr>
                <w:rFonts w:ascii="Times New Roman"/>
                <w:sz w:val="22"/>
              </w:rPr>
            </w:pPr>
          </w:p>
        </w:tc>
      </w:tr>
      <w:tr>
        <w:trPr>
          <w:trHeight w:val="530" w:hRule="atLeast"/>
        </w:trPr>
        <w:tc>
          <w:tcPr>
            <w:tcW w:w="576" w:type="dxa"/>
            <w:vMerge w:val="restart"/>
          </w:tcPr>
          <w:p>
            <w:pPr>
              <w:pStyle w:val="TableParagraph"/>
              <w:rPr>
                <w:sz w:val="24"/>
              </w:rPr>
            </w:pPr>
          </w:p>
          <w:p>
            <w:pPr>
              <w:pStyle w:val="TableParagraph"/>
              <w:spacing w:before="4"/>
              <w:rPr>
                <w:sz w:val="19"/>
              </w:rPr>
            </w:pPr>
          </w:p>
          <w:p>
            <w:pPr>
              <w:pStyle w:val="TableParagraph"/>
              <w:spacing w:before="1"/>
              <w:ind w:left="139"/>
              <w:rPr>
                <w:rFonts w:ascii="Arial"/>
                <w:sz w:val="22"/>
              </w:rPr>
            </w:pPr>
            <w:r>
              <w:rPr>
                <w:rFonts w:ascii="Arial"/>
                <w:sz w:val="22"/>
              </w:rPr>
              <w:t>1.3</w:t>
            </w:r>
          </w:p>
        </w:tc>
        <w:tc>
          <w:tcPr>
            <w:tcW w:w="900" w:type="dxa"/>
            <w:vMerge w:val="restart"/>
          </w:tcPr>
          <w:p>
            <w:pPr>
              <w:pStyle w:val="TableParagraph"/>
              <w:rPr>
                <w:sz w:val="22"/>
              </w:rPr>
            </w:pPr>
          </w:p>
          <w:p>
            <w:pPr>
              <w:pStyle w:val="TableParagraph"/>
              <w:spacing w:before="9"/>
              <w:rPr>
                <w:sz w:val="19"/>
              </w:rPr>
            </w:pPr>
          </w:p>
          <w:p>
            <w:pPr>
              <w:pStyle w:val="TableParagraph"/>
              <w:ind w:left="233"/>
              <w:rPr>
                <w:sz w:val="22"/>
              </w:rPr>
            </w:pPr>
            <w:r>
              <w:rPr>
                <w:sz w:val="22"/>
              </w:rPr>
              <w:t>绝缘</w:t>
            </w:r>
          </w:p>
        </w:tc>
        <w:tc>
          <w:tcPr>
            <w:tcW w:w="2744" w:type="dxa"/>
          </w:tcPr>
          <w:p>
            <w:pPr>
              <w:pStyle w:val="TableParagraph"/>
              <w:spacing w:line="277" w:lineRule="exact"/>
              <w:ind w:left="145" w:right="122"/>
              <w:jc w:val="center"/>
              <w:rPr>
                <w:sz w:val="22"/>
              </w:rPr>
            </w:pPr>
            <w:r>
              <w:rPr>
                <w:sz w:val="22"/>
              </w:rPr>
              <w:t>材料、生产厂及牌号</w:t>
            </w:r>
          </w:p>
        </w:tc>
        <w:tc>
          <w:tcPr>
            <w:tcW w:w="929" w:type="dxa"/>
          </w:tcPr>
          <w:p>
            <w:pPr>
              <w:pStyle w:val="TableParagraph"/>
              <w:spacing w:before="16"/>
              <w:ind w:left="15"/>
              <w:jc w:val="center"/>
              <w:rPr>
                <w:rFonts w:ascii="Arial"/>
                <w:sz w:val="22"/>
              </w:rPr>
            </w:pPr>
            <w:r>
              <w:rPr>
                <w:rFonts w:ascii="Arial"/>
                <w:w w:val="101"/>
                <w:sz w:val="22"/>
              </w:rPr>
              <w:t>/</w:t>
            </w:r>
          </w:p>
        </w:tc>
        <w:tc>
          <w:tcPr>
            <w:tcW w:w="1948" w:type="dxa"/>
            <w:gridSpan w:val="2"/>
          </w:tcPr>
          <w:p>
            <w:pPr>
              <w:pStyle w:val="TableParagraph"/>
              <w:spacing w:line="277" w:lineRule="exact"/>
              <w:ind w:left="443"/>
              <w:rPr>
                <w:sz w:val="22"/>
              </w:rPr>
            </w:pPr>
            <w:r>
              <w:rPr>
                <w:sz w:val="22"/>
              </w:rPr>
              <w:t>供货方填写</w:t>
            </w:r>
          </w:p>
        </w:tc>
        <w:tc>
          <w:tcPr>
            <w:tcW w:w="1869" w:type="dxa"/>
          </w:tcPr>
          <w:p>
            <w:pPr>
              <w:pStyle w:val="TableParagraph"/>
              <w:rPr>
                <w:rFonts w:ascii="Times New Roman"/>
                <w:sz w:val="22"/>
              </w:rPr>
            </w:pPr>
          </w:p>
        </w:tc>
      </w:tr>
      <w:tr>
        <w:trPr>
          <w:trHeight w:val="522" w:hRule="atLeast"/>
        </w:trPr>
        <w:tc>
          <w:tcPr>
            <w:tcW w:w="576" w:type="dxa"/>
            <w:vMerge/>
            <w:tcBorders>
              <w:top w:val="nil"/>
            </w:tcBorders>
          </w:tcPr>
          <w:p>
            <w:pPr>
              <w:rPr>
                <w:sz w:val="2"/>
                <w:szCs w:val="2"/>
              </w:rPr>
            </w:pPr>
          </w:p>
        </w:tc>
        <w:tc>
          <w:tcPr>
            <w:tcW w:w="900" w:type="dxa"/>
            <w:vMerge/>
            <w:tcBorders>
              <w:top w:val="nil"/>
            </w:tcBorders>
          </w:tcPr>
          <w:p>
            <w:pPr>
              <w:rPr>
                <w:sz w:val="2"/>
                <w:szCs w:val="2"/>
              </w:rPr>
            </w:pPr>
          </w:p>
        </w:tc>
        <w:tc>
          <w:tcPr>
            <w:tcW w:w="2744" w:type="dxa"/>
          </w:tcPr>
          <w:p>
            <w:pPr>
              <w:pStyle w:val="TableParagraph"/>
              <w:spacing w:line="276" w:lineRule="exact"/>
              <w:ind w:left="145" w:right="129"/>
              <w:jc w:val="center"/>
              <w:rPr>
                <w:sz w:val="22"/>
              </w:rPr>
            </w:pPr>
            <w:r>
              <w:rPr>
                <w:sz w:val="22"/>
              </w:rPr>
              <w:t>最薄点厚度不小于标称值</w:t>
            </w:r>
          </w:p>
        </w:tc>
        <w:tc>
          <w:tcPr>
            <w:tcW w:w="929" w:type="dxa"/>
          </w:tcPr>
          <w:p>
            <w:pPr>
              <w:pStyle w:val="TableParagraph"/>
              <w:spacing w:before="15"/>
              <w:ind w:left="22"/>
              <w:jc w:val="center"/>
              <w:rPr>
                <w:rFonts w:ascii="Arial"/>
                <w:sz w:val="22"/>
              </w:rPr>
            </w:pPr>
            <w:r>
              <w:rPr>
                <w:rFonts w:ascii="Arial"/>
                <w:w w:val="101"/>
                <w:sz w:val="22"/>
              </w:rPr>
              <w:t>%</w:t>
            </w:r>
          </w:p>
        </w:tc>
        <w:tc>
          <w:tcPr>
            <w:tcW w:w="1948" w:type="dxa"/>
            <w:gridSpan w:val="2"/>
          </w:tcPr>
          <w:p>
            <w:pPr>
              <w:pStyle w:val="TableParagraph"/>
              <w:spacing w:before="15"/>
              <w:ind w:left="129" w:right="71"/>
              <w:jc w:val="center"/>
              <w:rPr>
                <w:rFonts w:ascii="Arial"/>
                <w:sz w:val="22"/>
              </w:rPr>
            </w:pPr>
            <w:r>
              <w:rPr>
                <w:rFonts w:ascii="Arial"/>
                <w:sz w:val="22"/>
              </w:rPr>
              <w:t>90</w:t>
            </w:r>
          </w:p>
        </w:tc>
        <w:tc>
          <w:tcPr>
            <w:tcW w:w="1869" w:type="dxa"/>
          </w:tcPr>
          <w:p>
            <w:pPr>
              <w:pStyle w:val="TableParagraph"/>
              <w:rPr>
                <w:rFonts w:ascii="Times New Roman"/>
                <w:sz w:val="22"/>
              </w:rPr>
            </w:pPr>
          </w:p>
        </w:tc>
      </w:tr>
      <w:tr>
        <w:trPr>
          <w:trHeight w:val="530" w:hRule="atLeast"/>
        </w:trPr>
        <w:tc>
          <w:tcPr>
            <w:tcW w:w="576" w:type="dxa"/>
            <w:vMerge/>
            <w:tcBorders>
              <w:top w:val="nil"/>
            </w:tcBorders>
          </w:tcPr>
          <w:p>
            <w:pPr>
              <w:rPr>
                <w:sz w:val="2"/>
                <w:szCs w:val="2"/>
              </w:rPr>
            </w:pPr>
          </w:p>
        </w:tc>
        <w:tc>
          <w:tcPr>
            <w:tcW w:w="900" w:type="dxa"/>
            <w:vMerge/>
            <w:tcBorders>
              <w:top w:val="nil"/>
            </w:tcBorders>
          </w:tcPr>
          <w:p>
            <w:pPr>
              <w:rPr>
                <w:sz w:val="2"/>
                <w:szCs w:val="2"/>
              </w:rPr>
            </w:pPr>
          </w:p>
        </w:tc>
        <w:tc>
          <w:tcPr>
            <w:tcW w:w="2744" w:type="dxa"/>
          </w:tcPr>
          <w:p>
            <w:pPr>
              <w:pStyle w:val="TableParagraph"/>
              <w:spacing w:before="2"/>
              <w:ind w:left="145" w:right="129"/>
              <w:jc w:val="center"/>
              <w:rPr>
                <w:sz w:val="22"/>
              </w:rPr>
            </w:pPr>
            <w:r>
              <w:rPr>
                <w:sz w:val="22"/>
              </w:rPr>
              <w:t>偏心度</w:t>
            </w:r>
          </w:p>
        </w:tc>
        <w:tc>
          <w:tcPr>
            <w:tcW w:w="929" w:type="dxa"/>
          </w:tcPr>
          <w:p>
            <w:pPr>
              <w:pStyle w:val="TableParagraph"/>
              <w:spacing w:before="16"/>
              <w:ind w:left="22"/>
              <w:jc w:val="center"/>
              <w:rPr>
                <w:rFonts w:ascii="Arial"/>
                <w:sz w:val="22"/>
              </w:rPr>
            </w:pPr>
            <w:r>
              <w:rPr>
                <w:rFonts w:ascii="Arial"/>
                <w:w w:val="101"/>
                <w:sz w:val="22"/>
              </w:rPr>
              <w:t>%</w:t>
            </w:r>
          </w:p>
        </w:tc>
        <w:tc>
          <w:tcPr>
            <w:tcW w:w="1948" w:type="dxa"/>
            <w:gridSpan w:val="2"/>
          </w:tcPr>
          <w:p>
            <w:pPr>
              <w:pStyle w:val="TableParagraph"/>
              <w:spacing w:before="16"/>
              <w:ind w:left="129" w:right="76"/>
              <w:jc w:val="center"/>
              <w:rPr>
                <w:rFonts w:ascii="Arial"/>
                <w:sz w:val="22"/>
              </w:rPr>
            </w:pPr>
            <w:r>
              <w:rPr>
                <w:rFonts w:ascii="Arial"/>
                <w:sz w:val="22"/>
              </w:rPr>
              <w:t>10%</w:t>
            </w:r>
          </w:p>
        </w:tc>
        <w:tc>
          <w:tcPr>
            <w:tcW w:w="1869" w:type="dxa"/>
          </w:tcPr>
          <w:p>
            <w:pPr>
              <w:pStyle w:val="TableParagraph"/>
              <w:rPr>
                <w:rFonts w:ascii="Times New Roman"/>
                <w:sz w:val="22"/>
              </w:rPr>
            </w:pPr>
          </w:p>
        </w:tc>
      </w:tr>
      <w:tr>
        <w:trPr>
          <w:trHeight w:val="530" w:hRule="atLeast"/>
        </w:trPr>
        <w:tc>
          <w:tcPr>
            <w:tcW w:w="576" w:type="dxa"/>
            <w:vMerge w:val="restart"/>
          </w:tcPr>
          <w:p>
            <w:pPr>
              <w:pStyle w:val="TableParagraph"/>
              <w:rPr>
                <w:sz w:val="24"/>
              </w:rPr>
            </w:pPr>
          </w:p>
          <w:p>
            <w:pPr>
              <w:pStyle w:val="TableParagraph"/>
              <w:spacing w:before="5"/>
              <w:rPr>
                <w:sz w:val="19"/>
              </w:rPr>
            </w:pPr>
          </w:p>
          <w:p>
            <w:pPr>
              <w:pStyle w:val="TableParagraph"/>
              <w:ind w:left="139"/>
              <w:rPr>
                <w:rFonts w:ascii="Arial"/>
                <w:sz w:val="22"/>
              </w:rPr>
            </w:pPr>
            <w:r>
              <w:rPr>
                <w:rFonts w:ascii="Arial"/>
                <w:sz w:val="22"/>
              </w:rPr>
              <w:t>1.4</w:t>
            </w:r>
          </w:p>
        </w:tc>
        <w:tc>
          <w:tcPr>
            <w:tcW w:w="900" w:type="dxa"/>
            <w:vMerge w:val="restart"/>
          </w:tcPr>
          <w:p>
            <w:pPr>
              <w:pStyle w:val="TableParagraph"/>
              <w:spacing w:before="10"/>
              <w:rPr>
                <w:sz w:val="28"/>
              </w:rPr>
            </w:pPr>
          </w:p>
          <w:p>
            <w:pPr>
              <w:pStyle w:val="TableParagraph"/>
              <w:spacing w:line="283" w:lineRule="auto"/>
              <w:ind w:left="341" w:right="100" w:hanging="224"/>
              <w:rPr>
                <w:sz w:val="22"/>
              </w:rPr>
            </w:pPr>
            <w:r>
              <w:rPr>
                <w:sz w:val="22"/>
              </w:rPr>
              <w:t>金属屏蔽</w:t>
            </w:r>
          </w:p>
        </w:tc>
        <w:tc>
          <w:tcPr>
            <w:tcW w:w="2744" w:type="dxa"/>
          </w:tcPr>
          <w:p>
            <w:pPr>
              <w:pStyle w:val="TableParagraph"/>
              <w:spacing w:line="276" w:lineRule="exact"/>
              <w:ind w:left="138" w:right="129"/>
              <w:jc w:val="center"/>
              <w:rPr>
                <w:sz w:val="22"/>
              </w:rPr>
            </w:pPr>
            <w:r>
              <w:rPr>
                <w:sz w:val="22"/>
              </w:rPr>
              <w:t>铜带层数</w:t>
            </w:r>
          </w:p>
        </w:tc>
        <w:tc>
          <w:tcPr>
            <w:tcW w:w="929" w:type="dxa"/>
          </w:tcPr>
          <w:p>
            <w:pPr>
              <w:pStyle w:val="TableParagraph"/>
              <w:spacing w:line="276" w:lineRule="exact"/>
              <w:ind w:left="18"/>
              <w:jc w:val="center"/>
              <w:rPr>
                <w:sz w:val="22"/>
              </w:rPr>
            </w:pPr>
            <w:r>
              <w:rPr>
                <w:w w:val="101"/>
                <w:sz w:val="22"/>
              </w:rPr>
              <w:t>层</w:t>
            </w:r>
          </w:p>
        </w:tc>
        <w:tc>
          <w:tcPr>
            <w:tcW w:w="1948" w:type="dxa"/>
            <w:gridSpan w:val="2"/>
          </w:tcPr>
          <w:p>
            <w:pPr>
              <w:pStyle w:val="TableParagraph"/>
              <w:spacing w:line="276" w:lineRule="exact"/>
              <w:ind w:left="112"/>
              <w:rPr>
                <w:rFonts w:ascii="Arial" w:hAnsi="Arial"/>
                <w:sz w:val="22"/>
              </w:rPr>
            </w:pPr>
            <w:r>
              <w:rPr>
                <w:sz w:val="22"/>
              </w:rPr>
              <w:t>≥</w:t>
            </w:r>
            <w:r>
              <w:rPr>
                <w:rFonts w:ascii="Arial" w:hAnsi="Arial"/>
                <w:sz w:val="22"/>
              </w:rPr>
              <w:t>1</w:t>
            </w:r>
          </w:p>
        </w:tc>
        <w:tc>
          <w:tcPr>
            <w:tcW w:w="1869" w:type="dxa"/>
          </w:tcPr>
          <w:p>
            <w:pPr>
              <w:pStyle w:val="TableParagraph"/>
              <w:rPr>
                <w:rFonts w:ascii="Times New Roman"/>
                <w:sz w:val="22"/>
              </w:rPr>
            </w:pPr>
          </w:p>
        </w:tc>
      </w:tr>
      <w:tr>
        <w:trPr>
          <w:trHeight w:val="523" w:hRule="atLeast"/>
        </w:trPr>
        <w:tc>
          <w:tcPr>
            <w:tcW w:w="576" w:type="dxa"/>
            <w:vMerge/>
            <w:tcBorders>
              <w:top w:val="nil"/>
            </w:tcBorders>
          </w:tcPr>
          <w:p>
            <w:pPr>
              <w:rPr>
                <w:sz w:val="2"/>
                <w:szCs w:val="2"/>
              </w:rPr>
            </w:pPr>
          </w:p>
        </w:tc>
        <w:tc>
          <w:tcPr>
            <w:tcW w:w="900" w:type="dxa"/>
            <w:vMerge/>
            <w:tcBorders>
              <w:top w:val="nil"/>
            </w:tcBorders>
          </w:tcPr>
          <w:p>
            <w:pPr>
              <w:rPr>
                <w:sz w:val="2"/>
                <w:szCs w:val="2"/>
              </w:rPr>
            </w:pPr>
          </w:p>
        </w:tc>
        <w:tc>
          <w:tcPr>
            <w:tcW w:w="2744" w:type="dxa"/>
          </w:tcPr>
          <w:p>
            <w:pPr>
              <w:pStyle w:val="TableParagraph"/>
              <w:spacing w:line="277" w:lineRule="exact"/>
              <w:ind w:left="138" w:right="129"/>
              <w:jc w:val="center"/>
              <w:rPr>
                <w:sz w:val="22"/>
              </w:rPr>
            </w:pPr>
            <w:r>
              <w:rPr>
                <w:sz w:val="22"/>
              </w:rPr>
              <w:t>铜带厚度</w:t>
            </w:r>
          </w:p>
        </w:tc>
        <w:tc>
          <w:tcPr>
            <w:tcW w:w="929" w:type="dxa"/>
          </w:tcPr>
          <w:p>
            <w:pPr>
              <w:pStyle w:val="TableParagraph"/>
              <w:spacing w:before="16"/>
              <w:ind w:left="113" w:right="88"/>
              <w:jc w:val="center"/>
              <w:rPr>
                <w:rFonts w:ascii="Arial"/>
                <w:sz w:val="22"/>
              </w:rPr>
            </w:pPr>
            <w:r>
              <w:rPr>
                <w:rFonts w:ascii="Arial"/>
                <w:sz w:val="22"/>
              </w:rPr>
              <w:t>mm</w:t>
            </w:r>
          </w:p>
        </w:tc>
        <w:tc>
          <w:tcPr>
            <w:tcW w:w="1948" w:type="dxa"/>
            <w:gridSpan w:val="2"/>
          </w:tcPr>
          <w:p>
            <w:pPr>
              <w:pStyle w:val="TableParagraph"/>
              <w:spacing w:line="277" w:lineRule="exact"/>
              <w:ind w:left="674"/>
              <w:rPr>
                <w:rFonts w:ascii="Arial" w:hAnsi="Arial"/>
                <w:sz w:val="22"/>
              </w:rPr>
            </w:pPr>
            <w:r>
              <w:rPr>
                <w:sz w:val="22"/>
              </w:rPr>
              <w:t>≥</w:t>
            </w:r>
            <w:r>
              <w:rPr>
                <w:rFonts w:ascii="Arial" w:hAnsi="Arial"/>
                <w:sz w:val="22"/>
              </w:rPr>
              <w:t>0.10</w:t>
            </w:r>
          </w:p>
        </w:tc>
        <w:tc>
          <w:tcPr>
            <w:tcW w:w="1869" w:type="dxa"/>
          </w:tcPr>
          <w:p>
            <w:pPr>
              <w:pStyle w:val="TableParagraph"/>
              <w:rPr>
                <w:rFonts w:ascii="Times New Roman"/>
                <w:sz w:val="22"/>
              </w:rPr>
            </w:pPr>
          </w:p>
        </w:tc>
      </w:tr>
      <w:tr>
        <w:trPr>
          <w:trHeight w:val="530" w:hRule="atLeast"/>
        </w:trPr>
        <w:tc>
          <w:tcPr>
            <w:tcW w:w="576" w:type="dxa"/>
            <w:vMerge/>
            <w:tcBorders>
              <w:top w:val="nil"/>
            </w:tcBorders>
          </w:tcPr>
          <w:p>
            <w:pPr>
              <w:rPr>
                <w:sz w:val="2"/>
                <w:szCs w:val="2"/>
              </w:rPr>
            </w:pPr>
          </w:p>
        </w:tc>
        <w:tc>
          <w:tcPr>
            <w:tcW w:w="900" w:type="dxa"/>
            <w:vMerge/>
            <w:tcBorders>
              <w:top w:val="nil"/>
            </w:tcBorders>
          </w:tcPr>
          <w:p>
            <w:pPr>
              <w:rPr>
                <w:sz w:val="2"/>
                <w:szCs w:val="2"/>
              </w:rPr>
            </w:pPr>
          </w:p>
        </w:tc>
        <w:tc>
          <w:tcPr>
            <w:tcW w:w="2744" w:type="dxa"/>
          </w:tcPr>
          <w:p>
            <w:pPr>
              <w:pStyle w:val="TableParagraph"/>
              <w:spacing w:before="2"/>
              <w:ind w:left="145" w:right="122"/>
              <w:jc w:val="center"/>
              <w:rPr>
                <w:sz w:val="22"/>
              </w:rPr>
            </w:pPr>
            <w:r>
              <w:rPr>
                <w:sz w:val="22"/>
              </w:rPr>
              <w:t>搭盖率不小于</w:t>
            </w:r>
          </w:p>
        </w:tc>
        <w:tc>
          <w:tcPr>
            <w:tcW w:w="929" w:type="dxa"/>
          </w:tcPr>
          <w:p>
            <w:pPr>
              <w:pStyle w:val="TableParagraph"/>
              <w:spacing w:before="15"/>
              <w:ind w:left="22"/>
              <w:jc w:val="center"/>
              <w:rPr>
                <w:rFonts w:ascii="Arial"/>
                <w:sz w:val="22"/>
              </w:rPr>
            </w:pPr>
            <w:r>
              <w:rPr>
                <w:rFonts w:ascii="Arial"/>
                <w:w w:val="101"/>
                <w:sz w:val="22"/>
              </w:rPr>
              <w:t>%</w:t>
            </w:r>
          </w:p>
        </w:tc>
        <w:tc>
          <w:tcPr>
            <w:tcW w:w="1948" w:type="dxa"/>
            <w:gridSpan w:val="2"/>
          </w:tcPr>
          <w:p>
            <w:pPr>
              <w:pStyle w:val="TableParagraph"/>
              <w:spacing w:before="15"/>
              <w:ind w:left="129" w:right="71"/>
              <w:jc w:val="center"/>
              <w:rPr>
                <w:rFonts w:ascii="Arial"/>
                <w:sz w:val="22"/>
              </w:rPr>
            </w:pPr>
            <w:r>
              <w:rPr>
                <w:rFonts w:ascii="Arial"/>
                <w:sz w:val="22"/>
              </w:rPr>
              <w:t>15</w:t>
            </w:r>
          </w:p>
        </w:tc>
        <w:tc>
          <w:tcPr>
            <w:tcW w:w="1869" w:type="dxa"/>
          </w:tcPr>
          <w:p>
            <w:pPr>
              <w:pStyle w:val="TableParagraph"/>
              <w:rPr>
                <w:rFonts w:ascii="Times New Roman"/>
                <w:sz w:val="22"/>
              </w:rPr>
            </w:pPr>
          </w:p>
        </w:tc>
      </w:tr>
      <w:tr>
        <w:trPr>
          <w:trHeight w:val="530" w:hRule="atLeast"/>
        </w:trPr>
        <w:tc>
          <w:tcPr>
            <w:tcW w:w="576" w:type="dxa"/>
          </w:tcPr>
          <w:p>
            <w:pPr>
              <w:pStyle w:val="TableParagraph"/>
              <w:spacing w:before="16"/>
              <w:ind w:left="120" w:right="98"/>
              <w:jc w:val="center"/>
              <w:rPr>
                <w:rFonts w:ascii="Arial"/>
                <w:sz w:val="22"/>
              </w:rPr>
            </w:pPr>
            <w:r>
              <w:rPr>
                <w:rFonts w:ascii="Arial"/>
                <w:sz w:val="22"/>
              </w:rPr>
              <w:t>1.5</w:t>
            </w:r>
          </w:p>
        </w:tc>
        <w:tc>
          <w:tcPr>
            <w:tcW w:w="900" w:type="dxa"/>
          </w:tcPr>
          <w:p>
            <w:pPr>
              <w:pStyle w:val="TableParagraph"/>
              <w:spacing w:before="2"/>
              <w:ind w:left="117"/>
              <w:rPr>
                <w:sz w:val="22"/>
              </w:rPr>
            </w:pPr>
            <w:r>
              <w:rPr>
                <w:sz w:val="22"/>
              </w:rPr>
              <w:t>填充层</w:t>
            </w:r>
          </w:p>
        </w:tc>
        <w:tc>
          <w:tcPr>
            <w:tcW w:w="2744" w:type="dxa"/>
          </w:tcPr>
          <w:p>
            <w:pPr>
              <w:pStyle w:val="TableParagraph"/>
              <w:spacing w:before="2"/>
              <w:ind w:left="145" w:right="129"/>
              <w:jc w:val="center"/>
              <w:rPr>
                <w:sz w:val="22"/>
              </w:rPr>
            </w:pPr>
            <w:r>
              <w:rPr>
                <w:sz w:val="22"/>
              </w:rPr>
              <w:t>填充材料</w:t>
            </w:r>
          </w:p>
        </w:tc>
        <w:tc>
          <w:tcPr>
            <w:tcW w:w="929" w:type="dxa"/>
          </w:tcPr>
          <w:p>
            <w:pPr>
              <w:pStyle w:val="TableParagraph"/>
              <w:spacing w:before="16"/>
              <w:ind w:left="15"/>
              <w:jc w:val="center"/>
              <w:rPr>
                <w:rFonts w:ascii="Arial"/>
                <w:sz w:val="22"/>
              </w:rPr>
            </w:pPr>
            <w:r>
              <w:rPr>
                <w:rFonts w:ascii="Arial"/>
                <w:w w:val="101"/>
                <w:sz w:val="22"/>
              </w:rPr>
              <w:t>/</w:t>
            </w:r>
          </w:p>
        </w:tc>
        <w:tc>
          <w:tcPr>
            <w:tcW w:w="1948" w:type="dxa"/>
            <w:gridSpan w:val="2"/>
          </w:tcPr>
          <w:p>
            <w:pPr>
              <w:pStyle w:val="TableParagraph"/>
              <w:spacing w:before="2"/>
              <w:ind w:left="443"/>
              <w:rPr>
                <w:sz w:val="22"/>
              </w:rPr>
            </w:pPr>
            <w:r>
              <w:rPr>
                <w:sz w:val="22"/>
              </w:rPr>
              <w:t>供货方填写</w:t>
            </w:r>
          </w:p>
        </w:tc>
        <w:tc>
          <w:tcPr>
            <w:tcW w:w="1869" w:type="dxa"/>
          </w:tcPr>
          <w:p>
            <w:pPr>
              <w:pStyle w:val="TableParagraph"/>
              <w:rPr>
                <w:rFonts w:ascii="Times New Roman"/>
                <w:sz w:val="22"/>
              </w:rPr>
            </w:pPr>
          </w:p>
        </w:tc>
      </w:tr>
      <w:tr>
        <w:trPr>
          <w:trHeight w:val="530" w:hRule="atLeast"/>
        </w:trPr>
        <w:tc>
          <w:tcPr>
            <w:tcW w:w="576" w:type="dxa"/>
          </w:tcPr>
          <w:p>
            <w:pPr>
              <w:pStyle w:val="TableParagraph"/>
              <w:spacing w:before="15"/>
              <w:ind w:left="120" w:right="98"/>
              <w:jc w:val="center"/>
              <w:rPr>
                <w:rFonts w:ascii="Arial"/>
                <w:sz w:val="22"/>
              </w:rPr>
            </w:pPr>
            <w:r>
              <w:rPr>
                <w:rFonts w:ascii="Arial"/>
                <w:sz w:val="22"/>
              </w:rPr>
              <w:t>1.6</w:t>
            </w:r>
          </w:p>
        </w:tc>
        <w:tc>
          <w:tcPr>
            <w:tcW w:w="900" w:type="dxa"/>
          </w:tcPr>
          <w:p>
            <w:pPr>
              <w:pStyle w:val="TableParagraph"/>
              <w:spacing w:line="276" w:lineRule="exact"/>
              <w:ind w:left="117"/>
              <w:rPr>
                <w:sz w:val="22"/>
              </w:rPr>
            </w:pPr>
            <w:r>
              <w:rPr>
                <w:sz w:val="22"/>
              </w:rPr>
              <w:t>隔离套</w:t>
            </w:r>
          </w:p>
        </w:tc>
        <w:tc>
          <w:tcPr>
            <w:tcW w:w="2744" w:type="dxa"/>
          </w:tcPr>
          <w:p>
            <w:pPr>
              <w:pStyle w:val="TableParagraph"/>
              <w:spacing w:line="276" w:lineRule="exact"/>
              <w:ind w:left="145" w:right="129"/>
              <w:jc w:val="center"/>
              <w:rPr>
                <w:sz w:val="22"/>
              </w:rPr>
            </w:pPr>
            <w:r>
              <w:rPr>
                <w:sz w:val="22"/>
              </w:rPr>
              <w:t>挤包材料</w:t>
            </w:r>
          </w:p>
        </w:tc>
        <w:tc>
          <w:tcPr>
            <w:tcW w:w="929" w:type="dxa"/>
          </w:tcPr>
          <w:p>
            <w:pPr>
              <w:pStyle w:val="TableParagraph"/>
              <w:spacing w:before="15"/>
              <w:ind w:left="15"/>
              <w:jc w:val="center"/>
              <w:rPr>
                <w:rFonts w:ascii="Arial"/>
                <w:sz w:val="22"/>
              </w:rPr>
            </w:pPr>
            <w:r>
              <w:rPr>
                <w:rFonts w:ascii="Arial"/>
                <w:w w:val="101"/>
                <w:sz w:val="22"/>
              </w:rPr>
              <w:t>/</w:t>
            </w:r>
          </w:p>
        </w:tc>
        <w:tc>
          <w:tcPr>
            <w:tcW w:w="1948" w:type="dxa"/>
            <w:gridSpan w:val="2"/>
          </w:tcPr>
          <w:p>
            <w:pPr>
              <w:pStyle w:val="TableParagraph"/>
              <w:spacing w:line="276" w:lineRule="exact"/>
              <w:ind w:left="443"/>
              <w:rPr>
                <w:sz w:val="22"/>
              </w:rPr>
            </w:pPr>
            <w:r>
              <w:rPr>
                <w:sz w:val="22"/>
              </w:rPr>
              <w:t>供货方填写</w:t>
            </w:r>
          </w:p>
        </w:tc>
        <w:tc>
          <w:tcPr>
            <w:tcW w:w="1869" w:type="dxa"/>
          </w:tcPr>
          <w:p>
            <w:pPr>
              <w:pStyle w:val="TableParagraph"/>
              <w:rPr>
                <w:rFonts w:ascii="Times New Roman"/>
                <w:sz w:val="22"/>
              </w:rPr>
            </w:pPr>
          </w:p>
        </w:tc>
      </w:tr>
      <w:tr>
        <w:trPr>
          <w:trHeight w:val="523" w:hRule="atLeast"/>
        </w:trPr>
        <w:tc>
          <w:tcPr>
            <w:tcW w:w="576" w:type="dxa"/>
          </w:tcPr>
          <w:p>
            <w:pPr>
              <w:pStyle w:val="TableParagraph"/>
              <w:spacing w:before="16"/>
              <w:ind w:left="120" w:right="98"/>
              <w:jc w:val="center"/>
              <w:rPr>
                <w:rFonts w:ascii="Arial"/>
                <w:sz w:val="22"/>
              </w:rPr>
            </w:pPr>
            <w:r>
              <w:rPr>
                <w:rFonts w:ascii="Arial"/>
                <w:sz w:val="22"/>
              </w:rPr>
              <w:t>1.7</w:t>
            </w:r>
          </w:p>
        </w:tc>
        <w:tc>
          <w:tcPr>
            <w:tcW w:w="900" w:type="dxa"/>
          </w:tcPr>
          <w:p>
            <w:pPr>
              <w:pStyle w:val="TableParagraph"/>
              <w:spacing w:line="277" w:lineRule="exact"/>
              <w:ind w:left="117"/>
              <w:rPr>
                <w:sz w:val="22"/>
              </w:rPr>
            </w:pPr>
            <w:r>
              <w:rPr>
                <w:sz w:val="22"/>
              </w:rPr>
              <w:t>内衬层</w:t>
            </w:r>
          </w:p>
        </w:tc>
        <w:tc>
          <w:tcPr>
            <w:tcW w:w="2744" w:type="dxa"/>
          </w:tcPr>
          <w:p>
            <w:pPr>
              <w:pStyle w:val="TableParagraph"/>
              <w:spacing w:line="277" w:lineRule="exact"/>
              <w:ind w:left="145" w:right="122"/>
              <w:jc w:val="center"/>
              <w:rPr>
                <w:sz w:val="22"/>
              </w:rPr>
            </w:pPr>
            <w:r>
              <w:rPr>
                <w:sz w:val="22"/>
              </w:rPr>
              <w:t>材料</w:t>
            </w:r>
          </w:p>
        </w:tc>
        <w:tc>
          <w:tcPr>
            <w:tcW w:w="929" w:type="dxa"/>
          </w:tcPr>
          <w:p>
            <w:pPr>
              <w:pStyle w:val="TableParagraph"/>
              <w:spacing w:before="16"/>
              <w:ind w:left="15"/>
              <w:jc w:val="center"/>
              <w:rPr>
                <w:rFonts w:ascii="Arial"/>
                <w:sz w:val="22"/>
              </w:rPr>
            </w:pPr>
            <w:r>
              <w:rPr>
                <w:rFonts w:ascii="Arial"/>
                <w:w w:val="101"/>
                <w:sz w:val="22"/>
              </w:rPr>
              <w:t>/</w:t>
            </w:r>
          </w:p>
        </w:tc>
        <w:tc>
          <w:tcPr>
            <w:tcW w:w="1948" w:type="dxa"/>
            <w:gridSpan w:val="2"/>
          </w:tcPr>
          <w:p>
            <w:pPr>
              <w:pStyle w:val="TableParagraph"/>
              <w:spacing w:line="277" w:lineRule="exact"/>
              <w:ind w:left="443"/>
              <w:rPr>
                <w:sz w:val="22"/>
              </w:rPr>
            </w:pPr>
            <w:r>
              <w:rPr>
                <w:sz w:val="22"/>
              </w:rPr>
              <w:t>供货方填写</w:t>
            </w:r>
          </w:p>
        </w:tc>
        <w:tc>
          <w:tcPr>
            <w:tcW w:w="1869" w:type="dxa"/>
          </w:tcPr>
          <w:p>
            <w:pPr>
              <w:pStyle w:val="TableParagraph"/>
              <w:rPr>
                <w:rFonts w:ascii="Times New Roman"/>
                <w:sz w:val="22"/>
              </w:rPr>
            </w:pPr>
          </w:p>
        </w:tc>
      </w:tr>
      <w:tr>
        <w:trPr>
          <w:trHeight w:val="530" w:hRule="atLeast"/>
        </w:trPr>
        <w:tc>
          <w:tcPr>
            <w:tcW w:w="576" w:type="dxa"/>
            <w:vMerge w:val="restart"/>
          </w:tcPr>
          <w:p>
            <w:pPr>
              <w:pStyle w:val="TableParagraph"/>
              <w:rPr>
                <w:sz w:val="24"/>
              </w:rPr>
            </w:pPr>
          </w:p>
          <w:p>
            <w:pPr>
              <w:pStyle w:val="TableParagraph"/>
              <w:spacing w:before="4"/>
              <w:rPr>
                <w:sz w:val="19"/>
              </w:rPr>
            </w:pPr>
          </w:p>
          <w:p>
            <w:pPr>
              <w:pStyle w:val="TableParagraph"/>
              <w:ind w:left="139"/>
              <w:rPr>
                <w:rFonts w:ascii="Arial"/>
                <w:sz w:val="22"/>
              </w:rPr>
            </w:pPr>
            <w:r>
              <w:rPr>
                <w:rFonts w:ascii="Arial"/>
                <w:sz w:val="22"/>
              </w:rPr>
              <w:t>1.8</w:t>
            </w:r>
          </w:p>
        </w:tc>
        <w:tc>
          <w:tcPr>
            <w:tcW w:w="900" w:type="dxa"/>
            <w:vMerge w:val="restart"/>
          </w:tcPr>
          <w:p>
            <w:pPr>
              <w:pStyle w:val="TableParagraph"/>
              <w:rPr>
                <w:sz w:val="22"/>
              </w:rPr>
            </w:pPr>
          </w:p>
          <w:p>
            <w:pPr>
              <w:pStyle w:val="TableParagraph"/>
              <w:spacing w:before="3"/>
              <w:rPr>
                <w:sz w:val="20"/>
              </w:rPr>
            </w:pPr>
          </w:p>
          <w:p>
            <w:pPr>
              <w:pStyle w:val="TableParagraph"/>
              <w:ind w:left="117"/>
              <w:rPr>
                <w:sz w:val="22"/>
              </w:rPr>
            </w:pPr>
            <w:r>
              <w:rPr>
                <w:sz w:val="22"/>
              </w:rPr>
              <w:t>铠装层</w:t>
            </w:r>
          </w:p>
        </w:tc>
        <w:tc>
          <w:tcPr>
            <w:tcW w:w="2744" w:type="dxa"/>
          </w:tcPr>
          <w:p>
            <w:pPr>
              <w:pStyle w:val="TableParagraph"/>
              <w:spacing w:before="1"/>
              <w:ind w:left="145" w:right="122"/>
              <w:jc w:val="center"/>
              <w:rPr>
                <w:sz w:val="22"/>
              </w:rPr>
            </w:pPr>
            <w:r>
              <w:rPr>
                <w:sz w:val="22"/>
              </w:rPr>
              <w:t>材料</w:t>
            </w:r>
          </w:p>
        </w:tc>
        <w:tc>
          <w:tcPr>
            <w:tcW w:w="929" w:type="dxa"/>
          </w:tcPr>
          <w:p>
            <w:pPr>
              <w:pStyle w:val="TableParagraph"/>
              <w:spacing w:before="15"/>
              <w:ind w:left="15"/>
              <w:jc w:val="center"/>
              <w:rPr>
                <w:rFonts w:ascii="Arial"/>
                <w:sz w:val="22"/>
              </w:rPr>
            </w:pPr>
            <w:r>
              <w:rPr>
                <w:rFonts w:ascii="Arial"/>
                <w:w w:val="101"/>
                <w:sz w:val="22"/>
              </w:rPr>
              <w:t>/</w:t>
            </w:r>
          </w:p>
        </w:tc>
        <w:tc>
          <w:tcPr>
            <w:tcW w:w="1948" w:type="dxa"/>
            <w:gridSpan w:val="2"/>
          </w:tcPr>
          <w:p>
            <w:pPr>
              <w:pStyle w:val="TableParagraph"/>
              <w:spacing w:before="1"/>
              <w:ind w:left="177"/>
              <w:rPr>
                <w:sz w:val="22"/>
              </w:rPr>
            </w:pPr>
            <w:r>
              <w:rPr>
                <w:sz w:val="22"/>
              </w:rPr>
              <w:t>镀锌钢带</w:t>
            </w:r>
          </w:p>
        </w:tc>
        <w:tc>
          <w:tcPr>
            <w:tcW w:w="1869" w:type="dxa"/>
          </w:tcPr>
          <w:p>
            <w:pPr>
              <w:pStyle w:val="TableParagraph"/>
              <w:rPr>
                <w:rFonts w:ascii="Times New Roman"/>
                <w:sz w:val="22"/>
              </w:rPr>
            </w:pPr>
          </w:p>
        </w:tc>
      </w:tr>
      <w:tr>
        <w:trPr>
          <w:trHeight w:val="530" w:hRule="atLeast"/>
        </w:trPr>
        <w:tc>
          <w:tcPr>
            <w:tcW w:w="576" w:type="dxa"/>
            <w:vMerge/>
            <w:tcBorders>
              <w:top w:val="nil"/>
            </w:tcBorders>
          </w:tcPr>
          <w:p>
            <w:pPr>
              <w:rPr>
                <w:sz w:val="2"/>
                <w:szCs w:val="2"/>
              </w:rPr>
            </w:pPr>
          </w:p>
        </w:tc>
        <w:tc>
          <w:tcPr>
            <w:tcW w:w="900" w:type="dxa"/>
            <w:vMerge/>
            <w:tcBorders>
              <w:top w:val="nil"/>
            </w:tcBorders>
          </w:tcPr>
          <w:p>
            <w:pPr>
              <w:rPr>
                <w:sz w:val="2"/>
                <w:szCs w:val="2"/>
              </w:rPr>
            </w:pPr>
          </w:p>
        </w:tc>
        <w:tc>
          <w:tcPr>
            <w:tcW w:w="2744" w:type="dxa"/>
          </w:tcPr>
          <w:p>
            <w:pPr>
              <w:pStyle w:val="TableParagraph"/>
              <w:spacing w:before="1"/>
              <w:ind w:left="145" w:right="129"/>
              <w:jc w:val="center"/>
              <w:rPr>
                <w:sz w:val="22"/>
              </w:rPr>
            </w:pPr>
            <w:r>
              <w:rPr>
                <w:sz w:val="22"/>
              </w:rPr>
              <w:t>钢带厚度直径</w:t>
            </w:r>
          </w:p>
        </w:tc>
        <w:tc>
          <w:tcPr>
            <w:tcW w:w="929" w:type="dxa"/>
          </w:tcPr>
          <w:p>
            <w:pPr>
              <w:pStyle w:val="TableParagraph"/>
              <w:spacing w:before="15"/>
              <w:ind w:left="113" w:right="88"/>
              <w:jc w:val="center"/>
              <w:rPr>
                <w:rFonts w:ascii="Arial"/>
                <w:sz w:val="22"/>
              </w:rPr>
            </w:pPr>
            <w:r>
              <w:rPr>
                <w:rFonts w:ascii="Arial"/>
                <w:sz w:val="22"/>
              </w:rPr>
              <w:t>mm</w:t>
            </w:r>
          </w:p>
        </w:tc>
        <w:tc>
          <w:tcPr>
            <w:tcW w:w="1948" w:type="dxa"/>
            <w:gridSpan w:val="2"/>
          </w:tcPr>
          <w:p>
            <w:pPr>
              <w:pStyle w:val="TableParagraph"/>
              <w:spacing w:before="1"/>
              <w:ind w:left="623"/>
              <w:rPr>
                <w:rFonts w:ascii="Arial"/>
                <w:sz w:val="22"/>
              </w:rPr>
            </w:pPr>
            <w:r>
              <w:rPr>
                <w:rFonts w:ascii="Arial"/>
                <w:sz w:val="22"/>
              </w:rPr>
              <w:t>0.2~0.8</w:t>
            </w:r>
          </w:p>
        </w:tc>
        <w:tc>
          <w:tcPr>
            <w:tcW w:w="1869" w:type="dxa"/>
          </w:tcPr>
          <w:p>
            <w:pPr>
              <w:pStyle w:val="TableParagraph"/>
              <w:rPr>
                <w:rFonts w:ascii="Times New Roman"/>
                <w:sz w:val="22"/>
              </w:rPr>
            </w:pPr>
          </w:p>
        </w:tc>
      </w:tr>
      <w:tr>
        <w:trPr>
          <w:trHeight w:val="530" w:hRule="atLeast"/>
        </w:trPr>
        <w:tc>
          <w:tcPr>
            <w:tcW w:w="576" w:type="dxa"/>
            <w:vMerge/>
            <w:tcBorders>
              <w:top w:val="nil"/>
            </w:tcBorders>
          </w:tcPr>
          <w:p>
            <w:pPr>
              <w:rPr>
                <w:sz w:val="2"/>
                <w:szCs w:val="2"/>
              </w:rPr>
            </w:pPr>
          </w:p>
        </w:tc>
        <w:tc>
          <w:tcPr>
            <w:tcW w:w="900" w:type="dxa"/>
            <w:vMerge/>
            <w:tcBorders>
              <w:top w:val="nil"/>
            </w:tcBorders>
          </w:tcPr>
          <w:p>
            <w:pPr>
              <w:rPr>
                <w:sz w:val="2"/>
                <w:szCs w:val="2"/>
              </w:rPr>
            </w:pPr>
          </w:p>
        </w:tc>
        <w:tc>
          <w:tcPr>
            <w:tcW w:w="2744" w:type="dxa"/>
          </w:tcPr>
          <w:p>
            <w:pPr>
              <w:pStyle w:val="TableParagraph"/>
              <w:spacing w:line="276" w:lineRule="exact"/>
              <w:ind w:left="138" w:right="129"/>
              <w:jc w:val="center"/>
              <w:rPr>
                <w:sz w:val="22"/>
              </w:rPr>
            </w:pPr>
            <w:r>
              <w:rPr>
                <w:sz w:val="22"/>
              </w:rPr>
              <w:t>钢带层数</w:t>
            </w:r>
          </w:p>
        </w:tc>
        <w:tc>
          <w:tcPr>
            <w:tcW w:w="929" w:type="dxa"/>
          </w:tcPr>
          <w:p>
            <w:pPr>
              <w:pStyle w:val="TableParagraph"/>
              <w:spacing w:line="276" w:lineRule="exact"/>
              <w:ind w:left="18"/>
              <w:jc w:val="center"/>
              <w:rPr>
                <w:sz w:val="22"/>
              </w:rPr>
            </w:pPr>
            <w:r>
              <w:rPr>
                <w:w w:val="101"/>
                <w:sz w:val="22"/>
              </w:rPr>
              <w:t>层</w:t>
            </w:r>
          </w:p>
        </w:tc>
        <w:tc>
          <w:tcPr>
            <w:tcW w:w="1948" w:type="dxa"/>
            <w:gridSpan w:val="2"/>
          </w:tcPr>
          <w:p>
            <w:pPr>
              <w:pStyle w:val="TableParagraph"/>
              <w:spacing w:before="15"/>
              <w:ind w:left="53"/>
              <w:jc w:val="center"/>
              <w:rPr>
                <w:rFonts w:ascii="Arial"/>
                <w:sz w:val="22"/>
              </w:rPr>
            </w:pPr>
            <w:r>
              <w:rPr>
                <w:rFonts w:ascii="Arial"/>
                <w:w w:val="101"/>
                <w:sz w:val="22"/>
              </w:rPr>
              <w:t>2</w:t>
            </w:r>
          </w:p>
        </w:tc>
        <w:tc>
          <w:tcPr>
            <w:tcW w:w="1869" w:type="dxa"/>
          </w:tcPr>
          <w:p>
            <w:pPr>
              <w:pStyle w:val="TableParagraph"/>
              <w:rPr>
                <w:rFonts w:ascii="Times New Roman"/>
                <w:sz w:val="22"/>
              </w:rPr>
            </w:pPr>
          </w:p>
        </w:tc>
      </w:tr>
      <w:tr>
        <w:trPr>
          <w:trHeight w:val="523" w:hRule="atLeast"/>
        </w:trPr>
        <w:tc>
          <w:tcPr>
            <w:tcW w:w="576" w:type="dxa"/>
            <w:vMerge w:val="restart"/>
          </w:tcPr>
          <w:p>
            <w:pPr>
              <w:pStyle w:val="TableParagraph"/>
              <w:rPr>
                <w:sz w:val="24"/>
              </w:rPr>
            </w:pPr>
          </w:p>
          <w:p>
            <w:pPr>
              <w:pStyle w:val="TableParagraph"/>
              <w:rPr>
                <w:sz w:val="24"/>
              </w:rPr>
            </w:pPr>
          </w:p>
          <w:p>
            <w:pPr>
              <w:pStyle w:val="TableParagraph"/>
              <w:spacing w:before="207"/>
              <w:ind w:left="139"/>
              <w:rPr>
                <w:rFonts w:ascii="Arial"/>
                <w:sz w:val="22"/>
              </w:rPr>
            </w:pPr>
            <w:r>
              <w:rPr>
                <w:rFonts w:ascii="Arial"/>
                <w:sz w:val="22"/>
              </w:rPr>
              <w:t>1.9</w:t>
            </w:r>
          </w:p>
        </w:tc>
        <w:tc>
          <w:tcPr>
            <w:tcW w:w="900" w:type="dxa"/>
            <w:vMerge w:val="restart"/>
          </w:tcPr>
          <w:p>
            <w:pPr>
              <w:pStyle w:val="TableParagraph"/>
              <w:rPr>
                <w:sz w:val="22"/>
              </w:rPr>
            </w:pPr>
          </w:p>
          <w:p>
            <w:pPr>
              <w:pStyle w:val="TableParagraph"/>
              <w:rPr>
                <w:sz w:val="22"/>
              </w:rPr>
            </w:pPr>
          </w:p>
          <w:p>
            <w:pPr>
              <w:pStyle w:val="TableParagraph"/>
              <w:spacing w:before="7"/>
              <w:rPr>
                <w:sz w:val="18"/>
              </w:rPr>
            </w:pPr>
          </w:p>
          <w:p>
            <w:pPr>
              <w:pStyle w:val="TableParagraph"/>
              <w:ind w:left="117"/>
              <w:rPr>
                <w:sz w:val="22"/>
              </w:rPr>
            </w:pPr>
            <w:r>
              <w:rPr>
                <w:sz w:val="22"/>
              </w:rPr>
              <w:t>外护套</w:t>
            </w:r>
          </w:p>
        </w:tc>
        <w:tc>
          <w:tcPr>
            <w:tcW w:w="2744" w:type="dxa"/>
          </w:tcPr>
          <w:p>
            <w:pPr>
              <w:pStyle w:val="TableParagraph"/>
              <w:spacing w:line="276" w:lineRule="exact"/>
              <w:ind w:left="145" w:right="122"/>
              <w:jc w:val="center"/>
              <w:rPr>
                <w:sz w:val="22"/>
              </w:rPr>
            </w:pPr>
            <w:r>
              <w:rPr>
                <w:sz w:val="22"/>
              </w:rPr>
              <w:t>材料</w:t>
            </w:r>
          </w:p>
        </w:tc>
        <w:tc>
          <w:tcPr>
            <w:tcW w:w="929" w:type="dxa"/>
          </w:tcPr>
          <w:p>
            <w:pPr>
              <w:pStyle w:val="TableParagraph"/>
              <w:spacing w:before="15"/>
              <w:ind w:left="15"/>
              <w:jc w:val="center"/>
              <w:rPr>
                <w:rFonts w:ascii="Arial"/>
                <w:sz w:val="22"/>
              </w:rPr>
            </w:pPr>
            <w:r>
              <w:rPr>
                <w:rFonts w:ascii="Arial"/>
                <w:w w:val="101"/>
                <w:sz w:val="22"/>
              </w:rPr>
              <w:t>/</w:t>
            </w:r>
          </w:p>
        </w:tc>
        <w:tc>
          <w:tcPr>
            <w:tcW w:w="1948" w:type="dxa"/>
            <w:gridSpan w:val="2"/>
          </w:tcPr>
          <w:p>
            <w:pPr>
              <w:pStyle w:val="TableParagraph"/>
              <w:spacing w:before="15"/>
              <w:ind w:left="595"/>
              <w:rPr>
                <w:rFonts w:ascii="Arial"/>
                <w:sz w:val="22"/>
              </w:rPr>
            </w:pPr>
            <w:r>
              <w:rPr>
                <w:rFonts w:ascii="Arial"/>
                <w:sz w:val="22"/>
              </w:rPr>
              <w:t>PVC/PE</w:t>
            </w:r>
          </w:p>
        </w:tc>
        <w:tc>
          <w:tcPr>
            <w:tcW w:w="1869" w:type="dxa"/>
          </w:tcPr>
          <w:p>
            <w:pPr>
              <w:pStyle w:val="TableParagraph"/>
              <w:rPr>
                <w:rFonts w:ascii="Times New Roman"/>
                <w:sz w:val="22"/>
              </w:rPr>
            </w:pPr>
          </w:p>
        </w:tc>
      </w:tr>
      <w:tr>
        <w:trPr>
          <w:trHeight w:val="530" w:hRule="atLeast"/>
        </w:trPr>
        <w:tc>
          <w:tcPr>
            <w:tcW w:w="576" w:type="dxa"/>
            <w:vMerge/>
            <w:tcBorders>
              <w:top w:val="nil"/>
            </w:tcBorders>
          </w:tcPr>
          <w:p>
            <w:pPr>
              <w:rPr>
                <w:sz w:val="2"/>
                <w:szCs w:val="2"/>
              </w:rPr>
            </w:pPr>
          </w:p>
        </w:tc>
        <w:tc>
          <w:tcPr>
            <w:tcW w:w="900" w:type="dxa"/>
            <w:vMerge/>
            <w:tcBorders>
              <w:top w:val="nil"/>
            </w:tcBorders>
          </w:tcPr>
          <w:p>
            <w:pPr>
              <w:rPr>
                <w:sz w:val="2"/>
                <w:szCs w:val="2"/>
              </w:rPr>
            </w:pPr>
          </w:p>
        </w:tc>
        <w:tc>
          <w:tcPr>
            <w:tcW w:w="2744" w:type="dxa"/>
          </w:tcPr>
          <w:p>
            <w:pPr>
              <w:pStyle w:val="TableParagraph"/>
              <w:spacing w:before="1"/>
              <w:ind w:left="144" w:right="129"/>
              <w:jc w:val="center"/>
              <w:rPr>
                <w:sz w:val="22"/>
              </w:rPr>
            </w:pPr>
            <w:r>
              <w:rPr>
                <w:sz w:val="22"/>
              </w:rPr>
              <w:t>材料生产厂及牌号</w:t>
            </w:r>
          </w:p>
        </w:tc>
        <w:tc>
          <w:tcPr>
            <w:tcW w:w="929" w:type="dxa"/>
          </w:tcPr>
          <w:p>
            <w:pPr>
              <w:pStyle w:val="TableParagraph"/>
              <w:spacing w:before="15"/>
              <w:ind w:left="15"/>
              <w:jc w:val="center"/>
              <w:rPr>
                <w:rFonts w:ascii="Arial"/>
                <w:sz w:val="22"/>
              </w:rPr>
            </w:pPr>
            <w:r>
              <w:rPr>
                <w:rFonts w:ascii="Arial"/>
                <w:w w:val="101"/>
                <w:sz w:val="22"/>
              </w:rPr>
              <w:t>/</w:t>
            </w:r>
          </w:p>
        </w:tc>
        <w:tc>
          <w:tcPr>
            <w:tcW w:w="1948" w:type="dxa"/>
            <w:gridSpan w:val="2"/>
          </w:tcPr>
          <w:p>
            <w:pPr>
              <w:pStyle w:val="TableParagraph"/>
              <w:spacing w:before="1"/>
              <w:ind w:left="443"/>
              <w:rPr>
                <w:sz w:val="22"/>
              </w:rPr>
            </w:pPr>
            <w:r>
              <w:rPr>
                <w:sz w:val="22"/>
              </w:rPr>
              <w:t>供货方提供</w:t>
            </w:r>
          </w:p>
        </w:tc>
        <w:tc>
          <w:tcPr>
            <w:tcW w:w="1869" w:type="dxa"/>
          </w:tcPr>
          <w:p>
            <w:pPr>
              <w:pStyle w:val="TableParagraph"/>
              <w:rPr>
                <w:rFonts w:ascii="Times New Roman"/>
                <w:sz w:val="22"/>
              </w:rPr>
            </w:pPr>
          </w:p>
        </w:tc>
      </w:tr>
      <w:tr>
        <w:trPr>
          <w:trHeight w:val="530" w:hRule="atLeast"/>
        </w:trPr>
        <w:tc>
          <w:tcPr>
            <w:tcW w:w="576" w:type="dxa"/>
            <w:vMerge/>
            <w:tcBorders>
              <w:top w:val="nil"/>
            </w:tcBorders>
          </w:tcPr>
          <w:p>
            <w:pPr>
              <w:rPr>
                <w:sz w:val="2"/>
                <w:szCs w:val="2"/>
              </w:rPr>
            </w:pPr>
          </w:p>
        </w:tc>
        <w:tc>
          <w:tcPr>
            <w:tcW w:w="900" w:type="dxa"/>
            <w:vMerge/>
            <w:tcBorders>
              <w:top w:val="nil"/>
            </w:tcBorders>
          </w:tcPr>
          <w:p>
            <w:pPr>
              <w:rPr>
                <w:sz w:val="2"/>
                <w:szCs w:val="2"/>
              </w:rPr>
            </w:pPr>
          </w:p>
        </w:tc>
        <w:tc>
          <w:tcPr>
            <w:tcW w:w="2744" w:type="dxa"/>
          </w:tcPr>
          <w:p>
            <w:pPr>
              <w:pStyle w:val="TableParagraph"/>
              <w:spacing w:before="1"/>
              <w:ind w:left="145" w:right="122"/>
              <w:jc w:val="center"/>
              <w:rPr>
                <w:sz w:val="22"/>
              </w:rPr>
            </w:pPr>
            <w:r>
              <w:rPr>
                <w:sz w:val="22"/>
              </w:rPr>
              <w:t>颜色</w:t>
            </w:r>
          </w:p>
        </w:tc>
        <w:tc>
          <w:tcPr>
            <w:tcW w:w="929" w:type="dxa"/>
          </w:tcPr>
          <w:p>
            <w:pPr>
              <w:pStyle w:val="TableParagraph"/>
              <w:spacing w:before="15"/>
              <w:ind w:left="15"/>
              <w:jc w:val="center"/>
              <w:rPr>
                <w:rFonts w:ascii="Arial"/>
                <w:sz w:val="22"/>
              </w:rPr>
            </w:pPr>
            <w:r>
              <w:rPr>
                <w:rFonts w:ascii="Arial"/>
                <w:w w:val="101"/>
                <w:sz w:val="22"/>
              </w:rPr>
              <w:t>/</w:t>
            </w:r>
          </w:p>
        </w:tc>
        <w:tc>
          <w:tcPr>
            <w:tcW w:w="1948" w:type="dxa"/>
            <w:gridSpan w:val="2"/>
          </w:tcPr>
          <w:p>
            <w:pPr>
              <w:pStyle w:val="TableParagraph"/>
              <w:spacing w:before="1"/>
              <w:ind w:left="523"/>
              <w:rPr>
                <w:sz w:val="22"/>
              </w:rPr>
            </w:pPr>
            <w:r>
              <w:rPr>
                <w:sz w:val="22"/>
              </w:rPr>
              <w:t>黑色</w:t>
            </w:r>
            <w:r>
              <w:rPr>
                <w:rFonts w:ascii="Arial" w:eastAsia="Arial"/>
                <w:sz w:val="22"/>
              </w:rPr>
              <w:t>/</w:t>
            </w:r>
            <w:r>
              <w:rPr>
                <w:sz w:val="22"/>
              </w:rPr>
              <w:t>红色</w:t>
            </w:r>
          </w:p>
        </w:tc>
        <w:tc>
          <w:tcPr>
            <w:tcW w:w="1869" w:type="dxa"/>
          </w:tcPr>
          <w:p>
            <w:pPr>
              <w:pStyle w:val="TableParagraph"/>
              <w:rPr>
                <w:rFonts w:ascii="Times New Roman"/>
                <w:sz w:val="22"/>
              </w:rPr>
            </w:pPr>
          </w:p>
        </w:tc>
      </w:tr>
      <w:tr>
        <w:trPr>
          <w:trHeight w:val="530" w:hRule="atLeast"/>
        </w:trPr>
        <w:tc>
          <w:tcPr>
            <w:tcW w:w="576" w:type="dxa"/>
            <w:vMerge/>
            <w:tcBorders>
              <w:top w:val="nil"/>
            </w:tcBorders>
          </w:tcPr>
          <w:p>
            <w:pPr>
              <w:rPr>
                <w:sz w:val="2"/>
                <w:szCs w:val="2"/>
              </w:rPr>
            </w:pPr>
          </w:p>
        </w:tc>
        <w:tc>
          <w:tcPr>
            <w:tcW w:w="900" w:type="dxa"/>
            <w:vMerge/>
            <w:tcBorders>
              <w:top w:val="nil"/>
            </w:tcBorders>
          </w:tcPr>
          <w:p>
            <w:pPr>
              <w:rPr>
                <w:sz w:val="2"/>
                <w:szCs w:val="2"/>
              </w:rPr>
            </w:pPr>
          </w:p>
        </w:tc>
        <w:tc>
          <w:tcPr>
            <w:tcW w:w="2744" w:type="dxa"/>
          </w:tcPr>
          <w:p>
            <w:pPr>
              <w:pStyle w:val="TableParagraph"/>
              <w:spacing w:line="276" w:lineRule="exact"/>
              <w:ind w:left="145" w:right="129"/>
              <w:jc w:val="center"/>
              <w:rPr>
                <w:sz w:val="22"/>
              </w:rPr>
            </w:pPr>
            <w:r>
              <w:rPr>
                <w:sz w:val="22"/>
              </w:rPr>
              <w:t>最薄点厚度不小于标称值</w:t>
            </w:r>
          </w:p>
        </w:tc>
        <w:tc>
          <w:tcPr>
            <w:tcW w:w="929" w:type="dxa"/>
          </w:tcPr>
          <w:p>
            <w:pPr>
              <w:pStyle w:val="TableParagraph"/>
              <w:spacing w:before="15"/>
              <w:ind w:left="22"/>
              <w:jc w:val="center"/>
              <w:rPr>
                <w:rFonts w:ascii="Arial"/>
                <w:sz w:val="22"/>
              </w:rPr>
            </w:pPr>
            <w:r>
              <w:rPr>
                <w:rFonts w:ascii="Arial"/>
                <w:w w:val="101"/>
                <w:sz w:val="22"/>
              </w:rPr>
              <w:t>%</w:t>
            </w:r>
          </w:p>
        </w:tc>
        <w:tc>
          <w:tcPr>
            <w:tcW w:w="1948" w:type="dxa"/>
            <w:gridSpan w:val="2"/>
          </w:tcPr>
          <w:p>
            <w:pPr>
              <w:pStyle w:val="TableParagraph"/>
              <w:spacing w:before="15"/>
              <w:ind w:left="129" w:right="71"/>
              <w:jc w:val="center"/>
              <w:rPr>
                <w:rFonts w:ascii="Arial"/>
                <w:sz w:val="22"/>
              </w:rPr>
            </w:pPr>
            <w:r>
              <w:rPr>
                <w:rFonts w:ascii="Arial"/>
                <w:sz w:val="22"/>
              </w:rPr>
              <w:t>80</w:t>
            </w:r>
          </w:p>
        </w:tc>
        <w:tc>
          <w:tcPr>
            <w:tcW w:w="1869" w:type="dxa"/>
          </w:tcPr>
          <w:p>
            <w:pPr>
              <w:pStyle w:val="TableParagraph"/>
              <w:rPr>
                <w:rFonts w:ascii="Times New Roman"/>
                <w:sz w:val="22"/>
              </w:rPr>
            </w:pPr>
          </w:p>
        </w:tc>
      </w:tr>
      <w:tr>
        <w:trPr>
          <w:trHeight w:val="523" w:hRule="atLeast"/>
        </w:trPr>
        <w:tc>
          <w:tcPr>
            <w:tcW w:w="576" w:type="dxa"/>
          </w:tcPr>
          <w:p>
            <w:pPr>
              <w:pStyle w:val="TableParagraph"/>
              <w:spacing w:before="15"/>
              <w:ind w:left="8"/>
              <w:jc w:val="center"/>
              <w:rPr>
                <w:rFonts w:ascii="Arial"/>
                <w:sz w:val="22"/>
              </w:rPr>
            </w:pPr>
            <w:r>
              <w:rPr>
                <w:rFonts w:ascii="Arial"/>
                <w:w w:val="101"/>
                <w:sz w:val="22"/>
              </w:rPr>
              <w:t>2</w:t>
            </w:r>
          </w:p>
        </w:tc>
        <w:tc>
          <w:tcPr>
            <w:tcW w:w="8390" w:type="dxa"/>
            <w:gridSpan w:val="6"/>
          </w:tcPr>
          <w:p>
            <w:pPr>
              <w:pStyle w:val="TableParagraph"/>
              <w:spacing w:line="276" w:lineRule="exact"/>
              <w:ind w:left="110"/>
              <w:rPr>
                <w:sz w:val="22"/>
              </w:rPr>
            </w:pPr>
            <w:r>
              <w:rPr>
                <w:rFonts w:ascii="Arial" w:eastAsia="Arial"/>
                <w:sz w:val="22"/>
              </w:rPr>
              <w:t>0.6/1kV </w:t>
            </w:r>
            <w:r>
              <w:rPr>
                <w:sz w:val="22"/>
              </w:rPr>
              <w:t>挤包绝缘电力电缆技术参数</w:t>
            </w:r>
          </w:p>
        </w:tc>
      </w:tr>
      <w:tr>
        <w:trPr>
          <w:trHeight w:val="530" w:hRule="atLeast"/>
        </w:trPr>
        <w:tc>
          <w:tcPr>
            <w:tcW w:w="576" w:type="dxa"/>
            <w:vMerge w:val="restart"/>
          </w:tcPr>
          <w:p>
            <w:pPr>
              <w:pStyle w:val="TableParagraph"/>
              <w:spacing w:before="7"/>
              <w:rPr>
                <w:sz w:val="22"/>
              </w:rPr>
            </w:pPr>
          </w:p>
          <w:p>
            <w:pPr>
              <w:pStyle w:val="TableParagraph"/>
              <w:ind w:left="139"/>
              <w:rPr>
                <w:rFonts w:ascii="Arial"/>
                <w:sz w:val="22"/>
              </w:rPr>
            </w:pPr>
            <w:r>
              <w:rPr>
                <w:rFonts w:ascii="Arial"/>
                <w:sz w:val="22"/>
              </w:rPr>
              <w:t>2.1</w:t>
            </w:r>
          </w:p>
        </w:tc>
        <w:tc>
          <w:tcPr>
            <w:tcW w:w="3644" w:type="dxa"/>
            <w:gridSpan w:val="2"/>
            <w:vMerge w:val="restart"/>
          </w:tcPr>
          <w:p>
            <w:pPr>
              <w:pStyle w:val="TableParagraph"/>
              <w:spacing w:line="280" w:lineRule="auto" w:before="102"/>
              <w:ind w:left="110" w:right="1511"/>
              <w:rPr>
                <w:sz w:val="22"/>
              </w:rPr>
            </w:pPr>
            <w:r>
              <w:rPr>
                <w:rFonts w:ascii="Arial" w:hAnsi="Arial" w:eastAsia="Arial"/>
                <w:sz w:val="22"/>
              </w:rPr>
              <w:t>20</w:t>
            </w:r>
            <w:r>
              <w:rPr>
                <w:sz w:val="22"/>
              </w:rPr>
              <w:t>℃时铜导体最大直流电阻</w:t>
            </w:r>
          </w:p>
        </w:tc>
        <w:tc>
          <w:tcPr>
            <w:tcW w:w="929" w:type="dxa"/>
            <w:vMerge w:val="restart"/>
          </w:tcPr>
          <w:p>
            <w:pPr>
              <w:pStyle w:val="TableParagraph"/>
              <w:spacing w:before="7"/>
              <w:rPr>
                <w:sz w:val="22"/>
              </w:rPr>
            </w:pPr>
          </w:p>
          <w:p>
            <w:pPr>
              <w:pStyle w:val="TableParagraph"/>
              <w:ind w:left="155"/>
              <w:rPr>
                <w:rFonts w:ascii="Arial" w:hAnsi="Arial"/>
                <w:sz w:val="22"/>
              </w:rPr>
            </w:pPr>
            <w:r>
              <w:rPr>
                <w:rFonts w:ascii="Arial" w:hAnsi="Arial"/>
                <w:sz w:val="22"/>
              </w:rPr>
              <w:t>Ω/km</w:t>
            </w:r>
          </w:p>
        </w:tc>
        <w:tc>
          <w:tcPr>
            <w:tcW w:w="1948" w:type="dxa"/>
            <w:gridSpan w:val="2"/>
          </w:tcPr>
          <w:p>
            <w:pPr>
              <w:pStyle w:val="TableParagraph"/>
              <w:spacing w:before="1"/>
              <w:ind w:left="62" w:right="77"/>
              <w:jc w:val="center"/>
              <w:rPr>
                <w:sz w:val="22"/>
              </w:rPr>
            </w:pPr>
            <w:r>
              <w:rPr>
                <w:sz w:val="22"/>
              </w:rPr>
              <w:t>1.15</w:t>
            </w:r>
          </w:p>
        </w:tc>
        <w:tc>
          <w:tcPr>
            <w:tcW w:w="1869" w:type="dxa"/>
          </w:tcPr>
          <w:p>
            <w:pPr>
              <w:pStyle w:val="TableParagraph"/>
              <w:spacing w:before="1"/>
              <w:ind w:left="611" w:right="620"/>
              <w:jc w:val="center"/>
              <w:rPr>
                <w:rFonts w:ascii="Arial" w:hAnsi="Arial"/>
                <w:sz w:val="22"/>
              </w:rPr>
            </w:pPr>
            <w:r>
              <w:rPr>
                <w:rFonts w:ascii="Arial" w:hAnsi="Arial"/>
                <w:sz w:val="22"/>
              </w:rPr>
              <w:t>1</w:t>
            </w:r>
            <w:r>
              <w:rPr>
                <w:sz w:val="22"/>
              </w:rPr>
              <w:t>×</w:t>
            </w:r>
            <w:r>
              <w:rPr>
                <w:rFonts w:ascii="Arial" w:hAnsi="Arial"/>
                <w:sz w:val="22"/>
              </w:rPr>
              <w:t>16</w:t>
            </w:r>
          </w:p>
        </w:tc>
      </w:tr>
      <w:tr>
        <w:trPr>
          <w:trHeight w:val="530" w:hRule="atLeast"/>
        </w:trPr>
        <w:tc>
          <w:tcPr>
            <w:tcW w:w="576" w:type="dxa"/>
            <w:vMerge/>
            <w:tcBorders>
              <w:top w:val="nil"/>
            </w:tcBorders>
          </w:tcPr>
          <w:p>
            <w:pPr>
              <w:rPr>
                <w:sz w:val="2"/>
                <w:szCs w:val="2"/>
              </w:rPr>
            </w:pPr>
          </w:p>
        </w:tc>
        <w:tc>
          <w:tcPr>
            <w:tcW w:w="3644" w:type="dxa"/>
            <w:gridSpan w:val="2"/>
            <w:vMerge/>
            <w:tcBorders>
              <w:top w:val="nil"/>
            </w:tcBorders>
          </w:tcPr>
          <w:p>
            <w:pPr>
              <w:rPr>
                <w:sz w:val="2"/>
                <w:szCs w:val="2"/>
              </w:rPr>
            </w:pPr>
          </w:p>
        </w:tc>
        <w:tc>
          <w:tcPr>
            <w:tcW w:w="929" w:type="dxa"/>
            <w:vMerge/>
            <w:tcBorders>
              <w:top w:val="nil"/>
            </w:tcBorders>
          </w:tcPr>
          <w:p>
            <w:pPr>
              <w:rPr>
                <w:sz w:val="2"/>
                <w:szCs w:val="2"/>
              </w:rPr>
            </w:pPr>
          </w:p>
        </w:tc>
        <w:tc>
          <w:tcPr>
            <w:tcW w:w="1948" w:type="dxa"/>
            <w:gridSpan w:val="2"/>
          </w:tcPr>
          <w:p>
            <w:pPr>
              <w:pStyle w:val="TableParagraph"/>
              <w:spacing w:line="277" w:lineRule="exact"/>
              <w:ind w:left="55" w:right="77"/>
              <w:jc w:val="center"/>
              <w:rPr>
                <w:sz w:val="22"/>
              </w:rPr>
            </w:pPr>
            <w:r>
              <w:rPr>
                <w:sz w:val="22"/>
              </w:rPr>
              <w:t>0.727</w:t>
            </w:r>
          </w:p>
        </w:tc>
        <w:tc>
          <w:tcPr>
            <w:tcW w:w="1869" w:type="dxa"/>
          </w:tcPr>
          <w:p>
            <w:pPr>
              <w:pStyle w:val="TableParagraph"/>
              <w:spacing w:line="277" w:lineRule="exact"/>
              <w:ind w:left="611" w:right="620"/>
              <w:jc w:val="center"/>
              <w:rPr>
                <w:rFonts w:ascii="Arial" w:hAnsi="Arial"/>
                <w:sz w:val="22"/>
              </w:rPr>
            </w:pPr>
            <w:r>
              <w:rPr>
                <w:rFonts w:ascii="Arial" w:hAnsi="Arial"/>
                <w:sz w:val="22"/>
              </w:rPr>
              <w:t>1</w:t>
            </w:r>
            <w:r>
              <w:rPr>
                <w:sz w:val="22"/>
              </w:rPr>
              <w:t>×</w:t>
            </w:r>
            <w:r>
              <w:rPr>
                <w:rFonts w:ascii="Arial" w:hAnsi="Arial"/>
                <w:sz w:val="22"/>
              </w:rPr>
              <w:t>25</w:t>
            </w:r>
          </w:p>
        </w:tc>
      </w:tr>
    </w:tbl>
    <w:p>
      <w:pPr>
        <w:spacing w:after="0" w:line="277" w:lineRule="exact"/>
        <w:jc w:val="center"/>
        <w:rPr>
          <w:rFonts w:ascii="Arial" w:hAnsi="Arial"/>
          <w:sz w:val="22"/>
        </w:rPr>
        <w:sectPr>
          <w:pgSz w:w="11910" w:h="16850"/>
          <w:pgMar w:top="1440" w:bottom="280" w:left="1360" w:right="136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3645"/>
        <w:gridCol w:w="929"/>
        <w:gridCol w:w="93"/>
        <w:gridCol w:w="1815"/>
        <w:gridCol w:w="122"/>
        <w:gridCol w:w="1786"/>
      </w:tblGrid>
      <w:tr>
        <w:trPr>
          <w:trHeight w:val="854" w:hRule="atLeast"/>
        </w:trPr>
        <w:tc>
          <w:tcPr>
            <w:tcW w:w="576" w:type="dxa"/>
          </w:tcPr>
          <w:p>
            <w:pPr>
              <w:pStyle w:val="TableParagraph"/>
              <w:spacing w:line="283" w:lineRule="auto"/>
              <w:ind w:left="110" w:right="230"/>
              <w:rPr>
                <w:sz w:val="22"/>
              </w:rPr>
            </w:pPr>
            <w:r>
              <w:rPr>
                <w:sz w:val="22"/>
              </w:rPr>
              <w:t>序号</w:t>
            </w:r>
          </w:p>
        </w:tc>
        <w:tc>
          <w:tcPr>
            <w:tcW w:w="3645" w:type="dxa"/>
          </w:tcPr>
          <w:p>
            <w:pPr>
              <w:pStyle w:val="TableParagraph"/>
              <w:tabs>
                <w:tab w:pos="612" w:val="left" w:leader="none"/>
              </w:tabs>
              <w:spacing w:before="161"/>
              <w:ind w:left="22"/>
              <w:jc w:val="center"/>
              <w:rPr>
                <w:sz w:val="22"/>
              </w:rPr>
            </w:pPr>
            <w:r>
              <w:rPr>
                <w:sz w:val="22"/>
              </w:rPr>
              <w:t>项</w:t>
              <w:tab/>
              <w:t>目</w:t>
            </w:r>
          </w:p>
        </w:tc>
        <w:tc>
          <w:tcPr>
            <w:tcW w:w="1022" w:type="dxa"/>
            <w:gridSpan w:val="2"/>
          </w:tcPr>
          <w:p>
            <w:pPr>
              <w:pStyle w:val="TableParagraph"/>
              <w:spacing w:before="161"/>
              <w:ind w:left="291"/>
              <w:rPr>
                <w:sz w:val="22"/>
              </w:rPr>
            </w:pPr>
            <w:r>
              <w:rPr>
                <w:sz w:val="22"/>
              </w:rPr>
              <w:t>单位</w:t>
            </w:r>
          </w:p>
        </w:tc>
        <w:tc>
          <w:tcPr>
            <w:tcW w:w="1937" w:type="dxa"/>
            <w:gridSpan w:val="2"/>
          </w:tcPr>
          <w:p>
            <w:pPr>
              <w:pStyle w:val="TableParagraph"/>
              <w:spacing w:before="161"/>
              <w:ind w:left="414"/>
              <w:rPr>
                <w:sz w:val="22"/>
              </w:rPr>
            </w:pPr>
            <w:r>
              <w:rPr>
                <w:sz w:val="22"/>
              </w:rPr>
              <w:t>标准参数值</w:t>
            </w:r>
          </w:p>
        </w:tc>
        <w:tc>
          <w:tcPr>
            <w:tcW w:w="1786" w:type="dxa"/>
          </w:tcPr>
          <w:p>
            <w:pPr>
              <w:pStyle w:val="TableParagraph"/>
              <w:spacing w:before="161"/>
              <w:ind w:left="664" w:right="630"/>
              <w:jc w:val="center"/>
              <w:rPr>
                <w:sz w:val="22"/>
              </w:rPr>
            </w:pPr>
            <w:r>
              <w:rPr>
                <w:sz w:val="22"/>
              </w:rPr>
              <w:t>备注</w:t>
            </w:r>
          </w:p>
        </w:tc>
      </w:tr>
      <w:tr>
        <w:trPr>
          <w:trHeight w:val="530" w:hRule="atLeast"/>
        </w:trPr>
        <w:tc>
          <w:tcPr>
            <w:tcW w:w="576" w:type="dxa"/>
            <w:vMerge w:val="restart"/>
          </w:tcPr>
          <w:p>
            <w:pPr>
              <w:pStyle w:val="TableParagraph"/>
              <w:rPr>
                <w:rFonts w:ascii="Times New Roman"/>
                <w:sz w:val="22"/>
              </w:rPr>
            </w:pPr>
          </w:p>
        </w:tc>
        <w:tc>
          <w:tcPr>
            <w:tcW w:w="3645" w:type="dxa"/>
            <w:vMerge w:val="restart"/>
          </w:tcPr>
          <w:p>
            <w:pPr>
              <w:pStyle w:val="TableParagraph"/>
              <w:rPr>
                <w:rFonts w:ascii="Times New Roman"/>
                <w:sz w:val="22"/>
              </w:rPr>
            </w:pPr>
          </w:p>
        </w:tc>
        <w:tc>
          <w:tcPr>
            <w:tcW w:w="929" w:type="dxa"/>
            <w:vMerge w:val="restart"/>
          </w:tcPr>
          <w:p>
            <w:pPr>
              <w:pStyle w:val="TableParagraph"/>
              <w:rPr>
                <w:rFonts w:ascii="Times New Roman"/>
                <w:sz w:val="22"/>
              </w:rPr>
            </w:pPr>
          </w:p>
        </w:tc>
        <w:tc>
          <w:tcPr>
            <w:tcW w:w="1908" w:type="dxa"/>
            <w:gridSpan w:val="2"/>
          </w:tcPr>
          <w:p>
            <w:pPr>
              <w:pStyle w:val="TableParagraph"/>
              <w:spacing w:before="1"/>
              <w:ind w:left="634" w:right="621"/>
              <w:jc w:val="center"/>
              <w:rPr>
                <w:sz w:val="22"/>
              </w:rPr>
            </w:pPr>
            <w:r>
              <w:rPr>
                <w:sz w:val="22"/>
              </w:rPr>
              <w:t>0.524</w:t>
            </w:r>
          </w:p>
        </w:tc>
        <w:tc>
          <w:tcPr>
            <w:tcW w:w="1908" w:type="dxa"/>
            <w:gridSpan w:val="2"/>
          </w:tcPr>
          <w:p>
            <w:pPr>
              <w:pStyle w:val="TableParagraph"/>
              <w:spacing w:before="1"/>
              <w:ind w:left="648" w:right="621"/>
              <w:jc w:val="center"/>
              <w:rPr>
                <w:rFonts w:ascii="Arial" w:hAnsi="Arial"/>
                <w:sz w:val="22"/>
              </w:rPr>
            </w:pPr>
            <w:r>
              <w:rPr>
                <w:rFonts w:ascii="Arial" w:hAnsi="Arial"/>
                <w:sz w:val="22"/>
              </w:rPr>
              <w:t>1</w:t>
            </w:r>
            <w:r>
              <w:rPr>
                <w:sz w:val="22"/>
              </w:rPr>
              <w:t>×</w:t>
            </w:r>
            <w:r>
              <w:rPr>
                <w:rFonts w:ascii="Arial" w:hAnsi="Arial"/>
                <w:sz w:val="22"/>
              </w:rPr>
              <w:t>35</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line="276" w:lineRule="exact"/>
              <w:ind w:left="634" w:right="621"/>
              <w:jc w:val="center"/>
              <w:rPr>
                <w:sz w:val="22"/>
              </w:rPr>
            </w:pPr>
            <w:r>
              <w:rPr>
                <w:sz w:val="22"/>
              </w:rPr>
              <w:t>0.387</w:t>
            </w:r>
          </w:p>
        </w:tc>
        <w:tc>
          <w:tcPr>
            <w:tcW w:w="1908" w:type="dxa"/>
            <w:gridSpan w:val="2"/>
          </w:tcPr>
          <w:p>
            <w:pPr>
              <w:pStyle w:val="TableParagraph"/>
              <w:spacing w:line="276" w:lineRule="exact"/>
              <w:ind w:left="648" w:right="621"/>
              <w:jc w:val="center"/>
              <w:rPr>
                <w:rFonts w:ascii="Arial" w:hAnsi="Arial"/>
                <w:sz w:val="22"/>
              </w:rPr>
            </w:pPr>
            <w:r>
              <w:rPr>
                <w:rFonts w:ascii="Arial" w:hAnsi="Arial"/>
                <w:sz w:val="22"/>
              </w:rPr>
              <w:t>1</w:t>
            </w:r>
            <w:r>
              <w:rPr>
                <w:sz w:val="22"/>
              </w:rPr>
              <w:t>×</w:t>
            </w:r>
            <w:r>
              <w:rPr>
                <w:rFonts w:ascii="Arial" w:hAnsi="Arial"/>
                <w:sz w:val="22"/>
              </w:rPr>
              <w:t>50</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line="276" w:lineRule="exact"/>
              <w:ind w:left="634" w:right="621"/>
              <w:jc w:val="center"/>
              <w:rPr>
                <w:sz w:val="22"/>
              </w:rPr>
            </w:pPr>
            <w:r>
              <w:rPr>
                <w:sz w:val="22"/>
              </w:rPr>
              <w:t>0.268</w:t>
            </w:r>
          </w:p>
        </w:tc>
        <w:tc>
          <w:tcPr>
            <w:tcW w:w="1908" w:type="dxa"/>
            <w:gridSpan w:val="2"/>
          </w:tcPr>
          <w:p>
            <w:pPr>
              <w:pStyle w:val="TableParagraph"/>
              <w:spacing w:line="276" w:lineRule="exact"/>
              <w:ind w:left="648" w:right="621"/>
              <w:jc w:val="center"/>
              <w:rPr>
                <w:rFonts w:ascii="Arial" w:hAnsi="Arial"/>
                <w:sz w:val="22"/>
              </w:rPr>
            </w:pPr>
            <w:r>
              <w:rPr>
                <w:rFonts w:ascii="Arial" w:hAnsi="Arial"/>
                <w:sz w:val="22"/>
              </w:rPr>
              <w:t>1</w:t>
            </w:r>
            <w:r>
              <w:rPr>
                <w:sz w:val="22"/>
              </w:rPr>
              <w:t>×</w:t>
            </w:r>
            <w:r>
              <w:rPr>
                <w:rFonts w:ascii="Arial" w:hAnsi="Arial"/>
                <w:sz w:val="22"/>
              </w:rPr>
              <w:t>70</w:t>
            </w:r>
          </w:p>
        </w:tc>
      </w:tr>
      <w:tr>
        <w:trPr>
          <w:trHeight w:val="523"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line="277" w:lineRule="exact"/>
              <w:ind w:left="634" w:right="621"/>
              <w:jc w:val="center"/>
              <w:rPr>
                <w:sz w:val="22"/>
              </w:rPr>
            </w:pPr>
            <w:r>
              <w:rPr>
                <w:sz w:val="22"/>
              </w:rPr>
              <w:t>0.193</w:t>
            </w:r>
          </w:p>
        </w:tc>
        <w:tc>
          <w:tcPr>
            <w:tcW w:w="1908" w:type="dxa"/>
            <w:gridSpan w:val="2"/>
          </w:tcPr>
          <w:p>
            <w:pPr>
              <w:pStyle w:val="TableParagraph"/>
              <w:spacing w:line="277" w:lineRule="exact"/>
              <w:ind w:left="648" w:right="621"/>
              <w:jc w:val="center"/>
              <w:rPr>
                <w:rFonts w:ascii="Arial" w:hAnsi="Arial"/>
                <w:sz w:val="22"/>
              </w:rPr>
            </w:pPr>
            <w:r>
              <w:rPr>
                <w:rFonts w:ascii="Arial" w:hAnsi="Arial"/>
                <w:sz w:val="22"/>
              </w:rPr>
              <w:t>1</w:t>
            </w:r>
            <w:r>
              <w:rPr>
                <w:sz w:val="22"/>
              </w:rPr>
              <w:t>×</w:t>
            </w:r>
            <w:r>
              <w:rPr>
                <w:rFonts w:ascii="Arial" w:hAnsi="Arial"/>
                <w:sz w:val="22"/>
              </w:rPr>
              <w:t>95</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before="1"/>
              <w:ind w:left="634" w:right="621"/>
              <w:jc w:val="center"/>
              <w:rPr>
                <w:sz w:val="22"/>
              </w:rPr>
            </w:pPr>
            <w:r>
              <w:rPr>
                <w:sz w:val="22"/>
              </w:rPr>
              <w:t>0.153</w:t>
            </w:r>
          </w:p>
        </w:tc>
        <w:tc>
          <w:tcPr>
            <w:tcW w:w="1908" w:type="dxa"/>
            <w:gridSpan w:val="2"/>
          </w:tcPr>
          <w:p>
            <w:pPr>
              <w:pStyle w:val="TableParagraph"/>
              <w:spacing w:before="1"/>
              <w:ind w:left="602"/>
              <w:rPr>
                <w:rFonts w:ascii="Arial" w:hAnsi="Arial"/>
                <w:sz w:val="22"/>
              </w:rPr>
            </w:pPr>
            <w:r>
              <w:rPr>
                <w:rFonts w:ascii="Arial" w:hAnsi="Arial"/>
                <w:sz w:val="22"/>
              </w:rPr>
              <w:t>1</w:t>
            </w:r>
            <w:r>
              <w:rPr>
                <w:sz w:val="22"/>
              </w:rPr>
              <w:t>×</w:t>
            </w:r>
            <w:r>
              <w:rPr>
                <w:rFonts w:ascii="Arial" w:hAnsi="Arial"/>
                <w:sz w:val="22"/>
              </w:rPr>
              <w:t>120</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line="277" w:lineRule="exact"/>
              <w:ind w:left="634" w:right="621"/>
              <w:jc w:val="center"/>
              <w:rPr>
                <w:sz w:val="22"/>
              </w:rPr>
            </w:pPr>
            <w:r>
              <w:rPr>
                <w:sz w:val="22"/>
              </w:rPr>
              <w:t>0.124</w:t>
            </w:r>
          </w:p>
        </w:tc>
        <w:tc>
          <w:tcPr>
            <w:tcW w:w="1908" w:type="dxa"/>
            <w:gridSpan w:val="2"/>
          </w:tcPr>
          <w:p>
            <w:pPr>
              <w:pStyle w:val="TableParagraph"/>
              <w:spacing w:line="277" w:lineRule="exact"/>
              <w:ind w:left="602"/>
              <w:rPr>
                <w:rFonts w:ascii="Arial" w:hAnsi="Arial"/>
                <w:sz w:val="22"/>
              </w:rPr>
            </w:pPr>
            <w:r>
              <w:rPr>
                <w:rFonts w:ascii="Arial" w:hAnsi="Arial"/>
                <w:sz w:val="22"/>
              </w:rPr>
              <w:t>1</w:t>
            </w:r>
            <w:r>
              <w:rPr>
                <w:sz w:val="22"/>
              </w:rPr>
              <w:t>×</w:t>
            </w:r>
            <w:r>
              <w:rPr>
                <w:rFonts w:ascii="Arial" w:hAnsi="Arial"/>
                <w:sz w:val="22"/>
              </w:rPr>
              <w:t>150</w:t>
            </w:r>
          </w:p>
        </w:tc>
      </w:tr>
      <w:tr>
        <w:trPr>
          <w:trHeight w:val="522"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line="276" w:lineRule="exact"/>
              <w:ind w:left="641" w:right="621"/>
              <w:jc w:val="center"/>
              <w:rPr>
                <w:sz w:val="22"/>
              </w:rPr>
            </w:pPr>
            <w:r>
              <w:rPr>
                <w:sz w:val="22"/>
              </w:rPr>
              <w:t>4.61</w:t>
            </w:r>
          </w:p>
        </w:tc>
        <w:tc>
          <w:tcPr>
            <w:tcW w:w="1908" w:type="dxa"/>
            <w:gridSpan w:val="2"/>
          </w:tcPr>
          <w:p>
            <w:pPr>
              <w:pStyle w:val="TableParagraph"/>
              <w:spacing w:line="276" w:lineRule="exact"/>
              <w:ind w:left="642" w:right="621"/>
              <w:jc w:val="center"/>
              <w:rPr>
                <w:rFonts w:ascii="Arial" w:hAnsi="Arial"/>
                <w:sz w:val="22"/>
              </w:rPr>
            </w:pPr>
            <w:r>
              <w:rPr>
                <w:rFonts w:ascii="Arial" w:hAnsi="Arial"/>
                <w:sz w:val="22"/>
              </w:rPr>
              <w:t>2</w:t>
            </w:r>
            <w:r>
              <w:rPr>
                <w:sz w:val="22"/>
              </w:rPr>
              <w:t>×</w:t>
            </w:r>
            <w:r>
              <w:rPr>
                <w:rFonts w:ascii="Arial" w:hAnsi="Arial"/>
                <w:sz w:val="22"/>
              </w:rPr>
              <w:t>4</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before="2"/>
              <w:ind w:left="641" w:right="621"/>
              <w:jc w:val="center"/>
              <w:rPr>
                <w:sz w:val="22"/>
              </w:rPr>
            </w:pPr>
            <w:r>
              <w:rPr>
                <w:sz w:val="22"/>
              </w:rPr>
              <w:t>3.08</w:t>
            </w:r>
          </w:p>
        </w:tc>
        <w:tc>
          <w:tcPr>
            <w:tcW w:w="1908" w:type="dxa"/>
            <w:gridSpan w:val="2"/>
          </w:tcPr>
          <w:p>
            <w:pPr>
              <w:pStyle w:val="TableParagraph"/>
              <w:spacing w:before="2"/>
              <w:ind w:left="642" w:right="621"/>
              <w:jc w:val="center"/>
              <w:rPr>
                <w:rFonts w:ascii="Arial" w:hAnsi="Arial"/>
                <w:sz w:val="22"/>
              </w:rPr>
            </w:pPr>
            <w:r>
              <w:rPr>
                <w:rFonts w:ascii="Arial" w:hAnsi="Arial"/>
                <w:sz w:val="22"/>
              </w:rPr>
              <w:t>2</w:t>
            </w:r>
            <w:r>
              <w:rPr>
                <w:sz w:val="22"/>
              </w:rPr>
              <w:t>×</w:t>
            </w:r>
            <w:r>
              <w:rPr>
                <w:rFonts w:ascii="Arial" w:hAnsi="Arial"/>
                <w:sz w:val="22"/>
              </w:rPr>
              <w:t>6</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before="2"/>
              <w:ind w:left="641" w:right="621"/>
              <w:jc w:val="center"/>
              <w:rPr>
                <w:sz w:val="22"/>
              </w:rPr>
            </w:pPr>
            <w:r>
              <w:rPr>
                <w:sz w:val="22"/>
              </w:rPr>
              <w:t>1.83</w:t>
            </w:r>
          </w:p>
        </w:tc>
        <w:tc>
          <w:tcPr>
            <w:tcW w:w="1908" w:type="dxa"/>
            <w:gridSpan w:val="2"/>
          </w:tcPr>
          <w:p>
            <w:pPr>
              <w:pStyle w:val="TableParagraph"/>
              <w:spacing w:before="2"/>
              <w:ind w:left="648" w:right="621"/>
              <w:jc w:val="center"/>
              <w:rPr>
                <w:rFonts w:ascii="Arial" w:hAnsi="Arial"/>
                <w:sz w:val="22"/>
              </w:rPr>
            </w:pPr>
            <w:r>
              <w:rPr>
                <w:rFonts w:ascii="Arial" w:hAnsi="Arial"/>
                <w:sz w:val="22"/>
              </w:rPr>
              <w:t>2</w:t>
            </w:r>
            <w:r>
              <w:rPr>
                <w:sz w:val="22"/>
              </w:rPr>
              <w:t>×</w:t>
            </w:r>
            <w:r>
              <w:rPr>
                <w:rFonts w:ascii="Arial" w:hAnsi="Arial"/>
                <w:sz w:val="22"/>
              </w:rPr>
              <w:t>10</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line="277" w:lineRule="exact"/>
              <w:ind w:left="641" w:right="621"/>
              <w:jc w:val="center"/>
              <w:rPr>
                <w:sz w:val="22"/>
              </w:rPr>
            </w:pPr>
            <w:r>
              <w:rPr>
                <w:sz w:val="22"/>
              </w:rPr>
              <w:t>1.15</w:t>
            </w:r>
          </w:p>
        </w:tc>
        <w:tc>
          <w:tcPr>
            <w:tcW w:w="1908" w:type="dxa"/>
            <w:gridSpan w:val="2"/>
          </w:tcPr>
          <w:p>
            <w:pPr>
              <w:pStyle w:val="TableParagraph"/>
              <w:spacing w:line="277" w:lineRule="exact"/>
              <w:ind w:left="648" w:right="621"/>
              <w:jc w:val="center"/>
              <w:rPr>
                <w:rFonts w:ascii="Arial" w:hAnsi="Arial"/>
                <w:sz w:val="22"/>
              </w:rPr>
            </w:pPr>
            <w:r>
              <w:rPr>
                <w:rFonts w:ascii="Arial" w:hAnsi="Arial"/>
                <w:sz w:val="22"/>
              </w:rPr>
              <w:t>2</w:t>
            </w:r>
            <w:r>
              <w:rPr>
                <w:sz w:val="22"/>
              </w:rPr>
              <w:t>×</w:t>
            </w:r>
            <w:r>
              <w:rPr>
                <w:rFonts w:ascii="Arial" w:hAnsi="Arial"/>
                <w:sz w:val="22"/>
              </w:rPr>
              <w:t>16</w:t>
            </w:r>
          </w:p>
        </w:tc>
      </w:tr>
      <w:tr>
        <w:trPr>
          <w:trHeight w:val="522"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line="276" w:lineRule="exact"/>
              <w:ind w:left="634" w:right="621"/>
              <w:jc w:val="center"/>
              <w:rPr>
                <w:sz w:val="22"/>
              </w:rPr>
            </w:pPr>
            <w:r>
              <w:rPr>
                <w:sz w:val="22"/>
              </w:rPr>
              <w:t>0.727</w:t>
            </w:r>
          </w:p>
        </w:tc>
        <w:tc>
          <w:tcPr>
            <w:tcW w:w="1908" w:type="dxa"/>
            <w:gridSpan w:val="2"/>
          </w:tcPr>
          <w:p>
            <w:pPr>
              <w:pStyle w:val="TableParagraph"/>
              <w:spacing w:line="276" w:lineRule="exact"/>
              <w:ind w:left="648" w:right="621"/>
              <w:jc w:val="center"/>
              <w:rPr>
                <w:rFonts w:ascii="Arial" w:hAnsi="Arial"/>
                <w:sz w:val="22"/>
              </w:rPr>
            </w:pPr>
            <w:r>
              <w:rPr>
                <w:rFonts w:ascii="Arial" w:hAnsi="Arial"/>
                <w:sz w:val="22"/>
              </w:rPr>
              <w:t>2</w:t>
            </w:r>
            <w:r>
              <w:rPr>
                <w:sz w:val="22"/>
              </w:rPr>
              <w:t>×</w:t>
            </w:r>
            <w:r>
              <w:rPr>
                <w:rFonts w:ascii="Arial" w:hAnsi="Arial"/>
                <w:sz w:val="22"/>
              </w:rPr>
              <w:t>25</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before="2"/>
              <w:ind w:left="634" w:right="621"/>
              <w:jc w:val="center"/>
              <w:rPr>
                <w:sz w:val="22"/>
              </w:rPr>
            </w:pPr>
            <w:r>
              <w:rPr>
                <w:sz w:val="22"/>
              </w:rPr>
              <w:t>0.524</w:t>
            </w:r>
          </w:p>
        </w:tc>
        <w:tc>
          <w:tcPr>
            <w:tcW w:w="1908" w:type="dxa"/>
            <w:gridSpan w:val="2"/>
          </w:tcPr>
          <w:p>
            <w:pPr>
              <w:pStyle w:val="TableParagraph"/>
              <w:spacing w:before="2"/>
              <w:ind w:left="648" w:right="621"/>
              <w:jc w:val="center"/>
              <w:rPr>
                <w:rFonts w:ascii="Arial" w:hAnsi="Arial"/>
                <w:sz w:val="22"/>
              </w:rPr>
            </w:pPr>
            <w:r>
              <w:rPr>
                <w:rFonts w:ascii="Arial" w:hAnsi="Arial"/>
                <w:sz w:val="22"/>
              </w:rPr>
              <w:t>2</w:t>
            </w:r>
            <w:r>
              <w:rPr>
                <w:sz w:val="22"/>
              </w:rPr>
              <w:t>×</w:t>
            </w:r>
            <w:r>
              <w:rPr>
                <w:rFonts w:ascii="Arial" w:hAnsi="Arial"/>
                <w:sz w:val="22"/>
              </w:rPr>
              <w:t>35</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before="2"/>
              <w:ind w:left="634" w:right="621"/>
              <w:jc w:val="center"/>
              <w:rPr>
                <w:sz w:val="22"/>
              </w:rPr>
            </w:pPr>
            <w:r>
              <w:rPr>
                <w:sz w:val="22"/>
              </w:rPr>
              <w:t>0.387</w:t>
            </w:r>
          </w:p>
        </w:tc>
        <w:tc>
          <w:tcPr>
            <w:tcW w:w="1908" w:type="dxa"/>
            <w:gridSpan w:val="2"/>
          </w:tcPr>
          <w:p>
            <w:pPr>
              <w:pStyle w:val="TableParagraph"/>
              <w:spacing w:before="2"/>
              <w:ind w:left="648" w:right="621"/>
              <w:jc w:val="center"/>
              <w:rPr>
                <w:rFonts w:ascii="Arial" w:hAnsi="Arial"/>
                <w:sz w:val="22"/>
              </w:rPr>
            </w:pPr>
            <w:r>
              <w:rPr>
                <w:rFonts w:ascii="Arial" w:hAnsi="Arial"/>
                <w:sz w:val="22"/>
              </w:rPr>
              <w:t>2</w:t>
            </w:r>
            <w:r>
              <w:rPr>
                <w:sz w:val="22"/>
              </w:rPr>
              <w:t>×</w:t>
            </w:r>
            <w:r>
              <w:rPr>
                <w:rFonts w:ascii="Arial" w:hAnsi="Arial"/>
                <w:sz w:val="22"/>
              </w:rPr>
              <w:t>50</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line="276" w:lineRule="exact"/>
              <w:ind w:left="634" w:right="621"/>
              <w:jc w:val="center"/>
              <w:rPr>
                <w:sz w:val="22"/>
              </w:rPr>
            </w:pPr>
            <w:r>
              <w:rPr>
                <w:sz w:val="22"/>
              </w:rPr>
              <w:t>0.268</w:t>
            </w:r>
          </w:p>
        </w:tc>
        <w:tc>
          <w:tcPr>
            <w:tcW w:w="1908" w:type="dxa"/>
            <w:gridSpan w:val="2"/>
          </w:tcPr>
          <w:p>
            <w:pPr>
              <w:pStyle w:val="TableParagraph"/>
              <w:spacing w:line="276" w:lineRule="exact"/>
              <w:ind w:left="648" w:right="621"/>
              <w:jc w:val="center"/>
              <w:rPr>
                <w:rFonts w:ascii="Arial" w:hAnsi="Arial"/>
                <w:sz w:val="22"/>
              </w:rPr>
            </w:pPr>
            <w:r>
              <w:rPr>
                <w:rFonts w:ascii="Arial" w:hAnsi="Arial"/>
                <w:sz w:val="22"/>
              </w:rPr>
              <w:t>2</w:t>
            </w:r>
            <w:r>
              <w:rPr>
                <w:sz w:val="22"/>
              </w:rPr>
              <w:t>×</w:t>
            </w:r>
            <w:r>
              <w:rPr>
                <w:rFonts w:ascii="Arial" w:hAnsi="Arial"/>
                <w:sz w:val="22"/>
              </w:rPr>
              <w:t>70</w:t>
            </w:r>
          </w:p>
        </w:tc>
      </w:tr>
      <w:tr>
        <w:trPr>
          <w:trHeight w:val="522"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line="276" w:lineRule="exact"/>
              <w:ind w:left="634" w:right="621"/>
              <w:jc w:val="center"/>
              <w:rPr>
                <w:sz w:val="22"/>
              </w:rPr>
            </w:pPr>
            <w:r>
              <w:rPr>
                <w:sz w:val="22"/>
              </w:rPr>
              <w:t>0.193</w:t>
            </w:r>
          </w:p>
        </w:tc>
        <w:tc>
          <w:tcPr>
            <w:tcW w:w="1908" w:type="dxa"/>
            <w:gridSpan w:val="2"/>
          </w:tcPr>
          <w:p>
            <w:pPr>
              <w:pStyle w:val="TableParagraph"/>
              <w:spacing w:line="276" w:lineRule="exact"/>
              <w:ind w:left="648" w:right="621"/>
              <w:jc w:val="center"/>
              <w:rPr>
                <w:rFonts w:ascii="Arial" w:hAnsi="Arial"/>
                <w:sz w:val="22"/>
              </w:rPr>
            </w:pPr>
            <w:r>
              <w:rPr>
                <w:rFonts w:ascii="Arial" w:hAnsi="Arial"/>
                <w:sz w:val="22"/>
              </w:rPr>
              <w:t>2</w:t>
            </w:r>
            <w:r>
              <w:rPr>
                <w:sz w:val="22"/>
              </w:rPr>
              <w:t>×</w:t>
            </w:r>
            <w:r>
              <w:rPr>
                <w:rFonts w:ascii="Arial" w:hAnsi="Arial"/>
                <w:sz w:val="22"/>
              </w:rPr>
              <w:t>95</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before="1"/>
              <w:ind w:left="464"/>
              <w:rPr>
                <w:sz w:val="22"/>
              </w:rPr>
            </w:pPr>
            <w:r>
              <w:rPr>
                <w:sz w:val="22"/>
              </w:rPr>
              <w:t>3.08/4.61</w:t>
            </w:r>
          </w:p>
        </w:tc>
        <w:tc>
          <w:tcPr>
            <w:tcW w:w="1908" w:type="dxa"/>
            <w:gridSpan w:val="2"/>
          </w:tcPr>
          <w:p>
            <w:pPr>
              <w:pStyle w:val="TableParagraph"/>
              <w:spacing w:before="1"/>
              <w:ind w:left="429"/>
              <w:rPr>
                <w:rFonts w:ascii="Arial" w:hAnsi="Arial"/>
                <w:sz w:val="22"/>
              </w:rPr>
            </w:pPr>
            <w:r>
              <w:rPr>
                <w:rFonts w:ascii="Arial" w:hAnsi="Arial"/>
                <w:sz w:val="22"/>
              </w:rPr>
              <w:t>4</w:t>
            </w:r>
            <w:r>
              <w:rPr>
                <w:sz w:val="22"/>
              </w:rPr>
              <w:t>×</w:t>
            </w:r>
            <w:r>
              <w:rPr>
                <w:rFonts w:ascii="Arial" w:hAnsi="Arial"/>
                <w:sz w:val="22"/>
              </w:rPr>
              <w:t>6+1</w:t>
            </w:r>
            <w:r>
              <w:rPr>
                <w:sz w:val="22"/>
              </w:rPr>
              <w:t>×</w:t>
            </w:r>
            <w:r>
              <w:rPr>
                <w:rFonts w:ascii="Arial" w:hAnsi="Arial"/>
                <w:sz w:val="22"/>
              </w:rPr>
              <w:t>4</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line="276" w:lineRule="exact"/>
              <w:ind w:left="464"/>
              <w:rPr>
                <w:sz w:val="22"/>
              </w:rPr>
            </w:pPr>
            <w:r>
              <w:rPr>
                <w:sz w:val="22"/>
              </w:rPr>
              <w:t>1.83/3.08</w:t>
            </w:r>
          </w:p>
        </w:tc>
        <w:tc>
          <w:tcPr>
            <w:tcW w:w="1908" w:type="dxa"/>
            <w:gridSpan w:val="2"/>
          </w:tcPr>
          <w:p>
            <w:pPr>
              <w:pStyle w:val="TableParagraph"/>
              <w:spacing w:line="276" w:lineRule="exact"/>
              <w:ind w:left="371"/>
              <w:rPr>
                <w:rFonts w:ascii="Arial" w:hAnsi="Arial"/>
                <w:sz w:val="22"/>
              </w:rPr>
            </w:pPr>
            <w:r>
              <w:rPr>
                <w:rFonts w:ascii="Arial" w:hAnsi="Arial"/>
                <w:sz w:val="22"/>
              </w:rPr>
              <w:t>4</w:t>
            </w:r>
            <w:r>
              <w:rPr>
                <w:sz w:val="22"/>
              </w:rPr>
              <w:t>×</w:t>
            </w:r>
            <w:r>
              <w:rPr>
                <w:rFonts w:ascii="Arial" w:hAnsi="Arial"/>
                <w:sz w:val="22"/>
              </w:rPr>
              <w:t>10+1</w:t>
            </w:r>
            <w:r>
              <w:rPr>
                <w:sz w:val="22"/>
              </w:rPr>
              <w:t>×</w:t>
            </w:r>
            <w:r>
              <w:rPr>
                <w:rFonts w:ascii="Arial" w:hAnsi="Arial"/>
                <w:sz w:val="22"/>
              </w:rPr>
              <w:t>6</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line="276" w:lineRule="exact"/>
              <w:ind w:left="464"/>
              <w:rPr>
                <w:sz w:val="22"/>
              </w:rPr>
            </w:pPr>
            <w:r>
              <w:rPr>
                <w:sz w:val="22"/>
              </w:rPr>
              <w:t>1.15/1.83</w:t>
            </w:r>
          </w:p>
        </w:tc>
        <w:tc>
          <w:tcPr>
            <w:tcW w:w="1908" w:type="dxa"/>
            <w:gridSpan w:val="2"/>
          </w:tcPr>
          <w:p>
            <w:pPr>
              <w:pStyle w:val="TableParagraph"/>
              <w:spacing w:line="276" w:lineRule="exact"/>
              <w:ind w:left="306"/>
              <w:rPr>
                <w:rFonts w:ascii="Arial" w:hAnsi="Arial"/>
                <w:sz w:val="22"/>
              </w:rPr>
            </w:pPr>
            <w:r>
              <w:rPr>
                <w:rFonts w:ascii="Arial" w:hAnsi="Arial"/>
                <w:sz w:val="22"/>
              </w:rPr>
              <w:t>4</w:t>
            </w:r>
            <w:r>
              <w:rPr>
                <w:sz w:val="22"/>
              </w:rPr>
              <w:t>×</w:t>
            </w:r>
            <w:r>
              <w:rPr>
                <w:rFonts w:ascii="Arial" w:hAnsi="Arial"/>
                <w:sz w:val="22"/>
              </w:rPr>
              <w:t>16+1</w:t>
            </w:r>
            <w:r>
              <w:rPr>
                <w:sz w:val="22"/>
              </w:rPr>
              <w:t>×</w:t>
            </w:r>
            <w:r>
              <w:rPr>
                <w:rFonts w:ascii="Arial" w:hAnsi="Arial"/>
                <w:sz w:val="22"/>
              </w:rPr>
              <w:t>10</w:t>
            </w:r>
          </w:p>
        </w:tc>
      </w:tr>
      <w:tr>
        <w:trPr>
          <w:trHeight w:val="522"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line="276" w:lineRule="exact"/>
              <w:ind w:left="406"/>
              <w:rPr>
                <w:sz w:val="22"/>
              </w:rPr>
            </w:pPr>
            <w:r>
              <w:rPr>
                <w:sz w:val="22"/>
              </w:rPr>
              <w:t>0.727/1.15</w:t>
            </w:r>
          </w:p>
        </w:tc>
        <w:tc>
          <w:tcPr>
            <w:tcW w:w="1908" w:type="dxa"/>
            <w:gridSpan w:val="2"/>
          </w:tcPr>
          <w:p>
            <w:pPr>
              <w:pStyle w:val="TableParagraph"/>
              <w:spacing w:line="276" w:lineRule="exact"/>
              <w:ind w:left="306"/>
              <w:rPr>
                <w:rFonts w:ascii="Arial" w:hAnsi="Arial"/>
                <w:sz w:val="22"/>
              </w:rPr>
            </w:pPr>
            <w:r>
              <w:rPr>
                <w:rFonts w:ascii="Arial" w:hAnsi="Arial"/>
                <w:sz w:val="22"/>
              </w:rPr>
              <w:t>4</w:t>
            </w:r>
            <w:r>
              <w:rPr>
                <w:sz w:val="22"/>
              </w:rPr>
              <w:t>×</w:t>
            </w:r>
            <w:r>
              <w:rPr>
                <w:rFonts w:ascii="Arial" w:hAnsi="Arial"/>
                <w:sz w:val="22"/>
              </w:rPr>
              <w:t>25+1</w:t>
            </w:r>
            <w:r>
              <w:rPr>
                <w:sz w:val="22"/>
              </w:rPr>
              <w:t>×</w:t>
            </w:r>
            <w:r>
              <w:rPr>
                <w:rFonts w:ascii="Arial" w:hAnsi="Arial"/>
                <w:sz w:val="22"/>
              </w:rPr>
              <w:t>16</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before="1"/>
              <w:ind w:left="406"/>
              <w:rPr>
                <w:sz w:val="22"/>
              </w:rPr>
            </w:pPr>
            <w:r>
              <w:rPr>
                <w:sz w:val="22"/>
              </w:rPr>
              <w:t>0.524/1.15</w:t>
            </w:r>
          </w:p>
        </w:tc>
        <w:tc>
          <w:tcPr>
            <w:tcW w:w="1908" w:type="dxa"/>
            <w:gridSpan w:val="2"/>
          </w:tcPr>
          <w:p>
            <w:pPr>
              <w:pStyle w:val="TableParagraph"/>
              <w:spacing w:before="1"/>
              <w:ind w:left="306"/>
              <w:rPr>
                <w:rFonts w:ascii="Arial" w:hAnsi="Arial"/>
                <w:sz w:val="22"/>
              </w:rPr>
            </w:pPr>
            <w:r>
              <w:rPr>
                <w:rFonts w:ascii="Arial" w:hAnsi="Arial"/>
                <w:sz w:val="22"/>
              </w:rPr>
              <w:t>4</w:t>
            </w:r>
            <w:r>
              <w:rPr>
                <w:sz w:val="22"/>
              </w:rPr>
              <w:t>×</w:t>
            </w:r>
            <w:r>
              <w:rPr>
                <w:rFonts w:ascii="Arial" w:hAnsi="Arial"/>
                <w:sz w:val="22"/>
              </w:rPr>
              <w:t>35+1</w:t>
            </w:r>
            <w:r>
              <w:rPr>
                <w:sz w:val="22"/>
              </w:rPr>
              <w:t>×</w:t>
            </w:r>
            <w:r>
              <w:rPr>
                <w:rFonts w:ascii="Arial" w:hAnsi="Arial"/>
                <w:sz w:val="22"/>
              </w:rPr>
              <w:t>16</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line="276" w:lineRule="exact"/>
              <w:ind w:left="349"/>
              <w:rPr>
                <w:sz w:val="22"/>
              </w:rPr>
            </w:pPr>
            <w:r>
              <w:rPr>
                <w:sz w:val="22"/>
              </w:rPr>
              <w:t>0.387/0.727</w:t>
            </w:r>
          </w:p>
        </w:tc>
        <w:tc>
          <w:tcPr>
            <w:tcW w:w="1908" w:type="dxa"/>
            <w:gridSpan w:val="2"/>
          </w:tcPr>
          <w:p>
            <w:pPr>
              <w:pStyle w:val="TableParagraph"/>
              <w:spacing w:line="276" w:lineRule="exact"/>
              <w:ind w:left="306"/>
              <w:rPr>
                <w:rFonts w:ascii="Arial" w:hAnsi="Arial"/>
                <w:sz w:val="22"/>
              </w:rPr>
            </w:pPr>
            <w:r>
              <w:rPr>
                <w:rFonts w:ascii="Arial" w:hAnsi="Arial"/>
                <w:sz w:val="22"/>
              </w:rPr>
              <w:t>4</w:t>
            </w:r>
            <w:r>
              <w:rPr>
                <w:sz w:val="22"/>
              </w:rPr>
              <w:t>×</w:t>
            </w:r>
            <w:r>
              <w:rPr>
                <w:rFonts w:ascii="Arial" w:hAnsi="Arial"/>
                <w:sz w:val="22"/>
              </w:rPr>
              <w:t>50+1</w:t>
            </w:r>
            <w:r>
              <w:rPr>
                <w:sz w:val="22"/>
              </w:rPr>
              <w:t>×</w:t>
            </w:r>
            <w:r>
              <w:rPr>
                <w:rFonts w:ascii="Arial" w:hAnsi="Arial"/>
                <w:sz w:val="22"/>
              </w:rPr>
              <w:t>25</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line="276" w:lineRule="exact"/>
              <w:ind w:left="349"/>
              <w:rPr>
                <w:sz w:val="22"/>
              </w:rPr>
            </w:pPr>
            <w:r>
              <w:rPr>
                <w:sz w:val="22"/>
              </w:rPr>
              <w:t>0.268/0.524</w:t>
            </w:r>
          </w:p>
        </w:tc>
        <w:tc>
          <w:tcPr>
            <w:tcW w:w="1908" w:type="dxa"/>
            <w:gridSpan w:val="2"/>
          </w:tcPr>
          <w:p>
            <w:pPr>
              <w:pStyle w:val="TableParagraph"/>
              <w:spacing w:line="276" w:lineRule="exact"/>
              <w:ind w:left="306"/>
              <w:rPr>
                <w:rFonts w:ascii="Arial" w:hAnsi="Arial"/>
                <w:sz w:val="22"/>
              </w:rPr>
            </w:pPr>
            <w:r>
              <w:rPr>
                <w:rFonts w:ascii="Arial" w:hAnsi="Arial"/>
                <w:sz w:val="22"/>
              </w:rPr>
              <w:t>4</w:t>
            </w:r>
            <w:r>
              <w:rPr>
                <w:sz w:val="22"/>
              </w:rPr>
              <w:t>×</w:t>
            </w:r>
            <w:r>
              <w:rPr>
                <w:rFonts w:ascii="Arial" w:hAnsi="Arial"/>
                <w:sz w:val="22"/>
              </w:rPr>
              <w:t>70+1</w:t>
            </w:r>
            <w:r>
              <w:rPr>
                <w:sz w:val="22"/>
              </w:rPr>
              <w:t>×</w:t>
            </w:r>
            <w:r>
              <w:rPr>
                <w:rFonts w:ascii="Arial" w:hAnsi="Arial"/>
                <w:sz w:val="22"/>
              </w:rPr>
              <w:t>35</w:t>
            </w:r>
          </w:p>
        </w:tc>
      </w:tr>
      <w:tr>
        <w:trPr>
          <w:trHeight w:val="522"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line="276" w:lineRule="exact"/>
              <w:ind w:left="349"/>
              <w:rPr>
                <w:sz w:val="22"/>
              </w:rPr>
            </w:pPr>
            <w:r>
              <w:rPr>
                <w:sz w:val="22"/>
              </w:rPr>
              <w:t>0.193/0.387</w:t>
            </w:r>
          </w:p>
        </w:tc>
        <w:tc>
          <w:tcPr>
            <w:tcW w:w="1908" w:type="dxa"/>
            <w:gridSpan w:val="2"/>
          </w:tcPr>
          <w:p>
            <w:pPr>
              <w:pStyle w:val="TableParagraph"/>
              <w:spacing w:line="276" w:lineRule="exact"/>
              <w:ind w:left="306"/>
              <w:rPr>
                <w:rFonts w:ascii="Arial" w:hAnsi="Arial"/>
                <w:sz w:val="22"/>
              </w:rPr>
            </w:pPr>
            <w:r>
              <w:rPr>
                <w:rFonts w:ascii="Arial" w:hAnsi="Arial"/>
                <w:sz w:val="22"/>
              </w:rPr>
              <w:t>4</w:t>
            </w:r>
            <w:r>
              <w:rPr>
                <w:sz w:val="22"/>
              </w:rPr>
              <w:t>×</w:t>
            </w:r>
            <w:r>
              <w:rPr>
                <w:rFonts w:ascii="Arial" w:hAnsi="Arial"/>
                <w:sz w:val="22"/>
              </w:rPr>
              <w:t>95+1</w:t>
            </w:r>
            <w:r>
              <w:rPr>
                <w:sz w:val="22"/>
              </w:rPr>
              <w:t>×</w:t>
            </w:r>
            <w:r>
              <w:rPr>
                <w:rFonts w:ascii="Arial" w:hAnsi="Arial"/>
                <w:sz w:val="22"/>
              </w:rPr>
              <w:t>50</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2"/>
          </w:tcPr>
          <w:p>
            <w:pPr>
              <w:pStyle w:val="TableParagraph"/>
              <w:spacing w:before="2"/>
              <w:ind w:left="349"/>
              <w:rPr>
                <w:sz w:val="22"/>
              </w:rPr>
            </w:pPr>
            <w:r>
              <w:rPr>
                <w:sz w:val="22"/>
              </w:rPr>
              <w:t>0.153/0.268</w:t>
            </w:r>
          </w:p>
        </w:tc>
        <w:tc>
          <w:tcPr>
            <w:tcW w:w="1908" w:type="dxa"/>
            <w:gridSpan w:val="2"/>
          </w:tcPr>
          <w:p>
            <w:pPr>
              <w:pStyle w:val="TableParagraph"/>
              <w:spacing w:before="2"/>
              <w:ind w:left="249"/>
              <w:rPr>
                <w:rFonts w:ascii="Arial" w:hAnsi="Arial"/>
                <w:sz w:val="22"/>
              </w:rPr>
            </w:pPr>
            <w:r>
              <w:rPr>
                <w:rFonts w:ascii="Arial" w:hAnsi="Arial"/>
                <w:sz w:val="22"/>
              </w:rPr>
              <w:t>4</w:t>
            </w:r>
            <w:r>
              <w:rPr>
                <w:sz w:val="22"/>
              </w:rPr>
              <w:t>×</w:t>
            </w:r>
            <w:r>
              <w:rPr>
                <w:rFonts w:ascii="Arial" w:hAnsi="Arial"/>
                <w:sz w:val="22"/>
              </w:rPr>
              <w:t>120+1</w:t>
            </w:r>
            <w:r>
              <w:rPr>
                <w:sz w:val="22"/>
              </w:rPr>
              <w:t>×</w:t>
            </w:r>
            <w:r>
              <w:rPr>
                <w:rFonts w:ascii="Arial" w:hAnsi="Arial"/>
                <w:sz w:val="22"/>
              </w:rPr>
              <w:t>70</w:t>
            </w:r>
          </w:p>
        </w:tc>
      </w:tr>
    </w:tbl>
    <w:p>
      <w:pPr>
        <w:spacing w:after="0"/>
        <w:rPr>
          <w:rFonts w:ascii="Arial" w:hAnsi="Arial"/>
          <w:sz w:val="22"/>
        </w:rPr>
        <w:sectPr>
          <w:pgSz w:w="11910" w:h="16850"/>
          <w:pgMar w:top="1440" w:bottom="280" w:left="1360" w:right="136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3645"/>
        <w:gridCol w:w="929"/>
        <w:gridCol w:w="93"/>
        <w:gridCol w:w="756"/>
        <w:gridCol w:w="1059"/>
        <w:gridCol w:w="122"/>
        <w:gridCol w:w="1786"/>
      </w:tblGrid>
      <w:tr>
        <w:trPr>
          <w:trHeight w:val="854" w:hRule="atLeast"/>
        </w:trPr>
        <w:tc>
          <w:tcPr>
            <w:tcW w:w="576" w:type="dxa"/>
          </w:tcPr>
          <w:p>
            <w:pPr>
              <w:pStyle w:val="TableParagraph"/>
              <w:spacing w:line="283" w:lineRule="auto"/>
              <w:ind w:left="110" w:right="230"/>
              <w:rPr>
                <w:sz w:val="22"/>
              </w:rPr>
            </w:pPr>
            <w:r>
              <w:rPr>
                <w:sz w:val="22"/>
              </w:rPr>
              <w:t>序号</w:t>
            </w:r>
          </w:p>
        </w:tc>
        <w:tc>
          <w:tcPr>
            <w:tcW w:w="3645" w:type="dxa"/>
          </w:tcPr>
          <w:p>
            <w:pPr>
              <w:pStyle w:val="TableParagraph"/>
              <w:tabs>
                <w:tab w:pos="612" w:val="left" w:leader="none"/>
              </w:tabs>
              <w:spacing w:before="161"/>
              <w:ind w:left="22"/>
              <w:jc w:val="center"/>
              <w:rPr>
                <w:sz w:val="22"/>
              </w:rPr>
            </w:pPr>
            <w:r>
              <w:rPr>
                <w:sz w:val="22"/>
              </w:rPr>
              <w:t>项</w:t>
              <w:tab/>
              <w:t>目</w:t>
            </w:r>
          </w:p>
        </w:tc>
        <w:tc>
          <w:tcPr>
            <w:tcW w:w="1022" w:type="dxa"/>
            <w:gridSpan w:val="2"/>
          </w:tcPr>
          <w:p>
            <w:pPr>
              <w:pStyle w:val="TableParagraph"/>
              <w:spacing w:before="161"/>
              <w:ind w:left="291"/>
              <w:rPr>
                <w:sz w:val="22"/>
              </w:rPr>
            </w:pPr>
            <w:r>
              <w:rPr>
                <w:sz w:val="22"/>
              </w:rPr>
              <w:t>单位</w:t>
            </w:r>
          </w:p>
        </w:tc>
        <w:tc>
          <w:tcPr>
            <w:tcW w:w="1937" w:type="dxa"/>
            <w:gridSpan w:val="3"/>
          </w:tcPr>
          <w:p>
            <w:pPr>
              <w:pStyle w:val="TableParagraph"/>
              <w:spacing w:before="161"/>
              <w:ind w:left="414"/>
              <w:rPr>
                <w:sz w:val="22"/>
              </w:rPr>
            </w:pPr>
            <w:r>
              <w:rPr>
                <w:sz w:val="22"/>
              </w:rPr>
              <w:t>标准参数值</w:t>
            </w:r>
          </w:p>
        </w:tc>
        <w:tc>
          <w:tcPr>
            <w:tcW w:w="1786" w:type="dxa"/>
          </w:tcPr>
          <w:p>
            <w:pPr>
              <w:pStyle w:val="TableParagraph"/>
              <w:spacing w:before="161"/>
              <w:ind w:left="664" w:right="630"/>
              <w:jc w:val="center"/>
              <w:rPr>
                <w:sz w:val="22"/>
              </w:rPr>
            </w:pPr>
            <w:r>
              <w:rPr>
                <w:sz w:val="22"/>
              </w:rPr>
              <w:t>备注</w:t>
            </w:r>
          </w:p>
        </w:tc>
      </w:tr>
      <w:tr>
        <w:trPr>
          <w:trHeight w:val="530" w:hRule="atLeast"/>
        </w:trPr>
        <w:tc>
          <w:tcPr>
            <w:tcW w:w="576" w:type="dxa"/>
            <w:vMerge w:val="restart"/>
          </w:tcPr>
          <w:p>
            <w:pPr>
              <w:pStyle w:val="TableParagraph"/>
              <w:rPr>
                <w:rFonts w:ascii="Times New Roman"/>
                <w:sz w:val="22"/>
              </w:rPr>
            </w:pPr>
          </w:p>
        </w:tc>
        <w:tc>
          <w:tcPr>
            <w:tcW w:w="3645" w:type="dxa"/>
            <w:vMerge w:val="restart"/>
          </w:tcPr>
          <w:p>
            <w:pPr>
              <w:pStyle w:val="TableParagraph"/>
              <w:rPr>
                <w:rFonts w:ascii="Times New Roman"/>
                <w:sz w:val="22"/>
              </w:rPr>
            </w:pPr>
          </w:p>
        </w:tc>
        <w:tc>
          <w:tcPr>
            <w:tcW w:w="929" w:type="dxa"/>
            <w:vMerge w:val="restart"/>
          </w:tcPr>
          <w:p>
            <w:pPr>
              <w:pStyle w:val="TableParagraph"/>
              <w:rPr>
                <w:rFonts w:ascii="Times New Roman"/>
                <w:sz w:val="22"/>
              </w:rPr>
            </w:pPr>
          </w:p>
        </w:tc>
        <w:tc>
          <w:tcPr>
            <w:tcW w:w="1908" w:type="dxa"/>
            <w:gridSpan w:val="3"/>
          </w:tcPr>
          <w:p>
            <w:pPr>
              <w:pStyle w:val="TableParagraph"/>
              <w:spacing w:before="1"/>
              <w:ind w:left="349"/>
              <w:rPr>
                <w:sz w:val="22"/>
              </w:rPr>
            </w:pPr>
            <w:r>
              <w:rPr>
                <w:sz w:val="22"/>
              </w:rPr>
              <w:t>0.153/0.193</w:t>
            </w:r>
          </w:p>
        </w:tc>
        <w:tc>
          <w:tcPr>
            <w:tcW w:w="1908" w:type="dxa"/>
            <w:gridSpan w:val="2"/>
          </w:tcPr>
          <w:p>
            <w:pPr>
              <w:pStyle w:val="TableParagraph"/>
              <w:spacing w:before="1"/>
              <w:ind w:left="249"/>
              <w:rPr>
                <w:rFonts w:ascii="Arial" w:hAnsi="Arial"/>
                <w:sz w:val="22"/>
              </w:rPr>
            </w:pPr>
            <w:r>
              <w:rPr>
                <w:rFonts w:ascii="Arial" w:hAnsi="Arial"/>
                <w:sz w:val="22"/>
              </w:rPr>
              <w:t>4</w:t>
            </w:r>
            <w:r>
              <w:rPr>
                <w:sz w:val="22"/>
              </w:rPr>
              <w:t>×</w:t>
            </w:r>
            <w:r>
              <w:rPr>
                <w:rFonts w:ascii="Arial" w:hAnsi="Arial"/>
                <w:sz w:val="22"/>
              </w:rPr>
              <w:t>120+1</w:t>
            </w:r>
            <w:r>
              <w:rPr>
                <w:sz w:val="22"/>
              </w:rPr>
              <w:t>×</w:t>
            </w:r>
            <w:r>
              <w:rPr>
                <w:rFonts w:ascii="Arial" w:hAnsi="Arial"/>
                <w:sz w:val="22"/>
              </w:rPr>
              <w:t>95</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3"/>
          </w:tcPr>
          <w:p>
            <w:pPr>
              <w:pStyle w:val="TableParagraph"/>
              <w:spacing w:line="276" w:lineRule="exact"/>
              <w:ind w:left="349"/>
              <w:rPr>
                <w:sz w:val="22"/>
              </w:rPr>
            </w:pPr>
            <w:r>
              <w:rPr>
                <w:sz w:val="22"/>
              </w:rPr>
              <w:t>0.124/0.193</w:t>
            </w:r>
          </w:p>
        </w:tc>
        <w:tc>
          <w:tcPr>
            <w:tcW w:w="1908" w:type="dxa"/>
            <w:gridSpan w:val="2"/>
          </w:tcPr>
          <w:p>
            <w:pPr>
              <w:pStyle w:val="TableParagraph"/>
              <w:spacing w:line="276" w:lineRule="exact"/>
              <w:ind w:left="249"/>
              <w:rPr>
                <w:rFonts w:ascii="Arial" w:hAnsi="Arial"/>
                <w:sz w:val="22"/>
              </w:rPr>
            </w:pPr>
            <w:r>
              <w:rPr>
                <w:rFonts w:ascii="Arial" w:hAnsi="Arial"/>
                <w:sz w:val="22"/>
              </w:rPr>
              <w:t>4</w:t>
            </w:r>
            <w:r>
              <w:rPr>
                <w:sz w:val="22"/>
              </w:rPr>
              <w:t>×</w:t>
            </w:r>
            <w:r>
              <w:rPr>
                <w:rFonts w:ascii="Arial" w:hAnsi="Arial"/>
                <w:sz w:val="22"/>
              </w:rPr>
              <w:t>150+1</w:t>
            </w:r>
            <w:r>
              <w:rPr>
                <w:sz w:val="22"/>
              </w:rPr>
              <w:t>×</w:t>
            </w:r>
            <w:r>
              <w:rPr>
                <w:rFonts w:ascii="Arial" w:hAnsi="Arial"/>
                <w:sz w:val="22"/>
              </w:rPr>
              <w:t>95</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3"/>
          </w:tcPr>
          <w:p>
            <w:pPr>
              <w:pStyle w:val="TableParagraph"/>
              <w:spacing w:line="276" w:lineRule="exact"/>
              <w:ind w:left="298"/>
              <w:rPr>
                <w:sz w:val="22"/>
              </w:rPr>
            </w:pPr>
            <w:r>
              <w:rPr>
                <w:sz w:val="22"/>
              </w:rPr>
              <w:t>0.0991/0.193</w:t>
            </w:r>
          </w:p>
        </w:tc>
        <w:tc>
          <w:tcPr>
            <w:tcW w:w="1908" w:type="dxa"/>
            <w:gridSpan w:val="2"/>
          </w:tcPr>
          <w:p>
            <w:pPr>
              <w:pStyle w:val="TableParagraph"/>
              <w:spacing w:line="276" w:lineRule="exact"/>
              <w:ind w:left="249"/>
              <w:rPr>
                <w:rFonts w:ascii="Arial" w:hAnsi="Arial"/>
                <w:sz w:val="22"/>
              </w:rPr>
            </w:pPr>
            <w:r>
              <w:rPr>
                <w:rFonts w:ascii="Arial" w:hAnsi="Arial"/>
                <w:sz w:val="22"/>
              </w:rPr>
              <w:t>4</w:t>
            </w:r>
            <w:r>
              <w:rPr>
                <w:sz w:val="22"/>
              </w:rPr>
              <w:t>×</w:t>
            </w:r>
            <w:r>
              <w:rPr>
                <w:rFonts w:ascii="Arial" w:hAnsi="Arial"/>
                <w:sz w:val="22"/>
              </w:rPr>
              <w:t>185+1</w:t>
            </w:r>
            <w:r>
              <w:rPr>
                <w:sz w:val="22"/>
              </w:rPr>
              <w:t>×</w:t>
            </w:r>
            <w:r>
              <w:rPr>
                <w:rFonts w:ascii="Arial" w:hAnsi="Arial"/>
                <w:sz w:val="22"/>
              </w:rPr>
              <w:t>95</w:t>
            </w:r>
          </w:p>
        </w:tc>
      </w:tr>
      <w:tr>
        <w:trPr>
          <w:trHeight w:val="523"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3"/>
          </w:tcPr>
          <w:p>
            <w:pPr>
              <w:pStyle w:val="TableParagraph"/>
              <w:spacing w:line="277" w:lineRule="exact"/>
              <w:ind w:left="298"/>
              <w:rPr>
                <w:sz w:val="22"/>
              </w:rPr>
            </w:pPr>
            <w:r>
              <w:rPr>
                <w:sz w:val="22"/>
              </w:rPr>
              <w:t>0.0754/0.153</w:t>
            </w:r>
          </w:p>
        </w:tc>
        <w:tc>
          <w:tcPr>
            <w:tcW w:w="1908" w:type="dxa"/>
            <w:gridSpan w:val="2"/>
          </w:tcPr>
          <w:p>
            <w:pPr>
              <w:pStyle w:val="TableParagraph"/>
              <w:spacing w:line="277" w:lineRule="exact"/>
              <w:ind w:left="184"/>
              <w:rPr>
                <w:rFonts w:ascii="Arial" w:hAnsi="Arial"/>
                <w:sz w:val="22"/>
              </w:rPr>
            </w:pPr>
            <w:r>
              <w:rPr>
                <w:rFonts w:ascii="Arial" w:hAnsi="Arial"/>
                <w:sz w:val="22"/>
              </w:rPr>
              <w:t>4</w:t>
            </w:r>
            <w:r>
              <w:rPr>
                <w:sz w:val="22"/>
              </w:rPr>
              <w:t>×</w:t>
            </w:r>
            <w:r>
              <w:rPr>
                <w:rFonts w:ascii="Arial" w:hAnsi="Arial"/>
                <w:sz w:val="22"/>
              </w:rPr>
              <w:t>240+1</w:t>
            </w:r>
            <w:r>
              <w:rPr>
                <w:sz w:val="22"/>
              </w:rPr>
              <w:t>×</w:t>
            </w:r>
            <w:r>
              <w:rPr>
                <w:rFonts w:ascii="Arial" w:hAnsi="Arial"/>
                <w:sz w:val="22"/>
              </w:rPr>
              <w:t>120</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3"/>
          </w:tcPr>
          <w:p>
            <w:pPr>
              <w:pStyle w:val="TableParagraph"/>
              <w:spacing w:before="1"/>
              <w:ind w:left="641" w:right="621"/>
              <w:jc w:val="center"/>
              <w:rPr>
                <w:sz w:val="22"/>
              </w:rPr>
            </w:pPr>
            <w:r>
              <w:rPr>
                <w:sz w:val="22"/>
              </w:rPr>
              <w:t>1.83</w:t>
            </w:r>
          </w:p>
        </w:tc>
        <w:tc>
          <w:tcPr>
            <w:tcW w:w="1908" w:type="dxa"/>
            <w:gridSpan w:val="2"/>
          </w:tcPr>
          <w:p>
            <w:pPr>
              <w:pStyle w:val="TableParagraph"/>
              <w:spacing w:before="1"/>
              <w:ind w:left="648" w:right="621"/>
              <w:jc w:val="center"/>
              <w:rPr>
                <w:rFonts w:ascii="Arial" w:hAnsi="Arial"/>
                <w:sz w:val="22"/>
              </w:rPr>
            </w:pPr>
            <w:r>
              <w:rPr>
                <w:rFonts w:ascii="Arial" w:hAnsi="Arial"/>
                <w:sz w:val="22"/>
              </w:rPr>
              <w:t>4</w:t>
            </w:r>
            <w:r>
              <w:rPr>
                <w:sz w:val="22"/>
              </w:rPr>
              <w:t>×</w:t>
            </w:r>
            <w:r>
              <w:rPr>
                <w:rFonts w:ascii="Arial" w:hAnsi="Arial"/>
                <w:sz w:val="22"/>
              </w:rPr>
              <w:t>10</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3"/>
          </w:tcPr>
          <w:p>
            <w:pPr>
              <w:pStyle w:val="TableParagraph"/>
              <w:spacing w:line="277" w:lineRule="exact"/>
              <w:ind w:left="641" w:right="621"/>
              <w:jc w:val="center"/>
              <w:rPr>
                <w:sz w:val="22"/>
              </w:rPr>
            </w:pPr>
            <w:r>
              <w:rPr>
                <w:sz w:val="22"/>
              </w:rPr>
              <w:t>1.15</w:t>
            </w:r>
          </w:p>
        </w:tc>
        <w:tc>
          <w:tcPr>
            <w:tcW w:w="1908" w:type="dxa"/>
            <w:gridSpan w:val="2"/>
          </w:tcPr>
          <w:p>
            <w:pPr>
              <w:pStyle w:val="TableParagraph"/>
              <w:spacing w:line="277" w:lineRule="exact"/>
              <w:ind w:left="648" w:right="621"/>
              <w:jc w:val="center"/>
              <w:rPr>
                <w:rFonts w:ascii="Arial" w:hAnsi="Arial"/>
                <w:sz w:val="22"/>
              </w:rPr>
            </w:pPr>
            <w:r>
              <w:rPr>
                <w:rFonts w:ascii="Arial" w:hAnsi="Arial"/>
                <w:sz w:val="22"/>
              </w:rPr>
              <w:t>4</w:t>
            </w:r>
            <w:r>
              <w:rPr>
                <w:sz w:val="22"/>
              </w:rPr>
              <w:t>×</w:t>
            </w:r>
            <w:r>
              <w:rPr>
                <w:rFonts w:ascii="Arial" w:hAnsi="Arial"/>
                <w:sz w:val="22"/>
              </w:rPr>
              <w:t>16</w:t>
            </w:r>
          </w:p>
        </w:tc>
      </w:tr>
      <w:tr>
        <w:trPr>
          <w:trHeight w:val="522"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3"/>
          </w:tcPr>
          <w:p>
            <w:pPr>
              <w:pStyle w:val="TableParagraph"/>
              <w:spacing w:line="276" w:lineRule="exact"/>
              <w:ind w:left="634" w:right="621"/>
              <w:jc w:val="center"/>
              <w:rPr>
                <w:sz w:val="22"/>
              </w:rPr>
            </w:pPr>
            <w:r>
              <w:rPr>
                <w:sz w:val="22"/>
              </w:rPr>
              <w:t>0.727</w:t>
            </w:r>
          </w:p>
        </w:tc>
        <w:tc>
          <w:tcPr>
            <w:tcW w:w="1908" w:type="dxa"/>
            <w:gridSpan w:val="2"/>
          </w:tcPr>
          <w:p>
            <w:pPr>
              <w:pStyle w:val="TableParagraph"/>
              <w:spacing w:line="276" w:lineRule="exact"/>
              <w:ind w:left="648" w:right="621"/>
              <w:jc w:val="center"/>
              <w:rPr>
                <w:rFonts w:ascii="Arial" w:hAnsi="Arial"/>
                <w:sz w:val="22"/>
              </w:rPr>
            </w:pPr>
            <w:r>
              <w:rPr>
                <w:rFonts w:ascii="Arial" w:hAnsi="Arial"/>
                <w:sz w:val="22"/>
              </w:rPr>
              <w:t>4</w:t>
            </w:r>
            <w:r>
              <w:rPr>
                <w:sz w:val="22"/>
              </w:rPr>
              <w:t>×</w:t>
            </w:r>
            <w:r>
              <w:rPr>
                <w:rFonts w:ascii="Arial" w:hAnsi="Arial"/>
                <w:sz w:val="22"/>
              </w:rPr>
              <w:t>25</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3"/>
          </w:tcPr>
          <w:p>
            <w:pPr>
              <w:pStyle w:val="TableParagraph"/>
              <w:spacing w:before="2"/>
              <w:ind w:left="634" w:right="621"/>
              <w:jc w:val="center"/>
              <w:rPr>
                <w:sz w:val="22"/>
              </w:rPr>
            </w:pPr>
            <w:r>
              <w:rPr>
                <w:sz w:val="22"/>
              </w:rPr>
              <w:t>0.524</w:t>
            </w:r>
          </w:p>
        </w:tc>
        <w:tc>
          <w:tcPr>
            <w:tcW w:w="1908" w:type="dxa"/>
            <w:gridSpan w:val="2"/>
          </w:tcPr>
          <w:p>
            <w:pPr>
              <w:pStyle w:val="TableParagraph"/>
              <w:spacing w:before="2"/>
              <w:ind w:left="648" w:right="621"/>
              <w:jc w:val="center"/>
              <w:rPr>
                <w:rFonts w:ascii="Arial" w:hAnsi="Arial"/>
                <w:sz w:val="22"/>
              </w:rPr>
            </w:pPr>
            <w:r>
              <w:rPr>
                <w:rFonts w:ascii="Arial" w:hAnsi="Arial"/>
                <w:sz w:val="22"/>
              </w:rPr>
              <w:t>4</w:t>
            </w:r>
            <w:r>
              <w:rPr>
                <w:sz w:val="22"/>
              </w:rPr>
              <w:t>×</w:t>
            </w:r>
            <w:r>
              <w:rPr>
                <w:rFonts w:ascii="Arial" w:hAnsi="Arial"/>
                <w:sz w:val="22"/>
              </w:rPr>
              <w:t>35</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3"/>
          </w:tcPr>
          <w:p>
            <w:pPr>
              <w:pStyle w:val="TableParagraph"/>
              <w:spacing w:before="2"/>
              <w:ind w:left="634" w:right="621"/>
              <w:jc w:val="center"/>
              <w:rPr>
                <w:sz w:val="22"/>
              </w:rPr>
            </w:pPr>
            <w:r>
              <w:rPr>
                <w:sz w:val="22"/>
              </w:rPr>
              <w:t>0.387</w:t>
            </w:r>
          </w:p>
        </w:tc>
        <w:tc>
          <w:tcPr>
            <w:tcW w:w="1908" w:type="dxa"/>
            <w:gridSpan w:val="2"/>
          </w:tcPr>
          <w:p>
            <w:pPr>
              <w:pStyle w:val="TableParagraph"/>
              <w:spacing w:before="2"/>
              <w:ind w:left="648" w:right="621"/>
              <w:jc w:val="center"/>
              <w:rPr>
                <w:rFonts w:ascii="Arial" w:hAnsi="Arial"/>
                <w:sz w:val="22"/>
              </w:rPr>
            </w:pPr>
            <w:r>
              <w:rPr>
                <w:rFonts w:ascii="Arial" w:hAnsi="Arial"/>
                <w:sz w:val="22"/>
              </w:rPr>
              <w:t>4</w:t>
            </w:r>
            <w:r>
              <w:rPr>
                <w:sz w:val="22"/>
              </w:rPr>
              <w:t>×</w:t>
            </w:r>
            <w:r>
              <w:rPr>
                <w:rFonts w:ascii="Arial" w:hAnsi="Arial"/>
                <w:sz w:val="22"/>
              </w:rPr>
              <w:t>50</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3"/>
          </w:tcPr>
          <w:p>
            <w:pPr>
              <w:pStyle w:val="TableParagraph"/>
              <w:spacing w:line="277" w:lineRule="exact"/>
              <w:ind w:left="634" w:right="621"/>
              <w:jc w:val="center"/>
              <w:rPr>
                <w:sz w:val="22"/>
              </w:rPr>
            </w:pPr>
            <w:r>
              <w:rPr>
                <w:sz w:val="22"/>
              </w:rPr>
              <w:t>0.268</w:t>
            </w:r>
          </w:p>
        </w:tc>
        <w:tc>
          <w:tcPr>
            <w:tcW w:w="1908" w:type="dxa"/>
            <w:gridSpan w:val="2"/>
          </w:tcPr>
          <w:p>
            <w:pPr>
              <w:pStyle w:val="TableParagraph"/>
              <w:spacing w:line="277" w:lineRule="exact"/>
              <w:ind w:left="648" w:right="621"/>
              <w:jc w:val="center"/>
              <w:rPr>
                <w:rFonts w:ascii="Arial" w:hAnsi="Arial"/>
                <w:sz w:val="22"/>
              </w:rPr>
            </w:pPr>
            <w:r>
              <w:rPr>
                <w:rFonts w:ascii="Arial" w:hAnsi="Arial"/>
                <w:sz w:val="22"/>
              </w:rPr>
              <w:t>4</w:t>
            </w:r>
            <w:r>
              <w:rPr>
                <w:sz w:val="22"/>
              </w:rPr>
              <w:t>×</w:t>
            </w:r>
            <w:r>
              <w:rPr>
                <w:rFonts w:ascii="Arial" w:hAnsi="Arial"/>
                <w:sz w:val="22"/>
              </w:rPr>
              <w:t>70</w:t>
            </w:r>
          </w:p>
        </w:tc>
      </w:tr>
      <w:tr>
        <w:trPr>
          <w:trHeight w:val="522"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3"/>
          </w:tcPr>
          <w:p>
            <w:pPr>
              <w:pStyle w:val="TableParagraph"/>
              <w:spacing w:line="276" w:lineRule="exact"/>
              <w:ind w:left="634" w:right="621"/>
              <w:jc w:val="center"/>
              <w:rPr>
                <w:sz w:val="22"/>
              </w:rPr>
            </w:pPr>
            <w:r>
              <w:rPr>
                <w:sz w:val="22"/>
              </w:rPr>
              <w:t>0.193</w:t>
            </w:r>
          </w:p>
        </w:tc>
        <w:tc>
          <w:tcPr>
            <w:tcW w:w="1908" w:type="dxa"/>
            <w:gridSpan w:val="2"/>
          </w:tcPr>
          <w:p>
            <w:pPr>
              <w:pStyle w:val="TableParagraph"/>
              <w:spacing w:line="276" w:lineRule="exact"/>
              <w:ind w:left="648" w:right="621"/>
              <w:jc w:val="center"/>
              <w:rPr>
                <w:rFonts w:ascii="Arial" w:hAnsi="Arial"/>
                <w:sz w:val="22"/>
              </w:rPr>
            </w:pPr>
            <w:r>
              <w:rPr>
                <w:rFonts w:ascii="Arial" w:hAnsi="Arial"/>
                <w:sz w:val="22"/>
              </w:rPr>
              <w:t>4</w:t>
            </w:r>
            <w:r>
              <w:rPr>
                <w:sz w:val="22"/>
              </w:rPr>
              <w:t>×</w:t>
            </w:r>
            <w:r>
              <w:rPr>
                <w:rFonts w:ascii="Arial" w:hAnsi="Arial"/>
                <w:sz w:val="22"/>
              </w:rPr>
              <w:t>95</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3"/>
          </w:tcPr>
          <w:p>
            <w:pPr>
              <w:pStyle w:val="TableParagraph"/>
              <w:spacing w:before="2"/>
              <w:ind w:left="634" w:right="621"/>
              <w:jc w:val="center"/>
              <w:rPr>
                <w:sz w:val="22"/>
              </w:rPr>
            </w:pPr>
            <w:r>
              <w:rPr>
                <w:sz w:val="22"/>
              </w:rPr>
              <w:t>0.153</w:t>
            </w:r>
          </w:p>
        </w:tc>
        <w:tc>
          <w:tcPr>
            <w:tcW w:w="1908" w:type="dxa"/>
            <w:gridSpan w:val="2"/>
          </w:tcPr>
          <w:p>
            <w:pPr>
              <w:pStyle w:val="TableParagraph"/>
              <w:spacing w:before="2"/>
              <w:ind w:left="602"/>
              <w:rPr>
                <w:rFonts w:ascii="Arial" w:hAnsi="Arial"/>
                <w:sz w:val="22"/>
              </w:rPr>
            </w:pPr>
            <w:r>
              <w:rPr>
                <w:rFonts w:ascii="Arial" w:hAnsi="Arial"/>
                <w:sz w:val="22"/>
              </w:rPr>
              <w:t>4</w:t>
            </w:r>
            <w:r>
              <w:rPr>
                <w:sz w:val="22"/>
              </w:rPr>
              <w:t>×</w:t>
            </w:r>
            <w:r>
              <w:rPr>
                <w:rFonts w:ascii="Arial" w:hAnsi="Arial"/>
                <w:sz w:val="22"/>
              </w:rPr>
              <w:t>120</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3"/>
          </w:tcPr>
          <w:p>
            <w:pPr>
              <w:pStyle w:val="TableParagraph"/>
              <w:spacing w:before="2"/>
              <w:ind w:left="634" w:right="621"/>
              <w:jc w:val="center"/>
              <w:rPr>
                <w:sz w:val="22"/>
              </w:rPr>
            </w:pPr>
            <w:r>
              <w:rPr>
                <w:sz w:val="22"/>
              </w:rPr>
              <w:t>0.124</w:t>
            </w:r>
          </w:p>
        </w:tc>
        <w:tc>
          <w:tcPr>
            <w:tcW w:w="1908" w:type="dxa"/>
            <w:gridSpan w:val="2"/>
          </w:tcPr>
          <w:p>
            <w:pPr>
              <w:pStyle w:val="TableParagraph"/>
              <w:spacing w:before="2"/>
              <w:ind w:left="602"/>
              <w:rPr>
                <w:rFonts w:ascii="Arial" w:hAnsi="Arial"/>
                <w:sz w:val="22"/>
              </w:rPr>
            </w:pPr>
            <w:r>
              <w:rPr>
                <w:rFonts w:ascii="Arial" w:hAnsi="Arial"/>
                <w:sz w:val="22"/>
              </w:rPr>
              <w:t>4</w:t>
            </w:r>
            <w:r>
              <w:rPr>
                <w:sz w:val="22"/>
              </w:rPr>
              <w:t>×</w:t>
            </w:r>
            <w:r>
              <w:rPr>
                <w:rFonts w:ascii="Arial" w:hAnsi="Arial"/>
                <w:sz w:val="22"/>
              </w:rPr>
              <w:t>150</w:t>
            </w:r>
          </w:p>
        </w:tc>
      </w:tr>
      <w:tr>
        <w:trPr>
          <w:trHeight w:val="530"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3"/>
          </w:tcPr>
          <w:p>
            <w:pPr>
              <w:pStyle w:val="TableParagraph"/>
              <w:spacing w:line="276" w:lineRule="exact"/>
              <w:ind w:left="622"/>
              <w:rPr>
                <w:sz w:val="22"/>
              </w:rPr>
            </w:pPr>
            <w:r>
              <w:rPr>
                <w:sz w:val="22"/>
              </w:rPr>
              <w:t>0.0991</w:t>
            </w:r>
          </w:p>
        </w:tc>
        <w:tc>
          <w:tcPr>
            <w:tcW w:w="1908" w:type="dxa"/>
            <w:gridSpan w:val="2"/>
          </w:tcPr>
          <w:p>
            <w:pPr>
              <w:pStyle w:val="TableParagraph"/>
              <w:spacing w:line="276" w:lineRule="exact"/>
              <w:ind w:left="602"/>
              <w:rPr>
                <w:rFonts w:ascii="Arial" w:hAnsi="Arial"/>
                <w:sz w:val="22"/>
              </w:rPr>
            </w:pPr>
            <w:r>
              <w:rPr>
                <w:rFonts w:ascii="Arial" w:hAnsi="Arial"/>
                <w:sz w:val="22"/>
              </w:rPr>
              <w:t>4</w:t>
            </w:r>
            <w:r>
              <w:rPr>
                <w:sz w:val="22"/>
              </w:rPr>
              <w:t>×</w:t>
            </w:r>
            <w:r>
              <w:rPr>
                <w:rFonts w:ascii="Arial" w:hAnsi="Arial"/>
                <w:sz w:val="22"/>
              </w:rPr>
              <w:t>185</w:t>
            </w:r>
          </w:p>
        </w:tc>
      </w:tr>
      <w:tr>
        <w:trPr>
          <w:trHeight w:val="522"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1908" w:type="dxa"/>
            <w:gridSpan w:val="3"/>
          </w:tcPr>
          <w:p>
            <w:pPr>
              <w:pStyle w:val="TableParagraph"/>
              <w:spacing w:line="276" w:lineRule="exact"/>
              <w:ind w:left="622"/>
              <w:rPr>
                <w:sz w:val="22"/>
              </w:rPr>
            </w:pPr>
            <w:r>
              <w:rPr>
                <w:sz w:val="22"/>
              </w:rPr>
              <w:t>0.0754</w:t>
            </w:r>
          </w:p>
        </w:tc>
        <w:tc>
          <w:tcPr>
            <w:tcW w:w="1908" w:type="dxa"/>
            <w:gridSpan w:val="2"/>
          </w:tcPr>
          <w:p>
            <w:pPr>
              <w:pStyle w:val="TableParagraph"/>
              <w:spacing w:line="276" w:lineRule="exact"/>
              <w:ind w:left="602"/>
              <w:rPr>
                <w:rFonts w:ascii="Arial" w:hAnsi="Arial"/>
                <w:sz w:val="22"/>
              </w:rPr>
            </w:pPr>
            <w:r>
              <w:rPr>
                <w:rFonts w:ascii="Arial" w:hAnsi="Arial"/>
                <w:sz w:val="22"/>
              </w:rPr>
              <w:t>4</w:t>
            </w:r>
            <w:r>
              <w:rPr>
                <w:sz w:val="22"/>
              </w:rPr>
              <w:t>×</w:t>
            </w:r>
            <w:r>
              <w:rPr>
                <w:rFonts w:ascii="Arial" w:hAnsi="Arial"/>
                <w:sz w:val="22"/>
              </w:rPr>
              <w:t>240</w:t>
            </w:r>
          </w:p>
        </w:tc>
      </w:tr>
      <w:tr>
        <w:trPr>
          <w:trHeight w:val="494" w:hRule="atLeast"/>
        </w:trPr>
        <w:tc>
          <w:tcPr>
            <w:tcW w:w="576" w:type="dxa"/>
            <w:vMerge w:val="restart"/>
          </w:tcPr>
          <w:p>
            <w:pPr>
              <w:pStyle w:val="TableParagraph"/>
              <w:rPr>
                <w:sz w:val="24"/>
              </w:rPr>
            </w:pPr>
          </w:p>
          <w:p>
            <w:pPr>
              <w:pStyle w:val="TableParagraph"/>
              <w:rPr>
                <w:sz w:val="24"/>
              </w:rPr>
            </w:pPr>
          </w:p>
          <w:p>
            <w:pPr>
              <w:pStyle w:val="TableParagraph"/>
              <w:spacing w:before="7"/>
              <w:rPr>
                <w:sz w:val="19"/>
              </w:rPr>
            </w:pPr>
          </w:p>
          <w:p>
            <w:pPr>
              <w:pStyle w:val="TableParagraph"/>
              <w:ind w:left="139"/>
              <w:rPr>
                <w:rFonts w:ascii="Arial"/>
                <w:sz w:val="22"/>
              </w:rPr>
            </w:pPr>
            <w:r>
              <w:rPr>
                <w:rFonts w:ascii="Arial"/>
                <w:sz w:val="22"/>
              </w:rPr>
              <w:t>2.2</w:t>
            </w:r>
          </w:p>
        </w:tc>
        <w:tc>
          <w:tcPr>
            <w:tcW w:w="3645" w:type="dxa"/>
            <w:vMerge w:val="restart"/>
          </w:tcPr>
          <w:p>
            <w:pPr>
              <w:pStyle w:val="TableParagraph"/>
              <w:rPr>
                <w:sz w:val="22"/>
              </w:rPr>
            </w:pPr>
          </w:p>
          <w:p>
            <w:pPr>
              <w:pStyle w:val="TableParagraph"/>
              <w:rPr>
                <w:sz w:val="22"/>
              </w:rPr>
            </w:pPr>
          </w:p>
          <w:p>
            <w:pPr>
              <w:pStyle w:val="TableParagraph"/>
              <w:spacing w:before="11"/>
              <w:rPr>
                <w:sz w:val="21"/>
              </w:rPr>
            </w:pPr>
          </w:p>
          <w:p>
            <w:pPr>
              <w:pStyle w:val="TableParagraph"/>
              <w:ind w:left="21"/>
              <w:jc w:val="center"/>
              <w:rPr>
                <w:sz w:val="22"/>
              </w:rPr>
            </w:pPr>
            <w:r>
              <w:rPr>
                <w:sz w:val="22"/>
              </w:rPr>
              <w:t>导体温度</w:t>
            </w:r>
          </w:p>
        </w:tc>
        <w:tc>
          <w:tcPr>
            <w:tcW w:w="929" w:type="dxa"/>
            <w:vMerge w:val="restart"/>
          </w:tcPr>
          <w:p>
            <w:pPr>
              <w:pStyle w:val="TableParagraph"/>
              <w:rPr>
                <w:sz w:val="22"/>
              </w:rPr>
            </w:pPr>
          </w:p>
          <w:p>
            <w:pPr>
              <w:pStyle w:val="TableParagraph"/>
              <w:rPr>
                <w:sz w:val="22"/>
              </w:rPr>
            </w:pPr>
          </w:p>
          <w:p>
            <w:pPr>
              <w:pStyle w:val="TableParagraph"/>
              <w:spacing w:before="11"/>
              <w:rPr>
                <w:sz w:val="21"/>
              </w:rPr>
            </w:pPr>
          </w:p>
          <w:p>
            <w:pPr>
              <w:pStyle w:val="TableParagraph"/>
              <w:ind w:left="16"/>
              <w:jc w:val="center"/>
              <w:rPr>
                <w:sz w:val="22"/>
              </w:rPr>
            </w:pPr>
            <w:r>
              <w:rPr>
                <w:w w:val="101"/>
                <w:sz w:val="22"/>
              </w:rPr>
              <w:t>℃</w:t>
            </w:r>
          </w:p>
        </w:tc>
        <w:tc>
          <w:tcPr>
            <w:tcW w:w="849" w:type="dxa"/>
            <w:gridSpan w:val="2"/>
          </w:tcPr>
          <w:p>
            <w:pPr>
              <w:pStyle w:val="TableParagraph"/>
              <w:spacing w:before="1"/>
              <w:ind w:left="198"/>
              <w:rPr>
                <w:rFonts w:ascii="Arial"/>
                <w:sz w:val="22"/>
              </w:rPr>
            </w:pPr>
            <w:r>
              <w:rPr>
                <w:rFonts w:ascii="Arial"/>
                <w:sz w:val="22"/>
              </w:rPr>
              <w:t>PVC</w:t>
            </w:r>
          </w:p>
        </w:tc>
        <w:tc>
          <w:tcPr>
            <w:tcW w:w="1059" w:type="dxa"/>
          </w:tcPr>
          <w:p>
            <w:pPr>
              <w:pStyle w:val="TableParagraph"/>
              <w:spacing w:before="1"/>
              <w:ind w:left="230" w:right="215"/>
              <w:jc w:val="center"/>
              <w:rPr>
                <w:rFonts w:ascii="Arial"/>
                <w:sz w:val="22"/>
              </w:rPr>
            </w:pPr>
            <w:r>
              <w:rPr>
                <w:rFonts w:ascii="Arial"/>
                <w:sz w:val="22"/>
              </w:rPr>
              <w:t>XLPE</w:t>
            </w:r>
          </w:p>
        </w:tc>
        <w:tc>
          <w:tcPr>
            <w:tcW w:w="1908" w:type="dxa"/>
            <w:gridSpan w:val="2"/>
          </w:tcPr>
          <w:p>
            <w:pPr>
              <w:pStyle w:val="TableParagraph"/>
              <w:rPr>
                <w:rFonts w:ascii="Times New Roman"/>
                <w:sz w:val="22"/>
              </w:rPr>
            </w:pPr>
          </w:p>
        </w:tc>
      </w:tr>
      <w:tr>
        <w:trPr>
          <w:trHeight w:val="853"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849" w:type="dxa"/>
            <w:gridSpan w:val="2"/>
          </w:tcPr>
          <w:p>
            <w:pPr>
              <w:pStyle w:val="TableParagraph"/>
              <w:spacing w:before="181"/>
              <w:ind w:left="285" w:right="268"/>
              <w:jc w:val="center"/>
              <w:rPr>
                <w:rFonts w:ascii="Arial"/>
                <w:sz w:val="22"/>
              </w:rPr>
            </w:pPr>
            <w:r>
              <w:rPr>
                <w:rFonts w:ascii="Arial"/>
                <w:sz w:val="22"/>
              </w:rPr>
              <w:t>70</w:t>
            </w:r>
          </w:p>
        </w:tc>
        <w:tc>
          <w:tcPr>
            <w:tcW w:w="1059" w:type="dxa"/>
          </w:tcPr>
          <w:p>
            <w:pPr>
              <w:pStyle w:val="TableParagraph"/>
              <w:spacing w:before="181"/>
              <w:ind w:left="226" w:right="215"/>
              <w:jc w:val="center"/>
              <w:rPr>
                <w:rFonts w:ascii="Arial"/>
                <w:sz w:val="22"/>
              </w:rPr>
            </w:pPr>
            <w:r>
              <w:rPr>
                <w:rFonts w:ascii="Arial"/>
                <w:sz w:val="22"/>
              </w:rPr>
              <w:t>90</w:t>
            </w:r>
          </w:p>
        </w:tc>
        <w:tc>
          <w:tcPr>
            <w:tcW w:w="1908" w:type="dxa"/>
            <w:gridSpan w:val="2"/>
          </w:tcPr>
          <w:p>
            <w:pPr>
              <w:pStyle w:val="TableParagraph"/>
              <w:spacing w:line="280" w:lineRule="auto"/>
              <w:ind w:left="522" w:right="156" w:hanging="332"/>
              <w:rPr>
                <w:sz w:val="22"/>
              </w:rPr>
            </w:pPr>
            <w:r>
              <w:rPr>
                <w:sz w:val="22"/>
              </w:rPr>
              <w:t>正常运行时最高允许温度</w:t>
            </w:r>
          </w:p>
        </w:tc>
      </w:tr>
      <w:tr>
        <w:trPr>
          <w:trHeight w:val="861" w:hRule="atLeast"/>
        </w:trPr>
        <w:tc>
          <w:tcPr>
            <w:tcW w:w="576" w:type="dxa"/>
            <w:vMerge/>
            <w:tcBorders>
              <w:top w:val="nil"/>
            </w:tcBorders>
          </w:tcPr>
          <w:p>
            <w:pPr>
              <w:rPr>
                <w:sz w:val="2"/>
                <w:szCs w:val="2"/>
              </w:rPr>
            </w:pPr>
          </w:p>
        </w:tc>
        <w:tc>
          <w:tcPr>
            <w:tcW w:w="3645" w:type="dxa"/>
            <w:vMerge/>
            <w:tcBorders>
              <w:top w:val="nil"/>
            </w:tcBorders>
          </w:tcPr>
          <w:p>
            <w:pPr>
              <w:rPr>
                <w:sz w:val="2"/>
                <w:szCs w:val="2"/>
              </w:rPr>
            </w:pPr>
          </w:p>
        </w:tc>
        <w:tc>
          <w:tcPr>
            <w:tcW w:w="929" w:type="dxa"/>
            <w:vMerge/>
            <w:tcBorders>
              <w:top w:val="nil"/>
            </w:tcBorders>
          </w:tcPr>
          <w:p>
            <w:pPr>
              <w:rPr>
                <w:sz w:val="2"/>
                <w:szCs w:val="2"/>
              </w:rPr>
            </w:pPr>
          </w:p>
        </w:tc>
        <w:tc>
          <w:tcPr>
            <w:tcW w:w="849" w:type="dxa"/>
            <w:gridSpan w:val="2"/>
          </w:tcPr>
          <w:p>
            <w:pPr>
              <w:pStyle w:val="TableParagraph"/>
              <w:spacing w:before="181"/>
              <w:ind w:left="241"/>
              <w:rPr>
                <w:rFonts w:ascii="Arial"/>
                <w:sz w:val="22"/>
              </w:rPr>
            </w:pPr>
            <w:r>
              <w:rPr>
                <w:rFonts w:ascii="Arial"/>
                <w:sz w:val="22"/>
              </w:rPr>
              <w:t>160</w:t>
            </w:r>
          </w:p>
        </w:tc>
        <w:tc>
          <w:tcPr>
            <w:tcW w:w="1059" w:type="dxa"/>
          </w:tcPr>
          <w:p>
            <w:pPr>
              <w:pStyle w:val="TableParagraph"/>
              <w:spacing w:before="181"/>
              <w:ind w:left="219" w:right="215"/>
              <w:jc w:val="center"/>
              <w:rPr>
                <w:rFonts w:ascii="Arial"/>
                <w:sz w:val="22"/>
              </w:rPr>
            </w:pPr>
            <w:r>
              <w:rPr>
                <w:rFonts w:ascii="Arial"/>
                <w:sz w:val="22"/>
              </w:rPr>
              <w:t>250</w:t>
            </w:r>
          </w:p>
        </w:tc>
        <w:tc>
          <w:tcPr>
            <w:tcW w:w="1908" w:type="dxa"/>
            <w:gridSpan w:val="2"/>
          </w:tcPr>
          <w:p>
            <w:pPr>
              <w:pStyle w:val="TableParagraph"/>
              <w:spacing w:line="276" w:lineRule="auto" w:before="2"/>
              <w:ind w:left="739" w:right="156" w:hanging="548"/>
              <w:rPr>
                <w:sz w:val="22"/>
              </w:rPr>
            </w:pPr>
            <w:r>
              <w:rPr>
                <w:sz w:val="22"/>
              </w:rPr>
              <w:t>短路时最高允许温度</w:t>
            </w:r>
          </w:p>
        </w:tc>
      </w:tr>
      <w:tr>
        <w:trPr>
          <w:trHeight w:val="523" w:hRule="atLeast"/>
        </w:trPr>
        <w:tc>
          <w:tcPr>
            <w:tcW w:w="576" w:type="dxa"/>
          </w:tcPr>
          <w:p>
            <w:pPr>
              <w:pStyle w:val="TableParagraph"/>
              <w:spacing w:before="15"/>
              <w:ind w:left="121" w:right="98"/>
              <w:jc w:val="center"/>
              <w:rPr>
                <w:rFonts w:ascii="Arial"/>
                <w:sz w:val="22"/>
              </w:rPr>
            </w:pPr>
            <w:r>
              <w:rPr>
                <w:rFonts w:ascii="Arial"/>
                <w:sz w:val="22"/>
              </w:rPr>
              <w:t>2.3</w:t>
            </w:r>
          </w:p>
        </w:tc>
        <w:tc>
          <w:tcPr>
            <w:tcW w:w="3645" w:type="dxa"/>
          </w:tcPr>
          <w:p>
            <w:pPr>
              <w:pStyle w:val="TableParagraph"/>
              <w:spacing w:line="276" w:lineRule="exact"/>
              <w:ind w:left="22"/>
              <w:jc w:val="center"/>
              <w:rPr>
                <w:sz w:val="22"/>
              </w:rPr>
            </w:pPr>
            <w:r>
              <w:rPr>
                <w:sz w:val="22"/>
              </w:rPr>
              <w:t>出厂工频电压试验（</w:t>
            </w:r>
            <w:r>
              <w:rPr>
                <w:rFonts w:ascii="Calibri" w:eastAsia="Calibri"/>
                <w:sz w:val="22"/>
              </w:rPr>
              <w:t>5min</w:t>
            </w:r>
            <w:r>
              <w:rPr>
                <w:sz w:val="22"/>
              </w:rPr>
              <w:t>）</w:t>
            </w:r>
          </w:p>
        </w:tc>
        <w:tc>
          <w:tcPr>
            <w:tcW w:w="929" w:type="dxa"/>
          </w:tcPr>
          <w:p>
            <w:pPr>
              <w:pStyle w:val="TableParagraph"/>
              <w:spacing w:before="15"/>
              <w:ind w:left="334"/>
              <w:rPr>
                <w:rFonts w:ascii="Arial"/>
                <w:sz w:val="22"/>
              </w:rPr>
            </w:pPr>
            <w:r>
              <w:rPr>
                <w:rFonts w:ascii="Arial"/>
                <w:sz w:val="22"/>
              </w:rPr>
              <w:t>kV</w:t>
            </w:r>
          </w:p>
        </w:tc>
        <w:tc>
          <w:tcPr>
            <w:tcW w:w="1908" w:type="dxa"/>
            <w:gridSpan w:val="3"/>
          </w:tcPr>
          <w:p>
            <w:pPr>
              <w:pStyle w:val="TableParagraph"/>
              <w:spacing w:before="140"/>
              <w:ind w:left="632" w:right="621"/>
              <w:jc w:val="center"/>
              <w:rPr>
                <w:rFonts w:ascii="Arial"/>
                <w:sz w:val="21"/>
              </w:rPr>
            </w:pPr>
            <w:r>
              <w:rPr>
                <w:rFonts w:ascii="Arial"/>
                <w:sz w:val="21"/>
              </w:rPr>
              <w:t>3.5</w:t>
            </w:r>
          </w:p>
        </w:tc>
        <w:tc>
          <w:tcPr>
            <w:tcW w:w="1908" w:type="dxa"/>
            <w:gridSpan w:val="2"/>
          </w:tcPr>
          <w:p>
            <w:pPr>
              <w:pStyle w:val="TableParagraph"/>
              <w:rPr>
                <w:rFonts w:ascii="Times New Roman"/>
                <w:sz w:val="22"/>
              </w:rPr>
            </w:pPr>
          </w:p>
        </w:tc>
      </w:tr>
      <w:tr>
        <w:trPr>
          <w:trHeight w:val="530" w:hRule="atLeast"/>
        </w:trPr>
        <w:tc>
          <w:tcPr>
            <w:tcW w:w="576" w:type="dxa"/>
          </w:tcPr>
          <w:p>
            <w:pPr>
              <w:pStyle w:val="TableParagraph"/>
              <w:spacing w:before="15"/>
              <w:ind w:left="121" w:right="98"/>
              <w:jc w:val="center"/>
              <w:rPr>
                <w:rFonts w:ascii="Arial"/>
                <w:sz w:val="22"/>
              </w:rPr>
            </w:pPr>
            <w:r>
              <w:rPr>
                <w:rFonts w:ascii="Arial"/>
                <w:sz w:val="22"/>
              </w:rPr>
              <w:t>2.4</w:t>
            </w:r>
          </w:p>
        </w:tc>
        <w:tc>
          <w:tcPr>
            <w:tcW w:w="3645" w:type="dxa"/>
          </w:tcPr>
          <w:p>
            <w:pPr>
              <w:pStyle w:val="TableParagraph"/>
              <w:spacing w:before="1"/>
              <w:ind w:left="20"/>
              <w:jc w:val="center"/>
              <w:rPr>
                <w:sz w:val="22"/>
              </w:rPr>
            </w:pPr>
            <w:r>
              <w:rPr>
                <w:sz w:val="22"/>
              </w:rPr>
              <w:t>电缆敷设时允许环境温度</w:t>
            </w:r>
          </w:p>
        </w:tc>
        <w:tc>
          <w:tcPr>
            <w:tcW w:w="929" w:type="dxa"/>
          </w:tcPr>
          <w:p>
            <w:pPr>
              <w:pStyle w:val="TableParagraph"/>
              <w:spacing w:before="1"/>
              <w:ind w:left="356"/>
              <w:rPr>
                <w:sz w:val="22"/>
              </w:rPr>
            </w:pPr>
            <w:r>
              <w:rPr>
                <w:w w:val="101"/>
                <w:sz w:val="22"/>
              </w:rPr>
              <w:t>℃</w:t>
            </w:r>
          </w:p>
        </w:tc>
        <w:tc>
          <w:tcPr>
            <w:tcW w:w="1908" w:type="dxa"/>
            <w:gridSpan w:val="3"/>
          </w:tcPr>
          <w:p>
            <w:pPr>
              <w:pStyle w:val="TableParagraph"/>
              <w:spacing w:line="337" w:lineRule="exact"/>
              <w:ind w:left="640" w:right="621"/>
              <w:jc w:val="center"/>
              <w:rPr>
                <w:rFonts w:ascii="Arial" w:hAnsi="Arial"/>
                <w:sz w:val="22"/>
              </w:rPr>
            </w:pPr>
            <w:r>
              <w:rPr>
                <w:rFonts w:ascii="Microsoft YaHei" w:hAnsi="Microsoft YaHei"/>
                <w:b/>
                <w:w w:val="115"/>
                <w:sz w:val="22"/>
              </w:rPr>
              <w:t>≥</w:t>
            </w:r>
            <w:r>
              <w:rPr>
                <w:rFonts w:ascii="Arial" w:hAnsi="Arial"/>
                <w:w w:val="115"/>
                <w:sz w:val="22"/>
              </w:rPr>
              <w:t>0</w:t>
            </w:r>
          </w:p>
        </w:tc>
        <w:tc>
          <w:tcPr>
            <w:tcW w:w="1908" w:type="dxa"/>
            <w:gridSpan w:val="2"/>
          </w:tcPr>
          <w:p>
            <w:pPr>
              <w:pStyle w:val="TableParagraph"/>
              <w:rPr>
                <w:rFonts w:ascii="Times New Roman"/>
                <w:sz w:val="22"/>
              </w:rPr>
            </w:pPr>
          </w:p>
        </w:tc>
      </w:tr>
      <w:tr>
        <w:trPr>
          <w:trHeight w:val="530" w:hRule="atLeast"/>
        </w:trPr>
        <w:tc>
          <w:tcPr>
            <w:tcW w:w="576" w:type="dxa"/>
          </w:tcPr>
          <w:p>
            <w:pPr>
              <w:pStyle w:val="TableParagraph"/>
              <w:spacing w:before="15"/>
              <w:ind w:left="121" w:right="98"/>
              <w:jc w:val="center"/>
              <w:rPr>
                <w:rFonts w:ascii="Arial"/>
                <w:sz w:val="22"/>
              </w:rPr>
            </w:pPr>
            <w:r>
              <w:rPr>
                <w:rFonts w:ascii="Arial"/>
                <w:sz w:val="22"/>
              </w:rPr>
              <w:t>2.5</w:t>
            </w:r>
          </w:p>
        </w:tc>
        <w:tc>
          <w:tcPr>
            <w:tcW w:w="3645" w:type="dxa"/>
          </w:tcPr>
          <w:p>
            <w:pPr>
              <w:pStyle w:val="TableParagraph"/>
              <w:spacing w:line="276" w:lineRule="exact"/>
              <w:ind w:left="13"/>
              <w:jc w:val="center"/>
              <w:rPr>
                <w:sz w:val="22"/>
              </w:rPr>
            </w:pPr>
            <w:r>
              <w:rPr>
                <w:sz w:val="22"/>
              </w:rPr>
              <w:t>电缆在正常使用条件下的寿命</w:t>
            </w:r>
          </w:p>
        </w:tc>
        <w:tc>
          <w:tcPr>
            <w:tcW w:w="929" w:type="dxa"/>
          </w:tcPr>
          <w:p>
            <w:pPr>
              <w:pStyle w:val="TableParagraph"/>
              <w:spacing w:line="276" w:lineRule="exact"/>
              <w:ind w:left="356"/>
              <w:rPr>
                <w:sz w:val="22"/>
              </w:rPr>
            </w:pPr>
            <w:r>
              <w:rPr>
                <w:w w:val="101"/>
                <w:sz w:val="22"/>
              </w:rPr>
              <w:t>年</w:t>
            </w:r>
          </w:p>
        </w:tc>
        <w:tc>
          <w:tcPr>
            <w:tcW w:w="1908" w:type="dxa"/>
            <w:gridSpan w:val="3"/>
          </w:tcPr>
          <w:p>
            <w:pPr>
              <w:pStyle w:val="TableParagraph"/>
              <w:spacing w:line="330" w:lineRule="exact"/>
              <w:ind w:left="645" w:right="621"/>
              <w:jc w:val="center"/>
              <w:rPr>
                <w:rFonts w:ascii="Arial" w:hAnsi="Arial"/>
                <w:sz w:val="22"/>
              </w:rPr>
            </w:pPr>
            <w:r>
              <w:rPr>
                <w:rFonts w:ascii="Microsoft YaHei" w:hAnsi="Microsoft YaHei"/>
                <w:b/>
                <w:w w:val="110"/>
                <w:sz w:val="22"/>
              </w:rPr>
              <w:t>≥</w:t>
            </w:r>
            <w:r>
              <w:rPr>
                <w:rFonts w:ascii="Arial" w:hAnsi="Arial"/>
                <w:w w:val="110"/>
                <w:sz w:val="22"/>
              </w:rPr>
              <w:t>30</w:t>
            </w:r>
          </w:p>
        </w:tc>
        <w:tc>
          <w:tcPr>
            <w:tcW w:w="1908" w:type="dxa"/>
            <w:gridSpan w:val="2"/>
          </w:tcPr>
          <w:p>
            <w:pPr>
              <w:pStyle w:val="TableParagraph"/>
              <w:rPr>
                <w:rFonts w:ascii="Times New Roman"/>
                <w:sz w:val="22"/>
              </w:rPr>
            </w:pPr>
          </w:p>
        </w:tc>
      </w:tr>
      <w:tr>
        <w:trPr>
          <w:trHeight w:val="854" w:hRule="atLeast"/>
        </w:trPr>
        <w:tc>
          <w:tcPr>
            <w:tcW w:w="576" w:type="dxa"/>
          </w:tcPr>
          <w:p>
            <w:pPr>
              <w:pStyle w:val="TableParagraph"/>
              <w:spacing w:before="181"/>
              <w:ind w:left="121" w:right="98"/>
              <w:jc w:val="center"/>
              <w:rPr>
                <w:rFonts w:ascii="Arial"/>
                <w:sz w:val="22"/>
              </w:rPr>
            </w:pPr>
            <w:r>
              <w:rPr>
                <w:rFonts w:ascii="Arial"/>
                <w:sz w:val="22"/>
              </w:rPr>
              <w:t>2.6</w:t>
            </w:r>
          </w:p>
        </w:tc>
        <w:tc>
          <w:tcPr>
            <w:tcW w:w="3645" w:type="dxa"/>
          </w:tcPr>
          <w:p>
            <w:pPr>
              <w:pStyle w:val="TableParagraph"/>
              <w:spacing w:before="160"/>
              <w:ind w:left="14"/>
              <w:jc w:val="center"/>
              <w:rPr>
                <w:sz w:val="22"/>
              </w:rPr>
            </w:pPr>
            <w:r>
              <w:rPr>
                <w:sz w:val="22"/>
              </w:rPr>
              <w:t>最大烟密度（低烟）</w:t>
            </w:r>
          </w:p>
        </w:tc>
        <w:tc>
          <w:tcPr>
            <w:tcW w:w="929" w:type="dxa"/>
          </w:tcPr>
          <w:p>
            <w:pPr>
              <w:pStyle w:val="TableParagraph"/>
              <w:spacing w:before="181"/>
              <w:ind w:left="370"/>
              <w:rPr>
                <w:rFonts w:ascii="Arial"/>
                <w:sz w:val="22"/>
              </w:rPr>
            </w:pPr>
            <w:r>
              <w:rPr>
                <w:rFonts w:ascii="Arial"/>
                <w:w w:val="101"/>
                <w:sz w:val="22"/>
              </w:rPr>
              <w:t>%</w:t>
            </w:r>
          </w:p>
        </w:tc>
        <w:tc>
          <w:tcPr>
            <w:tcW w:w="1908" w:type="dxa"/>
            <w:gridSpan w:val="3"/>
          </w:tcPr>
          <w:p>
            <w:pPr>
              <w:pStyle w:val="TableParagraph"/>
              <w:spacing w:before="181"/>
              <w:ind w:left="631" w:right="621"/>
              <w:jc w:val="center"/>
              <w:rPr>
                <w:rFonts w:ascii="Arial"/>
                <w:sz w:val="22"/>
              </w:rPr>
            </w:pPr>
            <w:r>
              <w:rPr>
                <w:rFonts w:ascii="Arial"/>
                <w:sz w:val="22"/>
              </w:rPr>
              <w:t>60</w:t>
            </w:r>
          </w:p>
        </w:tc>
        <w:tc>
          <w:tcPr>
            <w:tcW w:w="1908" w:type="dxa"/>
            <w:gridSpan w:val="2"/>
          </w:tcPr>
          <w:p>
            <w:pPr>
              <w:pStyle w:val="TableParagraph"/>
              <w:spacing w:line="280" w:lineRule="auto"/>
              <w:ind w:left="739" w:right="156" w:hanging="548"/>
              <w:rPr>
                <w:sz w:val="22"/>
              </w:rPr>
            </w:pPr>
            <w:r>
              <w:rPr>
                <w:sz w:val="22"/>
              </w:rPr>
              <w:t>采用阻燃电缆时填写</w:t>
            </w:r>
          </w:p>
        </w:tc>
      </w:tr>
    </w:tbl>
    <w:p>
      <w:pPr>
        <w:spacing w:after="0" w:line="280" w:lineRule="auto"/>
        <w:rPr>
          <w:sz w:val="22"/>
        </w:rPr>
        <w:sectPr>
          <w:pgSz w:w="11910" w:h="16850"/>
          <w:pgMar w:top="1440" w:bottom="280" w:left="1360" w:right="136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489"/>
        <w:gridCol w:w="3155"/>
        <w:gridCol w:w="929"/>
        <w:gridCol w:w="93"/>
        <w:gridCol w:w="821"/>
        <w:gridCol w:w="994"/>
        <w:gridCol w:w="122"/>
        <w:gridCol w:w="1786"/>
      </w:tblGrid>
      <w:tr>
        <w:trPr>
          <w:trHeight w:val="854" w:hRule="atLeast"/>
        </w:trPr>
        <w:tc>
          <w:tcPr>
            <w:tcW w:w="576" w:type="dxa"/>
          </w:tcPr>
          <w:p>
            <w:pPr>
              <w:pStyle w:val="TableParagraph"/>
              <w:spacing w:line="283" w:lineRule="auto"/>
              <w:ind w:left="110" w:right="230"/>
              <w:rPr>
                <w:sz w:val="22"/>
              </w:rPr>
            </w:pPr>
            <w:r>
              <w:rPr>
                <w:sz w:val="22"/>
              </w:rPr>
              <w:t>序号</w:t>
            </w:r>
          </w:p>
        </w:tc>
        <w:tc>
          <w:tcPr>
            <w:tcW w:w="3644" w:type="dxa"/>
            <w:gridSpan w:val="2"/>
          </w:tcPr>
          <w:p>
            <w:pPr>
              <w:pStyle w:val="TableParagraph"/>
              <w:tabs>
                <w:tab w:pos="613" w:val="left" w:leader="none"/>
              </w:tabs>
              <w:spacing w:before="161"/>
              <w:ind w:left="23"/>
              <w:jc w:val="center"/>
              <w:rPr>
                <w:sz w:val="22"/>
              </w:rPr>
            </w:pPr>
            <w:r>
              <w:rPr>
                <w:sz w:val="22"/>
              </w:rPr>
              <w:t>项</w:t>
              <w:tab/>
              <w:t>目</w:t>
            </w:r>
          </w:p>
        </w:tc>
        <w:tc>
          <w:tcPr>
            <w:tcW w:w="1022" w:type="dxa"/>
            <w:gridSpan w:val="2"/>
          </w:tcPr>
          <w:p>
            <w:pPr>
              <w:pStyle w:val="TableParagraph"/>
              <w:spacing w:before="161"/>
              <w:ind w:left="292"/>
              <w:rPr>
                <w:sz w:val="22"/>
              </w:rPr>
            </w:pPr>
            <w:r>
              <w:rPr>
                <w:sz w:val="22"/>
              </w:rPr>
              <w:t>单位</w:t>
            </w:r>
          </w:p>
        </w:tc>
        <w:tc>
          <w:tcPr>
            <w:tcW w:w="1937" w:type="dxa"/>
            <w:gridSpan w:val="3"/>
          </w:tcPr>
          <w:p>
            <w:pPr>
              <w:pStyle w:val="TableParagraph"/>
              <w:spacing w:before="161"/>
              <w:ind w:left="415"/>
              <w:rPr>
                <w:sz w:val="22"/>
              </w:rPr>
            </w:pPr>
            <w:r>
              <w:rPr>
                <w:sz w:val="22"/>
              </w:rPr>
              <w:t>标准参数值</w:t>
            </w:r>
          </w:p>
        </w:tc>
        <w:tc>
          <w:tcPr>
            <w:tcW w:w="1786" w:type="dxa"/>
          </w:tcPr>
          <w:p>
            <w:pPr>
              <w:pStyle w:val="TableParagraph"/>
              <w:spacing w:before="161"/>
              <w:ind w:left="665" w:right="629"/>
              <w:jc w:val="center"/>
              <w:rPr>
                <w:sz w:val="22"/>
              </w:rPr>
            </w:pPr>
            <w:r>
              <w:rPr>
                <w:sz w:val="22"/>
              </w:rPr>
              <w:t>备注</w:t>
            </w:r>
          </w:p>
        </w:tc>
      </w:tr>
      <w:tr>
        <w:trPr>
          <w:trHeight w:val="861" w:hRule="atLeast"/>
        </w:trPr>
        <w:tc>
          <w:tcPr>
            <w:tcW w:w="576" w:type="dxa"/>
          </w:tcPr>
          <w:p>
            <w:pPr>
              <w:pStyle w:val="TableParagraph"/>
              <w:spacing w:before="181"/>
              <w:ind w:left="121" w:right="98"/>
              <w:jc w:val="center"/>
              <w:rPr>
                <w:rFonts w:ascii="Arial"/>
                <w:sz w:val="22"/>
              </w:rPr>
            </w:pPr>
            <w:r>
              <w:rPr>
                <w:rFonts w:ascii="Arial"/>
                <w:sz w:val="22"/>
              </w:rPr>
              <w:t>2.7</w:t>
            </w:r>
          </w:p>
        </w:tc>
        <w:tc>
          <w:tcPr>
            <w:tcW w:w="3644" w:type="dxa"/>
            <w:gridSpan w:val="2"/>
          </w:tcPr>
          <w:p>
            <w:pPr>
              <w:pStyle w:val="TableParagraph"/>
              <w:spacing w:before="160"/>
              <w:ind w:left="831"/>
              <w:rPr>
                <w:sz w:val="22"/>
              </w:rPr>
            </w:pPr>
            <w:r>
              <w:rPr>
                <w:sz w:val="22"/>
              </w:rPr>
              <w:t>最大烟密度（低烟）</w:t>
            </w:r>
          </w:p>
        </w:tc>
        <w:tc>
          <w:tcPr>
            <w:tcW w:w="929" w:type="dxa"/>
          </w:tcPr>
          <w:p>
            <w:pPr>
              <w:pStyle w:val="TableParagraph"/>
              <w:spacing w:before="181"/>
              <w:ind w:left="22"/>
              <w:jc w:val="center"/>
              <w:rPr>
                <w:rFonts w:ascii="Arial"/>
                <w:sz w:val="22"/>
              </w:rPr>
            </w:pPr>
            <w:r>
              <w:rPr>
                <w:rFonts w:ascii="Arial"/>
                <w:w w:val="101"/>
                <w:sz w:val="22"/>
              </w:rPr>
              <w:t>%</w:t>
            </w:r>
          </w:p>
        </w:tc>
        <w:tc>
          <w:tcPr>
            <w:tcW w:w="1908" w:type="dxa"/>
            <w:gridSpan w:val="3"/>
          </w:tcPr>
          <w:p>
            <w:pPr>
              <w:pStyle w:val="TableParagraph"/>
              <w:spacing w:before="181"/>
              <w:ind w:left="633" w:right="621"/>
              <w:jc w:val="center"/>
              <w:rPr>
                <w:rFonts w:ascii="Arial"/>
                <w:sz w:val="22"/>
              </w:rPr>
            </w:pPr>
            <w:r>
              <w:rPr>
                <w:rFonts w:ascii="Arial"/>
                <w:sz w:val="22"/>
              </w:rPr>
              <w:t>80</w:t>
            </w:r>
          </w:p>
        </w:tc>
        <w:tc>
          <w:tcPr>
            <w:tcW w:w="1908" w:type="dxa"/>
            <w:gridSpan w:val="2"/>
          </w:tcPr>
          <w:p>
            <w:pPr>
              <w:pStyle w:val="TableParagraph"/>
              <w:spacing w:line="276" w:lineRule="auto" w:before="1"/>
              <w:ind w:left="523" w:right="155" w:hanging="332"/>
              <w:rPr>
                <w:sz w:val="22"/>
              </w:rPr>
            </w:pPr>
            <w:r>
              <w:rPr>
                <w:sz w:val="22"/>
              </w:rPr>
              <w:t>采用低烟无卤电缆时填写</w:t>
            </w:r>
          </w:p>
        </w:tc>
      </w:tr>
      <w:tr>
        <w:trPr>
          <w:trHeight w:val="854" w:hRule="atLeast"/>
        </w:trPr>
        <w:tc>
          <w:tcPr>
            <w:tcW w:w="576" w:type="dxa"/>
          </w:tcPr>
          <w:p>
            <w:pPr>
              <w:pStyle w:val="TableParagraph"/>
              <w:spacing w:before="174"/>
              <w:ind w:left="121" w:right="98"/>
              <w:jc w:val="center"/>
              <w:rPr>
                <w:rFonts w:ascii="Arial"/>
                <w:sz w:val="22"/>
              </w:rPr>
            </w:pPr>
            <w:r>
              <w:rPr>
                <w:rFonts w:ascii="Arial"/>
                <w:sz w:val="22"/>
              </w:rPr>
              <w:t>2.8</w:t>
            </w:r>
          </w:p>
        </w:tc>
        <w:tc>
          <w:tcPr>
            <w:tcW w:w="3644" w:type="dxa"/>
            <w:gridSpan w:val="2"/>
          </w:tcPr>
          <w:p>
            <w:pPr>
              <w:pStyle w:val="TableParagraph"/>
              <w:spacing w:before="160"/>
              <w:ind w:left="1162"/>
              <w:rPr>
                <w:sz w:val="22"/>
              </w:rPr>
            </w:pPr>
            <w:r>
              <w:rPr>
                <w:sz w:val="22"/>
              </w:rPr>
              <w:t>电缆阻燃级别</w:t>
            </w:r>
          </w:p>
        </w:tc>
        <w:tc>
          <w:tcPr>
            <w:tcW w:w="929" w:type="dxa"/>
          </w:tcPr>
          <w:p>
            <w:pPr>
              <w:pStyle w:val="TableParagraph"/>
              <w:spacing w:before="160"/>
              <w:ind w:left="18"/>
              <w:jc w:val="center"/>
              <w:rPr>
                <w:sz w:val="22"/>
              </w:rPr>
            </w:pPr>
            <w:r>
              <w:rPr>
                <w:w w:val="101"/>
                <w:sz w:val="22"/>
              </w:rPr>
              <w:t>级</w:t>
            </w:r>
          </w:p>
        </w:tc>
        <w:tc>
          <w:tcPr>
            <w:tcW w:w="1908" w:type="dxa"/>
            <w:gridSpan w:val="3"/>
          </w:tcPr>
          <w:p>
            <w:pPr>
              <w:pStyle w:val="TableParagraph"/>
              <w:spacing w:before="160"/>
              <w:ind w:left="407"/>
              <w:rPr>
                <w:sz w:val="22"/>
              </w:rPr>
            </w:pPr>
            <w:r>
              <w:rPr>
                <w:sz w:val="22"/>
              </w:rPr>
              <w:t>以词条为准</w:t>
            </w:r>
          </w:p>
        </w:tc>
        <w:tc>
          <w:tcPr>
            <w:tcW w:w="1908" w:type="dxa"/>
            <w:gridSpan w:val="2"/>
          </w:tcPr>
          <w:p>
            <w:pPr>
              <w:pStyle w:val="TableParagraph"/>
              <w:spacing w:line="280" w:lineRule="auto"/>
              <w:ind w:left="740" w:right="155" w:hanging="548"/>
              <w:rPr>
                <w:sz w:val="22"/>
              </w:rPr>
            </w:pPr>
            <w:r>
              <w:rPr>
                <w:sz w:val="22"/>
              </w:rPr>
              <w:t>采用阻燃电缆时填写</w:t>
            </w:r>
          </w:p>
        </w:tc>
      </w:tr>
      <w:tr>
        <w:trPr>
          <w:trHeight w:val="530" w:hRule="atLeast"/>
        </w:trPr>
        <w:tc>
          <w:tcPr>
            <w:tcW w:w="576" w:type="dxa"/>
          </w:tcPr>
          <w:p>
            <w:pPr>
              <w:pStyle w:val="TableParagraph"/>
              <w:spacing w:before="15"/>
              <w:ind w:left="8"/>
              <w:jc w:val="center"/>
              <w:rPr>
                <w:rFonts w:ascii="Arial"/>
                <w:sz w:val="22"/>
              </w:rPr>
            </w:pPr>
            <w:r>
              <w:rPr>
                <w:rFonts w:ascii="Arial"/>
                <w:w w:val="101"/>
                <w:sz w:val="22"/>
              </w:rPr>
              <w:t>3</w:t>
            </w:r>
          </w:p>
        </w:tc>
        <w:tc>
          <w:tcPr>
            <w:tcW w:w="8389" w:type="dxa"/>
            <w:gridSpan w:val="8"/>
          </w:tcPr>
          <w:p>
            <w:pPr>
              <w:pStyle w:val="TableParagraph"/>
              <w:spacing w:line="276" w:lineRule="exact"/>
              <w:ind w:left="110"/>
              <w:rPr>
                <w:sz w:val="22"/>
              </w:rPr>
            </w:pPr>
            <w:r>
              <w:rPr>
                <w:rFonts w:ascii="Arial" w:eastAsia="Arial"/>
                <w:sz w:val="22"/>
              </w:rPr>
              <w:t>0.6/1kV </w:t>
            </w:r>
            <w:r>
              <w:rPr>
                <w:sz w:val="22"/>
              </w:rPr>
              <w:t>挤包绝缘电力电缆非电技术参数</w:t>
            </w:r>
          </w:p>
        </w:tc>
      </w:tr>
      <w:tr>
        <w:trPr>
          <w:trHeight w:val="508" w:hRule="atLeast"/>
        </w:trPr>
        <w:tc>
          <w:tcPr>
            <w:tcW w:w="576" w:type="dxa"/>
            <w:vMerge w:val="restart"/>
          </w:tcPr>
          <w:p>
            <w:pPr>
              <w:pStyle w:val="TableParagraph"/>
              <w:rPr>
                <w:sz w:val="24"/>
              </w:rPr>
            </w:pPr>
          </w:p>
          <w:p>
            <w:pPr>
              <w:pStyle w:val="TableParagraph"/>
              <w:rPr>
                <w:sz w:val="24"/>
              </w:rPr>
            </w:pPr>
          </w:p>
          <w:p>
            <w:pPr>
              <w:pStyle w:val="TableParagraph"/>
              <w:rPr>
                <w:sz w:val="24"/>
              </w:rPr>
            </w:pPr>
          </w:p>
          <w:p>
            <w:pPr>
              <w:pStyle w:val="TableParagraph"/>
              <w:spacing w:before="4"/>
              <w:rPr>
                <w:sz w:val="25"/>
              </w:rPr>
            </w:pPr>
          </w:p>
          <w:p>
            <w:pPr>
              <w:pStyle w:val="TableParagraph"/>
              <w:ind w:left="139"/>
              <w:rPr>
                <w:rFonts w:ascii="Arial"/>
                <w:sz w:val="22"/>
              </w:rPr>
            </w:pPr>
            <w:r>
              <w:rPr>
                <w:rFonts w:ascii="Arial"/>
                <w:sz w:val="22"/>
              </w:rPr>
              <w:t>3.1</w:t>
            </w:r>
          </w:p>
        </w:tc>
        <w:tc>
          <w:tcPr>
            <w:tcW w:w="489"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16"/>
              </w:rPr>
            </w:pPr>
          </w:p>
          <w:p>
            <w:pPr>
              <w:pStyle w:val="TableParagraph"/>
              <w:spacing w:line="283" w:lineRule="auto" w:before="1"/>
              <w:ind w:left="110" w:right="143"/>
              <w:rPr>
                <w:sz w:val="22"/>
              </w:rPr>
            </w:pPr>
            <w:r>
              <w:rPr>
                <w:sz w:val="22"/>
              </w:rPr>
              <w:t>绝缘</w:t>
            </w:r>
          </w:p>
        </w:tc>
        <w:tc>
          <w:tcPr>
            <w:tcW w:w="3155" w:type="dxa"/>
          </w:tcPr>
          <w:p>
            <w:pPr>
              <w:pStyle w:val="TableParagraph"/>
              <w:rPr>
                <w:rFonts w:ascii="Times New Roman"/>
                <w:sz w:val="22"/>
              </w:rPr>
            </w:pPr>
          </w:p>
        </w:tc>
        <w:tc>
          <w:tcPr>
            <w:tcW w:w="929" w:type="dxa"/>
          </w:tcPr>
          <w:p>
            <w:pPr>
              <w:pStyle w:val="TableParagraph"/>
              <w:rPr>
                <w:rFonts w:ascii="Times New Roman"/>
                <w:sz w:val="22"/>
              </w:rPr>
            </w:pPr>
          </w:p>
        </w:tc>
        <w:tc>
          <w:tcPr>
            <w:tcW w:w="914" w:type="dxa"/>
            <w:gridSpan w:val="2"/>
          </w:tcPr>
          <w:p>
            <w:pPr>
              <w:pStyle w:val="TableParagraph"/>
              <w:spacing w:line="247" w:lineRule="exact"/>
              <w:ind w:left="235"/>
              <w:rPr>
                <w:rFonts w:ascii="Arial"/>
                <w:sz w:val="22"/>
              </w:rPr>
            </w:pPr>
            <w:r>
              <w:rPr>
                <w:rFonts w:ascii="Arial"/>
                <w:sz w:val="22"/>
              </w:rPr>
              <w:t>PVC</w:t>
            </w:r>
          </w:p>
        </w:tc>
        <w:tc>
          <w:tcPr>
            <w:tcW w:w="994" w:type="dxa"/>
          </w:tcPr>
          <w:p>
            <w:pPr>
              <w:pStyle w:val="TableParagraph"/>
              <w:spacing w:line="247" w:lineRule="exact"/>
              <w:ind w:left="152" w:right="128"/>
              <w:jc w:val="center"/>
              <w:rPr>
                <w:rFonts w:ascii="Arial"/>
                <w:sz w:val="22"/>
              </w:rPr>
            </w:pPr>
            <w:r>
              <w:rPr>
                <w:rFonts w:ascii="Arial"/>
                <w:sz w:val="22"/>
              </w:rPr>
              <w:t>XLPE</w:t>
            </w:r>
          </w:p>
        </w:tc>
        <w:tc>
          <w:tcPr>
            <w:tcW w:w="1908" w:type="dxa"/>
            <w:gridSpan w:val="2"/>
          </w:tcPr>
          <w:p>
            <w:pPr>
              <w:pStyle w:val="TableParagraph"/>
              <w:rPr>
                <w:rFonts w:ascii="Times New Roman"/>
                <w:sz w:val="22"/>
              </w:rPr>
            </w:pPr>
          </w:p>
        </w:tc>
      </w:tr>
      <w:tr>
        <w:trPr>
          <w:trHeight w:val="522" w:hRule="atLeast"/>
        </w:trPr>
        <w:tc>
          <w:tcPr>
            <w:tcW w:w="576" w:type="dxa"/>
            <w:vMerge/>
            <w:tcBorders>
              <w:top w:val="nil"/>
            </w:tcBorders>
          </w:tcPr>
          <w:p>
            <w:pPr>
              <w:rPr>
                <w:sz w:val="2"/>
                <w:szCs w:val="2"/>
              </w:rPr>
            </w:pPr>
          </w:p>
        </w:tc>
        <w:tc>
          <w:tcPr>
            <w:tcW w:w="489" w:type="dxa"/>
            <w:vMerge/>
            <w:tcBorders>
              <w:top w:val="nil"/>
            </w:tcBorders>
          </w:tcPr>
          <w:p>
            <w:pPr>
              <w:rPr>
                <w:sz w:val="2"/>
                <w:szCs w:val="2"/>
              </w:rPr>
            </w:pPr>
          </w:p>
        </w:tc>
        <w:tc>
          <w:tcPr>
            <w:tcW w:w="3155" w:type="dxa"/>
          </w:tcPr>
          <w:p>
            <w:pPr>
              <w:pStyle w:val="TableParagraph"/>
              <w:spacing w:line="276" w:lineRule="exact"/>
              <w:ind w:left="111"/>
              <w:rPr>
                <w:sz w:val="22"/>
              </w:rPr>
            </w:pPr>
            <w:r>
              <w:rPr>
                <w:sz w:val="22"/>
              </w:rPr>
              <w:t>老化前抗张强度不小于</w:t>
            </w:r>
          </w:p>
        </w:tc>
        <w:tc>
          <w:tcPr>
            <w:tcW w:w="929" w:type="dxa"/>
          </w:tcPr>
          <w:p>
            <w:pPr>
              <w:pStyle w:val="TableParagraph"/>
              <w:ind w:left="113" w:right="99"/>
              <w:jc w:val="center"/>
              <w:rPr>
                <w:rFonts w:ascii="Arial"/>
                <w:sz w:val="13"/>
              </w:rPr>
            </w:pPr>
            <w:r>
              <w:rPr>
                <w:rFonts w:ascii="Arial"/>
                <w:sz w:val="22"/>
              </w:rPr>
              <w:t>N/mm</w:t>
            </w:r>
            <w:r>
              <w:rPr>
                <w:rFonts w:ascii="Arial"/>
                <w:position w:val="10"/>
                <w:sz w:val="13"/>
              </w:rPr>
              <w:t>2</w:t>
            </w:r>
          </w:p>
        </w:tc>
        <w:tc>
          <w:tcPr>
            <w:tcW w:w="914" w:type="dxa"/>
            <w:gridSpan w:val="2"/>
          </w:tcPr>
          <w:p>
            <w:pPr>
              <w:pStyle w:val="TableParagraph"/>
              <w:spacing w:line="247" w:lineRule="exact"/>
              <w:ind w:left="249"/>
              <w:rPr>
                <w:rFonts w:ascii="Arial"/>
                <w:sz w:val="22"/>
              </w:rPr>
            </w:pPr>
            <w:r>
              <w:rPr>
                <w:rFonts w:ascii="Arial"/>
                <w:sz w:val="22"/>
              </w:rPr>
              <w:t>12.5</w:t>
            </w:r>
          </w:p>
        </w:tc>
        <w:tc>
          <w:tcPr>
            <w:tcW w:w="994" w:type="dxa"/>
          </w:tcPr>
          <w:p>
            <w:pPr>
              <w:pStyle w:val="TableParagraph"/>
              <w:spacing w:line="247" w:lineRule="exact"/>
              <w:ind w:left="149" w:right="128"/>
              <w:jc w:val="center"/>
              <w:rPr>
                <w:rFonts w:ascii="Arial"/>
                <w:sz w:val="22"/>
              </w:rPr>
            </w:pPr>
            <w:r>
              <w:rPr>
                <w:rFonts w:ascii="Arial"/>
                <w:sz w:val="22"/>
              </w:rPr>
              <w:t>12.5</w:t>
            </w:r>
          </w:p>
        </w:tc>
        <w:tc>
          <w:tcPr>
            <w:tcW w:w="1908" w:type="dxa"/>
            <w:gridSpan w:val="2"/>
          </w:tcPr>
          <w:p>
            <w:pPr>
              <w:pStyle w:val="TableParagraph"/>
              <w:rPr>
                <w:rFonts w:ascii="Times New Roman"/>
                <w:sz w:val="22"/>
              </w:rPr>
            </w:pPr>
          </w:p>
        </w:tc>
      </w:tr>
      <w:tr>
        <w:trPr>
          <w:trHeight w:val="530" w:hRule="atLeast"/>
        </w:trPr>
        <w:tc>
          <w:tcPr>
            <w:tcW w:w="576" w:type="dxa"/>
            <w:vMerge/>
            <w:tcBorders>
              <w:top w:val="nil"/>
            </w:tcBorders>
          </w:tcPr>
          <w:p>
            <w:pPr>
              <w:rPr>
                <w:sz w:val="2"/>
                <w:szCs w:val="2"/>
              </w:rPr>
            </w:pPr>
          </w:p>
        </w:tc>
        <w:tc>
          <w:tcPr>
            <w:tcW w:w="489" w:type="dxa"/>
            <w:vMerge/>
            <w:tcBorders>
              <w:top w:val="nil"/>
            </w:tcBorders>
          </w:tcPr>
          <w:p>
            <w:pPr>
              <w:rPr>
                <w:sz w:val="2"/>
                <w:szCs w:val="2"/>
              </w:rPr>
            </w:pPr>
          </w:p>
        </w:tc>
        <w:tc>
          <w:tcPr>
            <w:tcW w:w="3155" w:type="dxa"/>
          </w:tcPr>
          <w:p>
            <w:pPr>
              <w:pStyle w:val="TableParagraph"/>
              <w:spacing w:before="1"/>
              <w:ind w:left="111"/>
              <w:rPr>
                <w:sz w:val="22"/>
              </w:rPr>
            </w:pPr>
            <w:r>
              <w:rPr>
                <w:sz w:val="22"/>
              </w:rPr>
              <w:t>老化前断裂伸长率不小于</w:t>
            </w:r>
          </w:p>
        </w:tc>
        <w:tc>
          <w:tcPr>
            <w:tcW w:w="929" w:type="dxa"/>
          </w:tcPr>
          <w:p>
            <w:pPr>
              <w:pStyle w:val="TableParagraph"/>
              <w:spacing w:before="15"/>
              <w:ind w:left="22"/>
              <w:jc w:val="center"/>
              <w:rPr>
                <w:rFonts w:ascii="Arial"/>
                <w:sz w:val="22"/>
              </w:rPr>
            </w:pPr>
            <w:r>
              <w:rPr>
                <w:rFonts w:ascii="Arial"/>
                <w:w w:val="101"/>
                <w:sz w:val="22"/>
              </w:rPr>
              <w:t>%</w:t>
            </w:r>
          </w:p>
        </w:tc>
        <w:tc>
          <w:tcPr>
            <w:tcW w:w="914" w:type="dxa"/>
            <w:gridSpan w:val="2"/>
          </w:tcPr>
          <w:p>
            <w:pPr>
              <w:pStyle w:val="TableParagraph"/>
              <w:spacing w:before="1"/>
              <w:ind w:left="278"/>
              <w:rPr>
                <w:rFonts w:ascii="Arial"/>
                <w:sz w:val="22"/>
              </w:rPr>
            </w:pPr>
            <w:r>
              <w:rPr>
                <w:rFonts w:ascii="Arial"/>
                <w:sz w:val="22"/>
              </w:rPr>
              <w:t>150</w:t>
            </w:r>
          </w:p>
        </w:tc>
        <w:tc>
          <w:tcPr>
            <w:tcW w:w="994" w:type="dxa"/>
          </w:tcPr>
          <w:p>
            <w:pPr>
              <w:pStyle w:val="TableParagraph"/>
              <w:spacing w:before="1"/>
              <w:ind w:left="141" w:right="128"/>
              <w:jc w:val="center"/>
              <w:rPr>
                <w:rFonts w:ascii="Arial"/>
                <w:sz w:val="22"/>
              </w:rPr>
            </w:pPr>
            <w:r>
              <w:rPr>
                <w:rFonts w:ascii="Arial"/>
                <w:sz w:val="22"/>
              </w:rPr>
              <w:t>200</w:t>
            </w:r>
          </w:p>
        </w:tc>
        <w:tc>
          <w:tcPr>
            <w:tcW w:w="1908" w:type="dxa"/>
            <w:gridSpan w:val="2"/>
          </w:tcPr>
          <w:p>
            <w:pPr>
              <w:pStyle w:val="TableParagraph"/>
              <w:rPr>
                <w:rFonts w:ascii="Times New Roman"/>
                <w:sz w:val="22"/>
              </w:rPr>
            </w:pPr>
          </w:p>
        </w:tc>
      </w:tr>
      <w:tr>
        <w:trPr>
          <w:trHeight w:val="530" w:hRule="atLeast"/>
        </w:trPr>
        <w:tc>
          <w:tcPr>
            <w:tcW w:w="576" w:type="dxa"/>
            <w:vMerge/>
            <w:tcBorders>
              <w:top w:val="nil"/>
            </w:tcBorders>
          </w:tcPr>
          <w:p>
            <w:pPr>
              <w:rPr>
                <w:sz w:val="2"/>
                <w:szCs w:val="2"/>
              </w:rPr>
            </w:pPr>
          </w:p>
        </w:tc>
        <w:tc>
          <w:tcPr>
            <w:tcW w:w="489" w:type="dxa"/>
            <w:vMerge/>
            <w:tcBorders>
              <w:top w:val="nil"/>
            </w:tcBorders>
          </w:tcPr>
          <w:p>
            <w:pPr>
              <w:rPr>
                <w:sz w:val="2"/>
                <w:szCs w:val="2"/>
              </w:rPr>
            </w:pPr>
          </w:p>
        </w:tc>
        <w:tc>
          <w:tcPr>
            <w:tcW w:w="3155" w:type="dxa"/>
          </w:tcPr>
          <w:p>
            <w:pPr>
              <w:pStyle w:val="TableParagraph"/>
              <w:spacing w:before="2"/>
              <w:ind w:left="111"/>
              <w:rPr>
                <w:sz w:val="22"/>
              </w:rPr>
            </w:pPr>
            <w:r>
              <w:rPr>
                <w:sz w:val="22"/>
              </w:rPr>
              <w:t>老化后抗张强度变化率不超过</w:t>
            </w:r>
          </w:p>
        </w:tc>
        <w:tc>
          <w:tcPr>
            <w:tcW w:w="929" w:type="dxa"/>
          </w:tcPr>
          <w:p>
            <w:pPr>
              <w:pStyle w:val="TableParagraph"/>
              <w:spacing w:before="15"/>
              <w:ind w:left="22"/>
              <w:jc w:val="center"/>
              <w:rPr>
                <w:rFonts w:ascii="Arial"/>
                <w:sz w:val="22"/>
              </w:rPr>
            </w:pPr>
            <w:r>
              <w:rPr>
                <w:rFonts w:ascii="Arial"/>
                <w:w w:val="101"/>
                <w:sz w:val="22"/>
              </w:rPr>
              <w:t>%</w:t>
            </w:r>
          </w:p>
        </w:tc>
        <w:tc>
          <w:tcPr>
            <w:tcW w:w="914" w:type="dxa"/>
            <w:gridSpan w:val="2"/>
          </w:tcPr>
          <w:p>
            <w:pPr>
              <w:pStyle w:val="TableParagraph"/>
              <w:spacing w:before="1"/>
              <w:ind w:left="278"/>
              <w:rPr>
                <w:rFonts w:ascii="Arial" w:hAnsi="Arial"/>
                <w:sz w:val="22"/>
              </w:rPr>
            </w:pPr>
            <w:r>
              <w:rPr>
                <w:rFonts w:ascii="Arial" w:hAnsi="Arial"/>
                <w:w w:val="105"/>
                <w:sz w:val="22"/>
              </w:rPr>
              <w:t>±25</w:t>
            </w:r>
          </w:p>
        </w:tc>
        <w:tc>
          <w:tcPr>
            <w:tcW w:w="994" w:type="dxa"/>
          </w:tcPr>
          <w:p>
            <w:pPr>
              <w:pStyle w:val="TableParagraph"/>
              <w:spacing w:before="1"/>
              <w:ind w:left="142" w:right="128"/>
              <w:jc w:val="center"/>
              <w:rPr>
                <w:rFonts w:ascii="Arial" w:hAnsi="Arial"/>
                <w:sz w:val="22"/>
              </w:rPr>
            </w:pPr>
            <w:r>
              <w:rPr>
                <w:rFonts w:ascii="Arial" w:hAnsi="Arial"/>
                <w:w w:val="105"/>
                <w:sz w:val="22"/>
              </w:rPr>
              <w:t>±25</w:t>
            </w:r>
          </w:p>
        </w:tc>
        <w:tc>
          <w:tcPr>
            <w:tcW w:w="1908" w:type="dxa"/>
            <w:gridSpan w:val="2"/>
          </w:tcPr>
          <w:p>
            <w:pPr>
              <w:pStyle w:val="TableParagraph"/>
              <w:rPr>
                <w:rFonts w:ascii="Times New Roman"/>
                <w:sz w:val="22"/>
              </w:rPr>
            </w:pPr>
          </w:p>
        </w:tc>
      </w:tr>
      <w:tr>
        <w:trPr>
          <w:trHeight w:val="854" w:hRule="atLeast"/>
        </w:trPr>
        <w:tc>
          <w:tcPr>
            <w:tcW w:w="576" w:type="dxa"/>
            <w:vMerge/>
            <w:tcBorders>
              <w:top w:val="nil"/>
            </w:tcBorders>
          </w:tcPr>
          <w:p>
            <w:pPr>
              <w:rPr>
                <w:sz w:val="2"/>
                <w:szCs w:val="2"/>
              </w:rPr>
            </w:pPr>
          </w:p>
        </w:tc>
        <w:tc>
          <w:tcPr>
            <w:tcW w:w="489" w:type="dxa"/>
            <w:vMerge/>
            <w:tcBorders>
              <w:top w:val="nil"/>
            </w:tcBorders>
          </w:tcPr>
          <w:p>
            <w:pPr>
              <w:rPr>
                <w:sz w:val="2"/>
                <w:szCs w:val="2"/>
              </w:rPr>
            </w:pPr>
          </w:p>
        </w:tc>
        <w:tc>
          <w:tcPr>
            <w:tcW w:w="3155" w:type="dxa"/>
          </w:tcPr>
          <w:p>
            <w:pPr>
              <w:pStyle w:val="TableParagraph"/>
              <w:spacing w:line="280" w:lineRule="auto"/>
              <w:ind w:left="111" w:right="165"/>
              <w:rPr>
                <w:sz w:val="22"/>
              </w:rPr>
            </w:pPr>
            <w:r>
              <w:rPr>
                <w:sz w:val="22"/>
              </w:rPr>
              <w:t>老化后断裂伸长率变化率不超过</w:t>
            </w:r>
          </w:p>
        </w:tc>
        <w:tc>
          <w:tcPr>
            <w:tcW w:w="929" w:type="dxa"/>
          </w:tcPr>
          <w:p>
            <w:pPr>
              <w:pStyle w:val="TableParagraph"/>
              <w:spacing w:before="181"/>
              <w:ind w:left="22"/>
              <w:jc w:val="center"/>
              <w:rPr>
                <w:rFonts w:ascii="Arial"/>
                <w:sz w:val="22"/>
              </w:rPr>
            </w:pPr>
            <w:r>
              <w:rPr>
                <w:rFonts w:ascii="Arial"/>
                <w:w w:val="101"/>
                <w:sz w:val="22"/>
              </w:rPr>
              <w:t>%</w:t>
            </w:r>
          </w:p>
        </w:tc>
        <w:tc>
          <w:tcPr>
            <w:tcW w:w="914" w:type="dxa"/>
            <w:gridSpan w:val="2"/>
          </w:tcPr>
          <w:p>
            <w:pPr>
              <w:pStyle w:val="TableParagraph"/>
              <w:spacing w:line="247" w:lineRule="exact"/>
              <w:ind w:left="278"/>
              <w:rPr>
                <w:rFonts w:ascii="Arial" w:hAnsi="Arial"/>
                <w:sz w:val="22"/>
              </w:rPr>
            </w:pPr>
            <w:r>
              <w:rPr>
                <w:rFonts w:ascii="Arial" w:hAnsi="Arial"/>
                <w:w w:val="105"/>
                <w:sz w:val="22"/>
              </w:rPr>
              <w:t>±25</w:t>
            </w:r>
          </w:p>
        </w:tc>
        <w:tc>
          <w:tcPr>
            <w:tcW w:w="994" w:type="dxa"/>
          </w:tcPr>
          <w:p>
            <w:pPr>
              <w:pStyle w:val="TableParagraph"/>
              <w:spacing w:line="247" w:lineRule="exact"/>
              <w:ind w:left="142" w:right="128"/>
              <w:jc w:val="center"/>
              <w:rPr>
                <w:rFonts w:ascii="Arial" w:hAnsi="Arial"/>
                <w:sz w:val="22"/>
              </w:rPr>
            </w:pPr>
            <w:r>
              <w:rPr>
                <w:rFonts w:ascii="Arial" w:hAnsi="Arial"/>
                <w:w w:val="105"/>
                <w:sz w:val="22"/>
              </w:rPr>
              <w:t>±25</w:t>
            </w:r>
          </w:p>
        </w:tc>
        <w:tc>
          <w:tcPr>
            <w:tcW w:w="1908" w:type="dxa"/>
            <w:gridSpan w:val="2"/>
          </w:tcPr>
          <w:p>
            <w:pPr>
              <w:pStyle w:val="TableParagraph"/>
              <w:rPr>
                <w:rFonts w:ascii="Times New Roman"/>
                <w:sz w:val="22"/>
              </w:rPr>
            </w:pPr>
          </w:p>
        </w:tc>
      </w:tr>
      <w:tr>
        <w:trPr>
          <w:trHeight w:val="508" w:hRule="atLeast"/>
        </w:trPr>
        <w:tc>
          <w:tcPr>
            <w:tcW w:w="576"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
              <w:rPr>
                <w:sz w:val="23"/>
              </w:rPr>
            </w:pPr>
          </w:p>
          <w:p>
            <w:pPr>
              <w:pStyle w:val="TableParagraph"/>
              <w:spacing w:before="1"/>
              <w:ind w:left="139"/>
              <w:rPr>
                <w:rFonts w:ascii="Arial"/>
                <w:sz w:val="22"/>
              </w:rPr>
            </w:pPr>
            <w:r>
              <w:rPr>
                <w:rFonts w:ascii="Arial"/>
                <w:sz w:val="22"/>
              </w:rPr>
              <w:t>3.2</w:t>
            </w:r>
          </w:p>
        </w:tc>
        <w:tc>
          <w:tcPr>
            <w:tcW w:w="48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32"/>
              </w:rPr>
            </w:pPr>
          </w:p>
          <w:p>
            <w:pPr>
              <w:pStyle w:val="TableParagraph"/>
              <w:spacing w:line="278" w:lineRule="auto" w:before="1"/>
              <w:ind w:left="110" w:right="143"/>
              <w:jc w:val="both"/>
              <w:rPr>
                <w:sz w:val="22"/>
              </w:rPr>
            </w:pPr>
            <w:r>
              <w:rPr>
                <w:sz w:val="22"/>
              </w:rPr>
              <w:t>外护套</w:t>
            </w:r>
          </w:p>
        </w:tc>
        <w:tc>
          <w:tcPr>
            <w:tcW w:w="3155" w:type="dxa"/>
          </w:tcPr>
          <w:p>
            <w:pPr>
              <w:pStyle w:val="TableParagraph"/>
              <w:rPr>
                <w:rFonts w:ascii="Times New Roman"/>
                <w:sz w:val="22"/>
              </w:rPr>
            </w:pPr>
          </w:p>
        </w:tc>
        <w:tc>
          <w:tcPr>
            <w:tcW w:w="929" w:type="dxa"/>
          </w:tcPr>
          <w:p>
            <w:pPr>
              <w:pStyle w:val="TableParagraph"/>
              <w:rPr>
                <w:rFonts w:ascii="Times New Roman"/>
                <w:sz w:val="22"/>
              </w:rPr>
            </w:pPr>
          </w:p>
        </w:tc>
        <w:tc>
          <w:tcPr>
            <w:tcW w:w="914" w:type="dxa"/>
            <w:gridSpan w:val="2"/>
          </w:tcPr>
          <w:p>
            <w:pPr>
              <w:pStyle w:val="TableParagraph"/>
              <w:spacing w:before="1"/>
              <w:ind w:left="314"/>
              <w:rPr>
                <w:rFonts w:ascii="Arial"/>
                <w:sz w:val="22"/>
              </w:rPr>
            </w:pPr>
            <w:r>
              <w:rPr>
                <w:rFonts w:ascii="Arial"/>
                <w:sz w:val="22"/>
              </w:rPr>
              <w:t>PE</w:t>
            </w:r>
          </w:p>
        </w:tc>
        <w:tc>
          <w:tcPr>
            <w:tcW w:w="994" w:type="dxa"/>
          </w:tcPr>
          <w:p>
            <w:pPr>
              <w:pStyle w:val="TableParagraph"/>
              <w:spacing w:before="1"/>
              <w:ind w:left="153" w:right="128"/>
              <w:jc w:val="center"/>
              <w:rPr>
                <w:rFonts w:ascii="Arial"/>
                <w:sz w:val="22"/>
              </w:rPr>
            </w:pPr>
            <w:r>
              <w:rPr>
                <w:rFonts w:ascii="Arial"/>
                <w:sz w:val="22"/>
              </w:rPr>
              <w:t>PVC</w:t>
            </w:r>
          </w:p>
        </w:tc>
        <w:tc>
          <w:tcPr>
            <w:tcW w:w="1908" w:type="dxa"/>
            <w:gridSpan w:val="2"/>
          </w:tcPr>
          <w:p>
            <w:pPr>
              <w:pStyle w:val="TableParagraph"/>
              <w:rPr>
                <w:rFonts w:ascii="Times New Roman"/>
                <w:sz w:val="22"/>
              </w:rPr>
            </w:pPr>
          </w:p>
        </w:tc>
      </w:tr>
      <w:tr>
        <w:trPr>
          <w:trHeight w:val="530" w:hRule="atLeast"/>
        </w:trPr>
        <w:tc>
          <w:tcPr>
            <w:tcW w:w="576" w:type="dxa"/>
            <w:vMerge/>
            <w:tcBorders>
              <w:top w:val="nil"/>
            </w:tcBorders>
          </w:tcPr>
          <w:p>
            <w:pPr>
              <w:rPr>
                <w:sz w:val="2"/>
                <w:szCs w:val="2"/>
              </w:rPr>
            </w:pPr>
          </w:p>
        </w:tc>
        <w:tc>
          <w:tcPr>
            <w:tcW w:w="489" w:type="dxa"/>
            <w:vMerge/>
            <w:tcBorders>
              <w:top w:val="nil"/>
            </w:tcBorders>
          </w:tcPr>
          <w:p>
            <w:pPr>
              <w:rPr>
                <w:sz w:val="2"/>
                <w:szCs w:val="2"/>
              </w:rPr>
            </w:pPr>
          </w:p>
        </w:tc>
        <w:tc>
          <w:tcPr>
            <w:tcW w:w="3155" w:type="dxa"/>
          </w:tcPr>
          <w:p>
            <w:pPr>
              <w:pStyle w:val="TableParagraph"/>
              <w:spacing w:before="2"/>
              <w:ind w:left="111"/>
              <w:rPr>
                <w:sz w:val="22"/>
              </w:rPr>
            </w:pPr>
            <w:r>
              <w:rPr>
                <w:sz w:val="22"/>
              </w:rPr>
              <w:t>老化前抗张强度不小于</w:t>
            </w:r>
          </w:p>
        </w:tc>
        <w:tc>
          <w:tcPr>
            <w:tcW w:w="929" w:type="dxa"/>
          </w:tcPr>
          <w:p>
            <w:pPr>
              <w:pStyle w:val="TableParagraph"/>
              <w:rPr>
                <w:rFonts w:ascii="Times New Roman"/>
                <w:sz w:val="22"/>
              </w:rPr>
            </w:pPr>
          </w:p>
        </w:tc>
        <w:tc>
          <w:tcPr>
            <w:tcW w:w="914" w:type="dxa"/>
            <w:gridSpan w:val="2"/>
          </w:tcPr>
          <w:p>
            <w:pPr>
              <w:pStyle w:val="TableParagraph"/>
              <w:spacing w:before="1"/>
              <w:ind w:left="249"/>
              <w:rPr>
                <w:rFonts w:ascii="Arial"/>
                <w:sz w:val="22"/>
              </w:rPr>
            </w:pPr>
            <w:r>
              <w:rPr>
                <w:rFonts w:ascii="Arial"/>
                <w:sz w:val="22"/>
              </w:rPr>
              <w:t>12.5</w:t>
            </w:r>
          </w:p>
        </w:tc>
        <w:tc>
          <w:tcPr>
            <w:tcW w:w="994" w:type="dxa"/>
          </w:tcPr>
          <w:p>
            <w:pPr>
              <w:pStyle w:val="TableParagraph"/>
              <w:spacing w:before="1"/>
              <w:ind w:left="149" w:right="128"/>
              <w:jc w:val="center"/>
              <w:rPr>
                <w:rFonts w:ascii="Arial"/>
                <w:sz w:val="22"/>
              </w:rPr>
            </w:pPr>
            <w:r>
              <w:rPr>
                <w:rFonts w:ascii="Arial"/>
                <w:sz w:val="22"/>
              </w:rPr>
              <w:t>12.5</w:t>
            </w:r>
          </w:p>
        </w:tc>
        <w:tc>
          <w:tcPr>
            <w:tcW w:w="1908" w:type="dxa"/>
            <w:gridSpan w:val="2"/>
          </w:tcPr>
          <w:p>
            <w:pPr>
              <w:pStyle w:val="TableParagraph"/>
              <w:rPr>
                <w:rFonts w:ascii="Times New Roman"/>
                <w:sz w:val="22"/>
              </w:rPr>
            </w:pPr>
          </w:p>
        </w:tc>
      </w:tr>
      <w:tr>
        <w:trPr>
          <w:trHeight w:val="530" w:hRule="atLeast"/>
        </w:trPr>
        <w:tc>
          <w:tcPr>
            <w:tcW w:w="576" w:type="dxa"/>
            <w:vMerge/>
            <w:tcBorders>
              <w:top w:val="nil"/>
            </w:tcBorders>
          </w:tcPr>
          <w:p>
            <w:pPr>
              <w:rPr>
                <w:sz w:val="2"/>
                <w:szCs w:val="2"/>
              </w:rPr>
            </w:pPr>
          </w:p>
        </w:tc>
        <w:tc>
          <w:tcPr>
            <w:tcW w:w="489" w:type="dxa"/>
            <w:vMerge/>
            <w:tcBorders>
              <w:top w:val="nil"/>
            </w:tcBorders>
          </w:tcPr>
          <w:p>
            <w:pPr>
              <w:rPr>
                <w:sz w:val="2"/>
                <w:szCs w:val="2"/>
              </w:rPr>
            </w:pPr>
          </w:p>
        </w:tc>
        <w:tc>
          <w:tcPr>
            <w:tcW w:w="3155" w:type="dxa"/>
          </w:tcPr>
          <w:p>
            <w:pPr>
              <w:pStyle w:val="TableParagraph"/>
              <w:spacing w:line="276" w:lineRule="exact"/>
              <w:ind w:left="111"/>
              <w:rPr>
                <w:sz w:val="22"/>
              </w:rPr>
            </w:pPr>
            <w:r>
              <w:rPr>
                <w:sz w:val="22"/>
              </w:rPr>
              <w:t>老化前断裂伸长率不小于</w:t>
            </w:r>
          </w:p>
        </w:tc>
        <w:tc>
          <w:tcPr>
            <w:tcW w:w="929" w:type="dxa"/>
          </w:tcPr>
          <w:p>
            <w:pPr>
              <w:pStyle w:val="TableParagraph"/>
              <w:spacing w:before="15"/>
              <w:ind w:left="22"/>
              <w:jc w:val="center"/>
              <w:rPr>
                <w:rFonts w:ascii="Arial"/>
                <w:sz w:val="22"/>
              </w:rPr>
            </w:pPr>
            <w:r>
              <w:rPr>
                <w:rFonts w:ascii="Arial"/>
                <w:w w:val="101"/>
                <w:sz w:val="22"/>
              </w:rPr>
              <w:t>%</w:t>
            </w:r>
          </w:p>
        </w:tc>
        <w:tc>
          <w:tcPr>
            <w:tcW w:w="914" w:type="dxa"/>
            <w:gridSpan w:val="2"/>
          </w:tcPr>
          <w:p>
            <w:pPr>
              <w:pStyle w:val="TableParagraph"/>
              <w:spacing w:line="247" w:lineRule="exact"/>
              <w:ind w:left="278"/>
              <w:rPr>
                <w:rFonts w:ascii="Arial"/>
                <w:sz w:val="22"/>
              </w:rPr>
            </w:pPr>
            <w:r>
              <w:rPr>
                <w:rFonts w:ascii="Arial"/>
                <w:sz w:val="22"/>
              </w:rPr>
              <w:t>300</w:t>
            </w:r>
          </w:p>
        </w:tc>
        <w:tc>
          <w:tcPr>
            <w:tcW w:w="994" w:type="dxa"/>
          </w:tcPr>
          <w:p>
            <w:pPr>
              <w:pStyle w:val="TableParagraph"/>
              <w:spacing w:line="247" w:lineRule="exact"/>
              <w:ind w:left="141" w:right="128"/>
              <w:jc w:val="center"/>
              <w:rPr>
                <w:rFonts w:ascii="Arial"/>
                <w:sz w:val="22"/>
              </w:rPr>
            </w:pPr>
            <w:r>
              <w:rPr>
                <w:rFonts w:ascii="Arial"/>
                <w:sz w:val="22"/>
              </w:rPr>
              <w:t>150</w:t>
            </w:r>
          </w:p>
        </w:tc>
        <w:tc>
          <w:tcPr>
            <w:tcW w:w="1908" w:type="dxa"/>
            <w:gridSpan w:val="2"/>
          </w:tcPr>
          <w:p>
            <w:pPr>
              <w:pStyle w:val="TableParagraph"/>
              <w:rPr>
                <w:rFonts w:ascii="Times New Roman"/>
                <w:sz w:val="22"/>
              </w:rPr>
            </w:pPr>
          </w:p>
        </w:tc>
      </w:tr>
      <w:tr>
        <w:trPr>
          <w:trHeight w:val="530" w:hRule="atLeast"/>
        </w:trPr>
        <w:tc>
          <w:tcPr>
            <w:tcW w:w="576" w:type="dxa"/>
            <w:vMerge/>
            <w:tcBorders>
              <w:top w:val="nil"/>
            </w:tcBorders>
          </w:tcPr>
          <w:p>
            <w:pPr>
              <w:rPr>
                <w:sz w:val="2"/>
                <w:szCs w:val="2"/>
              </w:rPr>
            </w:pPr>
          </w:p>
        </w:tc>
        <w:tc>
          <w:tcPr>
            <w:tcW w:w="489" w:type="dxa"/>
            <w:vMerge/>
            <w:tcBorders>
              <w:top w:val="nil"/>
            </w:tcBorders>
          </w:tcPr>
          <w:p>
            <w:pPr>
              <w:rPr>
                <w:sz w:val="2"/>
                <w:szCs w:val="2"/>
              </w:rPr>
            </w:pPr>
          </w:p>
        </w:tc>
        <w:tc>
          <w:tcPr>
            <w:tcW w:w="3155" w:type="dxa"/>
          </w:tcPr>
          <w:p>
            <w:pPr>
              <w:pStyle w:val="TableParagraph"/>
              <w:spacing w:line="276" w:lineRule="exact"/>
              <w:ind w:left="111"/>
              <w:rPr>
                <w:sz w:val="22"/>
              </w:rPr>
            </w:pPr>
            <w:r>
              <w:rPr>
                <w:sz w:val="22"/>
              </w:rPr>
              <w:t>老化后抗张强度变化率不超过</w:t>
            </w:r>
          </w:p>
        </w:tc>
        <w:tc>
          <w:tcPr>
            <w:tcW w:w="929" w:type="dxa"/>
          </w:tcPr>
          <w:p>
            <w:pPr>
              <w:pStyle w:val="TableParagraph"/>
              <w:spacing w:before="15"/>
              <w:ind w:left="22"/>
              <w:jc w:val="center"/>
              <w:rPr>
                <w:rFonts w:ascii="Arial"/>
                <w:sz w:val="22"/>
              </w:rPr>
            </w:pPr>
            <w:r>
              <w:rPr>
                <w:rFonts w:ascii="Arial"/>
                <w:w w:val="101"/>
                <w:sz w:val="22"/>
              </w:rPr>
              <w:t>%</w:t>
            </w:r>
          </w:p>
        </w:tc>
        <w:tc>
          <w:tcPr>
            <w:tcW w:w="914" w:type="dxa"/>
            <w:gridSpan w:val="2"/>
          </w:tcPr>
          <w:p>
            <w:pPr>
              <w:pStyle w:val="TableParagraph"/>
              <w:spacing w:line="247" w:lineRule="exact"/>
              <w:ind w:left="16"/>
              <w:jc w:val="center"/>
              <w:rPr>
                <w:rFonts w:ascii="Arial"/>
                <w:sz w:val="22"/>
              </w:rPr>
            </w:pPr>
            <w:r>
              <w:rPr>
                <w:rFonts w:ascii="Arial"/>
                <w:w w:val="101"/>
                <w:sz w:val="22"/>
              </w:rPr>
              <w:t>/</w:t>
            </w:r>
          </w:p>
        </w:tc>
        <w:tc>
          <w:tcPr>
            <w:tcW w:w="994" w:type="dxa"/>
          </w:tcPr>
          <w:p>
            <w:pPr>
              <w:pStyle w:val="TableParagraph"/>
              <w:spacing w:line="247" w:lineRule="exact"/>
              <w:ind w:left="142" w:right="128"/>
              <w:jc w:val="center"/>
              <w:rPr>
                <w:rFonts w:ascii="Arial" w:hAnsi="Arial"/>
                <w:sz w:val="22"/>
              </w:rPr>
            </w:pPr>
            <w:r>
              <w:rPr>
                <w:rFonts w:ascii="Arial" w:hAnsi="Arial"/>
                <w:w w:val="105"/>
                <w:sz w:val="22"/>
              </w:rPr>
              <w:t>±25</w:t>
            </w:r>
          </w:p>
        </w:tc>
        <w:tc>
          <w:tcPr>
            <w:tcW w:w="1908" w:type="dxa"/>
            <w:gridSpan w:val="2"/>
          </w:tcPr>
          <w:p>
            <w:pPr>
              <w:pStyle w:val="TableParagraph"/>
              <w:rPr>
                <w:rFonts w:ascii="Times New Roman"/>
                <w:sz w:val="22"/>
              </w:rPr>
            </w:pPr>
          </w:p>
        </w:tc>
      </w:tr>
      <w:tr>
        <w:trPr>
          <w:trHeight w:val="854" w:hRule="atLeast"/>
        </w:trPr>
        <w:tc>
          <w:tcPr>
            <w:tcW w:w="576" w:type="dxa"/>
            <w:vMerge/>
            <w:tcBorders>
              <w:top w:val="nil"/>
            </w:tcBorders>
          </w:tcPr>
          <w:p>
            <w:pPr>
              <w:rPr>
                <w:sz w:val="2"/>
                <w:szCs w:val="2"/>
              </w:rPr>
            </w:pPr>
          </w:p>
        </w:tc>
        <w:tc>
          <w:tcPr>
            <w:tcW w:w="489" w:type="dxa"/>
            <w:vMerge/>
            <w:tcBorders>
              <w:top w:val="nil"/>
            </w:tcBorders>
          </w:tcPr>
          <w:p>
            <w:pPr>
              <w:rPr>
                <w:sz w:val="2"/>
                <w:szCs w:val="2"/>
              </w:rPr>
            </w:pPr>
          </w:p>
        </w:tc>
        <w:tc>
          <w:tcPr>
            <w:tcW w:w="3155" w:type="dxa"/>
          </w:tcPr>
          <w:p>
            <w:pPr>
              <w:pStyle w:val="TableParagraph"/>
              <w:spacing w:line="276" w:lineRule="auto"/>
              <w:ind w:left="111" w:right="165"/>
              <w:rPr>
                <w:sz w:val="22"/>
              </w:rPr>
            </w:pPr>
            <w:r>
              <w:rPr>
                <w:sz w:val="22"/>
              </w:rPr>
              <w:t>老化后断裂伸长率变化率不超过</w:t>
            </w:r>
          </w:p>
        </w:tc>
        <w:tc>
          <w:tcPr>
            <w:tcW w:w="929" w:type="dxa"/>
          </w:tcPr>
          <w:p>
            <w:pPr>
              <w:pStyle w:val="TableParagraph"/>
              <w:spacing w:before="174"/>
              <w:ind w:left="22"/>
              <w:jc w:val="center"/>
              <w:rPr>
                <w:rFonts w:ascii="Arial"/>
                <w:sz w:val="22"/>
              </w:rPr>
            </w:pPr>
            <w:r>
              <w:rPr>
                <w:rFonts w:ascii="Arial"/>
                <w:w w:val="101"/>
                <w:sz w:val="22"/>
              </w:rPr>
              <w:t>%</w:t>
            </w:r>
          </w:p>
        </w:tc>
        <w:tc>
          <w:tcPr>
            <w:tcW w:w="914" w:type="dxa"/>
            <w:gridSpan w:val="2"/>
          </w:tcPr>
          <w:p>
            <w:pPr>
              <w:pStyle w:val="TableParagraph"/>
              <w:spacing w:line="247" w:lineRule="exact"/>
              <w:ind w:left="16"/>
              <w:jc w:val="center"/>
              <w:rPr>
                <w:rFonts w:ascii="Arial"/>
                <w:sz w:val="22"/>
              </w:rPr>
            </w:pPr>
            <w:r>
              <w:rPr>
                <w:rFonts w:ascii="Arial"/>
                <w:w w:val="101"/>
                <w:sz w:val="22"/>
              </w:rPr>
              <w:t>/</w:t>
            </w:r>
          </w:p>
        </w:tc>
        <w:tc>
          <w:tcPr>
            <w:tcW w:w="994" w:type="dxa"/>
          </w:tcPr>
          <w:p>
            <w:pPr>
              <w:pStyle w:val="TableParagraph"/>
              <w:spacing w:line="247" w:lineRule="exact"/>
              <w:ind w:left="142" w:right="128"/>
              <w:jc w:val="center"/>
              <w:rPr>
                <w:rFonts w:ascii="Arial" w:hAnsi="Arial"/>
                <w:sz w:val="22"/>
              </w:rPr>
            </w:pPr>
            <w:r>
              <w:rPr>
                <w:rFonts w:ascii="Arial" w:hAnsi="Arial"/>
                <w:w w:val="105"/>
                <w:sz w:val="22"/>
              </w:rPr>
              <w:t>±25</w:t>
            </w:r>
          </w:p>
        </w:tc>
        <w:tc>
          <w:tcPr>
            <w:tcW w:w="1908" w:type="dxa"/>
            <w:gridSpan w:val="2"/>
          </w:tcPr>
          <w:p>
            <w:pPr>
              <w:pStyle w:val="TableParagraph"/>
              <w:rPr>
                <w:rFonts w:ascii="Times New Roman"/>
                <w:sz w:val="22"/>
              </w:rPr>
            </w:pPr>
          </w:p>
        </w:tc>
      </w:tr>
      <w:tr>
        <w:trPr>
          <w:trHeight w:val="530" w:hRule="atLeast"/>
        </w:trPr>
        <w:tc>
          <w:tcPr>
            <w:tcW w:w="576" w:type="dxa"/>
            <w:vMerge/>
            <w:tcBorders>
              <w:top w:val="nil"/>
            </w:tcBorders>
          </w:tcPr>
          <w:p>
            <w:pPr>
              <w:rPr>
                <w:sz w:val="2"/>
                <w:szCs w:val="2"/>
              </w:rPr>
            </w:pPr>
          </w:p>
        </w:tc>
        <w:tc>
          <w:tcPr>
            <w:tcW w:w="489" w:type="dxa"/>
            <w:vMerge/>
            <w:tcBorders>
              <w:top w:val="nil"/>
            </w:tcBorders>
          </w:tcPr>
          <w:p>
            <w:pPr>
              <w:rPr>
                <w:sz w:val="2"/>
                <w:szCs w:val="2"/>
              </w:rPr>
            </w:pPr>
          </w:p>
        </w:tc>
        <w:tc>
          <w:tcPr>
            <w:tcW w:w="3155" w:type="dxa"/>
          </w:tcPr>
          <w:p>
            <w:pPr>
              <w:pStyle w:val="TableParagraph"/>
              <w:spacing w:line="277" w:lineRule="exact"/>
              <w:ind w:left="111"/>
              <w:rPr>
                <w:sz w:val="22"/>
              </w:rPr>
            </w:pPr>
            <w:r>
              <w:rPr>
                <w:sz w:val="22"/>
              </w:rPr>
              <w:t>热冲击试验</w:t>
            </w:r>
          </w:p>
        </w:tc>
        <w:tc>
          <w:tcPr>
            <w:tcW w:w="929" w:type="dxa"/>
          </w:tcPr>
          <w:p>
            <w:pPr>
              <w:pStyle w:val="TableParagraph"/>
              <w:spacing w:before="16"/>
              <w:ind w:left="15"/>
              <w:jc w:val="center"/>
              <w:rPr>
                <w:rFonts w:ascii="Arial"/>
                <w:sz w:val="22"/>
              </w:rPr>
            </w:pPr>
            <w:r>
              <w:rPr>
                <w:rFonts w:ascii="Arial"/>
                <w:w w:val="101"/>
                <w:sz w:val="22"/>
              </w:rPr>
              <w:t>/</w:t>
            </w:r>
          </w:p>
        </w:tc>
        <w:tc>
          <w:tcPr>
            <w:tcW w:w="914" w:type="dxa"/>
            <w:gridSpan w:val="2"/>
          </w:tcPr>
          <w:p>
            <w:pPr>
              <w:pStyle w:val="TableParagraph"/>
              <w:spacing w:line="277" w:lineRule="exact"/>
              <w:ind w:left="126"/>
              <w:rPr>
                <w:sz w:val="22"/>
              </w:rPr>
            </w:pPr>
            <w:r>
              <w:rPr>
                <w:sz w:val="22"/>
              </w:rPr>
              <w:t>不开裂</w:t>
            </w:r>
          </w:p>
        </w:tc>
        <w:tc>
          <w:tcPr>
            <w:tcW w:w="994" w:type="dxa"/>
          </w:tcPr>
          <w:p>
            <w:pPr>
              <w:pStyle w:val="TableParagraph"/>
              <w:spacing w:line="277" w:lineRule="exact"/>
              <w:ind w:left="155" w:right="128"/>
              <w:jc w:val="center"/>
              <w:rPr>
                <w:sz w:val="22"/>
              </w:rPr>
            </w:pPr>
            <w:r>
              <w:rPr>
                <w:sz w:val="22"/>
              </w:rPr>
              <w:t>不开裂</w:t>
            </w:r>
          </w:p>
        </w:tc>
        <w:tc>
          <w:tcPr>
            <w:tcW w:w="1908" w:type="dxa"/>
            <w:gridSpan w:val="2"/>
          </w:tcPr>
          <w:p>
            <w:pPr>
              <w:pStyle w:val="TableParagraph"/>
              <w:rPr>
                <w:rFonts w:ascii="Times New Roman"/>
                <w:sz w:val="22"/>
              </w:rPr>
            </w:pPr>
          </w:p>
        </w:tc>
      </w:tr>
      <w:tr>
        <w:trPr>
          <w:trHeight w:val="522" w:hRule="atLeast"/>
        </w:trPr>
        <w:tc>
          <w:tcPr>
            <w:tcW w:w="576" w:type="dxa"/>
            <w:vMerge/>
            <w:tcBorders>
              <w:top w:val="nil"/>
            </w:tcBorders>
          </w:tcPr>
          <w:p>
            <w:pPr>
              <w:rPr>
                <w:sz w:val="2"/>
                <w:szCs w:val="2"/>
              </w:rPr>
            </w:pPr>
          </w:p>
        </w:tc>
        <w:tc>
          <w:tcPr>
            <w:tcW w:w="489" w:type="dxa"/>
            <w:vMerge/>
            <w:tcBorders>
              <w:top w:val="nil"/>
            </w:tcBorders>
          </w:tcPr>
          <w:p>
            <w:pPr>
              <w:rPr>
                <w:sz w:val="2"/>
                <w:szCs w:val="2"/>
              </w:rPr>
            </w:pPr>
          </w:p>
        </w:tc>
        <w:tc>
          <w:tcPr>
            <w:tcW w:w="3155" w:type="dxa"/>
          </w:tcPr>
          <w:p>
            <w:pPr>
              <w:pStyle w:val="TableParagraph"/>
              <w:spacing w:line="276" w:lineRule="exact"/>
              <w:ind w:left="111"/>
              <w:rPr>
                <w:sz w:val="22"/>
              </w:rPr>
            </w:pPr>
            <w:r>
              <w:rPr>
                <w:sz w:val="22"/>
              </w:rPr>
              <w:t>低温冲击试验</w:t>
            </w:r>
          </w:p>
        </w:tc>
        <w:tc>
          <w:tcPr>
            <w:tcW w:w="929" w:type="dxa"/>
          </w:tcPr>
          <w:p>
            <w:pPr>
              <w:pStyle w:val="TableParagraph"/>
              <w:spacing w:before="15"/>
              <w:ind w:left="15"/>
              <w:jc w:val="center"/>
              <w:rPr>
                <w:rFonts w:ascii="Arial"/>
                <w:sz w:val="22"/>
              </w:rPr>
            </w:pPr>
            <w:r>
              <w:rPr>
                <w:rFonts w:ascii="Arial"/>
                <w:w w:val="101"/>
                <w:sz w:val="22"/>
              </w:rPr>
              <w:t>/</w:t>
            </w:r>
          </w:p>
        </w:tc>
        <w:tc>
          <w:tcPr>
            <w:tcW w:w="914" w:type="dxa"/>
            <w:gridSpan w:val="2"/>
          </w:tcPr>
          <w:p>
            <w:pPr>
              <w:pStyle w:val="TableParagraph"/>
              <w:spacing w:line="276" w:lineRule="exact"/>
              <w:ind w:left="126"/>
              <w:rPr>
                <w:sz w:val="22"/>
              </w:rPr>
            </w:pPr>
            <w:r>
              <w:rPr>
                <w:sz w:val="22"/>
              </w:rPr>
              <w:t>不开裂</w:t>
            </w:r>
          </w:p>
        </w:tc>
        <w:tc>
          <w:tcPr>
            <w:tcW w:w="994" w:type="dxa"/>
          </w:tcPr>
          <w:p>
            <w:pPr>
              <w:pStyle w:val="TableParagraph"/>
              <w:spacing w:line="276" w:lineRule="exact"/>
              <w:ind w:left="155" w:right="128"/>
              <w:jc w:val="center"/>
              <w:rPr>
                <w:sz w:val="22"/>
              </w:rPr>
            </w:pPr>
            <w:r>
              <w:rPr>
                <w:sz w:val="22"/>
              </w:rPr>
              <w:t>不开裂</w:t>
            </w:r>
          </w:p>
        </w:tc>
        <w:tc>
          <w:tcPr>
            <w:tcW w:w="1908" w:type="dxa"/>
            <w:gridSpan w:val="2"/>
          </w:tcPr>
          <w:p>
            <w:pPr>
              <w:pStyle w:val="TableParagraph"/>
              <w:rPr>
                <w:rFonts w:ascii="Times New Roman"/>
                <w:sz w:val="22"/>
              </w:rPr>
            </w:pPr>
          </w:p>
        </w:tc>
      </w:tr>
      <w:tr>
        <w:trPr>
          <w:trHeight w:val="530" w:hRule="atLeast"/>
        </w:trPr>
        <w:tc>
          <w:tcPr>
            <w:tcW w:w="576" w:type="dxa"/>
            <w:vMerge/>
            <w:tcBorders>
              <w:top w:val="nil"/>
            </w:tcBorders>
          </w:tcPr>
          <w:p>
            <w:pPr>
              <w:rPr>
                <w:sz w:val="2"/>
                <w:szCs w:val="2"/>
              </w:rPr>
            </w:pPr>
          </w:p>
        </w:tc>
        <w:tc>
          <w:tcPr>
            <w:tcW w:w="489" w:type="dxa"/>
            <w:vMerge/>
            <w:tcBorders>
              <w:top w:val="nil"/>
            </w:tcBorders>
          </w:tcPr>
          <w:p>
            <w:pPr>
              <w:rPr>
                <w:sz w:val="2"/>
                <w:szCs w:val="2"/>
              </w:rPr>
            </w:pPr>
          </w:p>
        </w:tc>
        <w:tc>
          <w:tcPr>
            <w:tcW w:w="3155" w:type="dxa"/>
          </w:tcPr>
          <w:p>
            <w:pPr>
              <w:pStyle w:val="TableParagraph"/>
              <w:spacing w:before="2"/>
              <w:ind w:left="111"/>
              <w:rPr>
                <w:sz w:val="22"/>
              </w:rPr>
            </w:pPr>
            <w:r>
              <w:rPr>
                <w:sz w:val="22"/>
              </w:rPr>
              <w:t>最大允许收缩</w:t>
            </w:r>
          </w:p>
        </w:tc>
        <w:tc>
          <w:tcPr>
            <w:tcW w:w="929" w:type="dxa"/>
          </w:tcPr>
          <w:p>
            <w:pPr>
              <w:pStyle w:val="TableParagraph"/>
              <w:spacing w:before="16"/>
              <w:ind w:left="22"/>
              <w:jc w:val="center"/>
              <w:rPr>
                <w:rFonts w:ascii="Arial"/>
                <w:sz w:val="22"/>
              </w:rPr>
            </w:pPr>
            <w:r>
              <w:rPr>
                <w:rFonts w:ascii="Arial"/>
                <w:w w:val="101"/>
                <w:sz w:val="22"/>
              </w:rPr>
              <w:t>%</w:t>
            </w:r>
          </w:p>
        </w:tc>
        <w:tc>
          <w:tcPr>
            <w:tcW w:w="914" w:type="dxa"/>
            <w:gridSpan w:val="2"/>
          </w:tcPr>
          <w:p>
            <w:pPr>
              <w:pStyle w:val="TableParagraph"/>
              <w:spacing w:before="1"/>
              <w:ind w:left="21"/>
              <w:jc w:val="center"/>
              <w:rPr>
                <w:rFonts w:ascii="Arial"/>
                <w:sz w:val="22"/>
              </w:rPr>
            </w:pPr>
            <w:r>
              <w:rPr>
                <w:rFonts w:ascii="Arial"/>
                <w:w w:val="101"/>
                <w:sz w:val="22"/>
              </w:rPr>
              <w:t>3</w:t>
            </w:r>
          </w:p>
        </w:tc>
        <w:tc>
          <w:tcPr>
            <w:tcW w:w="994" w:type="dxa"/>
          </w:tcPr>
          <w:p>
            <w:pPr>
              <w:pStyle w:val="TableParagraph"/>
              <w:spacing w:before="1"/>
              <w:ind w:left="24"/>
              <w:jc w:val="center"/>
              <w:rPr>
                <w:rFonts w:ascii="Arial"/>
                <w:sz w:val="22"/>
              </w:rPr>
            </w:pPr>
            <w:r>
              <w:rPr>
                <w:rFonts w:ascii="Arial"/>
                <w:w w:val="101"/>
                <w:sz w:val="22"/>
              </w:rPr>
              <w:t>/</w:t>
            </w:r>
          </w:p>
        </w:tc>
        <w:tc>
          <w:tcPr>
            <w:tcW w:w="1908" w:type="dxa"/>
            <w:gridSpan w:val="2"/>
          </w:tcPr>
          <w:p>
            <w:pPr>
              <w:pStyle w:val="TableParagraph"/>
              <w:rPr>
                <w:rFonts w:ascii="Times New Roman"/>
                <w:sz w:val="22"/>
              </w:rPr>
            </w:pPr>
          </w:p>
        </w:tc>
      </w:tr>
      <w:tr>
        <w:trPr>
          <w:trHeight w:val="782" w:hRule="atLeast"/>
        </w:trPr>
        <w:tc>
          <w:tcPr>
            <w:tcW w:w="576" w:type="dxa"/>
            <w:vMerge/>
            <w:tcBorders>
              <w:top w:val="nil"/>
            </w:tcBorders>
          </w:tcPr>
          <w:p>
            <w:pPr>
              <w:rPr>
                <w:sz w:val="2"/>
                <w:szCs w:val="2"/>
              </w:rPr>
            </w:pPr>
          </w:p>
        </w:tc>
        <w:tc>
          <w:tcPr>
            <w:tcW w:w="489" w:type="dxa"/>
            <w:vMerge/>
            <w:tcBorders>
              <w:top w:val="nil"/>
            </w:tcBorders>
          </w:tcPr>
          <w:p>
            <w:pPr>
              <w:rPr>
                <w:sz w:val="2"/>
                <w:szCs w:val="2"/>
              </w:rPr>
            </w:pPr>
          </w:p>
        </w:tc>
        <w:tc>
          <w:tcPr>
            <w:tcW w:w="3155" w:type="dxa"/>
          </w:tcPr>
          <w:p>
            <w:pPr>
              <w:pStyle w:val="TableParagraph"/>
              <w:spacing w:before="124"/>
              <w:ind w:left="111"/>
              <w:rPr>
                <w:sz w:val="22"/>
              </w:rPr>
            </w:pPr>
            <w:r>
              <w:rPr>
                <w:sz w:val="22"/>
              </w:rPr>
              <w:t>热失重，最大允许失重</w:t>
            </w:r>
          </w:p>
        </w:tc>
        <w:tc>
          <w:tcPr>
            <w:tcW w:w="929" w:type="dxa"/>
          </w:tcPr>
          <w:p>
            <w:pPr>
              <w:pStyle w:val="TableParagraph"/>
              <w:spacing w:line="247" w:lineRule="exact"/>
              <w:ind w:left="111" w:right="103"/>
              <w:jc w:val="center"/>
              <w:rPr>
                <w:rFonts w:ascii="Arial"/>
                <w:sz w:val="22"/>
              </w:rPr>
            </w:pPr>
            <w:r>
              <w:rPr>
                <w:rFonts w:ascii="Arial"/>
                <w:sz w:val="22"/>
              </w:rPr>
              <w:t>mg/cm</w:t>
            </w:r>
          </w:p>
          <w:p>
            <w:pPr>
              <w:pStyle w:val="TableParagraph"/>
              <w:spacing w:before="26"/>
              <w:ind w:left="15"/>
              <w:jc w:val="center"/>
              <w:rPr>
                <w:rFonts w:ascii="Arial"/>
                <w:sz w:val="13"/>
              </w:rPr>
            </w:pPr>
            <w:r>
              <w:rPr>
                <w:rFonts w:ascii="Arial"/>
                <w:w w:val="105"/>
                <w:sz w:val="13"/>
              </w:rPr>
              <w:t>2</w:t>
            </w:r>
          </w:p>
        </w:tc>
        <w:tc>
          <w:tcPr>
            <w:tcW w:w="914" w:type="dxa"/>
            <w:gridSpan w:val="2"/>
          </w:tcPr>
          <w:p>
            <w:pPr>
              <w:pStyle w:val="TableParagraph"/>
              <w:spacing w:line="247" w:lineRule="exact"/>
              <w:ind w:left="16"/>
              <w:jc w:val="center"/>
              <w:rPr>
                <w:rFonts w:ascii="Arial"/>
                <w:sz w:val="22"/>
              </w:rPr>
            </w:pPr>
            <w:r>
              <w:rPr>
                <w:rFonts w:ascii="Arial"/>
                <w:w w:val="101"/>
                <w:sz w:val="22"/>
              </w:rPr>
              <w:t>/</w:t>
            </w:r>
          </w:p>
        </w:tc>
        <w:tc>
          <w:tcPr>
            <w:tcW w:w="994" w:type="dxa"/>
          </w:tcPr>
          <w:p>
            <w:pPr>
              <w:pStyle w:val="TableParagraph"/>
              <w:spacing w:line="247" w:lineRule="exact"/>
              <w:ind w:left="155" w:right="127"/>
              <w:jc w:val="center"/>
              <w:rPr>
                <w:rFonts w:ascii="Arial"/>
                <w:sz w:val="22"/>
              </w:rPr>
            </w:pPr>
            <w:r>
              <w:rPr>
                <w:rFonts w:ascii="Arial"/>
                <w:sz w:val="22"/>
              </w:rPr>
              <w:t>1.5</w:t>
            </w:r>
          </w:p>
        </w:tc>
        <w:tc>
          <w:tcPr>
            <w:tcW w:w="1908" w:type="dxa"/>
            <w:gridSpan w:val="2"/>
          </w:tcPr>
          <w:p>
            <w:pPr>
              <w:pStyle w:val="TableParagraph"/>
              <w:rPr>
                <w:rFonts w:ascii="Times New Roman"/>
                <w:sz w:val="22"/>
              </w:rPr>
            </w:pPr>
          </w:p>
        </w:tc>
      </w:tr>
    </w:tbl>
    <w:p>
      <w:pPr>
        <w:pStyle w:val="BodyText"/>
        <w:rPr>
          <w:sz w:val="20"/>
        </w:rPr>
      </w:pPr>
    </w:p>
    <w:p>
      <w:pPr>
        <w:pStyle w:val="BodyText"/>
        <w:spacing w:before="1"/>
        <w:rPr>
          <w:sz w:val="26"/>
        </w:rPr>
      </w:pPr>
    </w:p>
    <w:p>
      <w:pPr>
        <w:pStyle w:val="ListParagraph"/>
        <w:numPr>
          <w:ilvl w:val="1"/>
          <w:numId w:val="32"/>
        </w:numPr>
        <w:tabs>
          <w:tab w:pos="867" w:val="left" w:leader="none"/>
        </w:tabs>
        <w:spacing w:line="240" w:lineRule="auto" w:before="70" w:after="0"/>
        <w:ind w:left="866" w:right="0" w:hanging="426"/>
        <w:jc w:val="left"/>
        <w:rPr>
          <w:sz w:val="21"/>
        </w:rPr>
      </w:pPr>
      <w:r>
        <w:rPr>
          <w:w w:val="95"/>
          <w:sz w:val="21"/>
        </w:rPr>
        <w:t>结构材料</w:t>
      </w:r>
    </w:p>
    <w:p>
      <w:pPr>
        <w:pStyle w:val="BodyText"/>
        <w:spacing w:before="7"/>
        <w:rPr>
          <w:sz w:val="15"/>
        </w:rPr>
      </w:pPr>
    </w:p>
    <w:p>
      <w:pPr>
        <w:pStyle w:val="ListParagraph"/>
        <w:numPr>
          <w:ilvl w:val="2"/>
          <w:numId w:val="32"/>
        </w:numPr>
        <w:tabs>
          <w:tab w:pos="1075" w:val="left" w:leader="none"/>
        </w:tabs>
        <w:spacing w:line="240" w:lineRule="auto" w:before="0" w:after="0"/>
        <w:ind w:left="1075" w:right="0" w:hanging="635"/>
        <w:jc w:val="left"/>
        <w:rPr>
          <w:sz w:val="21"/>
        </w:rPr>
      </w:pPr>
      <w:r>
        <w:rPr>
          <w:w w:val="95"/>
          <w:sz w:val="21"/>
        </w:rPr>
        <w:t>导体</w:t>
      </w:r>
    </w:p>
    <w:p>
      <w:pPr>
        <w:pStyle w:val="BodyText"/>
        <w:spacing w:before="7"/>
        <w:rPr>
          <w:sz w:val="15"/>
        </w:rPr>
      </w:pPr>
    </w:p>
    <w:p>
      <w:pPr>
        <w:pStyle w:val="ListParagraph"/>
        <w:numPr>
          <w:ilvl w:val="3"/>
          <w:numId w:val="32"/>
        </w:numPr>
        <w:tabs>
          <w:tab w:pos="1291" w:val="left" w:leader="none"/>
        </w:tabs>
        <w:spacing w:line="240" w:lineRule="auto" w:before="0" w:after="0"/>
        <w:ind w:left="440" w:right="0" w:firstLine="0"/>
        <w:jc w:val="left"/>
        <w:rPr>
          <w:sz w:val="21"/>
        </w:rPr>
      </w:pPr>
      <w:r>
        <w:rPr>
          <w:sz w:val="21"/>
        </w:rPr>
        <w:t>导体表面应光洁、无油污、无损伤绝缘的毛刺、锐边，无凸起或断裂的单线。</w:t>
      </w:r>
    </w:p>
    <w:p>
      <w:pPr>
        <w:spacing w:after="0" w:line="240" w:lineRule="auto"/>
        <w:jc w:val="left"/>
        <w:rPr>
          <w:sz w:val="21"/>
        </w:rPr>
        <w:sectPr>
          <w:pgSz w:w="11910" w:h="16850"/>
          <w:pgMar w:top="1440" w:bottom="280" w:left="1360" w:right="1360"/>
        </w:sectPr>
      </w:pPr>
    </w:p>
    <w:p>
      <w:pPr>
        <w:pStyle w:val="ListParagraph"/>
        <w:numPr>
          <w:ilvl w:val="3"/>
          <w:numId w:val="32"/>
        </w:numPr>
        <w:tabs>
          <w:tab w:pos="1291" w:val="left" w:leader="none"/>
        </w:tabs>
        <w:spacing w:line="417" w:lineRule="auto" w:before="39" w:after="0"/>
        <w:ind w:left="440" w:right="417" w:firstLine="0"/>
        <w:jc w:val="left"/>
        <w:rPr>
          <w:sz w:val="21"/>
        </w:rPr>
      </w:pPr>
      <w:r>
        <w:rPr>
          <w:spacing w:val="1"/>
          <w:sz w:val="21"/>
        </w:rPr>
        <w:t>铜导体应符合</w:t>
      </w:r>
      <w:r>
        <w:rPr>
          <w:sz w:val="21"/>
        </w:rPr>
        <w:t>GB</w:t>
      </w:r>
      <w:r>
        <w:rPr>
          <w:spacing w:val="0"/>
          <w:sz w:val="21"/>
        </w:rPr>
        <w:t> </w:t>
      </w:r>
      <w:r>
        <w:rPr>
          <w:sz w:val="21"/>
        </w:rPr>
        <w:t>3953</w:t>
      </w:r>
      <w:r>
        <w:rPr>
          <w:spacing w:val="2"/>
          <w:sz w:val="21"/>
        </w:rPr>
        <w:t>中的TY</w:t>
      </w:r>
      <w:r>
        <w:rPr>
          <w:sz w:val="21"/>
        </w:rPr>
        <w:t>型圆铜线。导线的节距比、绞向应符合GB</w:t>
      </w:r>
      <w:r>
        <w:rPr>
          <w:spacing w:val="0"/>
          <w:sz w:val="21"/>
        </w:rPr>
        <w:t> </w:t>
      </w:r>
      <w:r>
        <w:rPr>
          <w:sz w:val="21"/>
        </w:rPr>
        <w:t>3957</w:t>
      </w:r>
      <w:r>
        <w:rPr>
          <w:spacing w:val="5"/>
          <w:sz w:val="21"/>
        </w:rPr>
        <w:t>的规</w:t>
      </w:r>
      <w:r>
        <w:rPr>
          <w:sz w:val="21"/>
        </w:rPr>
        <w:t>定。</w:t>
      </w:r>
    </w:p>
    <w:p>
      <w:pPr>
        <w:pStyle w:val="ListParagraph"/>
        <w:numPr>
          <w:ilvl w:val="2"/>
          <w:numId w:val="33"/>
        </w:numPr>
        <w:tabs>
          <w:tab w:pos="1075" w:val="left" w:leader="none"/>
        </w:tabs>
        <w:spacing w:line="269" w:lineRule="exact" w:before="0" w:after="0"/>
        <w:ind w:left="1075" w:right="0" w:hanging="635"/>
        <w:jc w:val="left"/>
        <w:rPr>
          <w:sz w:val="21"/>
        </w:rPr>
      </w:pPr>
      <w:r>
        <w:rPr>
          <w:sz w:val="21"/>
        </w:rPr>
        <w:t>绝缘</w:t>
      </w:r>
    </w:p>
    <w:p>
      <w:pPr>
        <w:pStyle w:val="BodyText"/>
        <w:spacing w:before="7"/>
        <w:rPr>
          <w:sz w:val="15"/>
        </w:rPr>
      </w:pPr>
    </w:p>
    <w:p>
      <w:pPr>
        <w:pStyle w:val="ListParagraph"/>
        <w:numPr>
          <w:ilvl w:val="3"/>
          <w:numId w:val="33"/>
        </w:numPr>
        <w:tabs>
          <w:tab w:pos="1291" w:val="left" w:leader="none"/>
        </w:tabs>
        <w:spacing w:line="240" w:lineRule="auto" w:before="1" w:after="0"/>
        <w:ind w:left="440" w:right="0" w:firstLine="0"/>
        <w:jc w:val="left"/>
        <w:rPr>
          <w:sz w:val="21"/>
        </w:rPr>
      </w:pPr>
      <w:r>
        <w:rPr>
          <w:sz w:val="21"/>
        </w:rPr>
        <w:t>绝缘采用交联聚乙烯。</w:t>
      </w:r>
    </w:p>
    <w:p>
      <w:pPr>
        <w:pStyle w:val="BodyText"/>
        <w:spacing w:before="6"/>
        <w:rPr>
          <w:sz w:val="15"/>
        </w:rPr>
      </w:pPr>
    </w:p>
    <w:p>
      <w:pPr>
        <w:pStyle w:val="ListParagraph"/>
        <w:numPr>
          <w:ilvl w:val="3"/>
          <w:numId w:val="33"/>
        </w:numPr>
        <w:tabs>
          <w:tab w:pos="1291" w:val="left" w:leader="none"/>
        </w:tabs>
        <w:spacing w:line="417" w:lineRule="auto" w:before="0" w:after="0"/>
        <w:ind w:left="440" w:right="449" w:firstLine="0"/>
        <w:jc w:val="left"/>
        <w:rPr>
          <w:sz w:val="21"/>
        </w:rPr>
      </w:pPr>
      <w:r>
        <w:rPr>
          <w:w w:val="95"/>
          <w:sz w:val="21"/>
        </w:rPr>
        <w:t>绝缘应紧密挤包在导体上，绝缘表面应平整，色泽均匀。交联聚乙烯绝缘电缆的  </w:t>
      </w:r>
      <w:r>
        <w:rPr>
          <w:sz w:val="21"/>
        </w:rPr>
        <w:t>交联工艺可采用硅烷交联、辐照交联等。</w:t>
      </w:r>
    </w:p>
    <w:p>
      <w:pPr>
        <w:pStyle w:val="ListParagraph"/>
        <w:numPr>
          <w:ilvl w:val="3"/>
          <w:numId w:val="33"/>
        </w:numPr>
        <w:tabs>
          <w:tab w:pos="1291" w:val="left" w:leader="none"/>
        </w:tabs>
        <w:spacing w:line="417" w:lineRule="auto" w:before="1" w:after="0"/>
        <w:ind w:left="440" w:right="449" w:firstLine="0"/>
        <w:jc w:val="left"/>
        <w:rPr>
          <w:sz w:val="21"/>
        </w:rPr>
      </w:pPr>
      <w:r>
        <w:rPr>
          <w:w w:val="95"/>
          <w:sz w:val="21"/>
        </w:rPr>
        <w:t>各截面绝缘标称厚度见GB/T12706，绝缘厚度平均值应不小于标称值，任一点最小  </w:t>
      </w:r>
      <w:r>
        <w:rPr>
          <w:sz w:val="21"/>
        </w:rPr>
        <w:t>测量厚度应不小于标称值的90％-0.1mm。</w:t>
      </w:r>
    </w:p>
    <w:p>
      <w:pPr>
        <w:pStyle w:val="ListParagraph"/>
        <w:numPr>
          <w:ilvl w:val="2"/>
          <w:numId w:val="34"/>
        </w:numPr>
        <w:tabs>
          <w:tab w:pos="1075" w:val="left" w:leader="none"/>
        </w:tabs>
        <w:spacing w:line="240" w:lineRule="auto" w:before="0" w:after="0"/>
        <w:ind w:left="1075" w:right="0" w:hanging="635"/>
        <w:jc w:val="left"/>
        <w:rPr>
          <w:sz w:val="21"/>
        </w:rPr>
      </w:pPr>
      <w:r>
        <w:rPr>
          <w:sz w:val="21"/>
        </w:rPr>
        <w:t>填充及内衬层</w:t>
      </w:r>
    </w:p>
    <w:p>
      <w:pPr>
        <w:pStyle w:val="BodyText"/>
        <w:spacing w:before="6"/>
        <w:rPr>
          <w:sz w:val="15"/>
        </w:rPr>
      </w:pPr>
    </w:p>
    <w:p>
      <w:pPr>
        <w:pStyle w:val="ListParagraph"/>
        <w:numPr>
          <w:ilvl w:val="3"/>
          <w:numId w:val="34"/>
        </w:numPr>
        <w:tabs>
          <w:tab w:pos="1291" w:val="left" w:leader="none"/>
        </w:tabs>
        <w:spacing w:line="417" w:lineRule="auto" w:before="0" w:after="0"/>
        <w:ind w:left="440" w:right="432" w:firstLine="0"/>
        <w:jc w:val="left"/>
        <w:rPr>
          <w:sz w:val="21"/>
        </w:rPr>
      </w:pPr>
      <w:r>
        <w:rPr>
          <w:w w:val="95"/>
          <w:sz w:val="21"/>
        </w:rPr>
        <w:t>缆芯采用非吸湿性材料填充，应紧密无空隙。缆芯中间也应填充，三芯成缆后外  </w:t>
      </w:r>
      <w:r>
        <w:rPr>
          <w:sz w:val="21"/>
        </w:rPr>
        <w:t>型应圆整。</w:t>
      </w:r>
    </w:p>
    <w:p>
      <w:pPr>
        <w:pStyle w:val="ListParagraph"/>
        <w:numPr>
          <w:ilvl w:val="3"/>
          <w:numId w:val="34"/>
        </w:numPr>
        <w:tabs>
          <w:tab w:pos="1291" w:val="left" w:leader="none"/>
        </w:tabs>
        <w:spacing w:line="240" w:lineRule="auto" w:before="1" w:after="0"/>
        <w:ind w:left="440" w:right="0" w:firstLine="0"/>
        <w:jc w:val="left"/>
        <w:rPr>
          <w:sz w:val="21"/>
        </w:rPr>
      </w:pPr>
      <w:r>
        <w:rPr>
          <w:sz w:val="21"/>
        </w:rPr>
        <w:t>内衬层厚度平均值不小于标称值，任一点最小厚度应不小于标称值的</w:t>
      </w:r>
      <w:r>
        <w:rPr>
          <w:spacing w:val="1"/>
          <w:sz w:val="21"/>
        </w:rPr>
        <w:t>85</w:t>
      </w:r>
      <w:r>
        <w:rPr>
          <w:sz w:val="21"/>
        </w:rPr>
        <w:t>%。</w:t>
      </w:r>
    </w:p>
    <w:p>
      <w:pPr>
        <w:pStyle w:val="BodyText"/>
        <w:spacing w:before="7"/>
        <w:rPr>
          <w:sz w:val="15"/>
        </w:rPr>
      </w:pPr>
    </w:p>
    <w:p>
      <w:pPr>
        <w:pStyle w:val="ListParagraph"/>
        <w:numPr>
          <w:ilvl w:val="2"/>
          <w:numId w:val="35"/>
        </w:numPr>
        <w:tabs>
          <w:tab w:pos="1075" w:val="left" w:leader="none"/>
        </w:tabs>
        <w:spacing w:line="240" w:lineRule="auto" w:before="0" w:after="0"/>
        <w:ind w:left="1075" w:right="0" w:hanging="635"/>
        <w:jc w:val="left"/>
        <w:rPr>
          <w:sz w:val="21"/>
        </w:rPr>
      </w:pPr>
      <w:r>
        <w:rPr>
          <w:sz w:val="21"/>
        </w:rPr>
        <w:t>铠装</w:t>
      </w:r>
    </w:p>
    <w:p>
      <w:pPr>
        <w:pStyle w:val="BodyText"/>
        <w:spacing w:before="6"/>
        <w:rPr>
          <w:sz w:val="15"/>
        </w:rPr>
      </w:pPr>
    </w:p>
    <w:p>
      <w:pPr>
        <w:pStyle w:val="BodyText"/>
        <w:spacing w:line="417" w:lineRule="auto" w:before="1"/>
        <w:ind w:left="440" w:right="447"/>
      </w:pPr>
      <w:r>
        <w:rPr>
          <w:w w:val="95"/>
        </w:rPr>
        <w:t>钢带铠装应采用双层镀锌钢带，螺旋式绕包，绕包间隔不应超过钢带宽度的50%，绕包应圆  </w:t>
      </w:r>
      <w:r>
        <w:rPr/>
        <w:t>整光滑。镀锌钢带或钢丝的尺寸应符合GB12706.2的规定。</w:t>
      </w:r>
    </w:p>
    <w:p>
      <w:pPr>
        <w:pStyle w:val="ListParagraph"/>
        <w:numPr>
          <w:ilvl w:val="2"/>
          <w:numId w:val="35"/>
        </w:numPr>
        <w:tabs>
          <w:tab w:pos="1075" w:val="left" w:leader="none"/>
        </w:tabs>
        <w:spacing w:line="240" w:lineRule="auto" w:before="0" w:after="0"/>
        <w:ind w:left="1075" w:right="0" w:hanging="635"/>
        <w:jc w:val="left"/>
        <w:rPr>
          <w:sz w:val="21"/>
        </w:rPr>
      </w:pPr>
      <w:r>
        <w:rPr>
          <w:sz w:val="21"/>
        </w:rPr>
        <w:t>外护套</w:t>
      </w:r>
    </w:p>
    <w:p>
      <w:pPr>
        <w:pStyle w:val="BodyText"/>
        <w:spacing w:before="6"/>
        <w:rPr>
          <w:sz w:val="15"/>
        </w:rPr>
      </w:pPr>
    </w:p>
    <w:p>
      <w:pPr>
        <w:pStyle w:val="BodyText"/>
        <w:spacing w:line="417" w:lineRule="auto"/>
        <w:ind w:left="440" w:right="432"/>
        <w:jc w:val="both"/>
      </w:pPr>
      <w:r>
        <w:rPr>
          <w:w w:val="95"/>
        </w:rPr>
        <w:t>外护套厚度平均值应不小于标称值，任一点最小厚度不小于标称值的</w:t>
      </w:r>
      <w:r>
        <w:rPr>
          <w:spacing w:val="1"/>
          <w:w w:val="95"/>
        </w:rPr>
        <w:t>85</w:t>
      </w:r>
      <w:r>
        <w:rPr>
          <w:w w:val="95"/>
        </w:rPr>
        <w:t>%。对于有防水要求   的电缆，在缆芯和护套之间应采用可靠的防水结构，其防水性能应符合GB/T12706.2标准要  </w:t>
      </w:r>
      <w:r>
        <w:rPr/>
        <w:t>求。</w:t>
      </w:r>
    </w:p>
    <w:p>
      <w:pPr>
        <w:pStyle w:val="ListParagraph"/>
        <w:numPr>
          <w:ilvl w:val="2"/>
          <w:numId w:val="35"/>
        </w:numPr>
        <w:tabs>
          <w:tab w:pos="1075" w:val="left" w:leader="none"/>
        </w:tabs>
        <w:spacing w:line="240" w:lineRule="auto" w:before="1" w:after="0"/>
        <w:ind w:left="1075" w:right="0" w:hanging="635"/>
        <w:jc w:val="left"/>
        <w:rPr>
          <w:sz w:val="21"/>
        </w:rPr>
      </w:pPr>
      <w:r>
        <w:rPr>
          <w:sz w:val="21"/>
        </w:rPr>
        <w:t>不圆度</w:t>
      </w:r>
    </w:p>
    <w:p>
      <w:pPr>
        <w:pStyle w:val="BodyText"/>
        <w:spacing w:before="6"/>
        <w:rPr>
          <w:sz w:val="15"/>
        </w:rPr>
      </w:pPr>
    </w:p>
    <w:p>
      <w:pPr>
        <w:pStyle w:val="BodyText"/>
        <w:spacing w:before="1"/>
        <w:ind w:left="440"/>
      </w:pPr>
      <w:r>
        <w:rPr/>
        <w:t>电缆不圆度应不大于10%。</w:t>
      </w:r>
    </w:p>
    <w:p>
      <w:pPr>
        <w:pStyle w:val="BodyText"/>
      </w:pPr>
    </w:p>
    <w:p>
      <w:pPr>
        <w:spacing w:line="172" w:lineRule="auto" w:before="0"/>
        <w:ind w:left="446" w:right="0" w:firstLine="0"/>
        <w:jc w:val="left"/>
        <w:rPr>
          <w:rFonts w:ascii="Times New Roman" w:hAnsi="Times New Roman"/>
          <w:sz w:val="24"/>
        </w:rPr>
      </w:pPr>
      <w:r>
        <w:rPr/>
        <w:pict>
          <v:line style="position:absolute;mso-position-horizontal-relative:page;mso-position-vertical-relative:paragraph;z-index:-170680" from="162.991669pt,15.360469pt" to="318.400734pt,15.360469pt" stroked="true" strokeweight=".486508pt" strokecolor="#000000">
            <v:stroke dashstyle="solid"/>
            <w10:wrap type="none"/>
          </v:line>
        </w:pict>
      </w:r>
      <w:r>
        <w:rPr>
          <w:w w:val="105"/>
          <w:position w:val="-14"/>
          <w:sz w:val="24"/>
        </w:rPr>
        <w:t>电缆不圆度 </w:t>
      </w:r>
      <w:r>
        <w:rPr>
          <w:rFonts w:ascii="Symbol" w:hAnsi="Symbol"/>
          <w:w w:val="105"/>
          <w:position w:val="-14"/>
          <w:sz w:val="24"/>
        </w:rPr>
        <w:t></w:t>
      </w:r>
      <w:r>
        <w:rPr>
          <w:rFonts w:ascii="Times New Roman" w:hAnsi="Times New Roman"/>
          <w:w w:val="105"/>
          <w:position w:val="-14"/>
          <w:sz w:val="24"/>
        </w:rPr>
        <w:t> </w:t>
      </w:r>
      <w:r>
        <w:rPr>
          <w:w w:val="105"/>
          <w:sz w:val="24"/>
        </w:rPr>
        <w:t>电缆最大外径－电缆最小外径</w:t>
      </w:r>
      <w:r>
        <w:rPr>
          <w:rFonts w:ascii="Symbol" w:hAnsi="Symbol"/>
          <w:w w:val="105"/>
          <w:position w:val="-14"/>
          <w:sz w:val="24"/>
        </w:rPr>
        <w:t></w:t>
      </w:r>
      <w:r>
        <w:rPr>
          <w:rFonts w:ascii="Times New Roman" w:hAnsi="Times New Roman"/>
          <w:w w:val="105"/>
          <w:position w:val="-14"/>
          <w:sz w:val="24"/>
        </w:rPr>
        <w:t>100%</w:t>
      </w:r>
    </w:p>
    <w:p>
      <w:pPr>
        <w:spacing w:line="248" w:lineRule="exact" w:before="0"/>
        <w:ind w:left="2721" w:right="0" w:firstLine="0"/>
        <w:jc w:val="left"/>
        <w:rPr>
          <w:sz w:val="24"/>
        </w:rPr>
      </w:pPr>
      <w:r>
        <w:rPr>
          <w:w w:val="105"/>
          <w:sz w:val="24"/>
        </w:rPr>
        <w:t>电缆最大外径</w:t>
      </w:r>
    </w:p>
    <w:p>
      <w:pPr>
        <w:pStyle w:val="BodyText"/>
        <w:spacing w:before="7"/>
        <w:rPr>
          <w:sz w:val="13"/>
        </w:rPr>
      </w:pPr>
    </w:p>
    <w:p>
      <w:pPr>
        <w:pStyle w:val="ListParagraph"/>
        <w:numPr>
          <w:ilvl w:val="2"/>
          <w:numId w:val="35"/>
        </w:numPr>
        <w:tabs>
          <w:tab w:pos="1075" w:val="left" w:leader="none"/>
        </w:tabs>
        <w:spacing w:line="240" w:lineRule="auto" w:before="69" w:after="0"/>
        <w:ind w:left="1075" w:right="0" w:hanging="635"/>
        <w:jc w:val="left"/>
        <w:rPr>
          <w:sz w:val="21"/>
        </w:rPr>
      </w:pPr>
      <w:r>
        <w:rPr>
          <w:sz w:val="21"/>
        </w:rPr>
        <w:t>成品电缆标志</w:t>
      </w:r>
    </w:p>
    <w:p>
      <w:pPr>
        <w:pStyle w:val="BodyText"/>
        <w:spacing w:before="8"/>
        <w:rPr>
          <w:sz w:val="15"/>
        </w:rPr>
      </w:pPr>
    </w:p>
    <w:p>
      <w:pPr>
        <w:pStyle w:val="BodyText"/>
        <w:spacing w:line="417" w:lineRule="auto"/>
        <w:ind w:left="440" w:right="451"/>
      </w:pPr>
      <w:r>
        <w:rPr>
          <w:w w:val="95"/>
        </w:rPr>
        <w:t>成品电缆的外护套表面应连续凸印或印刷厂名、型号、电压、导体截面、制造年份和计米   </w:t>
      </w:r>
      <w:r>
        <w:rPr/>
        <w:t>长度标志，不得连续500mm内无标志。</w:t>
      </w:r>
    </w:p>
    <w:p>
      <w:pPr>
        <w:pStyle w:val="ListParagraph"/>
        <w:numPr>
          <w:ilvl w:val="2"/>
          <w:numId w:val="35"/>
        </w:numPr>
        <w:tabs>
          <w:tab w:pos="1075" w:val="left" w:leader="none"/>
        </w:tabs>
        <w:spacing w:line="269" w:lineRule="exact" w:before="0" w:after="0"/>
        <w:ind w:left="1075" w:right="0" w:hanging="635"/>
        <w:jc w:val="left"/>
        <w:rPr>
          <w:sz w:val="21"/>
        </w:rPr>
      </w:pPr>
      <w:r>
        <w:rPr>
          <w:sz w:val="21"/>
        </w:rPr>
        <w:t>电缆盘</w:t>
      </w:r>
    </w:p>
    <w:p>
      <w:pPr>
        <w:pStyle w:val="BodyText"/>
        <w:spacing w:before="7"/>
        <w:rPr>
          <w:sz w:val="15"/>
        </w:rPr>
      </w:pPr>
    </w:p>
    <w:p>
      <w:pPr>
        <w:pStyle w:val="BodyText"/>
        <w:spacing w:line="417" w:lineRule="auto"/>
        <w:ind w:left="440" w:right="447"/>
        <w:jc w:val="both"/>
      </w:pPr>
      <w:r>
        <w:rPr>
          <w:w w:val="95"/>
        </w:rPr>
        <w:t>应用铁木结构电缆盘。电缆盘应能承受所有在运输、现场搬运中可能遭受的外力作用或在   任何气象条件下在户外储存10年以上。电缆盘应承受在安装或处理电缆时可能遭受的外力   </w:t>
      </w:r>
      <w:r>
        <w:rPr/>
        <w:t>作用并不会损伤电缆及盘本身。电缆盘筒体最小直径应不小于电缆最小弯曲半径。</w:t>
      </w:r>
    </w:p>
    <w:p>
      <w:pPr>
        <w:spacing w:after="0" w:line="417" w:lineRule="auto"/>
        <w:jc w:val="both"/>
        <w:sectPr>
          <w:pgSz w:w="11910" w:h="16850"/>
          <w:pgMar w:top="1500" w:bottom="280" w:left="1360" w:right="1360"/>
        </w:sectPr>
      </w:pPr>
    </w:p>
    <w:p>
      <w:pPr>
        <w:pStyle w:val="BodyText"/>
        <w:spacing w:line="417" w:lineRule="auto" w:before="39"/>
        <w:ind w:left="440" w:right="451"/>
      </w:pPr>
      <w:r>
        <w:rPr>
          <w:w w:val="95"/>
        </w:rPr>
        <w:t>厂商应提供电缆结构尺寸、特性参数、结构图纸等技术资料和电缆结构各部分的原材料及   </w:t>
      </w:r>
      <w:r>
        <w:rPr/>
        <w:t>其来源、性能指标等，并在供货合同中明确。</w:t>
      </w:r>
    </w:p>
    <w:p>
      <w:pPr>
        <w:pStyle w:val="ListParagraph"/>
        <w:numPr>
          <w:ilvl w:val="2"/>
          <w:numId w:val="35"/>
        </w:numPr>
        <w:tabs>
          <w:tab w:pos="1075" w:val="left" w:leader="none"/>
        </w:tabs>
        <w:spacing w:line="269" w:lineRule="exact" w:before="0" w:after="0"/>
        <w:ind w:left="1075" w:right="0" w:hanging="635"/>
        <w:jc w:val="left"/>
        <w:rPr>
          <w:sz w:val="21"/>
        </w:rPr>
      </w:pPr>
      <w:r>
        <w:rPr>
          <w:sz w:val="21"/>
        </w:rPr>
        <w:t>耐火、阻燃电缆应满足下列要求：</w:t>
      </w:r>
    </w:p>
    <w:p>
      <w:pPr>
        <w:pStyle w:val="BodyText"/>
        <w:spacing w:before="7"/>
        <w:rPr>
          <w:sz w:val="15"/>
        </w:rPr>
      </w:pPr>
    </w:p>
    <w:p>
      <w:pPr>
        <w:pStyle w:val="BodyText"/>
        <w:spacing w:before="1"/>
        <w:ind w:left="440"/>
      </w:pPr>
      <w:r>
        <w:rPr/>
        <w:t>1）耐火特性</w:t>
      </w:r>
    </w:p>
    <w:p>
      <w:pPr>
        <w:pStyle w:val="BodyText"/>
        <w:spacing w:before="6"/>
        <w:rPr>
          <w:sz w:val="15"/>
        </w:rPr>
      </w:pPr>
    </w:p>
    <w:p>
      <w:pPr>
        <w:pStyle w:val="BodyText"/>
        <w:ind w:left="440"/>
      </w:pPr>
      <w:r>
        <w:rPr/>
        <w:t>电缆通过 GB12666.6《电线电缆耐火特性试验方法》（等同 IEC331）</w:t>
      </w:r>
    </w:p>
    <w:p>
      <w:pPr>
        <w:pStyle w:val="BodyText"/>
        <w:spacing w:before="8"/>
        <w:rPr>
          <w:sz w:val="15"/>
        </w:rPr>
      </w:pPr>
    </w:p>
    <w:p>
      <w:pPr>
        <w:pStyle w:val="BodyText"/>
        <w:spacing w:line="417" w:lineRule="auto"/>
        <w:ind w:left="440" w:right="3751"/>
      </w:pPr>
      <w:r>
        <w:rPr/>
        <w:t>A</w:t>
      </w:r>
      <w:r>
        <w:rPr>
          <w:spacing w:val="-26"/>
        </w:rPr>
        <w:t> 级</w:t>
      </w:r>
      <w:r>
        <w:rPr/>
        <w:t>（</w:t>
      </w:r>
      <w:r>
        <w:rPr>
          <w:spacing w:val="-11"/>
        </w:rPr>
        <w:t>火焰温度 </w:t>
      </w:r>
      <w:r>
        <w:rPr/>
        <w:t>950~1000</w:t>
      </w:r>
      <w:r>
        <w:rPr>
          <w:spacing w:val="-6"/>
        </w:rPr>
        <w:t>℃，持续供火时间为 </w:t>
      </w:r>
      <w:r>
        <w:rPr/>
        <w:t>90min） B</w:t>
      </w:r>
      <w:r>
        <w:rPr>
          <w:spacing w:val="-26"/>
        </w:rPr>
        <w:t> 级</w:t>
      </w:r>
      <w:r>
        <w:rPr/>
        <w:t>（</w:t>
      </w:r>
      <w:r>
        <w:rPr>
          <w:spacing w:val="-11"/>
        </w:rPr>
        <w:t>火焰温度 </w:t>
      </w:r>
      <w:r>
        <w:rPr/>
        <w:t>750~800</w:t>
      </w:r>
      <w:r>
        <w:rPr>
          <w:spacing w:val="-6"/>
        </w:rPr>
        <w:t>℃，持续供火时间为 </w:t>
      </w:r>
      <w:r>
        <w:rPr/>
        <w:t>90min）</w:t>
      </w:r>
    </w:p>
    <w:p>
      <w:pPr>
        <w:pStyle w:val="BodyText"/>
        <w:spacing w:line="269" w:lineRule="exact"/>
        <w:ind w:left="440"/>
      </w:pPr>
      <w:r>
        <w:rPr/>
        <w:t>根据用户要求，可按 GB12666.6 A、B 任一级标准通过耐火试验。</w:t>
      </w:r>
    </w:p>
    <w:p>
      <w:pPr>
        <w:pStyle w:val="BodyText"/>
        <w:spacing w:before="7"/>
        <w:rPr>
          <w:sz w:val="15"/>
        </w:rPr>
      </w:pPr>
    </w:p>
    <w:p>
      <w:pPr>
        <w:pStyle w:val="BodyText"/>
        <w:ind w:left="440"/>
      </w:pPr>
      <w:r>
        <w:rPr/>
        <w:t>2）阻燃性能</w:t>
      </w:r>
    </w:p>
    <w:p>
      <w:pPr>
        <w:pStyle w:val="BodyText"/>
        <w:spacing w:before="6"/>
        <w:rPr>
          <w:sz w:val="15"/>
        </w:rPr>
      </w:pPr>
    </w:p>
    <w:p>
      <w:pPr>
        <w:pStyle w:val="BodyText"/>
        <w:spacing w:before="1"/>
        <w:ind w:left="440"/>
      </w:pPr>
      <w:r>
        <w:rPr/>
        <w:t>电缆通过 GB12666.5《成束电线电缆燃烧试验方法》（等同 IEC332—3）</w:t>
      </w:r>
    </w:p>
    <w:p>
      <w:pPr>
        <w:pStyle w:val="BodyText"/>
        <w:spacing w:before="7"/>
        <w:rPr>
          <w:sz w:val="15"/>
        </w:rPr>
      </w:pPr>
    </w:p>
    <w:p>
      <w:pPr>
        <w:pStyle w:val="BodyText"/>
        <w:ind w:left="440"/>
      </w:pPr>
      <w:r>
        <w:rPr/>
        <w:t>A 类（试样应使可燃体积为 7l/m，火焰持续燃烧时间为 40min）</w:t>
      </w:r>
    </w:p>
    <w:p>
      <w:pPr>
        <w:pStyle w:val="BodyText"/>
        <w:spacing w:before="6"/>
        <w:rPr>
          <w:sz w:val="15"/>
        </w:rPr>
      </w:pPr>
    </w:p>
    <w:p>
      <w:pPr>
        <w:pStyle w:val="BodyText"/>
        <w:spacing w:before="1"/>
        <w:ind w:left="440"/>
      </w:pPr>
      <w:r>
        <w:rPr/>
        <w:t>B 类（试样应使可燃体积为 3.5l/m，火焰持续燃烧时间为 40min）</w:t>
      </w:r>
    </w:p>
    <w:p>
      <w:pPr>
        <w:pStyle w:val="BodyText"/>
        <w:spacing w:before="7"/>
        <w:rPr>
          <w:sz w:val="15"/>
        </w:rPr>
      </w:pPr>
    </w:p>
    <w:p>
      <w:pPr>
        <w:pStyle w:val="BodyText"/>
        <w:ind w:left="440"/>
      </w:pPr>
      <w:r>
        <w:rPr/>
        <w:t>C 类（试样应使可燃体积为 1.5l/m，火焰持续燃烧时间为 20min）</w:t>
      </w:r>
    </w:p>
    <w:p>
      <w:pPr>
        <w:pStyle w:val="BodyText"/>
        <w:spacing w:before="6"/>
        <w:rPr>
          <w:sz w:val="15"/>
        </w:rPr>
      </w:pPr>
    </w:p>
    <w:p>
      <w:pPr>
        <w:pStyle w:val="BodyText"/>
        <w:spacing w:line="417" w:lineRule="auto" w:before="1"/>
        <w:ind w:left="440" w:right="223"/>
      </w:pPr>
      <w:r>
        <w:rPr>
          <w:spacing w:val="-4"/>
        </w:rPr>
        <w:t>根据用户要求，可按 </w:t>
      </w:r>
      <w:r>
        <w:rPr/>
        <w:t>GB12666.5 </w:t>
      </w:r>
      <w:r>
        <w:rPr>
          <w:spacing w:val="5"/>
        </w:rPr>
        <w:t>A</w:t>
      </w:r>
      <w:r>
        <w:rPr/>
        <w:t>、</w:t>
      </w:r>
      <w:r>
        <w:rPr>
          <w:spacing w:val="2"/>
        </w:rPr>
        <w:t>B</w:t>
      </w:r>
      <w:r>
        <w:rPr>
          <w:spacing w:val="-8"/>
        </w:rPr>
        <w:t>、</w:t>
      </w:r>
      <w:r>
        <w:rPr/>
        <w:t>C</w:t>
      </w:r>
      <w:r>
        <w:rPr>
          <w:spacing w:val="-9"/>
        </w:rPr>
        <w:t> 任一类标准或美国 </w:t>
      </w:r>
      <w:r>
        <w:rPr/>
        <w:t>IEEE383</w:t>
      </w:r>
      <w:r>
        <w:rPr>
          <w:spacing w:val="-11"/>
        </w:rPr>
        <w:t> 标准，日本 </w:t>
      </w:r>
      <w:r>
        <w:rPr/>
        <w:t>JIS</w:t>
      </w:r>
      <w:r>
        <w:rPr>
          <w:spacing w:val="-9"/>
        </w:rPr>
        <w:t> 标准， </w:t>
      </w:r>
      <w:r>
        <w:rPr>
          <w:spacing w:val="-8"/>
        </w:rPr>
        <w:t>通过电缆成束燃烧试验。</w:t>
      </w:r>
    </w:p>
    <w:p>
      <w:pPr>
        <w:pStyle w:val="ListParagraph"/>
        <w:numPr>
          <w:ilvl w:val="0"/>
          <w:numId w:val="32"/>
        </w:numPr>
        <w:tabs>
          <w:tab w:pos="765" w:val="left" w:leader="none"/>
          <w:tab w:pos="766" w:val="left" w:leader="none"/>
        </w:tabs>
        <w:spacing w:line="240" w:lineRule="auto" w:before="19" w:after="0"/>
        <w:ind w:left="765" w:right="0" w:hanging="325"/>
        <w:jc w:val="left"/>
        <w:rPr>
          <w:rFonts w:ascii="PMingLiU" w:eastAsia="PMingLiU" w:hint="eastAsia"/>
          <w:sz w:val="21"/>
        </w:rPr>
      </w:pPr>
      <w:bookmarkStart w:name="3　使用环境条件表" w:id="21"/>
      <w:bookmarkEnd w:id="21"/>
      <w:r>
        <w:rPr/>
      </w:r>
      <w:bookmarkStart w:name="_bookmark2" w:id="22"/>
      <w:bookmarkEnd w:id="22"/>
      <w:r>
        <w:rPr/>
      </w:r>
      <w:bookmarkStart w:name="_bookmark2" w:id="23"/>
      <w:bookmarkEnd w:id="23"/>
      <w:r>
        <w:rPr>
          <w:rFonts w:ascii="PMingLiU" w:eastAsia="PMingLiU" w:hint="eastAsia"/>
          <w:sz w:val="21"/>
        </w:rPr>
        <w:t>使用环境条件表</w:t>
      </w:r>
    </w:p>
    <w:p>
      <w:pPr>
        <w:pStyle w:val="BodyText"/>
        <w:tabs>
          <w:tab w:pos="590" w:val="left" w:leader="none"/>
        </w:tabs>
        <w:spacing w:before="246"/>
        <w:ind w:right="26"/>
        <w:jc w:val="center"/>
      </w:pPr>
      <w:r>
        <w:rPr/>
        <w:t>表</w:t>
      </w:r>
      <w:r>
        <w:rPr>
          <w:spacing w:val="-50"/>
        </w:rPr>
        <w:t> </w:t>
      </w:r>
      <w:r>
        <w:rPr>
          <w:rFonts w:ascii="Microsoft YaHei" w:eastAsia="Microsoft YaHei" w:hint="eastAsia"/>
        </w:rPr>
        <w:t>2</w:t>
        <w:tab/>
      </w:r>
      <w:r>
        <w:rPr>
          <w:spacing w:val="26"/>
        </w:rPr>
        <w:t>使</w:t>
      </w:r>
      <w:r>
        <w:rPr>
          <w:spacing w:val="35"/>
        </w:rPr>
        <w:t>用</w:t>
      </w:r>
      <w:r>
        <w:rPr>
          <w:spacing w:val="26"/>
        </w:rPr>
        <w:t>环境</w:t>
      </w:r>
      <w:r>
        <w:rPr>
          <w:spacing w:val="35"/>
        </w:rPr>
        <w:t>条</w:t>
      </w:r>
      <w:r>
        <w:rPr>
          <w:spacing w:val="30"/>
        </w:rPr>
        <w:t>件</w:t>
      </w:r>
      <w:r>
        <w:rPr/>
        <w:t>表</w:t>
      </w:r>
    </w:p>
    <w:p>
      <w:pPr>
        <w:pStyle w:val="BodyText"/>
        <w:spacing w:before="4" w:after="1"/>
        <w:rPr>
          <w:sz w:val="8"/>
        </w:rPr>
      </w:pPr>
    </w:p>
    <w:tbl>
      <w:tblPr>
        <w:tblW w:w="0" w:type="auto"/>
        <w:jc w:val="left"/>
        <w:tblInd w:w="3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81"/>
        <w:gridCol w:w="3185"/>
        <w:gridCol w:w="3866"/>
      </w:tblGrid>
      <w:tr>
        <w:trPr>
          <w:trHeight w:val="394" w:hRule="atLeast"/>
        </w:trPr>
        <w:tc>
          <w:tcPr>
            <w:tcW w:w="4666" w:type="dxa"/>
            <w:gridSpan w:val="2"/>
            <w:tcBorders>
              <w:bottom w:val="single" w:sz="4" w:space="0" w:color="000000"/>
              <w:right w:val="single" w:sz="4" w:space="0" w:color="000000"/>
            </w:tcBorders>
          </w:tcPr>
          <w:p>
            <w:pPr>
              <w:pStyle w:val="TableParagraph"/>
              <w:spacing w:before="57"/>
              <w:ind w:left="2088" w:right="2074"/>
              <w:jc w:val="center"/>
              <w:rPr>
                <w:sz w:val="18"/>
              </w:rPr>
            </w:pPr>
            <w:r>
              <w:rPr>
                <w:sz w:val="18"/>
              </w:rPr>
              <w:t>名 称</w:t>
            </w:r>
          </w:p>
        </w:tc>
        <w:tc>
          <w:tcPr>
            <w:tcW w:w="3866" w:type="dxa"/>
            <w:tcBorders>
              <w:left w:val="single" w:sz="4" w:space="0" w:color="000000"/>
              <w:bottom w:val="single" w:sz="4" w:space="0" w:color="000000"/>
            </w:tcBorders>
          </w:tcPr>
          <w:p>
            <w:pPr>
              <w:pStyle w:val="TableParagraph"/>
              <w:spacing w:before="57"/>
              <w:ind w:left="1551" w:right="1541"/>
              <w:jc w:val="center"/>
              <w:rPr>
                <w:sz w:val="18"/>
              </w:rPr>
            </w:pPr>
            <w:r>
              <w:rPr>
                <w:sz w:val="18"/>
              </w:rPr>
              <w:t>参 数 值</w:t>
            </w:r>
          </w:p>
        </w:tc>
      </w:tr>
      <w:tr>
        <w:trPr>
          <w:trHeight w:val="385" w:hRule="atLeast"/>
        </w:trPr>
        <w:tc>
          <w:tcPr>
            <w:tcW w:w="4666" w:type="dxa"/>
            <w:gridSpan w:val="2"/>
            <w:tcBorders>
              <w:top w:val="single" w:sz="4" w:space="0" w:color="000000"/>
              <w:bottom w:val="single" w:sz="4" w:space="0" w:color="000000"/>
              <w:right w:val="single" w:sz="4" w:space="0" w:color="000000"/>
            </w:tcBorders>
          </w:tcPr>
          <w:p>
            <w:pPr>
              <w:pStyle w:val="TableParagraph"/>
              <w:spacing w:before="49"/>
              <w:ind w:left="107"/>
              <w:rPr>
                <w:sz w:val="18"/>
              </w:rPr>
            </w:pPr>
            <w:r>
              <w:rPr>
                <w:sz w:val="18"/>
              </w:rPr>
              <w:t>海拔高度（</w:t>
            </w:r>
            <w:r>
              <w:rPr>
                <w:rFonts w:ascii="Calibri" w:eastAsia="Calibri"/>
                <w:sz w:val="18"/>
              </w:rPr>
              <w:t>m</w:t>
            </w:r>
            <w:r>
              <w:rPr>
                <w:sz w:val="18"/>
              </w:rPr>
              <w:t>）</w:t>
            </w:r>
          </w:p>
        </w:tc>
        <w:tc>
          <w:tcPr>
            <w:tcW w:w="3866" w:type="dxa"/>
            <w:tcBorders>
              <w:top w:val="single" w:sz="4" w:space="0" w:color="000000"/>
              <w:left w:val="single" w:sz="4" w:space="0" w:color="000000"/>
              <w:bottom w:val="single" w:sz="4" w:space="0" w:color="000000"/>
            </w:tcBorders>
          </w:tcPr>
          <w:p>
            <w:pPr>
              <w:pStyle w:val="TableParagraph"/>
              <w:spacing w:before="49"/>
              <w:ind w:left="112"/>
              <w:rPr>
                <w:rFonts w:ascii="Calibri" w:hAnsi="Calibri"/>
                <w:sz w:val="18"/>
              </w:rPr>
            </w:pPr>
            <w:r>
              <w:rPr>
                <w:sz w:val="18"/>
              </w:rPr>
              <w:t>≤</w:t>
            </w:r>
            <w:r>
              <w:rPr>
                <w:rFonts w:ascii="Calibri" w:hAnsi="Calibri"/>
                <w:sz w:val="18"/>
              </w:rPr>
              <w:t>1000</w:t>
            </w:r>
          </w:p>
        </w:tc>
      </w:tr>
      <w:tr>
        <w:trPr>
          <w:trHeight w:val="393" w:hRule="atLeast"/>
        </w:trPr>
        <w:tc>
          <w:tcPr>
            <w:tcW w:w="4666" w:type="dxa"/>
            <w:gridSpan w:val="2"/>
            <w:tcBorders>
              <w:top w:val="single" w:sz="4" w:space="0" w:color="000000"/>
              <w:bottom w:val="single" w:sz="4" w:space="0" w:color="000000"/>
              <w:right w:val="single" w:sz="4" w:space="0" w:color="000000"/>
            </w:tcBorders>
          </w:tcPr>
          <w:p>
            <w:pPr>
              <w:pStyle w:val="TableParagraph"/>
              <w:spacing w:before="56"/>
              <w:ind w:left="107"/>
              <w:rPr>
                <w:sz w:val="18"/>
              </w:rPr>
            </w:pPr>
            <w:r>
              <w:rPr>
                <w:sz w:val="18"/>
              </w:rPr>
              <w:t>最高环境温度（℃）</w:t>
            </w:r>
          </w:p>
        </w:tc>
        <w:tc>
          <w:tcPr>
            <w:tcW w:w="3866" w:type="dxa"/>
            <w:tcBorders>
              <w:top w:val="single" w:sz="4" w:space="0" w:color="000000"/>
              <w:left w:val="single" w:sz="4" w:space="0" w:color="000000"/>
              <w:bottom w:val="single" w:sz="4" w:space="0" w:color="000000"/>
            </w:tcBorders>
          </w:tcPr>
          <w:p>
            <w:pPr>
              <w:pStyle w:val="TableParagraph"/>
              <w:spacing w:before="65"/>
              <w:ind w:left="112"/>
              <w:rPr>
                <w:rFonts w:ascii="Calibri"/>
                <w:sz w:val="18"/>
              </w:rPr>
            </w:pPr>
            <w:r>
              <w:rPr>
                <w:rFonts w:ascii="Calibri"/>
                <w:sz w:val="18"/>
              </w:rPr>
              <w:t>+40</w:t>
            </w:r>
          </w:p>
        </w:tc>
      </w:tr>
      <w:tr>
        <w:trPr>
          <w:trHeight w:val="385" w:hRule="atLeast"/>
        </w:trPr>
        <w:tc>
          <w:tcPr>
            <w:tcW w:w="4666" w:type="dxa"/>
            <w:gridSpan w:val="2"/>
            <w:tcBorders>
              <w:top w:val="single" w:sz="4" w:space="0" w:color="000000"/>
              <w:bottom w:val="single" w:sz="4" w:space="0" w:color="000000"/>
              <w:right w:val="single" w:sz="4" w:space="0" w:color="000000"/>
            </w:tcBorders>
          </w:tcPr>
          <w:p>
            <w:pPr>
              <w:pStyle w:val="TableParagraph"/>
              <w:spacing w:before="49"/>
              <w:ind w:left="107"/>
              <w:rPr>
                <w:sz w:val="18"/>
              </w:rPr>
            </w:pPr>
            <w:r>
              <w:rPr>
                <w:sz w:val="18"/>
              </w:rPr>
              <w:t>最低环境温度（℃）</w:t>
            </w:r>
          </w:p>
        </w:tc>
        <w:tc>
          <w:tcPr>
            <w:tcW w:w="3866" w:type="dxa"/>
            <w:tcBorders>
              <w:top w:val="single" w:sz="4" w:space="0" w:color="000000"/>
              <w:left w:val="single" w:sz="4" w:space="0" w:color="000000"/>
              <w:bottom w:val="single" w:sz="4" w:space="0" w:color="000000"/>
            </w:tcBorders>
          </w:tcPr>
          <w:p>
            <w:pPr>
              <w:pStyle w:val="TableParagraph"/>
              <w:spacing w:before="57"/>
              <w:ind w:left="112"/>
              <w:rPr>
                <w:rFonts w:ascii="Calibri"/>
                <w:sz w:val="18"/>
              </w:rPr>
            </w:pPr>
            <w:r>
              <w:rPr>
                <w:rFonts w:ascii="Calibri"/>
                <w:sz w:val="18"/>
              </w:rPr>
              <w:t>-40</w:t>
            </w:r>
          </w:p>
        </w:tc>
      </w:tr>
      <w:tr>
        <w:trPr>
          <w:trHeight w:val="386" w:hRule="atLeast"/>
        </w:trPr>
        <w:tc>
          <w:tcPr>
            <w:tcW w:w="4666" w:type="dxa"/>
            <w:gridSpan w:val="2"/>
            <w:tcBorders>
              <w:top w:val="single" w:sz="4" w:space="0" w:color="000000"/>
              <w:bottom w:val="single" w:sz="4" w:space="0" w:color="000000"/>
              <w:right w:val="single" w:sz="4" w:space="0" w:color="000000"/>
            </w:tcBorders>
          </w:tcPr>
          <w:p>
            <w:pPr>
              <w:pStyle w:val="TableParagraph"/>
              <w:spacing w:before="49"/>
              <w:ind w:left="107"/>
              <w:rPr>
                <w:sz w:val="18"/>
              </w:rPr>
            </w:pPr>
            <w:r>
              <w:rPr>
                <w:sz w:val="18"/>
              </w:rPr>
              <w:t>土壤最高环境温度（℃）</w:t>
            </w:r>
          </w:p>
        </w:tc>
        <w:tc>
          <w:tcPr>
            <w:tcW w:w="3866" w:type="dxa"/>
            <w:tcBorders>
              <w:top w:val="single" w:sz="4" w:space="0" w:color="000000"/>
              <w:left w:val="single" w:sz="4" w:space="0" w:color="000000"/>
              <w:bottom w:val="single" w:sz="4" w:space="0" w:color="000000"/>
            </w:tcBorders>
          </w:tcPr>
          <w:p>
            <w:pPr>
              <w:pStyle w:val="TableParagraph"/>
              <w:spacing w:before="65"/>
              <w:ind w:left="112"/>
              <w:rPr>
                <w:rFonts w:ascii="Calibri"/>
                <w:sz w:val="18"/>
              </w:rPr>
            </w:pPr>
            <w:r>
              <w:rPr>
                <w:rFonts w:ascii="Calibri"/>
                <w:sz w:val="18"/>
              </w:rPr>
              <w:t>+35</w:t>
            </w:r>
          </w:p>
        </w:tc>
      </w:tr>
      <w:tr>
        <w:trPr>
          <w:trHeight w:val="393" w:hRule="atLeast"/>
        </w:trPr>
        <w:tc>
          <w:tcPr>
            <w:tcW w:w="4666" w:type="dxa"/>
            <w:gridSpan w:val="2"/>
            <w:tcBorders>
              <w:top w:val="single" w:sz="4" w:space="0" w:color="000000"/>
              <w:bottom w:val="single" w:sz="4" w:space="0" w:color="000000"/>
              <w:right w:val="single" w:sz="4" w:space="0" w:color="000000"/>
            </w:tcBorders>
          </w:tcPr>
          <w:p>
            <w:pPr>
              <w:pStyle w:val="TableParagraph"/>
              <w:spacing w:before="56"/>
              <w:ind w:left="107"/>
              <w:rPr>
                <w:sz w:val="18"/>
              </w:rPr>
            </w:pPr>
            <w:r>
              <w:rPr>
                <w:sz w:val="18"/>
              </w:rPr>
              <w:t>土壤最低环境温度（℃）</w:t>
            </w:r>
          </w:p>
        </w:tc>
        <w:tc>
          <w:tcPr>
            <w:tcW w:w="3866" w:type="dxa"/>
            <w:tcBorders>
              <w:top w:val="single" w:sz="4" w:space="0" w:color="000000"/>
              <w:left w:val="single" w:sz="4" w:space="0" w:color="000000"/>
              <w:bottom w:val="single" w:sz="4" w:space="0" w:color="000000"/>
            </w:tcBorders>
          </w:tcPr>
          <w:p>
            <w:pPr>
              <w:pStyle w:val="TableParagraph"/>
              <w:spacing w:before="65"/>
              <w:ind w:left="112"/>
              <w:rPr>
                <w:rFonts w:ascii="Calibri"/>
                <w:sz w:val="18"/>
              </w:rPr>
            </w:pPr>
            <w:r>
              <w:rPr>
                <w:rFonts w:ascii="Calibri"/>
                <w:sz w:val="18"/>
              </w:rPr>
              <w:t>-20</w:t>
            </w:r>
          </w:p>
        </w:tc>
      </w:tr>
      <w:tr>
        <w:trPr>
          <w:trHeight w:val="385" w:hRule="atLeast"/>
        </w:trPr>
        <w:tc>
          <w:tcPr>
            <w:tcW w:w="4666" w:type="dxa"/>
            <w:gridSpan w:val="2"/>
            <w:tcBorders>
              <w:top w:val="single" w:sz="4" w:space="0" w:color="000000"/>
              <w:bottom w:val="single" w:sz="4" w:space="0" w:color="000000"/>
              <w:right w:val="single" w:sz="4" w:space="0" w:color="000000"/>
            </w:tcBorders>
          </w:tcPr>
          <w:p>
            <w:pPr>
              <w:pStyle w:val="TableParagraph"/>
              <w:spacing w:before="49"/>
              <w:ind w:left="107"/>
              <w:rPr>
                <w:sz w:val="18"/>
              </w:rPr>
            </w:pPr>
            <w:r>
              <w:rPr>
                <w:sz w:val="18"/>
              </w:rPr>
              <w:t>日照强度（</w:t>
            </w:r>
            <w:r>
              <w:rPr>
                <w:rFonts w:ascii="Calibri" w:eastAsia="Calibri"/>
                <w:sz w:val="18"/>
              </w:rPr>
              <w:t>W/cm</w:t>
            </w:r>
            <w:r>
              <w:rPr>
                <w:rFonts w:ascii="Calibri" w:eastAsia="Calibri"/>
                <w:sz w:val="18"/>
                <w:vertAlign w:val="superscript"/>
              </w:rPr>
              <w:t>2</w:t>
            </w:r>
            <w:r>
              <w:rPr>
                <w:sz w:val="18"/>
                <w:vertAlign w:val="baseline"/>
              </w:rPr>
              <w:t>）</w:t>
            </w:r>
          </w:p>
        </w:tc>
        <w:tc>
          <w:tcPr>
            <w:tcW w:w="3866" w:type="dxa"/>
            <w:tcBorders>
              <w:top w:val="single" w:sz="4" w:space="0" w:color="000000"/>
              <w:left w:val="single" w:sz="4" w:space="0" w:color="000000"/>
              <w:bottom w:val="single" w:sz="4" w:space="0" w:color="000000"/>
            </w:tcBorders>
          </w:tcPr>
          <w:p>
            <w:pPr>
              <w:pStyle w:val="TableParagraph"/>
              <w:spacing w:before="57"/>
              <w:ind w:left="112"/>
              <w:rPr>
                <w:rFonts w:ascii="Calibri"/>
                <w:sz w:val="18"/>
              </w:rPr>
            </w:pPr>
            <w:r>
              <w:rPr>
                <w:rFonts w:ascii="Calibri"/>
                <w:sz w:val="18"/>
              </w:rPr>
              <w:t>0.1</w:t>
            </w:r>
          </w:p>
        </w:tc>
      </w:tr>
      <w:tr>
        <w:trPr>
          <w:trHeight w:val="386" w:hRule="atLeast"/>
        </w:trPr>
        <w:tc>
          <w:tcPr>
            <w:tcW w:w="1481" w:type="dxa"/>
            <w:vMerge w:val="restart"/>
            <w:tcBorders>
              <w:top w:val="single" w:sz="4" w:space="0" w:color="000000"/>
              <w:bottom w:val="single" w:sz="4" w:space="0" w:color="000000"/>
              <w:right w:val="single" w:sz="4" w:space="0" w:color="000000"/>
            </w:tcBorders>
          </w:tcPr>
          <w:p>
            <w:pPr>
              <w:pStyle w:val="TableParagraph"/>
              <w:spacing w:before="7"/>
              <w:rPr>
                <w:sz w:val="19"/>
              </w:rPr>
            </w:pPr>
          </w:p>
          <w:p>
            <w:pPr>
              <w:pStyle w:val="TableParagraph"/>
              <w:ind w:left="107"/>
              <w:rPr>
                <w:sz w:val="18"/>
              </w:rPr>
            </w:pPr>
            <w:r>
              <w:rPr>
                <w:sz w:val="18"/>
              </w:rPr>
              <w:t>湿</w:t>
            </w:r>
          </w:p>
        </w:tc>
        <w:tc>
          <w:tcPr>
            <w:tcW w:w="3185" w:type="dxa"/>
            <w:tcBorders>
              <w:top w:val="single" w:sz="4" w:space="0" w:color="000000"/>
              <w:left w:val="single" w:sz="4" w:space="0" w:color="000000"/>
              <w:bottom w:val="single" w:sz="4" w:space="0" w:color="000000"/>
              <w:right w:val="single" w:sz="4" w:space="0" w:color="000000"/>
            </w:tcBorders>
          </w:tcPr>
          <w:p>
            <w:pPr>
              <w:pStyle w:val="TableParagraph"/>
              <w:spacing w:before="49"/>
              <w:ind w:left="113"/>
              <w:rPr>
                <w:sz w:val="18"/>
              </w:rPr>
            </w:pPr>
            <w:r>
              <w:rPr>
                <w:sz w:val="18"/>
              </w:rPr>
              <w:t>日相对湿度平均值（％）</w:t>
            </w:r>
          </w:p>
        </w:tc>
        <w:tc>
          <w:tcPr>
            <w:tcW w:w="3866" w:type="dxa"/>
            <w:tcBorders>
              <w:top w:val="single" w:sz="4" w:space="0" w:color="000000"/>
              <w:left w:val="single" w:sz="4" w:space="0" w:color="000000"/>
              <w:bottom w:val="single" w:sz="4" w:space="0" w:color="000000"/>
            </w:tcBorders>
          </w:tcPr>
          <w:p>
            <w:pPr>
              <w:pStyle w:val="TableParagraph"/>
              <w:spacing w:before="49"/>
              <w:ind w:left="112"/>
              <w:rPr>
                <w:rFonts w:ascii="Calibri" w:hAnsi="Calibri"/>
                <w:sz w:val="18"/>
              </w:rPr>
            </w:pPr>
            <w:r>
              <w:rPr>
                <w:sz w:val="18"/>
              </w:rPr>
              <w:t>≤</w:t>
            </w:r>
            <w:r>
              <w:rPr>
                <w:rFonts w:ascii="Calibri" w:hAnsi="Calibri"/>
                <w:sz w:val="18"/>
              </w:rPr>
              <w:t>95</w:t>
            </w:r>
          </w:p>
        </w:tc>
      </w:tr>
      <w:tr>
        <w:trPr>
          <w:trHeight w:val="393" w:hRule="atLeast"/>
        </w:trPr>
        <w:tc>
          <w:tcPr>
            <w:tcW w:w="1481" w:type="dxa"/>
            <w:vMerge/>
            <w:tcBorders>
              <w:top w:val="nil"/>
              <w:bottom w:val="single" w:sz="4" w:space="0" w:color="000000"/>
              <w:right w:val="single" w:sz="4" w:space="0" w:color="000000"/>
            </w:tcBorders>
          </w:tcPr>
          <w:p>
            <w:pPr>
              <w:rPr>
                <w:sz w:val="2"/>
                <w:szCs w:val="2"/>
              </w:rPr>
            </w:pPr>
          </w:p>
        </w:tc>
        <w:tc>
          <w:tcPr>
            <w:tcW w:w="3185" w:type="dxa"/>
            <w:tcBorders>
              <w:top w:val="single" w:sz="4" w:space="0" w:color="000000"/>
              <w:left w:val="single" w:sz="4" w:space="0" w:color="000000"/>
              <w:bottom w:val="single" w:sz="4" w:space="0" w:color="000000"/>
              <w:right w:val="single" w:sz="4" w:space="0" w:color="000000"/>
            </w:tcBorders>
          </w:tcPr>
          <w:p>
            <w:pPr>
              <w:pStyle w:val="TableParagraph"/>
              <w:spacing w:before="56"/>
              <w:ind w:left="113"/>
              <w:rPr>
                <w:sz w:val="18"/>
              </w:rPr>
            </w:pPr>
            <w:r>
              <w:rPr>
                <w:sz w:val="18"/>
              </w:rPr>
              <w:t>月相对湿度平均值（％）</w:t>
            </w:r>
          </w:p>
        </w:tc>
        <w:tc>
          <w:tcPr>
            <w:tcW w:w="3866" w:type="dxa"/>
            <w:tcBorders>
              <w:top w:val="single" w:sz="4" w:space="0" w:color="000000"/>
              <w:left w:val="single" w:sz="4" w:space="0" w:color="000000"/>
              <w:bottom w:val="single" w:sz="4" w:space="0" w:color="000000"/>
            </w:tcBorders>
          </w:tcPr>
          <w:p>
            <w:pPr>
              <w:pStyle w:val="TableParagraph"/>
              <w:spacing w:before="56"/>
              <w:ind w:left="112"/>
              <w:rPr>
                <w:rFonts w:ascii="Calibri" w:hAnsi="Calibri"/>
                <w:sz w:val="18"/>
              </w:rPr>
            </w:pPr>
            <w:r>
              <w:rPr>
                <w:sz w:val="18"/>
              </w:rPr>
              <w:t>≤</w:t>
            </w:r>
            <w:r>
              <w:rPr>
                <w:rFonts w:ascii="Calibri" w:hAnsi="Calibri"/>
                <w:sz w:val="18"/>
              </w:rPr>
              <w:t>90</w:t>
            </w:r>
          </w:p>
        </w:tc>
      </w:tr>
      <w:tr>
        <w:trPr>
          <w:trHeight w:val="385" w:hRule="atLeast"/>
        </w:trPr>
        <w:tc>
          <w:tcPr>
            <w:tcW w:w="4666" w:type="dxa"/>
            <w:gridSpan w:val="2"/>
            <w:tcBorders>
              <w:top w:val="single" w:sz="4" w:space="0" w:color="000000"/>
              <w:bottom w:val="single" w:sz="4" w:space="0" w:color="000000"/>
              <w:right w:val="single" w:sz="4" w:space="0" w:color="000000"/>
            </w:tcBorders>
          </w:tcPr>
          <w:p>
            <w:pPr>
              <w:pStyle w:val="TableParagraph"/>
              <w:spacing w:before="49"/>
              <w:ind w:left="107"/>
              <w:rPr>
                <w:rFonts w:ascii="Calibri" w:eastAsia="Calibri"/>
                <w:sz w:val="18"/>
              </w:rPr>
            </w:pPr>
            <w:r>
              <w:rPr>
                <w:sz w:val="18"/>
              </w:rPr>
              <w:t>最大风速（户外）（</w:t>
            </w:r>
            <w:r>
              <w:rPr>
                <w:rFonts w:ascii="Calibri" w:eastAsia="Calibri"/>
                <w:sz w:val="18"/>
              </w:rPr>
              <w:t>m/s</w:t>
            </w:r>
            <w:r>
              <w:rPr>
                <w:sz w:val="18"/>
              </w:rPr>
              <w:t>）</w:t>
            </w:r>
            <w:r>
              <w:rPr>
                <w:rFonts w:ascii="Calibri" w:eastAsia="Calibri"/>
                <w:sz w:val="18"/>
              </w:rPr>
              <w:t>/Pa</w:t>
            </w:r>
          </w:p>
        </w:tc>
        <w:tc>
          <w:tcPr>
            <w:tcW w:w="3866" w:type="dxa"/>
            <w:tcBorders>
              <w:top w:val="single" w:sz="4" w:space="0" w:color="000000"/>
              <w:left w:val="single" w:sz="4" w:space="0" w:color="000000"/>
              <w:bottom w:val="single" w:sz="4" w:space="0" w:color="000000"/>
            </w:tcBorders>
          </w:tcPr>
          <w:p>
            <w:pPr>
              <w:pStyle w:val="TableParagraph"/>
              <w:spacing w:before="57"/>
              <w:ind w:left="112"/>
              <w:rPr>
                <w:rFonts w:ascii="Calibri"/>
                <w:sz w:val="18"/>
              </w:rPr>
            </w:pPr>
            <w:r>
              <w:rPr>
                <w:rFonts w:ascii="Calibri"/>
                <w:sz w:val="18"/>
              </w:rPr>
              <w:t>35/700</w:t>
            </w:r>
          </w:p>
        </w:tc>
      </w:tr>
      <w:tr>
        <w:trPr>
          <w:trHeight w:val="661" w:hRule="atLeast"/>
        </w:trPr>
        <w:tc>
          <w:tcPr>
            <w:tcW w:w="4666" w:type="dxa"/>
            <w:gridSpan w:val="2"/>
            <w:tcBorders>
              <w:top w:val="single" w:sz="4" w:space="0" w:color="000000"/>
              <w:right w:val="single" w:sz="4" w:space="0" w:color="000000"/>
            </w:tcBorders>
          </w:tcPr>
          <w:p>
            <w:pPr>
              <w:pStyle w:val="TableParagraph"/>
              <w:spacing w:line="278" w:lineRule="auto" w:before="56"/>
              <w:ind w:left="107" w:right="223"/>
              <w:rPr>
                <w:sz w:val="18"/>
              </w:rPr>
            </w:pPr>
            <w:r>
              <w:rPr>
                <w:sz w:val="18"/>
              </w:rPr>
              <w:t>电缆敷设方式（多种方式并存时，选择载流量最小的一种方式）</w:t>
            </w:r>
          </w:p>
        </w:tc>
        <w:tc>
          <w:tcPr>
            <w:tcW w:w="3866" w:type="dxa"/>
            <w:tcBorders>
              <w:top w:val="single" w:sz="4" w:space="0" w:color="000000"/>
              <w:left w:val="single" w:sz="4" w:space="0" w:color="000000"/>
            </w:tcBorders>
          </w:tcPr>
          <w:p>
            <w:pPr>
              <w:pStyle w:val="TableParagraph"/>
              <w:spacing w:before="6"/>
              <w:rPr>
                <w:sz w:val="14"/>
              </w:rPr>
            </w:pPr>
          </w:p>
          <w:p>
            <w:pPr>
              <w:pStyle w:val="TableParagraph"/>
              <w:spacing w:before="1"/>
              <w:ind w:left="112"/>
              <w:rPr>
                <w:sz w:val="18"/>
              </w:rPr>
            </w:pPr>
            <w:r>
              <w:rPr>
                <w:sz w:val="18"/>
              </w:rPr>
              <w:t>直埋、排管、电缆沟、空气</w:t>
            </w:r>
          </w:p>
        </w:tc>
      </w:tr>
    </w:tbl>
    <w:p>
      <w:pPr>
        <w:spacing w:after="0"/>
        <w:rPr>
          <w:sz w:val="18"/>
        </w:rPr>
        <w:sectPr>
          <w:pgSz w:w="11910" w:h="16850"/>
          <w:pgMar w:top="1500" w:bottom="280" w:left="1360" w:right="1360"/>
        </w:sectPr>
      </w:pPr>
    </w:p>
    <w:p>
      <w:pPr>
        <w:pStyle w:val="BodyText"/>
        <w:spacing w:before="9"/>
        <w:rPr>
          <w:sz w:val="29"/>
        </w:rPr>
      </w:pPr>
    </w:p>
    <w:p>
      <w:pPr>
        <w:pStyle w:val="ListParagraph"/>
        <w:numPr>
          <w:ilvl w:val="0"/>
          <w:numId w:val="32"/>
        </w:numPr>
        <w:tabs>
          <w:tab w:pos="672" w:val="left" w:leader="none"/>
        </w:tabs>
        <w:spacing w:line="240" w:lineRule="auto" w:before="46" w:after="0"/>
        <w:ind w:left="671" w:right="0" w:hanging="231"/>
        <w:jc w:val="left"/>
        <w:rPr>
          <w:rFonts w:ascii="PMingLiU" w:eastAsia="PMingLiU" w:hint="eastAsia"/>
          <w:sz w:val="21"/>
        </w:rPr>
      </w:pPr>
      <w:bookmarkStart w:name="4  试验" w:id="24"/>
      <w:bookmarkEnd w:id="24"/>
      <w:r>
        <w:rPr/>
      </w:r>
      <w:bookmarkStart w:name="_bookmark3" w:id="25"/>
      <w:bookmarkEnd w:id="25"/>
      <w:r>
        <w:rPr/>
      </w:r>
      <w:bookmarkStart w:name="_bookmark3" w:id="26"/>
      <w:bookmarkEnd w:id="26"/>
      <w:r>
        <w:rPr>
          <w:rFonts w:ascii="PMingLiU" w:eastAsia="PMingLiU" w:hint="eastAsia"/>
          <w:sz w:val="21"/>
        </w:rPr>
        <w:t>试验</w:t>
      </w:r>
    </w:p>
    <w:p>
      <w:pPr>
        <w:pStyle w:val="BodyText"/>
        <w:spacing w:before="221"/>
        <w:ind w:left="440"/>
      </w:pPr>
      <w:r>
        <w:rPr/>
        <w:t>根据最新版的IEC标准和国家标准（GB）进行试验。试验中，要遵循并执行下列附加要求和</w:t>
      </w:r>
    </w:p>
    <w:p>
      <w:pPr>
        <w:pStyle w:val="BodyText"/>
        <w:spacing w:before="6"/>
        <w:rPr>
          <w:sz w:val="15"/>
        </w:rPr>
      </w:pPr>
    </w:p>
    <w:p>
      <w:pPr>
        <w:pStyle w:val="BodyText"/>
        <w:ind w:left="440"/>
      </w:pPr>
      <w:r>
        <w:rPr/>
        <w:t>IEC的补充说明。</w:t>
      </w:r>
    </w:p>
    <w:p>
      <w:pPr>
        <w:pStyle w:val="BodyText"/>
        <w:spacing w:before="7"/>
        <w:rPr>
          <w:sz w:val="15"/>
        </w:rPr>
      </w:pPr>
    </w:p>
    <w:p>
      <w:pPr>
        <w:pStyle w:val="ListParagraph"/>
        <w:numPr>
          <w:ilvl w:val="1"/>
          <w:numId w:val="32"/>
        </w:numPr>
        <w:tabs>
          <w:tab w:pos="867" w:val="left" w:leader="none"/>
        </w:tabs>
        <w:spacing w:line="240" w:lineRule="auto" w:before="0" w:after="0"/>
        <w:ind w:left="866" w:right="0" w:hanging="426"/>
        <w:jc w:val="left"/>
        <w:rPr>
          <w:sz w:val="21"/>
        </w:rPr>
      </w:pPr>
      <w:bookmarkStart w:name="4.1 型式试验" w:id="27"/>
      <w:bookmarkEnd w:id="27"/>
      <w:r>
        <w:rPr/>
      </w:r>
      <w:bookmarkStart w:name="4.1 型式试验" w:id="28"/>
      <w:bookmarkEnd w:id="28"/>
      <w:r>
        <w:rPr>
          <w:sz w:val="21"/>
        </w:rPr>
        <w:t>型式试验</w:t>
      </w:r>
    </w:p>
    <w:p>
      <w:pPr>
        <w:pStyle w:val="BodyText"/>
        <w:spacing w:before="7"/>
        <w:rPr>
          <w:sz w:val="15"/>
        </w:rPr>
      </w:pPr>
    </w:p>
    <w:p>
      <w:pPr>
        <w:pStyle w:val="BodyText"/>
        <w:spacing w:before="1"/>
        <w:ind w:left="440"/>
      </w:pPr>
      <w:r>
        <w:rPr/>
        <w:t>按 GB12706.2 的要求进行电气型式试验和非电气型式试验。</w:t>
      </w:r>
    </w:p>
    <w:p>
      <w:pPr>
        <w:pStyle w:val="BodyText"/>
        <w:spacing w:before="6"/>
        <w:rPr>
          <w:sz w:val="15"/>
        </w:rPr>
      </w:pPr>
    </w:p>
    <w:p>
      <w:pPr>
        <w:pStyle w:val="ListParagraph"/>
        <w:numPr>
          <w:ilvl w:val="1"/>
          <w:numId w:val="32"/>
        </w:numPr>
        <w:tabs>
          <w:tab w:pos="867" w:val="left" w:leader="none"/>
        </w:tabs>
        <w:spacing w:line="240" w:lineRule="auto" w:before="0" w:after="0"/>
        <w:ind w:left="866" w:right="0" w:hanging="426"/>
        <w:jc w:val="left"/>
        <w:rPr>
          <w:sz w:val="21"/>
        </w:rPr>
      </w:pPr>
      <w:bookmarkStart w:name="4.2 出厂试验" w:id="29"/>
      <w:bookmarkEnd w:id="29"/>
      <w:r>
        <w:rPr/>
      </w:r>
      <w:bookmarkStart w:name="4.2 出厂试验" w:id="30"/>
      <w:bookmarkEnd w:id="30"/>
      <w:r>
        <w:rPr>
          <w:sz w:val="21"/>
        </w:rPr>
        <w:t>出厂试验</w:t>
      </w:r>
    </w:p>
    <w:p>
      <w:pPr>
        <w:pStyle w:val="BodyText"/>
        <w:spacing w:before="7"/>
        <w:rPr>
          <w:sz w:val="15"/>
        </w:rPr>
      </w:pPr>
    </w:p>
    <w:p>
      <w:pPr>
        <w:pStyle w:val="BodyText"/>
        <w:ind w:left="440"/>
      </w:pPr>
      <w:r>
        <w:rPr/>
        <w:t>每批电缆出厂前，制造厂必须对每盘电缆按GB 12706以及下述要求进行出厂试验。</w:t>
      </w:r>
    </w:p>
    <w:p>
      <w:pPr>
        <w:pStyle w:val="BodyText"/>
        <w:spacing w:before="7"/>
        <w:rPr>
          <w:sz w:val="15"/>
        </w:rPr>
      </w:pPr>
    </w:p>
    <w:p>
      <w:pPr>
        <w:pStyle w:val="ListParagraph"/>
        <w:numPr>
          <w:ilvl w:val="2"/>
          <w:numId w:val="32"/>
        </w:numPr>
        <w:tabs>
          <w:tab w:pos="1075" w:val="left" w:leader="none"/>
        </w:tabs>
        <w:spacing w:line="240" w:lineRule="auto" w:before="0" w:after="0"/>
        <w:ind w:left="1075" w:right="0" w:hanging="635"/>
        <w:jc w:val="left"/>
        <w:rPr>
          <w:sz w:val="21"/>
        </w:rPr>
      </w:pPr>
      <w:r>
        <w:rPr>
          <w:sz w:val="21"/>
        </w:rPr>
        <w:t>导体电阻测量</w:t>
      </w:r>
    </w:p>
    <w:p>
      <w:pPr>
        <w:pStyle w:val="BodyText"/>
        <w:spacing w:before="7"/>
        <w:rPr>
          <w:sz w:val="15"/>
        </w:rPr>
      </w:pPr>
    </w:p>
    <w:p>
      <w:pPr>
        <w:pStyle w:val="BodyText"/>
        <w:spacing w:line="417" w:lineRule="auto"/>
        <w:ind w:left="440" w:right="235"/>
      </w:pPr>
      <w:r>
        <w:rPr/>
        <w:t>应对每一根电缆长度所有导体进行测量。成品电缆或从成品电缆上取下的试样，应在保持 适当温度的试验室内至少存放</w:t>
      </w:r>
      <w:r>
        <w:rPr>
          <w:spacing w:val="1"/>
        </w:rPr>
        <w:t>12h</w:t>
      </w:r>
      <w:r>
        <w:rPr/>
        <w:t>后测量。若怀疑导体温度是否与室温一致，电缆应在试验室内存放24 h</w:t>
      </w:r>
      <w:r>
        <w:rPr>
          <w:spacing w:val="-3"/>
        </w:rPr>
        <w:t> 后测量。也可选取另一种方法，即将导体试样浸在温度可以控制的液体槽内， 至少浸入1 </w:t>
      </w:r>
      <w:r>
        <w:rPr>
          <w:spacing w:val="2"/>
        </w:rPr>
        <w:t>h</w:t>
      </w:r>
      <w:r>
        <w:rPr/>
        <w:t>后测量电阻。电阻测量值应按 GB/T 3956 规定的公式和系数校正到 20</w:t>
      </w:r>
      <w:r>
        <w:rPr>
          <w:spacing w:val="-3"/>
        </w:rPr>
        <w:t>℃下 </w:t>
      </w:r>
      <w:r>
        <w:rPr/>
        <w:t>1</w:t>
      </w:r>
    </w:p>
    <w:p>
      <w:pPr>
        <w:pStyle w:val="BodyText"/>
        <w:spacing w:line="417" w:lineRule="auto"/>
        <w:ind w:left="440" w:right="440"/>
      </w:pPr>
      <w:r>
        <w:rPr/>
        <w:t>kｍ长度的数值。每一根导体 20℃ 时的直流电阻应不超过 GB/T 3956 规定的相应的最大值 。</w:t>
      </w:r>
    </w:p>
    <w:p>
      <w:pPr>
        <w:pStyle w:val="ListParagraph"/>
        <w:numPr>
          <w:ilvl w:val="2"/>
          <w:numId w:val="32"/>
        </w:numPr>
        <w:tabs>
          <w:tab w:pos="1075" w:val="left" w:leader="none"/>
        </w:tabs>
        <w:spacing w:line="240" w:lineRule="auto" w:before="0" w:after="0"/>
        <w:ind w:left="1075" w:right="0" w:hanging="635"/>
        <w:jc w:val="left"/>
        <w:rPr>
          <w:sz w:val="21"/>
        </w:rPr>
      </w:pPr>
      <w:r>
        <w:rPr>
          <w:sz w:val="21"/>
        </w:rPr>
        <w:t>局部放电试验</w:t>
      </w:r>
    </w:p>
    <w:p>
      <w:pPr>
        <w:pStyle w:val="BodyText"/>
        <w:spacing w:before="7"/>
        <w:rPr>
          <w:sz w:val="15"/>
        </w:rPr>
      </w:pPr>
    </w:p>
    <w:p>
      <w:pPr>
        <w:pStyle w:val="BodyText"/>
        <w:ind w:left="440"/>
      </w:pPr>
      <w:r>
        <w:rPr/>
        <w:t>应按GB/T 3048.12 规定进行局部放电试验。</w:t>
      </w:r>
    </w:p>
    <w:p>
      <w:pPr>
        <w:pStyle w:val="BodyText"/>
        <w:spacing w:before="7"/>
        <w:rPr>
          <w:sz w:val="15"/>
        </w:rPr>
      </w:pPr>
    </w:p>
    <w:p>
      <w:pPr>
        <w:pStyle w:val="ListParagraph"/>
        <w:numPr>
          <w:ilvl w:val="2"/>
          <w:numId w:val="32"/>
        </w:numPr>
        <w:tabs>
          <w:tab w:pos="1075" w:val="left" w:leader="none"/>
        </w:tabs>
        <w:spacing w:line="240" w:lineRule="auto" w:before="0" w:after="0"/>
        <w:ind w:left="1075" w:right="0" w:hanging="635"/>
        <w:jc w:val="left"/>
        <w:rPr>
          <w:sz w:val="21"/>
        </w:rPr>
      </w:pPr>
      <w:r>
        <w:rPr>
          <w:sz w:val="21"/>
        </w:rPr>
        <w:t>交流耐压试验</w:t>
      </w:r>
    </w:p>
    <w:p>
      <w:pPr>
        <w:pStyle w:val="BodyText"/>
        <w:spacing w:before="7"/>
        <w:rPr>
          <w:sz w:val="15"/>
        </w:rPr>
      </w:pPr>
    </w:p>
    <w:p>
      <w:pPr>
        <w:pStyle w:val="ListParagraph"/>
        <w:numPr>
          <w:ilvl w:val="1"/>
          <w:numId w:val="36"/>
        </w:numPr>
        <w:tabs>
          <w:tab w:pos="867" w:val="left" w:leader="none"/>
        </w:tabs>
        <w:spacing w:line="240" w:lineRule="auto" w:before="0" w:after="0"/>
        <w:ind w:left="866" w:right="0" w:hanging="426"/>
        <w:jc w:val="left"/>
        <w:rPr>
          <w:sz w:val="21"/>
        </w:rPr>
      </w:pPr>
      <w:bookmarkStart w:name="4.3 抽样试验" w:id="31"/>
      <w:bookmarkEnd w:id="31"/>
      <w:r>
        <w:rPr/>
      </w:r>
      <w:bookmarkStart w:name="4.3 抽样试验" w:id="32"/>
      <w:bookmarkEnd w:id="32"/>
      <w:r>
        <w:rPr>
          <w:sz w:val="21"/>
        </w:rPr>
        <w:t>抽样试验</w:t>
      </w:r>
    </w:p>
    <w:p>
      <w:pPr>
        <w:pStyle w:val="BodyText"/>
        <w:spacing w:before="7"/>
        <w:rPr>
          <w:sz w:val="15"/>
        </w:rPr>
      </w:pPr>
    </w:p>
    <w:p>
      <w:pPr>
        <w:pStyle w:val="ListParagraph"/>
        <w:numPr>
          <w:ilvl w:val="2"/>
          <w:numId w:val="36"/>
        </w:numPr>
        <w:tabs>
          <w:tab w:pos="975" w:val="left" w:leader="none"/>
        </w:tabs>
        <w:spacing w:line="240" w:lineRule="auto" w:before="0" w:after="0"/>
        <w:ind w:left="974" w:right="0" w:hanging="534"/>
        <w:jc w:val="left"/>
        <w:rPr>
          <w:sz w:val="21"/>
        </w:rPr>
      </w:pPr>
      <w:r>
        <w:rPr>
          <w:sz w:val="21"/>
        </w:rPr>
        <w:t>导体检查和尺寸检查</w:t>
      </w:r>
    </w:p>
    <w:p>
      <w:pPr>
        <w:pStyle w:val="BodyText"/>
        <w:spacing w:before="7"/>
        <w:rPr>
          <w:sz w:val="15"/>
        </w:rPr>
      </w:pPr>
    </w:p>
    <w:p>
      <w:pPr>
        <w:pStyle w:val="BodyText"/>
        <w:spacing w:line="417" w:lineRule="auto"/>
        <w:ind w:left="440" w:right="452"/>
      </w:pPr>
      <w:r>
        <w:rPr>
          <w:w w:val="95"/>
        </w:rPr>
        <w:t>导体检查,绝缘和护套厚度测量以及电缆外径的测量应在每批同一型号和规格电缆中的一根  </w:t>
      </w:r>
      <w:r>
        <w:rPr/>
        <w:t>制造长度的电缆上进行,但应限制不超过合同长度数量的10%。</w:t>
      </w:r>
    </w:p>
    <w:p>
      <w:pPr>
        <w:pStyle w:val="ListParagraph"/>
        <w:numPr>
          <w:ilvl w:val="2"/>
          <w:numId w:val="36"/>
        </w:numPr>
        <w:tabs>
          <w:tab w:pos="975" w:val="left" w:leader="none"/>
        </w:tabs>
        <w:spacing w:line="240" w:lineRule="auto" w:before="0" w:after="0"/>
        <w:ind w:left="974" w:right="0" w:hanging="534"/>
        <w:jc w:val="left"/>
        <w:rPr>
          <w:sz w:val="21"/>
        </w:rPr>
      </w:pPr>
      <w:r>
        <w:rPr>
          <w:sz w:val="21"/>
        </w:rPr>
        <w:t>导体检查</w:t>
      </w:r>
    </w:p>
    <w:p>
      <w:pPr>
        <w:pStyle w:val="BodyText"/>
        <w:spacing w:before="7"/>
        <w:rPr>
          <w:sz w:val="15"/>
        </w:rPr>
      </w:pPr>
    </w:p>
    <w:p>
      <w:pPr>
        <w:pStyle w:val="BodyText"/>
        <w:ind w:left="440"/>
      </w:pPr>
      <w:r>
        <w:rPr/>
        <w:t>按GB/T 3956 规定的导体结构要求应采用目测，如有可能可采用测量方法进行检查。</w:t>
      </w:r>
    </w:p>
    <w:p>
      <w:pPr>
        <w:pStyle w:val="BodyText"/>
        <w:spacing w:before="7"/>
        <w:rPr>
          <w:sz w:val="15"/>
        </w:rPr>
      </w:pPr>
    </w:p>
    <w:p>
      <w:pPr>
        <w:pStyle w:val="ListParagraph"/>
        <w:numPr>
          <w:ilvl w:val="2"/>
          <w:numId w:val="36"/>
        </w:numPr>
        <w:tabs>
          <w:tab w:pos="975" w:val="left" w:leader="none"/>
        </w:tabs>
        <w:spacing w:line="240" w:lineRule="auto" w:before="0" w:after="0"/>
        <w:ind w:left="974" w:right="0" w:hanging="534"/>
        <w:jc w:val="left"/>
        <w:rPr>
          <w:sz w:val="21"/>
        </w:rPr>
      </w:pPr>
      <w:r>
        <w:rPr>
          <w:sz w:val="21"/>
        </w:rPr>
        <w:t>绝缘和外护套厚度的测量</w:t>
      </w:r>
    </w:p>
    <w:p>
      <w:pPr>
        <w:pStyle w:val="BodyText"/>
        <w:spacing w:before="7"/>
        <w:rPr>
          <w:sz w:val="15"/>
        </w:rPr>
      </w:pPr>
    </w:p>
    <w:p>
      <w:pPr>
        <w:pStyle w:val="BodyText"/>
        <w:spacing w:line="417" w:lineRule="auto"/>
        <w:ind w:left="440" w:right="436"/>
      </w:pPr>
      <w:r>
        <w:rPr>
          <w:spacing w:val="5"/>
        </w:rPr>
        <w:t>应按</w:t>
      </w:r>
      <w:r>
        <w:rPr/>
        <w:t>GB/T 2951.1</w:t>
      </w:r>
      <w:r>
        <w:rPr>
          <w:spacing w:val="5"/>
        </w:rPr>
        <w:t>的规定方法进行测量。为试验而选取的每根电缆长度可用一段电缆来代</w:t>
      </w:r>
      <w:r>
        <w:rPr>
          <w:spacing w:val="-3"/>
        </w:rPr>
        <w:t>表 ,如果必要 ，这段电缆应在已去除可能受到损伤的部分以后，从电缆的一端截取。4.3.4铠装金属丝和金属带的测量</w:t>
      </w:r>
    </w:p>
    <w:p>
      <w:pPr>
        <w:pStyle w:val="BodyText"/>
        <w:ind w:left="440"/>
      </w:pPr>
      <w:r>
        <w:rPr/>
        <w:t>1）铠装金属丝的测量</w:t>
      </w:r>
    </w:p>
    <w:p>
      <w:pPr>
        <w:spacing w:after="0"/>
        <w:sectPr>
          <w:pgSz w:w="11910" w:h="16850"/>
          <w:pgMar w:top="1600" w:bottom="280" w:left="1360" w:right="1360"/>
        </w:sectPr>
      </w:pPr>
    </w:p>
    <w:p>
      <w:pPr>
        <w:pStyle w:val="BodyText"/>
        <w:spacing w:line="417" w:lineRule="auto" w:before="59"/>
        <w:ind w:left="440" w:right="443"/>
        <w:jc w:val="both"/>
      </w:pPr>
      <w:r>
        <w:rPr/>
        <w:t>使用具有两个平测头精度为 </w:t>
      </w:r>
      <w:r>
        <w:rPr>
          <w:rFonts w:ascii="Times New Roman" w:hAnsi="Times New Roman" w:eastAsia="Times New Roman"/>
        </w:rPr>
        <w:t>±</w:t>
      </w:r>
      <w:r>
        <w:rPr/>
        <w:t>0.01 ｍｍ的千分尺来测量圆铠装金属丝的直径和扁铠装金属</w:t>
      </w:r>
      <w:r>
        <w:rPr>
          <w:w w:val="95"/>
        </w:rPr>
        <w:t>丝的厚度,圆金属丝测量应在同一截面上两个互成直角的位置上各测一次,取其平均值作为   </w:t>
      </w:r>
      <w:r>
        <w:rPr/>
        <w:t>金属丝的直径。</w:t>
      </w:r>
    </w:p>
    <w:p>
      <w:pPr>
        <w:pStyle w:val="BodyText"/>
        <w:ind w:left="440"/>
      </w:pPr>
      <w:r>
        <w:rPr/>
        <w:t>2）铠装金属带的测量</w:t>
      </w:r>
    </w:p>
    <w:p>
      <w:pPr>
        <w:pStyle w:val="BodyText"/>
        <w:spacing w:before="7"/>
        <w:rPr>
          <w:sz w:val="15"/>
        </w:rPr>
      </w:pPr>
    </w:p>
    <w:p>
      <w:pPr>
        <w:pStyle w:val="BodyText"/>
        <w:ind w:left="440"/>
      </w:pPr>
      <w:r>
        <w:rPr/>
        <w:t>测量时应使用具有两个直径为 5ｍｍ平测量头，精度为 </w:t>
      </w:r>
      <w:r>
        <w:rPr>
          <w:rFonts w:ascii="Times New Roman" w:hAnsi="Times New Roman" w:eastAsia="Times New Roman"/>
        </w:rPr>
        <w:t>±</w:t>
      </w:r>
      <w:r>
        <w:rPr/>
        <w:t>0.01 ｍｍ 的千分尺,宽为 40ｍ</w:t>
      </w:r>
    </w:p>
    <w:p>
      <w:pPr>
        <w:pStyle w:val="BodyText"/>
        <w:spacing w:before="7"/>
        <w:rPr>
          <w:sz w:val="15"/>
        </w:rPr>
      </w:pPr>
    </w:p>
    <w:p>
      <w:pPr>
        <w:pStyle w:val="BodyText"/>
        <w:spacing w:line="417" w:lineRule="auto"/>
        <w:ind w:left="440" w:right="439"/>
      </w:pPr>
      <w:r>
        <w:rPr/>
        <w:t>ｍ及以下的金属带应在宽度中央测其厚度,对于更宽的带子应在距其每一边缘 20ｍｍ处各测一次,取其平均值作为金属带厚度。</w:t>
      </w:r>
    </w:p>
    <w:p>
      <w:pPr>
        <w:pStyle w:val="ListParagraph"/>
        <w:numPr>
          <w:ilvl w:val="2"/>
          <w:numId w:val="37"/>
        </w:numPr>
        <w:tabs>
          <w:tab w:pos="975" w:val="left" w:leader="none"/>
        </w:tabs>
        <w:spacing w:line="269" w:lineRule="exact" w:before="0" w:after="0"/>
        <w:ind w:left="440" w:right="0" w:firstLine="0"/>
        <w:jc w:val="left"/>
        <w:rPr>
          <w:sz w:val="21"/>
        </w:rPr>
      </w:pPr>
      <w:r>
        <w:rPr>
          <w:sz w:val="21"/>
        </w:rPr>
        <w:t>外径测量</w:t>
      </w:r>
    </w:p>
    <w:p>
      <w:pPr>
        <w:pStyle w:val="BodyText"/>
        <w:spacing w:before="7"/>
        <w:rPr>
          <w:sz w:val="15"/>
        </w:rPr>
      </w:pPr>
    </w:p>
    <w:p>
      <w:pPr>
        <w:pStyle w:val="BodyText"/>
        <w:spacing w:before="1"/>
        <w:ind w:left="440"/>
      </w:pPr>
      <w:r>
        <w:rPr/>
        <w:t>应按 GB/T 2951.1 规定进行。</w:t>
      </w:r>
    </w:p>
    <w:p>
      <w:pPr>
        <w:pStyle w:val="BodyText"/>
        <w:spacing w:before="6"/>
        <w:rPr>
          <w:sz w:val="15"/>
        </w:rPr>
      </w:pPr>
    </w:p>
    <w:p>
      <w:pPr>
        <w:pStyle w:val="ListParagraph"/>
        <w:numPr>
          <w:ilvl w:val="2"/>
          <w:numId w:val="37"/>
        </w:numPr>
        <w:tabs>
          <w:tab w:pos="975" w:val="left" w:leader="none"/>
        </w:tabs>
        <w:spacing w:line="240" w:lineRule="auto" w:before="0" w:after="0"/>
        <w:ind w:left="440" w:right="0" w:firstLine="0"/>
        <w:jc w:val="left"/>
        <w:rPr>
          <w:sz w:val="21"/>
        </w:rPr>
      </w:pPr>
      <w:r>
        <w:rPr>
          <w:sz w:val="21"/>
        </w:rPr>
        <w:t>局部放电试验</w:t>
      </w:r>
    </w:p>
    <w:p>
      <w:pPr>
        <w:pStyle w:val="BodyText"/>
        <w:spacing w:before="7"/>
        <w:rPr>
          <w:sz w:val="15"/>
        </w:rPr>
      </w:pPr>
    </w:p>
    <w:p>
      <w:pPr>
        <w:pStyle w:val="BodyText"/>
        <w:spacing w:line="417" w:lineRule="auto" w:before="1"/>
        <w:ind w:left="440" w:right="451"/>
      </w:pPr>
      <w:r>
        <w:rPr/>
        <w:t>应按GB/T 3048.12 规定进行局部放电试验。三芯电缆的所有绝缘线芯都要进行试验，电压施加于每一根导体和金属屏蔽之间，在1.73 U0 电压下局部放电量应不超过 10 pC。</w:t>
      </w:r>
    </w:p>
    <w:p>
      <w:pPr>
        <w:pStyle w:val="ListParagraph"/>
        <w:numPr>
          <w:ilvl w:val="2"/>
          <w:numId w:val="37"/>
        </w:numPr>
        <w:tabs>
          <w:tab w:pos="1075" w:val="left" w:leader="none"/>
        </w:tabs>
        <w:spacing w:line="240" w:lineRule="auto" w:before="0" w:after="0"/>
        <w:ind w:left="1075" w:right="0" w:hanging="635"/>
        <w:jc w:val="left"/>
        <w:rPr>
          <w:sz w:val="21"/>
        </w:rPr>
      </w:pPr>
      <w:r>
        <w:rPr>
          <w:sz w:val="21"/>
        </w:rPr>
        <w:t>4h交流耐压试验</w:t>
      </w:r>
    </w:p>
    <w:p>
      <w:pPr>
        <w:pStyle w:val="BodyText"/>
        <w:spacing w:before="6"/>
        <w:rPr>
          <w:sz w:val="15"/>
        </w:rPr>
      </w:pPr>
    </w:p>
    <w:p>
      <w:pPr>
        <w:pStyle w:val="BodyText"/>
        <w:spacing w:before="1"/>
        <w:ind w:left="440"/>
      </w:pPr>
      <w:r>
        <w:rPr/>
        <w:t>在室温下，每一导体与金属屏蔽间应施加工频电压 4h ,试验电压为4U0。</w:t>
      </w:r>
    </w:p>
    <w:p>
      <w:pPr>
        <w:pStyle w:val="BodyText"/>
        <w:spacing w:before="6"/>
        <w:rPr>
          <w:sz w:val="15"/>
        </w:rPr>
      </w:pPr>
    </w:p>
    <w:p>
      <w:pPr>
        <w:pStyle w:val="ListParagraph"/>
        <w:numPr>
          <w:ilvl w:val="2"/>
          <w:numId w:val="37"/>
        </w:numPr>
        <w:tabs>
          <w:tab w:pos="1075" w:val="left" w:leader="none"/>
        </w:tabs>
        <w:spacing w:line="417" w:lineRule="auto" w:before="0" w:after="0"/>
        <w:ind w:left="440" w:right="4964" w:firstLine="0"/>
        <w:jc w:val="left"/>
        <w:rPr>
          <w:sz w:val="21"/>
        </w:rPr>
      </w:pPr>
      <w:r>
        <w:rPr>
          <w:sz w:val="21"/>
        </w:rPr>
        <w:t>XLPE</w:t>
      </w:r>
      <w:r>
        <w:rPr>
          <w:spacing w:val="-4"/>
          <w:sz w:val="21"/>
        </w:rPr>
        <w:t> 、</w:t>
      </w:r>
      <w:r>
        <w:rPr>
          <w:sz w:val="21"/>
        </w:rPr>
        <w:t>EPR和HEPR绝缘热延伸试验按 GB/T2951.5规定进行。</w:t>
      </w:r>
    </w:p>
    <w:p>
      <w:pPr>
        <w:pStyle w:val="ListParagraph"/>
        <w:numPr>
          <w:ilvl w:val="2"/>
          <w:numId w:val="37"/>
        </w:numPr>
        <w:tabs>
          <w:tab w:pos="975" w:val="left" w:leader="none"/>
        </w:tabs>
        <w:spacing w:line="240" w:lineRule="auto" w:before="0" w:after="0"/>
        <w:ind w:left="440" w:right="0" w:firstLine="0"/>
        <w:jc w:val="left"/>
        <w:rPr>
          <w:sz w:val="21"/>
        </w:rPr>
      </w:pPr>
      <w:r>
        <w:rPr>
          <w:sz w:val="21"/>
        </w:rPr>
        <w:t>外护套工频耐压试验</w:t>
      </w:r>
    </w:p>
    <w:p>
      <w:pPr>
        <w:pStyle w:val="BodyText"/>
        <w:spacing w:before="8"/>
        <w:rPr>
          <w:sz w:val="15"/>
        </w:rPr>
      </w:pPr>
    </w:p>
    <w:p>
      <w:pPr>
        <w:pStyle w:val="BodyText"/>
        <w:ind w:left="440"/>
      </w:pPr>
      <w:r>
        <w:rPr/>
        <w:t>在电缆外护套上加工频15kV/1min</w:t>
      </w:r>
    </w:p>
    <w:p>
      <w:pPr>
        <w:pStyle w:val="BodyText"/>
        <w:spacing w:before="6"/>
        <w:rPr>
          <w:sz w:val="15"/>
        </w:rPr>
      </w:pPr>
    </w:p>
    <w:p>
      <w:pPr>
        <w:pStyle w:val="ListParagraph"/>
        <w:numPr>
          <w:ilvl w:val="2"/>
          <w:numId w:val="37"/>
        </w:numPr>
        <w:tabs>
          <w:tab w:pos="1075" w:val="left" w:leader="none"/>
        </w:tabs>
        <w:spacing w:line="240" w:lineRule="auto" w:before="0" w:after="0"/>
        <w:ind w:left="1075" w:right="0" w:hanging="635"/>
        <w:jc w:val="left"/>
        <w:rPr>
          <w:sz w:val="21"/>
        </w:rPr>
      </w:pPr>
      <w:r>
        <w:rPr>
          <w:sz w:val="21"/>
        </w:rPr>
        <w:t>可剥离绝缘屏蔽的可剥离试验</w:t>
      </w:r>
    </w:p>
    <w:p>
      <w:pPr>
        <w:pStyle w:val="BodyText"/>
        <w:spacing w:before="7"/>
        <w:rPr>
          <w:sz w:val="15"/>
        </w:rPr>
      </w:pPr>
    </w:p>
    <w:p>
      <w:pPr>
        <w:pStyle w:val="BodyText"/>
        <w:spacing w:line="417" w:lineRule="auto"/>
        <w:ind w:left="440" w:right="432"/>
        <w:jc w:val="both"/>
      </w:pPr>
      <w:r>
        <w:rPr/>
        <w:t>试验应在老化前和老化后的样品上各进行三次，可在三个单独的电缆试样上进行试验，也可在同一个电缆试样上沿圆周方向彼此间隔约 120o 的三不同位置上进行试验。应从老化</w:t>
      </w:r>
      <w:r>
        <w:rPr>
          <w:spacing w:val="-1"/>
        </w:rPr>
        <w:t>前和老化后的被试电缆上取下长度至少 </w:t>
      </w:r>
      <w:r>
        <w:rPr/>
        <w:t>250</w:t>
      </w:r>
      <w:r>
        <w:rPr>
          <w:spacing w:val="-11"/>
        </w:rPr>
        <w:t> </w:t>
      </w:r>
      <w:r>
        <w:rPr/>
        <w:t>ｍｍ的绝缘线芯以用作试验。在每一个试样的</w:t>
      </w:r>
      <w:r>
        <w:rPr>
          <w:w w:val="95"/>
        </w:rPr>
        <w:t>挤包绝缘屏蔽表面上从试样的一端到另一端向绝缘纵向切割成两道彼此相隔宽(</w:t>
      </w:r>
      <w:r>
        <w:rPr>
          <w:spacing w:val="1"/>
          <w:w w:val="95"/>
        </w:rPr>
        <w:t>10</w:t>
      </w:r>
      <w:r>
        <w:rPr>
          <w:rFonts w:ascii="Times New Roman" w:hAnsi="Times New Roman" w:eastAsia="Times New Roman"/>
          <w:spacing w:val="1"/>
          <w:w w:val="95"/>
        </w:rPr>
        <w:t>±</w:t>
      </w:r>
      <w:r>
        <w:rPr>
          <w:spacing w:val="1"/>
          <w:w w:val="95"/>
        </w:rPr>
        <w:t>1)ｍｍ   </w:t>
      </w:r>
      <w:r>
        <w:rPr>
          <w:spacing w:val="-1"/>
        </w:rPr>
        <w:t>相互平行的刀痕。沿平行于绝缘线芯方(也就是剥切角近似于 </w:t>
      </w:r>
      <w:r>
        <w:rPr/>
        <w:t>180o</w:t>
      </w:r>
      <w:r>
        <w:rPr>
          <w:spacing w:val="-1"/>
        </w:rPr>
        <w:t>)拉开长 </w:t>
      </w:r>
      <w:r>
        <w:rPr/>
        <w:t>50ｍｍ</w:t>
      </w:r>
      <w:r>
        <w:rPr>
          <w:spacing w:val="-2"/>
        </w:rPr>
        <w:t>、宽 </w:t>
      </w:r>
      <w:r>
        <w:rPr/>
        <w:t>10</w:t>
      </w:r>
    </w:p>
    <w:p>
      <w:pPr>
        <w:pStyle w:val="BodyText"/>
        <w:spacing w:line="417" w:lineRule="auto" w:before="1"/>
        <w:ind w:left="440" w:right="235"/>
      </w:pPr>
      <w:r>
        <w:rPr/>
        <w:t>ｍｍ</w:t>
      </w:r>
      <w:r>
        <w:rPr>
          <w:spacing w:val="-2"/>
        </w:rPr>
        <w:t>的一条型带后 ，将绝缘线芯垂直地装在一拉力机上，用夹头夹在绝缘线芯的一端，另</w:t>
      </w:r>
      <w:r>
        <w:rPr>
          <w:spacing w:val="-3"/>
        </w:rPr>
        <w:t>一端为 </w:t>
      </w:r>
      <w:r>
        <w:rPr/>
        <w:t>10 mm 条型带，夹在另一个夹头上。拉力分别加在绝缘和 10ｍｍ条形带上,抖动至</w:t>
      </w:r>
      <w:r>
        <w:rPr>
          <w:spacing w:val="2"/>
        </w:rPr>
        <w:t>少约 </w:t>
      </w:r>
      <w:r>
        <w:rPr>
          <w:spacing w:val="1"/>
        </w:rPr>
        <w:t>100ｍｍ</w:t>
      </w:r>
      <w:r>
        <w:rPr/>
        <w:t> 长的距离,在剥切角近似于 180o</w:t>
      </w:r>
      <w:r>
        <w:rPr>
          <w:spacing w:val="3"/>
        </w:rPr>
        <w:t> 和速度为</w:t>
      </w:r>
      <w:r>
        <w:rPr/>
        <w:t>(250</w:t>
      </w:r>
      <w:r>
        <w:rPr>
          <w:rFonts w:ascii="Times New Roman" w:hAnsi="Times New Roman" w:eastAsia="Times New Roman"/>
        </w:rPr>
        <w:t>±</w:t>
      </w:r>
      <w:r>
        <w:rPr/>
        <w:t>50)ｍｍ/min条件下进行试</w:t>
      </w:r>
      <w:r>
        <w:rPr>
          <w:w w:val="95"/>
        </w:rPr>
        <w:t>验。试验应在(250</w:t>
      </w:r>
      <w:r>
        <w:rPr>
          <w:rFonts w:ascii="Times New Roman" w:hAnsi="Times New Roman" w:eastAsia="Times New Roman"/>
          <w:w w:val="95"/>
        </w:rPr>
        <w:t>±</w:t>
      </w:r>
      <w:r>
        <w:rPr>
          <w:w w:val="95"/>
        </w:rPr>
        <w:t>5)℃温度下进行。对未老化和老化后的试样应连续地记录其剥离力数值。  </w:t>
      </w:r>
      <w:r>
        <w:rPr/>
        <w:t>从老化前后的试样绝缘上剥下挤包半导电屏蔽的剥离力应不小于 4</w:t>
      </w:r>
      <w:r>
        <w:rPr>
          <w:spacing w:val="1"/>
        </w:rPr>
        <w:t>Ｎ 和不大于 </w:t>
      </w:r>
      <w:r>
        <w:rPr/>
        <w:t>45Ｎ，绝缘表面应 无损伤，并无半导电屏蔽痕迹留在绝缘上。</w:t>
      </w:r>
    </w:p>
    <w:p>
      <w:pPr>
        <w:spacing w:after="0" w:line="417" w:lineRule="auto"/>
        <w:sectPr>
          <w:pgSz w:w="11910" w:h="16850"/>
          <w:pgMar w:top="1480" w:bottom="280" w:left="1360" w:right="1360"/>
        </w:sectPr>
      </w:pPr>
    </w:p>
    <w:p>
      <w:pPr>
        <w:pStyle w:val="BodyText"/>
        <w:spacing w:before="39"/>
        <w:ind w:left="440"/>
      </w:pPr>
      <w:bookmarkStart w:name="4.4 现场试验" w:id="33"/>
      <w:bookmarkEnd w:id="33"/>
      <w:r>
        <w:rPr/>
      </w:r>
      <w:r>
        <w:rPr/>
        <w:t>4.4 现场试验</w:t>
      </w:r>
    </w:p>
    <w:p>
      <w:pPr>
        <w:pStyle w:val="BodyText"/>
        <w:spacing w:before="6"/>
        <w:rPr>
          <w:sz w:val="15"/>
        </w:rPr>
      </w:pPr>
    </w:p>
    <w:p>
      <w:pPr>
        <w:pStyle w:val="BodyText"/>
        <w:spacing w:line="417" w:lineRule="auto"/>
        <w:ind w:left="440" w:right="426"/>
      </w:pPr>
      <w:r>
        <w:rPr/>
        <w:t>按</w:t>
      </w:r>
      <w:r>
        <w:rPr>
          <w:rFonts w:ascii="Verdana" w:eastAsia="Verdana"/>
          <w:color w:val="333333"/>
        </w:rPr>
        <w:t>DL/T 596</w:t>
      </w:r>
      <w:r>
        <w:rPr>
          <w:color w:val="333333"/>
        </w:rPr>
        <w:t>《电力设备预防性试验规程》及</w:t>
      </w:r>
      <w:r>
        <w:rPr>
          <w:rFonts w:ascii="Verdana" w:eastAsia="Verdana"/>
          <w:color w:val="333333"/>
        </w:rPr>
        <w:t>GB 50150</w:t>
      </w:r>
      <w:r>
        <w:rPr>
          <w:color w:val="333333"/>
        </w:rPr>
        <w:t>《电气装置安装工程电气设备交接试验标准》</w:t>
      </w:r>
      <w:r>
        <w:rPr/>
        <w:t>相关项目和标准。</w:t>
      </w:r>
    </w:p>
    <w:p>
      <w:pPr>
        <w:pStyle w:val="ListParagraph"/>
        <w:numPr>
          <w:ilvl w:val="0"/>
          <w:numId w:val="36"/>
        </w:numPr>
        <w:tabs>
          <w:tab w:pos="1211" w:val="left" w:leader="none"/>
          <w:tab w:pos="1212" w:val="left" w:leader="none"/>
        </w:tabs>
        <w:spacing w:line="240" w:lineRule="auto" w:before="19" w:after="0"/>
        <w:ind w:left="1211" w:right="0" w:hanging="360"/>
        <w:jc w:val="left"/>
        <w:rPr>
          <w:rFonts w:ascii="Microsoft YaHei" w:eastAsia="Microsoft YaHei" w:hint="eastAsia"/>
          <w:sz w:val="21"/>
        </w:rPr>
      </w:pPr>
      <w:bookmarkStart w:name="5 包装及运输" w:id="34"/>
      <w:bookmarkEnd w:id="34"/>
      <w:r>
        <w:rPr/>
      </w:r>
      <w:bookmarkStart w:name="_bookmark4" w:id="35"/>
      <w:bookmarkEnd w:id="35"/>
      <w:r>
        <w:rPr/>
      </w:r>
      <w:bookmarkStart w:name="_bookmark4" w:id="36"/>
      <w:bookmarkEnd w:id="36"/>
      <w:r>
        <w:rPr>
          <w:rFonts w:ascii="PMingLiU" w:eastAsia="PMingLiU" w:hint="eastAsia"/>
          <w:sz w:val="21"/>
        </w:rPr>
        <w:t>包装及运输</w:t>
      </w:r>
    </w:p>
    <w:p>
      <w:pPr>
        <w:pStyle w:val="BodyText"/>
        <w:spacing w:before="7"/>
        <w:rPr>
          <w:rFonts w:ascii="PMingLiU"/>
          <w:sz w:val="29"/>
        </w:rPr>
      </w:pPr>
    </w:p>
    <w:p>
      <w:pPr>
        <w:pStyle w:val="ListParagraph"/>
        <w:numPr>
          <w:ilvl w:val="1"/>
          <w:numId w:val="38"/>
        </w:numPr>
        <w:tabs>
          <w:tab w:pos="831" w:val="left" w:leader="none"/>
        </w:tabs>
        <w:spacing w:line="398" w:lineRule="auto" w:before="0" w:after="0"/>
        <w:ind w:left="440" w:right="428" w:firstLine="0"/>
        <w:jc w:val="left"/>
        <w:rPr>
          <w:sz w:val="22"/>
        </w:rPr>
      </w:pPr>
      <w:r>
        <w:rPr>
          <w:spacing w:val="-8"/>
          <w:sz w:val="22"/>
        </w:rPr>
        <w:t>成品电缆的外护套表面应连续印有电缆型号、规格、厂名、制造年月和长度标志。</w:t>
      </w:r>
      <w:r>
        <w:rPr>
          <w:spacing w:val="-10"/>
          <w:sz w:val="22"/>
        </w:rPr>
        <w:t>不得采用凹印。标志应字迹清楚，容易辨认，耐擦。并符合 </w:t>
      </w:r>
      <w:r>
        <w:rPr>
          <w:sz w:val="22"/>
        </w:rPr>
        <w:t>GB</w:t>
      </w:r>
      <w:r>
        <w:rPr>
          <w:spacing w:val="3"/>
          <w:sz w:val="22"/>
        </w:rPr>
        <w:t> </w:t>
      </w:r>
      <w:r>
        <w:rPr>
          <w:spacing w:val="-3"/>
          <w:sz w:val="22"/>
        </w:rPr>
        <w:t>6995.3</w:t>
      </w:r>
      <w:r>
        <w:rPr>
          <w:spacing w:val="-17"/>
          <w:sz w:val="22"/>
        </w:rPr>
        <w:t> 规定。</w:t>
      </w:r>
    </w:p>
    <w:p>
      <w:pPr>
        <w:pStyle w:val="ListParagraph"/>
        <w:numPr>
          <w:ilvl w:val="1"/>
          <w:numId w:val="38"/>
        </w:numPr>
        <w:tabs>
          <w:tab w:pos="888" w:val="left" w:leader="none"/>
        </w:tabs>
        <w:spacing w:line="398" w:lineRule="auto" w:before="0" w:after="0"/>
        <w:ind w:left="440" w:right="215" w:firstLine="0"/>
        <w:jc w:val="left"/>
        <w:rPr>
          <w:sz w:val="22"/>
        </w:rPr>
      </w:pPr>
      <w:r>
        <w:rPr>
          <w:sz w:val="22"/>
        </w:rPr>
        <w:t>电缆交货应使用电缆盘，两端应有可靠的防水密封保护，电缆盘上应标明：盘号、</w:t>
      </w:r>
      <w:r>
        <w:rPr>
          <w:spacing w:val="-8"/>
          <w:sz w:val="22"/>
        </w:rPr>
        <w:t>电缆型号、规格、长度、毛重、厂名、正确旋转方向及制造年月和买方名称。</w:t>
      </w:r>
    </w:p>
    <w:p>
      <w:pPr>
        <w:pStyle w:val="ListParagraph"/>
        <w:numPr>
          <w:ilvl w:val="1"/>
          <w:numId w:val="38"/>
        </w:numPr>
        <w:tabs>
          <w:tab w:pos="888" w:val="left" w:leader="none"/>
        </w:tabs>
        <w:spacing w:line="240" w:lineRule="auto" w:before="1" w:after="0"/>
        <w:ind w:left="887" w:right="0" w:hanging="447"/>
        <w:jc w:val="left"/>
        <w:rPr>
          <w:sz w:val="22"/>
        </w:rPr>
      </w:pPr>
      <w:r>
        <w:rPr>
          <w:spacing w:val="-8"/>
          <w:sz w:val="22"/>
        </w:rPr>
        <w:t>每盘电缆长度根据需方要求提供，交货长度应为正公差。</w:t>
      </w:r>
    </w:p>
    <w:p>
      <w:pPr>
        <w:pStyle w:val="ListParagraph"/>
        <w:numPr>
          <w:ilvl w:val="1"/>
          <w:numId w:val="38"/>
        </w:numPr>
        <w:tabs>
          <w:tab w:pos="888" w:val="left" w:leader="none"/>
        </w:tabs>
        <w:spacing w:line="240" w:lineRule="auto" w:before="186" w:after="0"/>
        <w:ind w:left="887" w:right="0" w:hanging="447"/>
        <w:jc w:val="left"/>
        <w:rPr>
          <w:sz w:val="22"/>
        </w:rPr>
      </w:pPr>
      <w:r>
        <w:rPr>
          <w:spacing w:val="-8"/>
          <w:sz w:val="22"/>
        </w:rPr>
        <w:t>封盘方式依据运输条件而定。</w:t>
      </w:r>
    </w:p>
    <w:p>
      <w:pPr>
        <w:pStyle w:val="ListParagraph"/>
        <w:numPr>
          <w:ilvl w:val="1"/>
          <w:numId w:val="38"/>
        </w:numPr>
        <w:tabs>
          <w:tab w:pos="888" w:val="left" w:leader="none"/>
        </w:tabs>
        <w:spacing w:line="240" w:lineRule="auto" w:before="187" w:after="0"/>
        <w:ind w:left="887" w:right="0" w:hanging="447"/>
        <w:jc w:val="left"/>
        <w:rPr>
          <w:sz w:val="22"/>
        </w:rPr>
      </w:pPr>
      <w:r>
        <w:rPr>
          <w:spacing w:val="-8"/>
          <w:sz w:val="22"/>
        </w:rPr>
        <w:t>出厂试验报告应附在电缆盘上。</w:t>
      </w:r>
    </w:p>
    <w:p>
      <w:pPr>
        <w:spacing w:after="0" w:line="240" w:lineRule="auto"/>
        <w:jc w:val="left"/>
        <w:rPr>
          <w:sz w:val="22"/>
        </w:rPr>
        <w:sectPr>
          <w:pgSz w:w="11910" w:h="16850"/>
          <w:pgMar w:top="1500" w:bottom="280" w:left="1360" w:right="1360"/>
        </w:sectPr>
      </w:pPr>
    </w:p>
    <w:p>
      <w:pPr>
        <w:spacing w:before="157"/>
        <w:ind w:left="664" w:right="0" w:firstLine="0"/>
        <w:jc w:val="left"/>
        <w:rPr>
          <w:sz w:val="23"/>
        </w:rPr>
      </w:pPr>
      <w:r>
        <w:rPr>
          <w:w w:val="105"/>
          <w:sz w:val="23"/>
        </w:rPr>
        <w:t>附件 2：10kV 电力电缆技术规范</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78"/>
        <w:ind w:left="0" w:right="0" w:firstLine="0"/>
        <w:jc w:val="center"/>
        <w:rPr>
          <w:sz w:val="52"/>
        </w:rPr>
      </w:pPr>
      <w:r>
        <w:rPr>
          <w:sz w:val="52"/>
        </w:rPr>
        <w:t>10kV 电力电缆技术规范</w:t>
      </w:r>
    </w:p>
    <w:p>
      <w:pPr>
        <w:pStyle w:val="BodyText"/>
        <w:rPr>
          <w:sz w:val="56"/>
        </w:rPr>
      </w:pPr>
    </w:p>
    <w:p>
      <w:pPr>
        <w:spacing w:before="1"/>
        <w:ind w:left="32" w:right="26" w:firstLine="0"/>
        <w:jc w:val="center"/>
        <w:rPr>
          <w:rFonts w:ascii="Microsoft YaHei" w:eastAsia="Microsoft YaHei" w:hint="eastAsia"/>
          <w:b/>
          <w:sz w:val="36"/>
        </w:rPr>
      </w:pPr>
      <w:r>
        <w:rPr>
          <w:rFonts w:ascii="Microsoft YaHei" w:eastAsia="Microsoft YaHei" w:hint="eastAsia"/>
          <w:b/>
          <w:sz w:val="36"/>
        </w:rPr>
        <w:t>目录</w:t>
      </w:r>
    </w:p>
    <w:p>
      <w:pPr>
        <w:pStyle w:val="ListParagraph"/>
        <w:numPr>
          <w:ilvl w:val="0"/>
          <w:numId w:val="39"/>
        </w:numPr>
        <w:tabs>
          <w:tab w:pos="750" w:val="left" w:leader="none"/>
          <w:tab w:pos="751" w:val="left" w:leader="none"/>
          <w:tab w:pos="8732" w:val="right" w:leader="dot"/>
        </w:tabs>
        <w:spacing w:line="240" w:lineRule="auto" w:before="19" w:after="0"/>
        <w:ind w:left="751" w:right="0" w:hanging="311"/>
        <w:jc w:val="left"/>
        <w:rPr>
          <w:rFonts w:ascii="Times New Roman" w:eastAsia="Times New Roman"/>
          <w:sz w:val="21"/>
        </w:rPr>
      </w:pPr>
      <w:hyperlink w:history="true" w:anchor="_bookmark5">
        <w:r>
          <w:rPr>
            <w:color w:val="0000FF"/>
            <w:sz w:val="21"/>
            <w:u w:val="single" w:color="0000FF"/>
          </w:rPr>
          <w:t>规范性</w:t>
        </w:r>
        <w:r>
          <w:rPr>
            <w:color w:val="0000FF"/>
            <w:spacing w:val="5"/>
            <w:sz w:val="21"/>
            <w:u w:val="single" w:color="0000FF"/>
          </w:rPr>
          <w:t>引</w:t>
        </w:r>
        <w:r>
          <w:rPr>
            <w:color w:val="0000FF"/>
            <w:sz w:val="21"/>
            <w:u w:val="single" w:color="0000FF"/>
          </w:rPr>
          <w:t>用文件</w:t>
        </w:r>
        <w:r>
          <w:rPr>
            <w:sz w:val="21"/>
          </w:rPr>
          <w:tab/>
        </w:r>
        <w:r>
          <w:rPr>
            <w:rFonts w:ascii="Times New Roman" w:eastAsia="Times New Roman"/>
            <w:spacing w:val="-4"/>
            <w:sz w:val="21"/>
          </w:rPr>
          <w:t>15</w:t>
        </w:r>
      </w:hyperlink>
    </w:p>
    <w:p>
      <w:pPr>
        <w:pStyle w:val="ListParagraph"/>
        <w:numPr>
          <w:ilvl w:val="0"/>
          <w:numId w:val="39"/>
        </w:numPr>
        <w:tabs>
          <w:tab w:pos="750" w:val="left" w:leader="none"/>
          <w:tab w:pos="751" w:val="left" w:leader="none"/>
          <w:tab w:pos="8732" w:val="right" w:leader="dot"/>
        </w:tabs>
        <w:spacing w:line="240" w:lineRule="auto" w:before="41" w:after="0"/>
        <w:ind w:left="751" w:right="0" w:hanging="311"/>
        <w:jc w:val="left"/>
        <w:rPr>
          <w:rFonts w:ascii="Times New Roman" w:eastAsia="Times New Roman"/>
          <w:sz w:val="21"/>
        </w:rPr>
      </w:pPr>
      <w:hyperlink w:history="true" w:anchor="_bookmark6">
        <w:r>
          <w:rPr>
            <w:color w:val="0000FF"/>
            <w:sz w:val="21"/>
            <w:u w:val="single" w:color="0000FF"/>
          </w:rPr>
          <w:t>技术参</w:t>
        </w:r>
        <w:r>
          <w:rPr>
            <w:color w:val="0000FF"/>
            <w:spacing w:val="5"/>
            <w:sz w:val="21"/>
            <w:u w:val="single" w:color="0000FF"/>
          </w:rPr>
          <w:t>数</w:t>
        </w:r>
        <w:r>
          <w:rPr>
            <w:color w:val="0000FF"/>
            <w:sz w:val="21"/>
            <w:u w:val="single" w:color="0000FF"/>
          </w:rPr>
          <w:t>和性能要求</w:t>
        </w:r>
        <w:r>
          <w:rPr>
            <w:sz w:val="21"/>
          </w:rPr>
          <w:tab/>
        </w:r>
        <w:r>
          <w:rPr>
            <w:rFonts w:ascii="Times New Roman" w:eastAsia="Times New Roman"/>
            <w:spacing w:val="-4"/>
            <w:sz w:val="21"/>
          </w:rPr>
          <w:t>15</w:t>
        </w:r>
      </w:hyperlink>
    </w:p>
    <w:p>
      <w:pPr>
        <w:pStyle w:val="ListParagraph"/>
        <w:numPr>
          <w:ilvl w:val="0"/>
          <w:numId w:val="39"/>
        </w:numPr>
        <w:tabs>
          <w:tab w:pos="750" w:val="left" w:leader="none"/>
          <w:tab w:pos="751" w:val="left" w:leader="none"/>
          <w:tab w:pos="8732" w:val="right" w:leader="dot"/>
        </w:tabs>
        <w:spacing w:line="240" w:lineRule="auto" w:before="47" w:after="0"/>
        <w:ind w:left="751" w:right="0" w:hanging="311"/>
        <w:jc w:val="left"/>
        <w:rPr>
          <w:rFonts w:ascii="Times New Roman" w:eastAsia="Times New Roman"/>
          <w:sz w:val="21"/>
        </w:rPr>
      </w:pPr>
      <w:hyperlink w:history="true" w:anchor="_bookmark7">
        <w:r>
          <w:rPr>
            <w:color w:val="0000FF"/>
            <w:sz w:val="21"/>
            <w:u w:val="single" w:color="0000FF"/>
          </w:rPr>
          <w:t>标准技</w:t>
        </w:r>
        <w:r>
          <w:rPr>
            <w:color w:val="0000FF"/>
            <w:spacing w:val="5"/>
            <w:sz w:val="21"/>
            <w:u w:val="single" w:color="0000FF"/>
          </w:rPr>
          <w:t>术</w:t>
        </w:r>
        <w:r>
          <w:rPr>
            <w:color w:val="0000FF"/>
            <w:sz w:val="21"/>
            <w:u w:val="single" w:color="0000FF"/>
          </w:rPr>
          <w:t>参数</w:t>
        </w:r>
        <w:r>
          <w:rPr>
            <w:sz w:val="21"/>
          </w:rPr>
          <w:tab/>
        </w:r>
        <w:r>
          <w:rPr>
            <w:rFonts w:ascii="Times New Roman" w:eastAsia="Times New Roman"/>
            <w:spacing w:val="-4"/>
            <w:sz w:val="21"/>
          </w:rPr>
          <w:t>17</w:t>
        </w:r>
      </w:hyperlink>
    </w:p>
    <w:p>
      <w:pPr>
        <w:pStyle w:val="ListParagraph"/>
        <w:numPr>
          <w:ilvl w:val="0"/>
          <w:numId w:val="39"/>
        </w:numPr>
        <w:tabs>
          <w:tab w:pos="750" w:val="left" w:leader="none"/>
          <w:tab w:pos="751" w:val="left" w:leader="none"/>
          <w:tab w:pos="8732" w:val="right" w:leader="dot"/>
        </w:tabs>
        <w:spacing w:line="240" w:lineRule="auto" w:before="41" w:after="0"/>
        <w:ind w:left="751" w:right="0" w:hanging="311"/>
        <w:jc w:val="left"/>
        <w:rPr>
          <w:rFonts w:ascii="Times New Roman" w:eastAsia="Times New Roman"/>
          <w:sz w:val="21"/>
        </w:rPr>
      </w:pPr>
      <w:hyperlink w:history="true" w:anchor="_bookmark2">
        <w:r>
          <w:rPr>
            <w:color w:val="0000FF"/>
            <w:sz w:val="21"/>
            <w:u w:val="single" w:color="0000FF"/>
          </w:rPr>
          <w:t>使用环</w:t>
        </w:r>
        <w:r>
          <w:rPr>
            <w:color w:val="0000FF"/>
            <w:spacing w:val="5"/>
            <w:sz w:val="21"/>
            <w:u w:val="single" w:color="0000FF"/>
          </w:rPr>
          <w:t>境</w:t>
        </w:r>
        <w:r>
          <w:rPr>
            <w:color w:val="0000FF"/>
            <w:sz w:val="21"/>
            <w:u w:val="single" w:color="0000FF"/>
          </w:rPr>
          <w:t>条件表</w:t>
        </w:r>
        <w:r>
          <w:rPr>
            <w:sz w:val="21"/>
          </w:rPr>
          <w:tab/>
        </w:r>
        <w:r>
          <w:rPr>
            <w:rFonts w:ascii="Times New Roman" w:eastAsia="Times New Roman"/>
            <w:spacing w:val="-4"/>
            <w:sz w:val="21"/>
          </w:rPr>
          <w:t>10</w:t>
        </w:r>
      </w:hyperlink>
    </w:p>
    <w:p>
      <w:pPr>
        <w:pStyle w:val="BodyText"/>
        <w:tabs>
          <w:tab w:pos="750" w:val="left" w:leader="none"/>
          <w:tab w:pos="8732" w:val="right" w:leader="dot"/>
        </w:tabs>
        <w:spacing w:before="41"/>
        <w:ind w:left="440"/>
        <w:rPr>
          <w:rFonts w:ascii="Times New Roman" w:eastAsia="Times New Roman"/>
        </w:rPr>
      </w:pPr>
      <w:hyperlink w:history="true" w:anchor="_bookmark8">
        <w:r>
          <w:rPr>
            <w:rFonts w:ascii="Times New Roman" w:eastAsia="Times New Roman"/>
            <w:color w:val="0000FF"/>
            <w:u w:val="single" w:color="0000FF"/>
          </w:rPr>
          <w:t>5</w:t>
          <w:tab/>
        </w:r>
        <w:r>
          <w:rPr>
            <w:color w:val="0000FF"/>
            <w:u w:val="single" w:color="0000FF"/>
          </w:rPr>
          <w:t>试验</w:t>
        </w:r>
        <w:r>
          <w:rPr/>
          <w:tab/>
        </w:r>
        <w:r>
          <w:rPr>
            <w:rFonts w:ascii="Times New Roman" w:eastAsia="Times New Roman"/>
            <w:spacing w:val="-4"/>
          </w:rPr>
          <w:t>21</w:t>
        </w:r>
      </w:hyperlink>
    </w:p>
    <w:p>
      <w:pPr>
        <w:pStyle w:val="BodyText"/>
        <w:tabs>
          <w:tab w:pos="750" w:val="left" w:leader="none"/>
          <w:tab w:pos="8732" w:val="right" w:leader="dot"/>
        </w:tabs>
        <w:spacing w:before="48"/>
        <w:ind w:left="440"/>
        <w:rPr>
          <w:rFonts w:ascii="Times New Roman" w:eastAsia="Times New Roman"/>
        </w:rPr>
      </w:pPr>
      <w:hyperlink w:history="true" w:anchor="_bookmark9">
        <w:r>
          <w:rPr>
            <w:rFonts w:ascii="Times New Roman" w:eastAsia="Times New Roman"/>
            <w:color w:val="0000FF"/>
            <w:u w:val="single" w:color="0000FF"/>
          </w:rPr>
          <w:t>6</w:t>
          <w:tab/>
        </w:r>
        <w:r>
          <w:rPr>
            <w:color w:val="0000FF"/>
            <w:u w:val="single" w:color="0000FF"/>
          </w:rPr>
          <w:t>产品标</w:t>
        </w:r>
        <w:r>
          <w:rPr>
            <w:color w:val="0000FF"/>
            <w:spacing w:val="5"/>
            <w:u w:val="single" w:color="0000FF"/>
          </w:rPr>
          <w:t>志</w:t>
        </w:r>
        <w:r>
          <w:rPr>
            <w:color w:val="0000FF"/>
            <w:u w:val="single" w:color="0000FF"/>
          </w:rPr>
          <w:t>、包装、运</w:t>
        </w:r>
        <w:r>
          <w:rPr>
            <w:color w:val="0000FF"/>
            <w:spacing w:val="5"/>
            <w:u w:val="single" w:color="0000FF"/>
          </w:rPr>
          <w:t>输</w:t>
        </w:r>
        <w:r>
          <w:rPr>
            <w:color w:val="0000FF"/>
            <w:u w:val="single" w:color="0000FF"/>
          </w:rPr>
          <w:t>和保管</w:t>
        </w:r>
        <w:r>
          <w:rPr/>
          <w:tab/>
        </w:r>
        <w:r>
          <w:rPr>
            <w:rFonts w:ascii="Times New Roman" w:eastAsia="Times New Roman"/>
            <w:spacing w:val="-4"/>
          </w:rPr>
          <w:t>22</w:t>
        </w:r>
      </w:hyperlink>
    </w:p>
    <w:p>
      <w:pPr>
        <w:spacing w:after="0"/>
        <w:rPr>
          <w:rFonts w:ascii="Times New Roman" w:eastAsia="Times New Roman"/>
        </w:rPr>
        <w:sectPr>
          <w:pgSz w:w="11910" w:h="16850"/>
          <w:pgMar w:top="1600" w:bottom="280" w:left="1360" w:right="1360"/>
        </w:sectPr>
      </w:pPr>
    </w:p>
    <w:p>
      <w:pPr>
        <w:spacing w:before="212"/>
        <w:ind w:left="3199" w:right="0" w:firstLine="0"/>
        <w:jc w:val="left"/>
        <w:rPr>
          <w:sz w:val="31"/>
        </w:rPr>
      </w:pPr>
      <w:bookmarkStart w:name="10kV电力电缆技术规范" w:id="37"/>
      <w:bookmarkEnd w:id="37"/>
      <w:r>
        <w:rPr/>
      </w:r>
      <w:bookmarkStart w:name="_bookmark5" w:id="38"/>
      <w:bookmarkEnd w:id="38"/>
      <w:r>
        <w:rPr/>
      </w:r>
      <w:r>
        <w:rPr>
          <w:sz w:val="31"/>
        </w:rPr>
        <w:t>10kV 电力电缆技术规范</w:t>
      </w:r>
    </w:p>
    <w:p>
      <w:pPr>
        <w:pStyle w:val="BodyText"/>
        <w:rPr>
          <w:sz w:val="28"/>
        </w:rPr>
      </w:pPr>
    </w:p>
    <w:p>
      <w:pPr>
        <w:pStyle w:val="ListParagraph"/>
        <w:numPr>
          <w:ilvl w:val="0"/>
          <w:numId w:val="40"/>
        </w:numPr>
        <w:tabs>
          <w:tab w:pos="555" w:val="left" w:leader="none"/>
          <w:tab w:pos="556" w:val="left" w:leader="none"/>
        </w:tabs>
        <w:spacing w:line="240" w:lineRule="auto" w:before="192" w:after="0"/>
        <w:ind w:left="555" w:right="0" w:hanging="331"/>
        <w:jc w:val="left"/>
        <w:rPr>
          <w:sz w:val="21"/>
        </w:rPr>
      </w:pPr>
      <w:bookmarkStart w:name="1　规范性引用文件" w:id="39"/>
      <w:bookmarkEnd w:id="39"/>
      <w:r>
        <w:rPr/>
      </w:r>
      <w:bookmarkStart w:name="1　规范性引用文件" w:id="40"/>
      <w:bookmarkEnd w:id="40"/>
      <w:r>
        <w:rPr>
          <w:sz w:val="21"/>
        </w:rPr>
        <w:t>规范性引用文件</w:t>
      </w:r>
    </w:p>
    <w:p>
      <w:pPr>
        <w:pStyle w:val="BodyText"/>
        <w:spacing w:before="3"/>
        <w:rPr>
          <w:sz w:val="31"/>
        </w:rPr>
      </w:pPr>
    </w:p>
    <w:p>
      <w:pPr>
        <w:pStyle w:val="BodyText"/>
        <w:spacing w:line="271" w:lineRule="auto"/>
        <w:ind w:left="224" w:right="324" w:firstLine="417"/>
      </w:pPr>
      <w:r>
        <w:rPr>
          <w:w w:val="95"/>
        </w:rPr>
        <w:t>下列文件对于本文件的应用是必不可少的。凡是注日期的引用文件，仅注日期的版本适用于本   </w:t>
      </w:r>
      <w:r>
        <w:rPr/>
        <w:t>文件。凡是不注日期的引用文件，其最新版本（包括所有的修改单）适用于本文件。</w:t>
      </w:r>
    </w:p>
    <w:p>
      <w:pPr>
        <w:pStyle w:val="BodyText"/>
        <w:tabs>
          <w:tab w:pos="1816" w:val="left" w:leader="none"/>
        </w:tabs>
        <w:spacing w:line="266" w:lineRule="exact"/>
        <w:ind w:left="641"/>
      </w:pPr>
      <w:r>
        <w:rPr>
          <w:rFonts w:ascii="Times New Roman" w:eastAsia="Times New Roman"/>
        </w:rPr>
        <w:t>GB</w:t>
      </w:r>
      <w:r>
        <w:rPr>
          <w:rFonts w:ascii="Times New Roman" w:eastAsia="Times New Roman"/>
          <w:spacing w:val="-8"/>
        </w:rPr>
        <w:t> </w:t>
      </w:r>
      <w:r>
        <w:rPr>
          <w:rFonts w:ascii="Times New Roman" w:eastAsia="Times New Roman"/>
        </w:rPr>
        <w:t>311.1</w:t>
        <w:tab/>
      </w:r>
      <w:r>
        <w:rPr/>
        <w:t>高压输变电设备的绝缘配合</w:t>
      </w:r>
    </w:p>
    <w:p>
      <w:pPr>
        <w:pStyle w:val="BodyText"/>
        <w:tabs>
          <w:tab w:pos="1895" w:val="left" w:leader="none"/>
        </w:tabs>
        <w:spacing w:before="33"/>
        <w:ind w:left="641"/>
      </w:pPr>
      <w:r>
        <w:rPr>
          <w:rFonts w:ascii="Times New Roman" w:eastAsia="Times New Roman"/>
        </w:rPr>
        <w:t>GB/T</w:t>
      </w:r>
      <w:r>
        <w:rPr>
          <w:rFonts w:ascii="Times New Roman" w:eastAsia="Times New Roman"/>
          <w:spacing w:val="-3"/>
        </w:rPr>
        <w:t> </w:t>
      </w:r>
      <w:r>
        <w:rPr>
          <w:rFonts w:ascii="Times New Roman" w:eastAsia="Times New Roman"/>
        </w:rPr>
        <w:t>2951</w:t>
        <w:tab/>
      </w:r>
      <w:r>
        <w:rPr/>
        <w:t>电缆和光缆绝缘和护套材料通用试验方法</w:t>
      </w:r>
    </w:p>
    <w:p>
      <w:pPr>
        <w:pStyle w:val="BodyText"/>
        <w:tabs>
          <w:tab w:pos="1895" w:val="left" w:leader="none"/>
        </w:tabs>
        <w:spacing w:before="41"/>
        <w:ind w:left="641"/>
      </w:pPr>
      <w:r>
        <w:rPr>
          <w:rFonts w:ascii="Times New Roman" w:eastAsia="Times New Roman"/>
        </w:rPr>
        <w:t>GB/T</w:t>
      </w:r>
      <w:r>
        <w:rPr>
          <w:rFonts w:ascii="Times New Roman" w:eastAsia="Times New Roman"/>
          <w:spacing w:val="-3"/>
        </w:rPr>
        <w:t> </w:t>
      </w:r>
      <w:r>
        <w:rPr>
          <w:rFonts w:ascii="Times New Roman" w:eastAsia="Times New Roman"/>
        </w:rPr>
        <w:t>2952</w:t>
        <w:tab/>
      </w:r>
      <w:r>
        <w:rPr/>
        <w:t>电缆外护层</w:t>
      </w:r>
    </w:p>
    <w:p>
      <w:pPr>
        <w:pStyle w:val="BodyText"/>
        <w:tabs>
          <w:tab w:pos="2053" w:val="left" w:leader="none"/>
        </w:tabs>
        <w:spacing w:before="34"/>
        <w:ind w:left="641"/>
      </w:pPr>
      <w:r>
        <w:rPr>
          <w:rFonts w:ascii="Times New Roman" w:eastAsia="Times New Roman"/>
        </w:rPr>
        <w:t>GB/T</w:t>
      </w:r>
      <w:r>
        <w:rPr>
          <w:rFonts w:ascii="Times New Roman" w:eastAsia="Times New Roman"/>
          <w:spacing w:val="-4"/>
        </w:rPr>
        <w:t> </w:t>
      </w:r>
      <w:r>
        <w:rPr>
          <w:rFonts w:ascii="Times New Roman" w:eastAsia="Times New Roman"/>
        </w:rPr>
        <w:t>3048.10</w:t>
        <w:tab/>
      </w:r>
      <w:r>
        <w:rPr>
          <w:spacing w:val="-4"/>
        </w:rPr>
        <w:t>电线电缆电性能试验方法 第 </w:t>
      </w:r>
      <w:r>
        <w:rPr>
          <w:rFonts w:ascii="Times New Roman" w:eastAsia="Times New Roman"/>
        </w:rPr>
        <w:t>10</w:t>
      </w:r>
      <w:r>
        <w:rPr>
          <w:rFonts w:ascii="Times New Roman" w:eastAsia="Times New Roman"/>
          <w:spacing w:val="-14"/>
        </w:rPr>
        <w:t> </w:t>
      </w:r>
      <w:r>
        <w:rPr/>
        <w:t>部分：挤出护套火花试验</w:t>
      </w:r>
    </w:p>
    <w:p>
      <w:pPr>
        <w:pStyle w:val="BodyText"/>
        <w:tabs>
          <w:tab w:pos="2053" w:val="left" w:leader="none"/>
        </w:tabs>
        <w:spacing w:before="33"/>
        <w:ind w:left="641"/>
      </w:pPr>
      <w:r>
        <w:rPr>
          <w:rFonts w:ascii="Times New Roman" w:eastAsia="Times New Roman"/>
        </w:rPr>
        <w:t>GB/T</w:t>
      </w:r>
      <w:r>
        <w:rPr>
          <w:rFonts w:ascii="Times New Roman" w:eastAsia="Times New Roman"/>
          <w:spacing w:val="-4"/>
        </w:rPr>
        <w:t> </w:t>
      </w:r>
      <w:r>
        <w:rPr>
          <w:rFonts w:ascii="Times New Roman" w:eastAsia="Times New Roman"/>
        </w:rPr>
        <w:t>3048.12</w:t>
        <w:tab/>
      </w:r>
      <w:r>
        <w:rPr>
          <w:spacing w:val="-4"/>
        </w:rPr>
        <w:t>电线电缆电性能试验方法 第 </w:t>
      </w:r>
      <w:r>
        <w:rPr>
          <w:rFonts w:ascii="Times New Roman" w:eastAsia="Times New Roman"/>
        </w:rPr>
        <w:t>12</w:t>
      </w:r>
      <w:r>
        <w:rPr>
          <w:rFonts w:ascii="Times New Roman" w:eastAsia="Times New Roman"/>
          <w:spacing w:val="-14"/>
        </w:rPr>
        <w:t> </w:t>
      </w:r>
      <w:r>
        <w:rPr/>
        <w:t>部分：局部放电试验</w:t>
      </w:r>
    </w:p>
    <w:p>
      <w:pPr>
        <w:pStyle w:val="BodyText"/>
        <w:tabs>
          <w:tab w:pos="1953" w:val="left" w:leader="none"/>
        </w:tabs>
        <w:spacing w:before="33"/>
        <w:ind w:left="641"/>
      </w:pPr>
      <w:r>
        <w:rPr>
          <w:rFonts w:ascii="Times New Roman" w:eastAsia="Times New Roman"/>
        </w:rPr>
        <w:t>GB/T</w:t>
      </w:r>
      <w:r>
        <w:rPr>
          <w:rFonts w:ascii="Times New Roman" w:eastAsia="Times New Roman"/>
          <w:spacing w:val="-3"/>
        </w:rPr>
        <w:t> </w:t>
      </w:r>
      <w:r>
        <w:rPr>
          <w:rFonts w:ascii="Times New Roman" w:eastAsia="Times New Roman"/>
        </w:rPr>
        <w:t>3956</w:t>
        <w:tab/>
      </w:r>
      <w:r>
        <w:rPr/>
        <w:t>电缆的导体</w:t>
      </w:r>
    </w:p>
    <w:p>
      <w:pPr>
        <w:pStyle w:val="BodyText"/>
        <w:tabs>
          <w:tab w:pos="1953" w:val="left" w:leader="none"/>
        </w:tabs>
        <w:spacing w:before="41"/>
        <w:ind w:left="641"/>
      </w:pPr>
      <w:r>
        <w:rPr>
          <w:rFonts w:ascii="Times New Roman" w:eastAsia="Times New Roman"/>
        </w:rPr>
        <w:t>GB/T</w:t>
      </w:r>
      <w:r>
        <w:rPr>
          <w:rFonts w:ascii="Times New Roman" w:eastAsia="Times New Roman"/>
          <w:spacing w:val="-3"/>
        </w:rPr>
        <w:t> </w:t>
      </w:r>
      <w:r>
        <w:rPr>
          <w:rFonts w:ascii="Times New Roman" w:eastAsia="Times New Roman"/>
        </w:rPr>
        <w:t>6995</w:t>
        <w:tab/>
      </w:r>
      <w:r>
        <w:rPr/>
        <w:t>电线电缆识别标志方法</w:t>
      </w:r>
    </w:p>
    <w:p>
      <w:pPr>
        <w:pStyle w:val="BodyText"/>
        <w:tabs>
          <w:tab w:pos="1996" w:val="left" w:leader="none"/>
        </w:tabs>
        <w:spacing w:before="33"/>
        <w:ind w:left="641"/>
      </w:pPr>
      <w:r>
        <w:rPr>
          <w:rFonts w:ascii="Times New Roman" w:eastAsia="Times New Roman"/>
        </w:rPr>
        <w:t>GB/T</w:t>
      </w:r>
      <w:r>
        <w:rPr>
          <w:rFonts w:ascii="Times New Roman" w:eastAsia="Times New Roman"/>
          <w:spacing w:val="-1"/>
        </w:rPr>
        <w:t> </w:t>
      </w:r>
      <w:r>
        <w:rPr>
          <w:rFonts w:ascii="Times New Roman" w:eastAsia="Times New Roman"/>
          <w:spacing w:val="-3"/>
        </w:rPr>
        <w:t>11019</w:t>
        <w:tab/>
      </w:r>
      <w:r>
        <w:rPr/>
        <w:t>电缆用铝带</w:t>
      </w:r>
    </w:p>
    <w:p>
      <w:pPr>
        <w:pStyle w:val="BodyText"/>
        <w:tabs>
          <w:tab w:pos="2089" w:val="left" w:leader="none"/>
        </w:tabs>
        <w:spacing w:line="268" w:lineRule="auto" w:before="34"/>
        <w:ind w:left="224" w:right="336" w:firstLine="417"/>
      </w:pPr>
      <w:r>
        <w:rPr>
          <w:rFonts w:ascii="Times New Roman" w:eastAsia="Times New Roman"/>
        </w:rPr>
        <w:t>GB/T</w:t>
      </w:r>
      <w:r>
        <w:rPr>
          <w:rFonts w:ascii="Times New Roman" w:eastAsia="Times New Roman"/>
          <w:spacing w:val="22"/>
        </w:rPr>
        <w:t> </w:t>
      </w:r>
      <w:r>
        <w:rPr>
          <w:rFonts w:ascii="Times New Roman" w:eastAsia="Times New Roman"/>
        </w:rPr>
        <w:t>12706.2</w:t>
        <w:tab/>
      </w:r>
      <w:r>
        <w:rPr>
          <w:spacing w:val="-1"/>
        </w:rPr>
        <w:t>额定电压 </w:t>
      </w:r>
      <w:r>
        <w:rPr>
          <w:rFonts w:ascii="Times New Roman" w:eastAsia="Times New Roman"/>
        </w:rPr>
        <w:t>1kV</w:t>
      </w:r>
      <w:r>
        <w:rPr/>
        <w:t>（</w:t>
      </w:r>
      <w:r>
        <w:rPr>
          <w:rFonts w:ascii="Times New Roman" w:eastAsia="Times New Roman"/>
          <w:i/>
        </w:rPr>
        <w:t>U</w:t>
      </w:r>
      <w:r>
        <w:rPr>
          <w:rFonts w:ascii="Times New Roman" w:eastAsia="Times New Roman"/>
          <w:vertAlign w:val="subscript"/>
        </w:rPr>
        <w:t>m</w:t>
      </w:r>
      <w:r>
        <w:rPr>
          <w:rFonts w:ascii="Times New Roman" w:eastAsia="Times New Roman"/>
          <w:vertAlign w:val="baseline"/>
        </w:rPr>
        <w:t>=1.2kV</w:t>
      </w:r>
      <w:r>
        <w:rPr>
          <w:vertAlign w:val="baseline"/>
        </w:rPr>
        <w:t>）</w:t>
      </w:r>
      <w:r>
        <w:rPr>
          <w:spacing w:val="-1"/>
          <w:vertAlign w:val="baseline"/>
        </w:rPr>
        <w:t>到 </w:t>
      </w:r>
      <w:r>
        <w:rPr>
          <w:rFonts w:ascii="Times New Roman" w:eastAsia="Times New Roman"/>
          <w:vertAlign w:val="baseline"/>
        </w:rPr>
        <w:t>35kV</w:t>
      </w:r>
      <w:r>
        <w:rPr>
          <w:vertAlign w:val="baseline"/>
        </w:rPr>
        <w:t>（</w:t>
      </w:r>
      <w:r>
        <w:rPr>
          <w:rFonts w:ascii="Times New Roman" w:eastAsia="Times New Roman"/>
          <w:i/>
          <w:vertAlign w:val="baseline"/>
        </w:rPr>
        <w:t>U</w:t>
      </w:r>
      <w:r>
        <w:rPr>
          <w:rFonts w:ascii="Times New Roman" w:eastAsia="Times New Roman"/>
          <w:vertAlign w:val="subscript"/>
        </w:rPr>
        <w:t>m</w:t>
      </w:r>
      <w:r>
        <w:rPr>
          <w:rFonts w:ascii="Times New Roman" w:eastAsia="Times New Roman"/>
          <w:vertAlign w:val="baseline"/>
        </w:rPr>
        <w:t>=40.5kV</w:t>
      </w:r>
      <w:r>
        <w:rPr>
          <w:vertAlign w:val="baseline"/>
        </w:rPr>
        <w:t>）挤包绝缘电力电缆及其附件</w:t>
      </w:r>
      <w:r>
        <w:rPr>
          <w:spacing w:val="-28"/>
          <w:vertAlign w:val="baseline"/>
        </w:rPr>
        <w:t>第 </w:t>
      </w:r>
      <w:r>
        <w:rPr>
          <w:rFonts w:ascii="Times New Roman" w:eastAsia="Times New Roman"/>
          <w:vertAlign w:val="baseline"/>
        </w:rPr>
        <w:t>2</w:t>
      </w:r>
      <w:r>
        <w:rPr>
          <w:rFonts w:ascii="Times New Roman" w:eastAsia="Times New Roman"/>
          <w:spacing w:val="-14"/>
          <w:vertAlign w:val="baseline"/>
        </w:rPr>
        <w:t> </w:t>
      </w:r>
      <w:r>
        <w:rPr>
          <w:spacing w:val="-6"/>
          <w:vertAlign w:val="baseline"/>
        </w:rPr>
        <w:t>部分：额定电压 </w:t>
      </w:r>
      <w:r>
        <w:rPr>
          <w:rFonts w:ascii="Times New Roman" w:eastAsia="Times New Roman"/>
          <w:vertAlign w:val="baseline"/>
        </w:rPr>
        <w:t>6kV</w:t>
      </w:r>
      <w:r>
        <w:rPr>
          <w:vertAlign w:val="baseline"/>
        </w:rPr>
        <w:t>（</w:t>
      </w:r>
      <w:r>
        <w:rPr>
          <w:rFonts w:ascii="Times New Roman" w:eastAsia="Times New Roman"/>
          <w:i/>
          <w:vertAlign w:val="baseline"/>
        </w:rPr>
        <w:t>U</w:t>
      </w:r>
      <w:r>
        <w:rPr>
          <w:rFonts w:ascii="Times New Roman" w:eastAsia="Times New Roman"/>
          <w:vertAlign w:val="subscript"/>
        </w:rPr>
        <w:t>m</w:t>
      </w:r>
      <w:r>
        <w:rPr>
          <w:rFonts w:ascii="Times New Roman" w:eastAsia="Times New Roman"/>
          <w:vertAlign w:val="baseline"/>
        </w:rPr>
        <w:t>=7.2kV</w:t>
      </w:r>
      <w:r>
        <w:rPr>
          <w:vertAlign w:val="baseline"/>
        </w:rPr>
        <w:t>）</w:t>
      </w:r>
      <w:r>
        <w:rPr>
          <w:spacing w:val="-24"/>
          <w:vertAlign w:val="baseline"/>
        </w:rPr>
        <w:t>到 </w:t>
      </w:r>
      <w:r>
        <w:rPr>
          <w:rFonts w:ascii="Times New Roman" w:eastAsia="Times New Roman"/>
          <w:vertAlign w:val="baseline"/>
        </w:rPr>
        <w:t>30kV</w:t>
      </w:r>
      <w:r>
        <w:rPr>
          <w:vertAlign w:val="baseline"/>
        </w:rPr>
        <w:t>（</w:t>
      </w:r>
      <w:r>
        <w:rPr>
          <w:rFonts w:ascii="Times New Roman" w:eastAsia="Times New Roman"/>
          <w:i/>
          <w:vertAlign w:val="baseline"/>
        </w:rPr>
        <w:t>U</w:t>
      </w:r>
      <w:r>
        <w:rPr>
          <w:rFonts w:ascii="Times New Roman" w:eastAsia="Times New Roman"/>
          <w:vertAlign w:val="subscript"/>
        </w:rPr>
        <w:t>m</w:t>
      </w:r>
      <w:r>
        <w:rPr>
          <w:rFonts w:ascii="Times New Roman" w:eastAsia="Times New Roman"/>
          <w:vertAlign w:val="baseline"/>
        </w:rPr>
        <w:t>=36kV</w:t>
      </w:r>
      <w:r>
        <w:rPr>
          <w:vertAlign w:val="baseline"/>
        </w:rPr>
        <w:t>）电缆</w:t>
      </w:r>
    </w:p>
    <w:p>
      <w:pPr>
        <w:pStyle w:val="BodyText"/>
        <w:tabs>
          <w:tab w:pos="2003" w:val="left" w:leader="none"/>
        </w:tabs>
        <w:spacing w:before="2"/>
        <w:ind w:left="641"/>
      </w:pPr>
      <w:r>
        <w:rPr>
          <w:rFonts w:ascii="Times New Roman" w:eastAsia="Times New Roman"/>
        </w:rPr>
        <w:t>GB/T</w:t>
      </w:r>
      <w:r>
        <w:rPr>
          <w:rFonts w:ascii="Times New Roman" w:eastAsia="Times New Roman"/>
          <w:spacing w:val="-5"/>
        </w:rPr>
        <w:t> </w:t>
      </w:r>
      <w:r>
        <w:rPr>
          <w:rFonts w:ascii="Times New Roman" w:eastAsia="Times New Roman"/>
        </w:rPr>
        <w:t>14315</w:t>
        <w:tab/>
      </w:r>
      <w:r>
        <w:rPr/>
        <w:t>电力电缆导体用压接型铜、铝接线端子和连接管</w:t>
      </w:r>
    </w:p>
    <w:p>
      <w:pPr>
        <w:pStyle w:val="BodyText"/>
        <w:tabs>
          <w:tab w:pos="1902" w:val="left" w:leader="none"/>
        </w:tabs>
        <w:spacing w:before="41"/>
        <w:ind w:left="641"/>
      </w:pPr>
      <w:r>
        <w:rPr>
          <w:rFonts w:ascii="Times New Roman" w:eastAsia="Times New Roman"/>
        </w:rPr>
        <w:t>GB/T</w:t>
      </w:r>
      <w:r>
        <w:rPr>
          <w:rFonts w:ascii="Times New Roman" w:eastAsia="Times New Roman"/>
          <w:spacing w:val="-2"/>
        </w:rPr>
        <w:t> </w:t>
      </w:r>
      <w:r>
        <w:rPr>
          <w:rFonts w:ascii="Times New Roman" w:eastAsia="Times New Roman"/>
        </w:rPr>
        <w:t>19001</w:t>
        <w:tab/>
      </w:r>
      <w:r>
        <w:rPr/>
        <w:t>质量管理体系要求</w:t>
      </w:r>
    </w:p>
    <w:p>
      <w:pPr>
        <w:pStyle w:val="BodyText"/>
        <w:tabs>
          <w:tab w:pos="2003" w:val="left" w:leader="none"/>
        </w:tabs>
        <w:spacing w:before="33"/>
        <w:ind w:left="641"/>
      </w:pPr>
      <w:r>
        <w:rPr>
          <w:rFonts w:ascii="Times New Roman" w:eastAsia="Times New Roman"/>
        </w:rPr>
        <w:t>GB/T</w:t>
      </w:r>
      <w:r>
        <w:rPr>
          <w:rFonts w:ascii="Times New Roman" w:eastAsia="Times New Roman"/>
          <w:spacing w:val="-4"/>
        </w:rPr>
        <w:t> </w:t>
      </w:r>
      <w:r>
        <w:rPr>
          <w:rFonts w:ascii="Times New Roman" w:eastAsia="Times New Roman"/>
        </w:rPr>
        <w:t>19666</w:t>
        <w:tab/>
      </w:r>
      <w:r>
        <w:rPr/>
        <w:t>阻燃和耐火电线电缆通则</w:t>
      </w:r>
    </w:p>
    <w:p>
      <w:pPr>
        <w:pStyle w:val="BodyText"/>
        <w:tabs>
          <w:tab w:pos="1773" w:val="left" w:leader="none"/>
        </w:tabs>
        <w:spacing w:line="263" w:lineRule="exact" w:before="34"/>
        <w:ind w:left="641"/>
      </w:pPr>
      <w:r>
        <w:rPr>
          <w:rFonts w:ascii="Times New Roman" w:eastAsia="Times New Roman"/>
        </w:rPr>
        <w:t>JB/T</w:t>
      </w:r>
      <w:r>
        <w:rPr>
          <w:rFonts w:ascii="Times New Roman" w:eastAsia="Times New Roman"/>
          <w:spacing w:val="-4"/>
        </w:rPr>
        <w:t> </w:t>
      </w:r>
      <w:r>
        <w:rPr>
          <w:rFonts w:ascii="Times New Roman" w:eastAsia="Times New Roman"/>
        </w:rPr>
        <w:t>8137</w:t>
        <w:tab/>
      </w:r>
      <w:r>
        <w:rPr/>
        <w:t>电线电缆交货盘</w:t>
      </w:r>
    </w:p>
    <w:p>
      <w:pPr>
        <w:pStyle w:val="ListParagraph"/>
        <w:numPr>
          <w:ilvl w:val="0"/>
          <w:numId w:val="40"/>
        </w:numPr>
        <w:tabs>
          <w:tab w:pos="555" w:val="left" w:leader="none"/>
          <w:tab w:pos="556" w:val="left" w:leader="none"/>
        </w:tabs>
        <w:spacing w:line="381" w:lineRule="exact" w:before="0" w:after="0"/>
        <w:ind w:left="555" w:right="0" w:hanging="331"/>
        <w:jc w:val="left"/>
        <w:rPr>
          <w:sz w:val="21"/>
        </w:rPr>
      </w:pPr>
      <w:bookmarkStart w:name="2　技术参数和性能要求" w:id="41"/>
      <w:bookmarkEnd w:id="41"/>
      <w:r>
        <w:rPr/>
      </w:r>
      <w:bookmarkStart w:name="_bookmark6" w:id="42"/>
      <w:bookmarkEnd w:id="42"/>
      <w:r>
        <w:rPr/>
      </w:r>
      <w:bookmarkStart w:name="_bookmark6" w:id="43"/>
      <w:bookmarkEnd w:id="43"/>
      <w:r>
        <w:rPr>
          <w:sz w:val="21"/>
        </w:rPr>
        <w:t>技术参数和性能要求</w:t>
      </w:r>
    </w:p>
    <w:p>
      <w:pPr>
        <w:pStyle w:val="BodyText"/>
        <w:spacing w:before="2"/>
        <w:rPr>
          <w:sz w:val="31"/>
        </w:rPr>
      </w:pPr>
    </w:p>
    <w:p>
      <w:pPr>
        <w:pStyle w:val="ListParagraph"/>
        <w:numPr>
          <w:ilvl w:val="1"/>
          <w:numId w:val="40"/>
        </w:numPr>
        <w:tabs>
          <w:tab w:pos="757" w:val="left" w:leader="none"/>
          <w:tab w:pos="758" w:val="left" w:leader="none"/>
        </w:tabs>
        <w:spacing w:line="240" w:lineRule="auto" w:before="1" w:after="0"/>
        <w:ind w:left="757" w:right="0" w:hanging="533"/>
        <w:jc w:val="left"/>
        <w:rPr>
          <w:sz w:val="21"/>
        </w:rPr>
      </w:pPr>
      <w:bookmarkStart w:name="2.1　电缆结构" w:id="44"/>
      <w:bookmarkEnd w:id="44"/>
      <w:r>
        <w:rPr/>
      </w:r>
      <w:bookmarkStart w:name="2.1　电缆结构" w:id="45"/>
      <w:bookmarkEnd w:id="45"/>
      <w:r>
        <w:rPr>
          <w:w w:val="95"/>
          <w:sz w:val="21"/>
        </w:rPr>
        <w:t>电缆结构</w:t>
      </w:r>
    </w:p>
    <w:p>
      <w:pPr>
        <w:pStyle w:val="ListParagraph"/>
        <w:numPr>
          <w:ilvl w:val="2"/>
          <w:numId w:val="40"/>
        </w:numPr>
        <w:tabs>
          <w:tab w:pos="966" w:val="left" w:leader="none"/>
          <w:tab w:pos="967" w:val="left" w:leader="none"/>
        </w:tabs>
        <w:spacing w:line="240" w:lineRule="auto" w:before="48" w:after="0"/>
        <w:ind w:left="966" w:right="0" w:hanging="742"/>
        <w:jc w:val="left"/>
        <w:rPr>
          <w:sz w:val="21"/>
        </w:rPr>
      </w:pPr>
      <w:bookmarkStart w:name="2.1.1　导体" w:id="46"/>
      <w:bookmarkEnd w:id="46"/>
      <w:r>
        <w:rPr/>
      </w:r>
      <w:bookmarkStart w:name="2.1.1　导体" w:id="47"/>
      <w:bookmarkEnd w:id="47"/>
      <w:r>
        <w:rPr>
          <w:w w:val="95"/>
          <w:sz w:val="21"/>
        </w:rPr>
        <w:t>导体</w:t>
      </w:r>
    </w:p>
    <w:p>
      <w:pPr>
        <w:pStyle w:val="BodyText"/>
        <w:spacing w:line="268" w:lineRule="auto" w:before="33"/>
        <w:ind w:left="224" w:right="324" w:firstLine="417"/>
      </w:pPr>
      <w:r>
        <w:rPr>
          <w:w w:val="95"/>
        </w:rPr>
        <w:t>导体表面应光洁、无油污、无损伤屏蔽及绝缘的毛刺、锐边，无凸起或断裂的单线。导体应为   </w:t>
      </w:r>
      <w:r>
        <w:rPr/>
        <w:t>圆形并绞合紧压，紧压系数不小于 </w:t>
      </w:r>
      <w:r>
        <w:rPr>
          <w:rFonts w:ascii="Times New Roman" w:eastAsia="Times New Roman"/>
        </w:rPr>
        <w:t>0.9</w:t>
      </w:r>
      <w:r>
        <w:rPr/>
        <w:t>，其他应符合 </w:t>
      </w:r>
      <w:r>
        <w:rPr>
          <w:rFonts w:ascii="Times New Roman" w:eastAsia="Times New Roman"/>
        </w:rPr>
        <w:t>GB/T 3956 </w:t>
      </w:r>
      <w:r>
        <w:rPr/>
        <w:t>的规定。</w:t>
      </w:r>
    </w:p>
    <w:p>
      <w:pPr>
        <w:pStyle w:val="BodyText"/>
        <w:spacing w:before="10"/>
        <w:ind w:left="641"/>
      </w:pPr>
      <w:r>
        <w:rPr>
          <w:rFonts w:ascii="Times New Roman" w:eastAsia="Times New Roman"/>
        </w:rPr>
        <w:t>800mm</w:t>
      </w:r>
      <w:r>
        <w:rPr>
          <w:rFonts w:ascii="Times New Roman" w:eastAsia="Times New Roman"/>
          <w:vertAlign w:val="superscript"/>
        </w:rPr>
        <w:t>2</w:t>
      </w:r>
      <w:r>
        <w:rPr>
          <w:rFonts w:ascii="Times New Roman" w:eastAsia="Times New Roman"/>
          <w:vertAlign w:val="baseline"/>
        </w:rPr>
        <w:t> </w:t>
      </w:r>
      <w:r>
        <w:rPr>
          <w:vertAlign w:val="baseline"/>
        </w:rPr>
        <w:t>以下导体应采用紧压圆形导体结构；</w:t>
      </w:r>
      <w:r>
        <w:rPr>
          <w:rFonts w:ascii="Times New Roman" w:eastAsia="Times New Roman"/>
          <w:vertAlign w:val="baseline"/>
        </w:rPr>
        <w:t>800mm</w:t>
      </w:r>
      <w:r>
        <w:rPr>
          <w:rFonts w:ascii="Times New Roman" w:eastAsia="Times New Roman"/>
          <w:vertAlign w:val="superscript"/>
        </w:rPr>
        <w:t>2</w:t>
      </w:r>
      <w:r>
        <w:rPr>
          <w:rFonts w:ascii="Times New Roman" w:eastAsia="Times New Roman"/>
          <w:vertAlign w:val="baseline"/>
        </w:rPr>
        <w:t> </w:t>
      </w:r>
      <w:r>
        <w:rPr>
          <w:vertAlign w:val="baseline"/>
        </w:rPr>
        <w:t>的导体可任选紧压导体或分割导体结构，</w:t>
      </w:r>
    </w:p>
    <w:p>
      <w:pPr>
        <w:pStyle w:val="BodyText"/>
        <w:spacing w:before="33"/>
        <w:ind w:left="224"/>
      </w:pPr>
      <w:r>
        <w:rPr>
          <w:rFonts w:ascii="Times New Roman" w:eastAsia="Times New Roman"/>
        </w:rPr>
        <w:t>1000mm</w:t>
      </w:r>
      <w:r>
        <w:rPr>
          <w:rFonts w:ascii="Times New Roman" w:eastAsia="Times New Roman"/>
          <w:vertAlign w:val="superscript"/>
        </w:rPr>
        <w:t>2</w:t>
      </w:r>
      <w:r>
        <w:rPr>
          <w:rFonts w:ascii="Times New Roman" w:eastAsia="Times New Roman"/>
          <w:vertAlign w:val="baseline"/>
        </w:rPr>
        <w:t> </w:t>
      </w:r>
      <w:r>
        <w:rPr>
          <w:vertAlign w:val="baseline"/>
        </w:rPr>
        <w:t>及以上应采用分割导体结构。</w:t>
      </w:r>
    </w:p>
    <w:p>
      <w:pPr>
        <w:pStyle w:val="ListParagraph"/>
        <w:numPr>
          <w:ilvl w:val="2"/>
          <w:numId w:val="40"/>
        </w:numPr>
        <w:tabs>
          <w:tab w:pos="966" w:val="left" w:leader="none"/>
          <w:tab w:pos="967" w:val="left" w:leader="none"/>
        </w:tabs>
        <w:spacing w:line="240" w:lineRule="auto" w:before="48" w:after="0"/>
        <w:ind w:left="966" w:right="0" w:hanging="742"/>
        <w:jc w:val="left"/>
        <w:rPr>
          <w:sz w:val="21"/>
        </w:rPr>
      </w:pPr>
      <w:bookmarkStart w:name="2.1.2　挤出交联工艺" w:id="48"/>
      <w:bookmarkEnd w:id="48"/>
      <w:r>
        <w:rPr/>
      </w:r>
      <w:bookmarkStart w:name="2.1.2　挤出交联工艺" w:id="49"/>
      <w:bookmarkEnd w:id="49"/>
      <w:r>
        <w:rPr>
          <w:sz w:val="21"/>
        </w:rPr>
        <w:t>挤出交联工艺</w:t>
      </w:r>
    </w:p>
    <w:p>
      <w:pPr>
        <w:pStyle w:val="BodyText"/>
        <w:spacing w:line="273" w:lineRule="auto" w:before="33"/>
        <w:ind w:left="224" w:right="347" w:firstLine="417"/>
        <w:jc w:val="both"/>
      </w:pPr>
      <w:r>
        <w:rPr>
          <w:w w:val="95"/>
        </w:rPr>
        <w:t>导体屏蔽、绝缘、绝缘屏蔽应采用三层共挤工艺，全封闭化学交联。绝缘料采用交联聚乙烯料，   半导电屏蔽料采用交联型材料，绝缘料和半导电料从生产之日到使用不应超过半年。生产厂家提供对   产品工艺制造水平的描述，包括干式交联流水线方式，生产设备中的测偏装置、干式交联，冷却装置   </w:t>
      </w:r>
      <w:r>
        <w:rPr/>
        <w:t>的描述等。</w:t>
      </w:r>
    </w:p>
    <w:p>
      <w:pPr>
        <w:pStyle w:val="ListParagraph"/>
        <w:numPr>
          <w:ilvl w:val="2"/>
          <w:numId w:val="40"/>
        </w:numPr>
        <w:tabs>
          <w:tab w:pos="966" w:val="left" w:leader="none"/>
          <w:tab w:pos="967" w:val="left" w:leader="none"/>
        </w:tabs>
        <w:spacing w:line="240" w:lineRule="auto" w:before="5" w:after="0"/>
        <w:ind w:left="966" w:right="0" w:hanging="742"/>
        <w:jc w:val="left"/>
        <w:rPr>
          <w:sz w:val="21"/>
        </w:rPr>
      </w:pPr>
      <w:bookmarkStart w:name="2.1.3　导体屏蔽" w:id="50"/>
      <w:bookmarkEnd w:id="50"/>
      <w:r>
        <w:rPr/>
      </w:r>
      <w:bookmarkStart w:name="2.1.3　导体屏蔽" w:id="51"/>
      <w:bookmarkEnd w:id="51"/>
      <w:r>
        <w:rPr>
          <w:sz w:val="21"/>
        </w:rPr>
        <w:t>导体屏蔽</w:t>
      </w:r>
    </w:p>
    <w:p>
      <w:pPr>
        <w:pStyle w:val="BodyText"/>
        <w:spacing w:line="268" w:lineRule="auto" w:before="40"/>
        <w:ind w:left="224" w:right="332" w:firstLine="417"/>
      </w:pPr>
      <w:r>
        <w:rPr/>
        <w:t>导体屏蔽应为挤包的半导电层，电阻率不大于 1000</w:t>
      </w:r>
      <w:r>
        <w:rPr>
          <w:rFonts w:ascii="Symbol" w:hAnsi="Symbol" w:eastAsia="Symbol"/>
        </w:rPr>
        <w:t></w:t>
      </w:r>
      <w:r>
        <w:rPr/>
        <w:t>·cm。半导电层应均匀地包覆在导体上， 并与绝缘紧密结合，表面光滑，无明显绞线凸纹，不应有尖角、颗粒、烧焦或擦伤的痕迹。</w:t>
      </w:r>
    </w:p>
    <w:p>
      <w:pPr>
        <w:pStyle w:val="BodyText"/>
        <w:spacing w:line="278" w:lineRule="exact"/>
        <w:ind w:left="641"/>
      </w:pPr>
      <w:r>
        <w:rPr/>
        <w:t>标称截面积为 500mm</w:t>
      </w:r>
      <w:r>
        <w:rPr>
          <w:position w:val="11"/>
          <w:sz w:val="11"/>
        </w:rPr>
        <w:t>2 </w:t>
      </w:r>
      <w:r>
        <w:rPr/>
        <w:t>及以上电缆导体屏蔽应由半导电带和挤包半导电层复合组成。</w:t>
      </w:r>
    </w:p>
    <w:p>
      <w:pPr>
        <w:pStyle w:val="ListParagraph"/>
        <w:numPr>
          <w:ilvl w:val="2"/>
          <w:numId w:val="40"/>
        </w:numPr>
        <w:tabs>
          <w:tab w:pos="966" w:val="left" w:leader="none"/>
          <w:tab w:pos="967" w:val="left" w:leader="none"/>
        </w:tabs>
        <w:spacing w:line="240" w:lineRule="auto" w:before="41" w:after="0"/>
        <w:ind w:left="966" w:right="0" w:hanging="742"/>
        <w:jc w:val="left"/>
        <w:rPr>
          <w:sz w:val="21"/>
        </w:rPr>
      </w:pPr>
      <w:bookmarkStart w:name="2.1.4　绝缘" w:id="52"/>
      <w:bookmarkEnd w:id="52"/>
      <w:r>
        <w:rPr/>
      </w:r>
      <w:bookmarkStart w:name="2.1.4　绝缘" w:id="53"/>
      <w:bookmarkEnd w:id="53"/>
      <w:r>
        <w:rPr>
          <w:sz w:val="21"/>
        </w:rPr>
        <w:t>绝缘</w:t>
      </w:r>
    </w:p>
    <w:p>
      <w:pPr>
        <w:pStyle w:val="BodyText"/>
        <w:spacing w:line="264" w:lineRule="auto" w:before="21"/>
        <w:ind w:left="224" w:right="69" w:firstLine="417"/>
      </w:pPr>
      <w:r>
        <w:rPr>
          <w:spacing w:val="-7"/>
          <w:position w:val="1"/>
        </w:rPr>
        <w:t>绝缘标称厚度 </w:t>
      </w:r>
      <w:r>
        <w:rPr>
          <w:position w:val="1"/>
          <w:sz w:val="22"/>
        </w:rPr>
        <w:t>t</w:t>
      </w:r>
      <w:r>
        <w:rPr>
          <w:sz w:val="11"/>
        </w:rPr>
        <w:t>n </w:t>
      </w:r>
      <w:r>
        <w:rPr>
          <w:spacing w:val="-24"/>
          <w:position w:val="1"/>
        </w:rPr>
        <w:t>为 </w:t>
      </w:r>
      <w:r>
        <w:rPr>
          <w:position w:val="1"/>
        </w:rPr>
        <w:t>4.5mm，绝缘厚度平均值应不小于标称值，任一点最小测量厚度应不小于标称</w:t>
      </w:r>
      <w:r>
        <w:rPr>
          <w:w w:val="99"/>
          <w:position w:val="1"/>
        </w:rPr>
        <w:t>厚度</w:t>
      </w:r>
      <w:r>
        <w:rPr>
          <w:position w:val="1"/>
        </w:rPr>
        <w:t> </w:t>
      </w:r>
      <w:r>
        <w:rPr>
          <w:spacing w:val="3"/>
          <w:w w:val="94"/>
          <w:position w:val="1"/>
          <w:sz w:val="22"/>
        </w:rPr>
        <w:t>t</w:t>
      </w:r>
      <w:r>
        <w:rPr>
          <w:w w:val="98"/>
          <w:sz w:val="11"/>
        </w:rPr>
        <w:t>n</w:t>
      </w:r>
      <w:r>
        <w:rPr>
          <w:sz w:val="11"/>
        </w:rPr>
        <w:t> </w:t>
      </w:r>
      <w:r>
        <w:rPr>
          <w:w w:val="99"/>
          <w:position w:val="1"/>
        </w:rPr>
        <w:t>的</w:t>
      </w:r>
      <w:r>
        <w:rPr>
          <w:position w:val="1"/>
        </w:rPr>
        <w:t> </w:t>
      </w:r>
      <w:r>
        <w:rPr>
          <w:spacing w:val="2"/>
          <w:w w:val="99"/>
          <w:position w:val="1"/>
        </w:rPr>
        <w:t>90%</w:t>
      </w:r>
      <w:r>
        <w:rPr>
          <w:w w:val="99"/>
          <w:position w:val="1"/>
        </w:rPr>
        <w:t>。任一断面的偏心率</w:t>
      </w:r>
      <w:r>
        <w:rPr>
          <w:spacing w:val="-108"/>
          <w:w w:val="99"/>
          <w:position w:val="1"/>
        </w:rPr>
        <w:t>［</w:t>
      </w:r>
      <w:r>
        <w:rPr>
          <w:w w:val="99"/>
          <w:position w:val="1"/>
        </w:rPr>
        <w:t>（最大测量厚度－最小测量厚度</w:t>
      </w:r>
      <w:r>
        <w:rPr>
          <w:spacing w:val="1"/>
          <w:w w:val="99"/>
          <w:position w:val="1"/>
        </w:rPr>
        <w:t>）</w:t>
      </w:r>
      <w:r>
        <w:rPr>
          <w:spacing w:val="2"/>
          <w:w w:val="99"/>
          <w:position w:val="1"/>
        </w:rPr>
        <w:t>/</w:t>
      </w:r>
      <w:r>
        <w:rPr>
          <w:w w:val="99"/>
          <w:position w:val="1"/>
        </w:rPr>
        <w:t>最大测量厚度］</w:t>
      </w:r>
      <w:r>
        <w:rPr>
          <w:spacing w:val="0"/>
          <w:w w:val="99"/>
          <w:position w:val="1"/>
        </w:rPr>
        <w:t>应不大于</w:t>
      </w:r>
      <w:r>
        <w:rPr>
          <w:position w:val="1"/>
        </w:rPr>
        <w:t> </w:t>
      </w:r>
      <w:r>
        <w:rPr>
          <w:spacing w:val="2"/>
          <w:w w:val="99"/>
          <w:position w:val="1"/>
        </w:rPr>
        <w:t>10</w:t>
      </w:r>
      <w:r>
        <w:rPr>
          <w:spacing w:val="0"/>
          <w:w w:val="99"/>
          <w:position w:val="1"/>
        </w:rPr>
        <w:t>%。</w:t>
      </w:r>
    </w:p>
    <w:p>
      <w:pPr>
        <w:pStyle w:val="BodyText"/>
        <w:spacing w:before="4"/>
        <w:ind w:left="641"/>
      </w:pPr>
      <w:r>
        <w:rPr/>
        <w:t>电缆的绝缘偏心度应符合下式规定：</w:t>
      </w:r>
    </w:p>
    <w:p>
      <w:pPr>
        <w:pStyle w:val="BodyText"/>
        <w:spacing w:before="40"/>
        <w:ind w:left="224"/>
        <w:rPr>
          <w:rFonts w:ascii="Times New Roman" w:hAnsi="Times New Roman"/>
        </w:rPr>
      </w:pPr>
      <w:r>
        <w:rPr>
          <w:rFonts w:ascii="Times New Roman" w:hAnsi="Times New Roman"/>
        </w:rPr>
        <w:t>(</w:t>
      </w:r>
      <w:r>
        <w:rPr>
          <w:rFonts w:ascii="Times New Roman" w:hAnsi="Times New Roman"/>
          <w:i/>
        </w:rPr>
        <w:t>t</w:t>
      </w:r>
      <w:r>
        <w:rPr>
          <w:rFonts w:ascii="Times New Roman" w:hAnsi="Times New Roman"/>
          <w:vertAlign w:val="subscript"/>
        </w:rPr>
        <w:t>max</w:t>
      </w:r>
      <w:r>
        <w:rPr>
          <w:rFonts w:ascii="Symbol" w:hAnsi="Symbol"/>
          <w:vertAlign w:val="baseline"/>
        </w:rPr>
        <w:t></w:t>
      </w:r>
      <w:r>
        <w:rPr>
          <w:rFonts w:ascii="Times New Roman" w:hAnsi="Times New Roman"/>
          <w:i/>
          <w:vertAlign w:val="baseline"/>
        </w:rPr>
        <w:t>t</w:t>
      </w:r>
      <w:r>
        <w:rPr>
          <w:rFonts w:ascii="Times New Roman" w:hAnsi="Times New Roman"/>
          <w:vertAlign w:val="subscript"/>
        </w:rPr>
        <w:t>min</w:t>
      </w:r>
      <w:r>
        <w:rPr>
          <w:rFonts w:ascii="Times New Roman" w:hAnsi="Times New Roman"/>
          <w:vertAlign w:val="baseline"/>
        </w:rPr>
        <w:t>)/</w:t>
      </w:r>
      <w:r>
        <w:rPr>
          <w:rFonts w:ascii="Times New Roman" w:hAnsi="Times New Roman"/>
          <w:i/>
          <w:vertAlign w:val="baseline"/>
        </w:rPr>
        <w:t>t</w:t>
      </w:r>
      <w:r>
        <w:rPr>
          <w:rFonts w:ascii="Times New Roman" w:hAnsi="Times New Roman"/>
          <w:vertAlign w:val="subscript"/>
        </w:rPr>
        <w:t>max</w:t>
      </w:r>
      <w:r>
        <w:rPr>
          <w:vertAlign w:val="baseline"/>
        </w:rPr>
        <w:t>≤</w:t>
      </w:r>
      <w:r>
        <w:rPr>
          <w:rFonts w:ascii="Times New Roman" w:hAnsi="Times New Roman"/>
          <w:vertAlign w:val="baseline"/>
        </w:rPr>
        <w:t>10%</w:t>
      </w:r>
    </w:p>
    <w:p>
      <w:pPr>
        <w:spacing w:after="0"/>
        <w:rPr>
          <w:rFonts w:ascii="Times New Roman" w:hAnsi="Times New Roman"/>
        </w:rPr>
        <w:sectPr>
          <w:pgSz w:w="11910" w:h="16870"/>
          <w:pgMar w:top="1600" w:bottom="280" w:left="1260" w:right="860"/>
        </w:sectPr>
      </w:pPr>
    </w:p>
    <w:p>
      <w:pPr>
        <w:pStyle w:val="BodyText"/>
        <w:tabs>
          <w:tab w:pos="1268" w:val="left" w:leader="none"/>
        </w:tabs>
        <w:spacing w:before="50"/>
        <w:ind w:left="641"/>
      </w:pPr>
      <w:r>
        <w:rPr/>
        <w:t>式中</w:t>
        <w:tab/>
      </w:r>
      <w:r>
        <w:rPr>
          <w:rFonts w:ascii="Times New Roman" w:hAnsi="Times New Roman" w:eastAsia="Times New Roman"/>
          <w:i/>
        </w:rPr>
        <w:t>t</w:t>
      </w:r>
      <w:r>
        <w:rPr>
          <w:rFonts w:ascii="Times New Roman" w:hAnsi="Times New Roman" w:eastAsia="Times New Roman"/>
          <w:vertAlign w:val="subscript"/>
        </w:rPr>
        <w:t>max</w:t>
      </w:r>
      <w:r>
        <w:rPr>
          <w:rFonts w:ascii="Times New Roman" w:hAnsi="Times New Roman" w:eastAsia="Times New Roman"/>
          <w:spacing w:val="22"/>
          <w:vertAlign w:val="baseline"/>
        </w:rPr>
        <w:t> </w:t>
      </w:r>
      <w:r>
        <w:rPr>
          <w:vertAlign w:val="baseline"/>
        </w:rPr>
        <w:t>——绝缘最大厚度，</w:t>
      </w:r>
      <w:r>
        <w:rPr>
          <w:rFonts w:ascii="Times New Roman" w:hAnsi="Times New Roman" w:eastAsia="Times New Roman"/>
          <w:vertAlign w:val="baseline"/>
        </w:rPr>
        <w:t>mm</w:t>
      </w:r>
      <w:r>
        <w:rPr>
          <w:vertAlign w:val="baseline"/>
        </w:rPr>
        <w:t>；</w:t>
      </w:r>
    </w:p>
    <w:p>
      <w:pPr>
        <w:pStyle w:val="BodyText"/>
        <w:tabs>
          <w:tab w:pos="684" w:val="left" w:leader="none"/>
        </w:tabs>
        <w:spacing w:before="40"/>
        <w:ind w:right="4778"/>
        <w:jc w:val="center"/>
      </w:pPr>
      <w:r>
        <w:rPr>
          <w:rFonts w:ascii="Times New Roman" w:hAnsi="Times New Roman" w:eastAsia="Times New Roman"/>
          <w:i/>
        </w:rPr>
        <w:t>t</w:t>
      </w:r>
      <w:r>
        <w:rPr>
          <w:rFonts w:ascii="Times New Roman" w:hAnsi="Times New Roman" w:eastAsia="Times New Roman"/>
          <w:vertAlign w:val="subscript"/>
        </w:rPr>
        <w:t>min</w:t>
      </w:r>
      <w:r>
        <w:rPr>
          <w:rFonts w:ascii="Times New Roman" w:hAnsi="Times New Roman" w:eastAsia="Times New Roman"/>
          <w:vertAlign w:val="baseline"/>
        </w:rPr>
        <w:tab/>
      </w:r>
      <w:r>
        <w:rPr>
          <w:w w:val="95"/>
          <w:vertAlign w:val="baseline"/>
        </w:rPr>
        <w:t>——绝缘最小厚度，</w:t>
      </w:r>
      <w:r>
        <w:rPr>
          <w:rFonts w:ascii="Times New Roman" w:hAnsi="Times New Roman" w:eastAsia="Times New Roman"/>
          <w:w w:val="95"/>
          <w:vertAlign w:val="baseline"/>
        </w:rPr>
        <w:t>mm</w:t>
      </w:r>
      <w:r>
        <w:rPr>
          <w:w w:val="95"/>
          <w:vertAlign w:val="baseline"/>
        </w:rPr>
        <w:t>。</w:t>
      </w:r>
    </w:p>
    <w:p>
      <w:pPr>
        <w:pStyle w:val="BodyText"/>
        <w:spacing w:before="34"/>
        <w:ind w:left="641"/>
      </w:pPr>
      <w:r>
        <w:rPr>
          <w:rFonts w:ascii="Times New Roman" w:eastAsia="Times New Roman"/>
          <w:i/>
        </w:rPr>
        <w:t>t</w:t>
      </w:r>
      <w:r>
        <w:rPr>
          <w:rFonts w:ascii="Times New Roman" w:eastAsia="Times New Roman"/>
          <w:vertAlign w:val="subscript"/>
        </w:rPr>
        <w:t>max</w:t>
      </w:r>
      <w:r>
        <w:rPr>
          <w:rFonts w:ascii="Times New Roman" w:eastAsia="Times New Roman"/>
          <w:vertAlign w:val="baseline"/>
        </w:rPr>
        <w:t> </w:t>
      </w:r>
      <w:r>
        <w:rPr>
          <w:vertAlign w:val="baseline"/>
        </w:rPr>
        <w:t>和 </w:t>
      </w:r>
      <w:r>
        <w:rPr>
          <w:rFonts w:ascii="Times New Roman" w:eastAsia="Times New Roman"/>
          <w:i/>
          <w:vertAlign w:val="baseline"/>
        </w:rPr>
        <w:t>t</w:t>
      </w:r>
      <w:r>
        <w:rPr>
          <w:rFonts w:ascii="Times New Roman" w:eastAsia="Times New Roman"/>
          <w:vertAlign w:val="subscript"/>
        </w:rPr>
        <w:t>min</w:t>
      </w:r>
      <w:r>
        <w:rPr>
          <w:rFonts w:ascii="Times New Roman" w:eastAsia="Times New Roman"/>
          <w:vertAlign w:val="baseline"/>
        </w:rPr>
        <w:t> </w:t>
      </w:r>
      <w:r>
        <w:rPr>
          <w:vertAlign w:val="baseline"/>
        </w:rPr>
        <w:t>在绝缘同一断面上测得。</w:t>
      </w:r>
    </w:p>
    <w:p>
      <w:pPr>
        <w:pStyle w:val="ListParagraph"/>
        <w:numPr>
          <w:ilvl w:val="2"/>
          <w:numId w:val="40"/>
        </w:numPr>
        <w:tabs>
          <w:tab w:pos="966" w:val="left" w:leader="none"/>
          <w:tab w:pos="967" w:val="left" w:leader="none"/>
        </w:tabs>
        <w:spacing w:line="240" w:lineRule="auto" w:before="48" w:after="0"/>
        <w:ind w:left="966" w:right="0" w:hanging="742"/>
        <w:jc w:val="left"/>
        <w:rPr>
          <w:sz w:val="21"/>
        </w:rPr>
      </w:pPr>
      <w:bookmarkStart w:name="2.1.5　绝缘屏蔽" w:id="54"/>
      <w:bookmarkEnd w:id="54"/>
      <w:r>
        <w:rPr/>
      </w:r>
      <w:bookmarkStart w:name="2.1.5　绝缘屏蔽" w:id="55"/>
      <w:bookmarkEnd w:id="55"/>
      <w:r>
        <w:rPr>
          <w:sz w:val="21"/>
        </w:rPr>
        <w:t>绝缘屏蔽</w:t>
      </w:r>
    </w:p>
    <w:p>
      <w:pPr>
        <w:pStyle w:val="BodyText"/>
        <w:tabs>
          <w:tab w:pos="6887" w:val="left" w:leader="none"/>
        </w:tabs>
        <w:spacing w:line="273" w:lineRule="auto" w:before="33"/>
        <w:ind w:left="224" w:right="125" w:firstLine="417"/>
      </w:pPr>
      <w:r>
        <w:rPr/>
        <w:drawing>
          <wp:anchor distT="0" distB="0" distL="0" distR="0" allowOverlap="1" layoutInCell="1" locked="0" behindDoc="1" simplePos="0" relativeHeight="268264799">
            <wp:simplePos x="0" y="0"/>
            <wp:positionH relativeFrom="page">
              <wp:posOffset>5036820</wp:posOffset>
            </wp:positionH>
            <wp:positionV relativeFrom="paragraph">
              <wp:posOffset>40004</wp:posOffset>
            </wp:positionV>
            <wp:extent cx="274320" cy="132588"/>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274320" cy="132588"/>
                    </a:xfrm>
                    <a:prstGeom prst="rect">
                      <a:avLst/>
                    </a:prstGeom>
                  </pic:spPr>
                </pic:pic>
              </a:graphicData>
            </a:graphic>
          </wp:anchor>
        </w:drawing>
      </w:r>
      <w:r>
        <w:rPr>
          <w:spacing w:val="5"/>
        </w:rPr>
        <w:t>绝缘屏蔽</w:t>
      </w:r>
      <w:r>
        <w:rPr>
          <w:spacing w:val="6"/>
        </w:rPr>
        <w:t>为</w:t>
      </w:r>
      <w:r>
        <w:rPr>
          <w:spacing w:val="5"/>
        </w:rPr>
        <w:t>可剥离或不可剥</w:t>
      </w:r>
      <w:r>
        <w:rPr>
          <w:spacing w:val="6"/>
        </w:rPr>
        <w:t>离</w:t>
      </w:r>
      <w:r>
        <w:rPr>
          <w:spacing w:val="5"/>
        </w:rPr>
        <w:t>挤包半导电层，电阻率</w:t>
      </w:r>
      <w:r>
        <w:rPr>
          <w:spacing w:val="6"/>
        </w:rPr>
        <w:t>不</w:t>
      </w:r>
      <w:r>
        <w:rPr>
          <w:spacing w:val="5"/>
        </w:rPr>
        <w:t>大</w:t>
      </w:r>
      <w:r>
        <w:rPr/>
        <w:t>于</w:t>
      </w:r>
      <w:r>
        <w:rPr>
          <w:spacing w:val="-20"/>
        </w:rPr>
        <w:t> </w:t>
      </w:r>
      <w:r>
        <w:rPr/>
        <w:t>500</w:t>
        <w:tab/>
      </w:r>
      <w:r>
        <w:rPr>
          <w:spacing w:val="2"/>
          <w:w w:val="95"/>
        </w:rPr>
        <w:t>·cm，</w:t>
      </w:r>
      <w:r>
        <w:rPr>
          <w:spacing w:val="5"/>
          <w:w w:val="95"/>
        </w:rPr>
        <w:t>半</w:t>
      </w:r>
      <w:r>
        <w:rPr>
          <w:w w:val="95"/>
        </w:rPr>
        <w:t>导</w:t>
      </w:r>
      <w:r>
        <w:rPr>
          <w:spacing w:val="5"/>
          <w:w w:val="95"/>
        </w:rPr>
        <w:t>电层应均</w:t>
      </w:r>
      <w:r>
        <w:rPr>
          <w:w w:val="95"/>
        </w:rPr>
        <w:t>匀</w:t>
      </w:r>
      <w:r>
        <w:rPr>
          <w:spacing w:val="5"/>
          <w:w w:val="95"/>
        </w:rPr>
        <w:t>地</w:t>
      </w:r>
      <w:r>
        <w:rPr>
          <w:w w:val="95"/>
        </w:rPr>
        <w:t>包</w:t>
      </w:r>
      <w:r>
        <w:rPr>
          <w:spacing w:val="12"/>
          <w:w w:val="95"/>
        </w:rPr>
        <w:t>覆</w:t>
      </w:r>
      <w:r>
        <w:rPr>
          <w:spacing w:val="5"/>
        </w:rPr>
        <w:t>在绝缘</w:t>
      </w:r>
      <w:r>
        <w:rPr/>
        <w:t>表</w:t>
      </w:r>
      <w:r>
        <w:rPr>
          <w:spacing w:val="5"/>
        </w:rPr>
        <w:t>面，表面</w:t>
      </w:r>
      <w:r>
        <w:rPr/>
        <w:t>应</w:t>
      </w:r>
      <w:r>
        <w:rPr>
          <w:spacing w:val="5"/>
        </w:rPr>
        <w:t>光滑，不</w:t>
      </w:r>
      <w:r>
        <w:rPr/>
        <w:t>应</w:t>
      </w:r>
      <w:r>
        <w:rPr>
          <w:spacing w:val="5"/>
        </w:rPr>
        <w:t>有尖</w:t>
      </w:r>
      <w:r>
        <w:rPr>
          <w:spacing w:val="11"/>
        </w:rPr>
        <w:t>角</w:t>
      </w:r>
      <w:r>
        <w:rPr>
          <w:spacing w:val="5"/>
        </w:rPr>
        <w:t>、</w:t>
      </w:r>
      <w:r>
        <w:rPr/>
        <w:t>颗</w:t>
      </w:r>
      <w:r>
        <w:rPr>
          <w:spacing w:val="5"/>
        </w:rPr>
        <w:t>粒、烧焦</w:t>
      </w:r>
      <w:r>
        <w:rPr/>
        <w:t>或</w:t>
      </w:r>
      <w:r>
        <w:rPr>
          <w:spacing w:val="5"/>
        </w:rPr>
        <w:t>擦伤的痕</w:t>
      </w:r>
      <w:r>
        <w:rPr/>
        <w:t>迹</w:t>
      </w:r>
      <w:r>
        <w:rPr>
          <w:spacing w:val="10"/>
        </w:rPr>
        <w:t>。</w:t>
      </w:r>
      <w:r>
        <w:rPr>
          <w:spacing w:val="5"/>
        </w:rPr>
        <w:t>从老</w:t>
      </w:r>
      <w:r>
        <w:rPr/>
        <w:t>化</w:t>
      </w:r>
      <w:r>
        <w:rPr>
          <w:spacing w:val="5"/>
        </w:rPr>
        <w:t>前后的试样绝</w:t>
      </w:r>
      <w:r>
        <w:rPr/>
        <w:t>缘</w:t>
      </w:r>
      <w:r>
        <w:rPr>
          <w:spacing w:val="5"/>
        </w:rPr>
        <w:t>上</w:t>
      </w:r>
      <w:r>
        <w:rPr/>
        <w:t>剥</w:t>
      </w:r>
      <w:r>
        <w:rPr>
          <w:spacing w:val="-9"/>
        </w:rPr>
        <w:t> </w:t>
      </w:r>
      <w:r>
        <w:rPr/>
        <w:t>下挤包半导电屏蔽</w:t>
      </w:r>
      <w:r>
        <w:rPr>
          <w:spacing w:val="5"/>
        </w:rPr>
        <w:t>的</w:t>
      </w:r>
      <w:r>
        <w:rPr/>
        <w:t>剥离力应不</w:t>
      </w:r>
      <w:r>
        <w:rPr>
          <w:spacing w:val="5"/>
        </w:rPr>
        <w:t>小</w:t>
      </w:r>
      <w:r>
        <w:rPr/>
        <w:t>于</w:t>
      </w:r>
      <w:r>
        <w:rPr>
          <w:spacing w:val="-9"/>
        </w:rPr>
        <w:t> </w:t>
      </w:r>
      <w:r>
        <w:rPr/>
        <w:t>8N</w:t>
      </w:r>
      <w:r>
        <w:rPr>
          <w:spacing w:val="-7"/>
        </w:rPr>
        <w:t> </w:t>
      </w:r>
      <w:r>
        <w:rPr/>
        <w:t>和不大于</w:t>
      </w:r>
      <w:r>
        <w:rPr>
          <w:spacing w:val="-11"/>
        </w:rPr>
        <w:t> </w:t>
      </w:r>
      <w:r>
        <w:rPr/>
        <w:t>45N，绝缘表面应无损伤及</w:t>
      </w:r>
      <w:r>
        <w:rPr>
          <w:spacing w:val="5"/>
        </w:rPr>
        <w:t>残</w:t>
      </w:r>
      <w:r>
        <w:rPr/>
        <w:t>留的半导电屏蔽痕</w:t>
      </w:r>
      <w:r>
        <w:rPr>
          <w:spacing w:val="7"/>
        </w:rPr>
        <w:t>迹</w:t>
      </w:r>
      <w:r>
        <w:rPr/>
        <w:t>。</w:t>
      </w:r>
    </w:p>
    <w:p>
      <w:pPr>
        <w:pStyle w:val="BodyText"/>
        <w:spacing w:before="2"/>
        <w:ind w:left="641"/>
      </w:pPr>
      <w:r>
        <w:rPr/>
        <w:t>三芯电缆绝缘屏蔽与金属屏蔽之间应有沿缆芯纵向的相色（黄绿红）标志带，其宽度不小于 2mm。</w:t>
      </w:r>
    </w:p>
    <w:p>
      <w:pPr>
        <w:pStyle w:val="ListParagraph"/>
        <w:numPr>
          <w:ilvl w:val="2"/>
          <w:numId w:val="40"/>
        </w:numPr>
        <w:tabs>
          <w:tab w:pos="966" w:val="left" w:leader="none"/>
          <w:tab w:pos="967" w:val="left" w:leader="none"/>
        </w:tabs>
        <w:spacing w:line="240" w:lineRule="auto" w:before="41" w:after="0"/>
        <w:ind w:left="966" w:right="0" w:hanging="742"/>
        <w:jc w:val="left"/>
        <w:rPr>
          <w:sz w:val="21"/>
        </w:rPr>
      </w:pPr>
      <w:bookmarkStart w:name="2.1.6　金属屏蔽" w:id="56"/>
      <w:bookmarkEnd w:id="56"/>
      <w:r>
        <w:rPr/>
      </w:r>
      <w:bookmarkStart w:name="2.1.6　金属屏蔽" w:id="57"/>
      <w:bookmarkEnd w:id="57"/>
      <w:r>
        <w:rPr>
          <w:sz w:val="21"/>
        </w:rPr>
        <w:t>金属屏蔽</w:t>
      </w:r>
    </w:p>
    <w:p>
      <w:pPr>
        <w:pStyle w:val="ListParagraph"/>
        <w:numPr>
          <w:ilvl w:val="3"/>
          <w:numId w:val="40"/>
        </w:numPr>
        <w:tabs>
          <w:tab w:pos="1226" w:val="left" w:leader="none"/>
        </w:tabs>
        <w:spacing w:line="237" w:lineRule="auto" w:before="6" w:after="0"/>
        <w:ind w:left="224" w:right="342" w:firstLine="0"/>
        <w:jc w:val="left"/>
        <w:rPr>
          <w:sz w:val="21"/>
        </w:rPr>
      </w:pPr>
      <w:r>
        <w:rPr>
          <w:spacing w:val="-42"/>
          <w:sz w:val="21"/>
        </w:rPr>
        <w:t>. </w:t>
      </w:r>
      <w:r>
        <w:rPr>
          <w:sz w:val="21"/>
        </w:rPr>
        <w:t>1 金属屏蔽应由一根或多根金属带、金属编织带、金属丝的同心层或金属丝与金属带的组合结构组成。</w:t>
      </w:r>
    </w:p>
    <w:p>
      <w:pPr>
        <w:pStyle w:val="ListParagraph"/>
        <w:numPr>
          <w:ilvl w:val="3"/>
          <w:numId w:val="40"/>
        </w:numPr>
        <w:tabs>
          <w:tab w:pos="1239" w:val="left" w:leader="none"/>
          <w:tab w:pos="1240" w:val="left" w:leader="none"/>
        </w:tabs>
        <w:spacing w:line="283" w:lineRule="auto" w:before="49" w:after="0"/>
        <w:ind w:left="224" w:right="335" w:firstLine="0"/>
        <w:jc w:val="left"/>
        <w:rPr>
          <w:sz w:val="21"/>
        </w:rPr>
      </w:pPr>
      <w:r>
        <w:rPr>
          <w:spacing w:val="-41"/>
          <w:sz w:val="21"/>
        </w:rPr>
        <w:t>. </w:t>
      </w:r>
      <w:r>
        <w:rPr>
          <w:sz w:val="21"/>
        </w:rPr>
        <w:t>2</w:t>
        <w:tab/>
      </w:r>
      <w:r>
        <w:rPr>
          <w:spacing w:val="-8"/>
          <w:sz w:val="21"/>
        </w:rPr>
        <w:t>金属屏蔽中铜丝的电阻应符合 </w:t>
      </w:r>
      <w:r>
        <w:rPr>
          <w:spacing w:val="-3"/>
          <w:sz w:val="21"/>
        </w:rPr>
        <w:t>GB/T</w:t>
      </w:r>
      <w:r>
        <w:rPr>
          <w:spacing w:val="77"/>
          <w:sz w:val="21"/>
        </w:rPr>
        <w:t> </w:t>
      </w:r>
      <w:r>
        <w:rPr>
          <w:spacing w:val="-3"/>
          <w:sz w:val="21"/>
        </w:rPr>
        <w:t>3956</w:t>
      </w:r>
      <w:r>
        <w:rPr>
          <w:spacing w:val="-8"/>
          <w:sz w:val="21"/>
        </w:rPr>
        <w:t> 的要求。铜丝屏蔽的标称截面积应根据故障</w:t>
      </w:r>
      <w:r>
        <w:rPr>
          <w:spacing w:val="-6"/>
          <w:sz w:val="21"/>
        </w:rPr>
        <w:t>电流容量确定。</w:t>
      </w:r>
    </w:p>
    <w:p>
      <w:pPr>
        <w:pStyle w:val="ListParagraph"/>
        <w:numPr>
          <w:ilvl w:val="3"/>
          <w:numId w:val="40"/>
        </w:numPr>
        <w:tabs>
          <w:tab w:pos="1239" w:val="left" w:leader="none"/>
          <w:tab w:pos="1240" w:val="left" w:leader="none"/>
        </w:tabs>
        <w:spacing w:line="276" w:lineRule="auto" w:before="0" w:after="0"/>
        <w:ind w:left="224" w:right="348" w:firstLine="0"/>
        <w:jc w:val="left"/>
        <w:rPr>
          <w:sz w:val="21"/>
        </w:rPr>
      </w:pPr>
      <w:r>
        <w:rPr>
          <w:spacing w:val="-43"/>
          <w:sz w:val="21"/>
        </w:rPr>
        <w:t>. </w:t>
      </w:r>
      <w:r>
        <w:rPr>
          <w:sz w:val="21"/>
        </w:rPr>
        <w:t>3</w:t>
        <w:tab/>
        <w:t>铜丝屏蔽由疏绕的软铜线组成，其表面应用反向绕包的铜丝或铜带扎紧，相邻铜丝的</w:t>
      </w:r>
      <w:r>
        <w:rPr>
          <w:spacing w:val="-7"/>
          <w:sz w:val="21"/>
        </w:rPr>
        <w:t>平均间隙应不大于 </w:t>
      </w:r>
      <w:r>
        <w:rPr>
          <w:spacing w:val="1"/>
          <w:sz w:val="21"/>
        </w:rPr>
        <w:t>4mm</w:t>
      </w:r>
      <w:r>
        <w:rPr>
          <w:sz w:val="21"/>
        </w:rPr>
        <w:t>。</w:t>
      </w:r>
    </w:p>
    <w:p>
      <w:pPr>
        <w:pStyle w:val="ListParagraph"/>
        <w:numPr>
          <w:ilvl w:val="3"/>
          <w:numId w:val="40"/>
        </w:numPr>
        <w:tabs>
          <w:tab w:pos="1240" w:val="left" w:leader="none"/>
        </w:tabs>
        <w:spacing w:line="276" w:lineRule="auto" w:before="0" w:after="0"/>
        <w:ind w:left="224" w:right="327" w:firstLine="0"/>
        <w:jc w:val="both"/>
        <w:rPr>
          <w:sz w:val="21"/>
        </w:rPr>
      </w:pPr>
      <w:r>
        <w:rPr>
          <w:spacing w:val="-41"/>
          <w:sz w:val="21"/>
        </w:rPr>
        <w:t>. </w:t>
      </w:r>
      <w:r>
        <w:rPr>
          <w:sz w:val="21"/>
        </w:rPr>
        <w:t>4 铜带屏蔽由一层重叠绕包的软铜带组成，绕包连续均匀、平整光滑、没有断裂，铜</w:t>
      </w:r>
      <w:r>
        <w:rPr>
          <w:w w:val="99"/>
          <w:sz w:val="21"/>
        </w:rPr>
        <w:t>带间的平均搭盖率应不小于</w:t>
      </w:r>
      <w:r>
        <w:rPr>
          <w:spacing w:val="-11"/>
          <w:sz w:val="21"/>
        </w:rPr>
        <w:t> </w:t>
      </w:r>
      <w:r>
        <w:rPr>
          <w:spacing w:val="-4"/>
          <w:w w:val="99"/>
          <w:sz w:val="21"/>
        </w:rPr>
        <w:t>1</w:t>
      </w:r>
      <w:r>
        <w:rPr>
          <w:spacing w:val="3"/>
          <w:w w:val="99"/>
          <w:sz w:val="21"/>
        </w:rPr>
        <w:t>5</w:t>
      </w:r>
      <w:r>
        <w:rPr>
          <w:w w:val="99"/>
          <w:sz w:val="21"/>
        </w:rPr>
        <w:t>%</w:t>
      </w:r>
      <w:r>
        <w:rPr>
          <w:spacing w:val="-1"/>
          <w:sz w:val="21"/>
        </w:rPr>
        <w:t> </w:t>
      </w:r>
      <w:r>
        <w:rPr>
          <w:w w:val="99"/>
          <w:sz w:val="21"/>
        </w:rPr>
        <w:t>（</w:t>
      </w:r>
      <w:r>
        <w:rPr>
          <w:spacing w:val="-3"/>
          <w:w w:val="99"/>
          <w:sz w:val="21"/>
        </w:rPr>
        <w:t>标称值</w:t>
      </w:r>
      <w:r>
        <w:rPr>
          <w:spacing w:val="-101"/>
          <w:w w:val="99"/>
          <w:sz w:val="21"/>
        </w:rPr>
        <w:t>）</w:t>
      </w:r>
      <w:r>
        <w:rPr>
          <w:spacing w:val="-2"/>
          <w:w w:val="99"/>
          <w:sz w:val="21"/>
        </w:rPr>
        <w:t>，其最小搭盖率应不小于</w:t>
      </w:r>
      <w:r>
        <w:rPr>
          <w:spacing w:val="-10"/>
          <w:sz w:val="21"/>
        </w:rPr>
        <w:t> </w:t>
      </w:r>
      <w:r>
        <w:rPr>
          <w:spacing w:val="-4"/>
          <w:w w:val="99"/>
          <w:sz w:val="21"/>
        </w:rPr>
        <w:t>5</w:t>
      </w:r>
      <w:r>
        <w:rPr>
          <w:spacing w:val="-3"/>
          <w:w w:val="99"/>
          <w:sz w:val="21"/>
        </w:rPr>
        <w:t>%。软铜带应符合</w:t>
      </w:r>
      <w:r>
        <w:rPr>
          <w:spacing w:val="-4"/>
          <w:sz w:val="21"/>
        </w:rPr>
        <w:t> </w:t>
      </w:r>
      <w:r>
        <w:rPr>
          <w:spacing w:val="-4"/>
          <w:w w:val="99"/>
          <w:sz w:val="21"/>
        </w:rPr>
        <w:t>G</w:t>
      </w:r>
      <w:r>
        <w:rPr>
          <w:spacing w:val="2"/>
          <w:w w:val="99"/>
          <w:sz w:val="21"/>
        </w:rPr>
        <w:t>B</w:t>
      </w:r>
      <w:r>
        <w:rPr>
          <w:spacing w:val="-4"/>
          <w:w w:val="99"/>
          <w:sz w:val="21"/>
        </w:rPr>
        <w:t>/</w:t>
      </w:r>
      <w:r>
        <w:rPr>
          <w:w w:val="99"/>
          <w:sz w:val="21"/>
        </w:rPr>
        <w:t>T</w:t>
      </w:r>
      <w:r>
        <w:rPr>
          <w:sz w:val="21"/>
        </w:rPr>
        <w:t> </w:t>
      </w:r>
      <w:r>
        <w:rPr>
          <w:spacing w:val="-5"/>
          <w:sz w:val="21"/>
        </w:rPr>
        <w:t> </w:t>
      </w:r>
      <w:r>
        <w:rPr>
          <w:sz w:val="21"/>
        </w:rPr>
        <w:t>11091，铜带标称厚度为：</w:t>
      </w:r>
    </w:p>
    <w:p>
      <w:pPr>
        <w:pStyle w:val="BodyText"/>
        <w:spacing w:line="233" w:lineRule="exact"/>
        <w:ind w:left="641"/>
      </w:pPr>
      <w:r>
        <w:rPr/>
        <w:t>——三芯电缆：≥0.10mm。</w:t>
      </w:r>
    </w:p>
    <w:p>
      <w:pPr>
        <w:pStyle w:val="BodyText"/>
        <w:spacing w:line="268" w:lineRule="exact"/>
        <w:ind w:left="641"/>
      </w:pPr>
      <w:r>
        <w:rPr/>
        <w:t>铜带的最小厚度应不小于标称值的 90%。</w:t>
      </w:r>
    </w:p>
    <w:p>
      <w:pPr>
        <w:pStyle w:val="ListParagraph"/>
        <w:numPr>
          <w:ilvl w:val="3"/>
          <w:numId w:val="40"/>
        </w:numPr>
        <w:tabs>
          <w:tab w:pos="1232" w:val="left" w:leader="none"/>
          <w:tab w:pos="1233" w:val="left" w:leader="none"/>
        </w:tabs>
        <w:spacing w:line="283" w:lineRule="auto" w:before="37" w:after="0"/>
        <w:ind w:left="224" w:right="338" w:firstLine="0"/>
        <w:jc w:val="left"/>
        <w:rPr>
          <w:sz w:val="21"/>
        </w:rPr>
      </w:pPr>
      <w:r>
        <w:rPr>
          <w:spacing w:val="-45"/>
          <w:sz w:val="21"/>
        </w:rPr>
        <w:t>. </w:t>
      </w:r>
      <w:r>
        <w:rPr>
          <w:sz w:val="21"/>
        </w:rPr>
        <w:t>5</w:t>
        <w:tab/>
      </w:r>
      <w:r>
        <w:rPr>
          <w:spacing w:val="-7"/>
          <w:sz w:val="21"/>
        </w:rPr>
        <w:t>标称截面积为 </w:t>
      </w:r>
      <w:r>
        <w:rPr>
          <w:sz w:val="21"/>
        </w:rPr>
        <w:t>500mm</w:t>
      </w:r>
      <w:r>
        <w:rPr>
          <w:position w:val="11"/>
          <w:sz w:val="11"/>
        </w:rPr>
        <w:t>2</w:t>
      </w:r>
      <w:r>
        <w:rPr>
          <w:spacing w:val="-27"/>
          <w:position w:val="11"/>
          <w:sz w:val="11"/>
        </w:rPr>
        <w:t> </w:t>
      </w:r>
      <w:r>
        <w:rPr>
          <w:sz w:val="21"/>
        </w:rPr>
        <w:t>及以上电缆的金属屏蔽应采用铜丝屏蔽结构，金属屏蔽中铜丝的</w:t>
      </w:r>
      <w:r>
        <w:rPr>
          <w:spacing w:val="-10"/>
          <w:sz w:val="21"/>
        </w:rPr>
        <w:t>电阻应符合 </w:t>
      </w:r>
      <w:r>
        <w:rPr>
          <w:sz w:val="21"/>
        </w:rPr>
        <w:t>GB/T</w:t>
      </w:r>
      <w:r>
        <w:rPr>
          <w:spacing w:val="-2"/>
          <w:sz w:val="21"/>
        </w:rPr>
        <w:t> </w:t>
      </w:r>
      <w:r>
        <w:rPr>
          <w:sz w:val="21"/>
        </w:rPr>
        <w:t>3956 的要求。</w:t>
      </w:r>
    </w:p>
    <w:p>
      <w:pPr>
        <w:pStyle w:val="ListParagraph"/>
        <w:numPr>
          <w:ilvl w:val="2"/>
          <w:numId w:val="41"/>
        </w:numPr>
        <w:tabs>
          <w:tab w:pos="966" w:val="left" w:leader="none"/>
          <w:tab w:pos="967" w:val="left" w:leader="none"/>
        </w:tabs>
        <w:spacing w:line="260" w:lineRule="exact" w:before="0" w:after="0"/>
        <w:ind w:left="966" w:right="0" w:hanging="742"/>
        <w:jc w:val="left"/>
        <w:rPr>
          <w:sz w:val="21"/>
        </w:rPr>
      </w:pPr>
      <w:bookmarkStart w:name="2.1.7　内衬层与填充" w:id="58"/>
      <w:bookmarkEnd w:id="58"/>
      <w:r>
        <w:rPr/>
      </w:r>
      <w:bookmarkStart w:name="2.1.7　内衬层与填充" w:id="59"/>
      <w:bookmarkEnd w:id="59"/>
      <w:r>
        <w:rPr>
          <w:sz w:val="21"/>
        </w:rPr>
        <w:t>内衬层与填充</w:t>
      </w:r>
    </w:p>
    <w:p>
      <w:pPr>
        <w:pStyle w:val="BodyText"/>
        <w:spacing w:line="244" w:lineRule="auto"/>
        <w:ind w:left="224" w:right="324" w:firstLine="417"/>
      </w:pPr>
      <w:r>
        <w:rPr>
          <w:w w:val="95"/>
        </w:rPr>
        <w:t>内衬层可以挤包或绕包，圆形绝缘线芯电缆只有在绝缘线芯间的间隙被密实填充时，才允许采   </w:t>
      </w:r>
      <w:r>
        <w:rPr/>
        <w:t>用绕包内衬层，挤包内衬层前允许用合适的带子扎紧。</w:t>
      </w:r>
    </w:p>
    <w:p>
      <w:pPr>
        <w:pStyle w:val="BodyText"/>
        <w:spacing w:line="267" w:lineRule="exact"/>
        <w:ind w:left="641"/>
      </w:pPr>
      <w:r>
        <w:rPr/>
        <w:t>挤包内衬层的近似厚度应符合 GB/T 12706.2 的要求，有防水要求时，宜选用 PE 内衬层。</w:t>
      </w:r>
    </w:p>
    <w:p>
      <w:pPr>
        <w:pStyle w:val="BodyText"/>
        <w:spacing w:line="244" w:lineRule="auto" w:before="4"/>
        <w:ind w:left="224" w:right="331" w:firstLine="417"/>
      </w:pPr>
      <w:r>
        <w:rPr>
          <w:w w:val="95"/>
        </w:rPr>
        <w:t>采用与电缆运行温度相适应的非吸湿性材料填充，应密实、圆整，并保证在成品电缆段附加老   </w:t>
      </w:r>
      <w:r>
        <w:rPr/>
        <w:t>化试验后不粉化，三芯成缆后外形应圆整。</w:t>
      </w:r>
    </w:p>
    <w:p>
      <w:pPr>
        <w:pStyle w:val="ListParagraph"/>
        <w:numPr>
          <w:ilvl w:val="2"/>
          <w:numId w:val="41"/>
        </w:numPr>
        <w:tabs>
          <w:tab w:pos="966" w:val="left" w:leader="none"/>
          <w:tab w:pos="967" w:val="left" w:leader="none"/>
        </w:tabs>
        <w:spacing w:line="240" w:lineRule="auto" w:before="34" w:after="0"/>
        <w:ind w:left="966" w:right="0" w:hanging="742"/>
        <w:jc w:val="left"/>
        <w:rPr>
          <w:sz w:val="21"/>
        </w:rPr>
      </w:pPr>
      <w:bookmarkStart w:name="2.1.8　金属铠装" w:id="60"/>
      <w:bookmarkEnd w:id="60"/>
      <w:r>
        <w:rPr/>
      </w:r>
      <w:bookmarkStart w:name="2.1.8　金属铠装" w:id="61"/>
      <w:bookmarkEnd w:id="61"/>
      <w:r>
        <w:rPr>
          <w:sz w:val="21"/>
        </w:rPr>
        <w:t>金属铠装</w:t>
      </w:r>
    </w:p>
    <w:p>
      <w:pPr>
        <w:pStyle w:val="BodyText"/>
        <w:spacing w:before="41"/>
        <w:ind w:left="641"/>
      </w:pPr>
      <w:r>
        <w:rPr/>
        <w:t>金属铠装分为金属带和金属丝两种。</w:t>
      </w:r>
    </w:p>
    <w:p>
      <w:pPr>
        <w:pStyle w:val="BodyText"/>
        <w:spacing w:line="261" w:lineRule="auto" w:before="34"/>
        <w:ind w:left="224" w:right="335" w:firstLine="417"/>
        <w:jc w:val="both"/>
      </w:pPr>
      <w:r>
        <w:rPr/>
        <w:t>金属带铠装采用双层镀锌钢带或涂漆钢带，螺旋绕包两层，外层钢带的中间大致在内层钢带间隙上方，包带间隙应不大于钢带宽度的 50%，绕包应平整光滑，3×240mm</w:t>
      </w:r>
      <w:r>
        <w:rPr>
          <w:position w:val="11"/>
          <w:sz w:val="11"/>
        </w:rPr>
        <w:t>2 </w:t>
      </w:r>
      <w:r>
        <w:rPr/>
        <w:t>及以上电缆的钢带标称厚度为 0.8mm，3×240mm</w:t>
      </w:r>
      <w:r>
        <w:rPr>
          <w:position w:val="11"/>
          <w:sz w:val="11"/>
        </w:rPr>
        <w:t>2 </w:t>
      </w:r>
      <w:r>
        <w:rPr/>
        <w:t>以下电缆的钢带标称厚度为 0.5mm。</w:t>
      </w:r>
    </w:p>
    <w:p>
      <w:pPr>
        <w:pStyle w:val="BodyText"/>
        <w:spacing w:line="271" w:lineRule="auto" w:before="14"/>
        <w:ind w:left="224" w:right="344" w:firstLine="417"/>
      </w:pPr>
      <w:r>
        <w:rPr/>
        <w:t>金属丝铠装应紧密，必要时可在铠装外疏绕一条最小厚度为 0.3mm 的镀锌钢带，钢丝直径应符合 GB/T 12706.2 的要求。</w:t>
      </w:r>
    </w:p>
    <w:p>
      <w:pPr>
        <w:pStyle w:val="ListParagraph"/>
        <w:numPr>
          <w:ilvl w:val="2"/>
          <w:numId w:val="41"/>
        </w:numPr>
        <w:tabs>
          <w:tab w:pos="966" w:val="left" w:leader="none"/>
          <w:tab w:pos="967" w:val="left" w:leader="none"/>
        </w:tabs>
        <w:spacing w:line="240" w:lineRule="auto" w:before="5" w:after="0"/>
        <w:ind w:left="966" w:right="0" w:hanging="742"/>
        <w:jc w:val="left"/>
        <w:rPr>
          <w:sz w:val="21"/>
        </w:rPr>
      </w:pPr>
      <w:bookmarkStart w:name="2.1.9　外护套" w:id="62"/>
      <w:bookmarkEnd w:id="62"/>
      <w:r>
        <w:rPr/>
      </w:r>
      <w:bookmarkStart w:name="2.1.9　外护套" w:id="63"/>
      <w:bookmarkEnd w:id="63"/>
      <w:r>
        <w:rPr>
          <w:sz w:val="21"/>
        </w:rPr>
        <w:t>外护套</w:t>
      </w:r>
    </w:p>
    <w:p>
      <w:pPr>
        <w:pStyle w:val="BodyText"/>
        <w:spacing w:line="278" w:lineRule="auto" w:before="40"/>
        <w:ind w:left="224" w:right="323" w:firstLine="424"/>
        <w:jc w:val="both"/>
      </w:pPr>
      <w:r>
        <w:rPr/>
        <w:t>外护套应采用聚氯乙烯或聚乙烯料挤包，有特殊要求时可使用化学添加剂，但所使用的添加剂不应包括对人类及环境有害的材料。外护套根据项目单位要求设置导电层，导电层应均匀、光滑、</w:t>
      </w:r>
      <w:r>
        <w:rPr>
          <w:w w:val="95"/>
        </w:rPr>
        <w:t>牢固、不脱落，在敷设和长期运行条件下应牢固包覆在绝缘外护套上。如选择挤出外电极方式，外   </w:t>
      </w:r>
      <w:r>
        <w:rPr/>
        <w:t>电极最大电阻率不大于 500</w:t>
      </w:r>
      <w:r>
        <w:rPr>
          <w:rFonts w:ascii="Symbol" w:hAnsi="Symbol" w:eastAsia="Symbol"/>
        </w:rPr>
        <w:t></w:t>
      </w:r>
      <w:r>
        <w:rPr/>
        <w:t>·m。三芯电缆外护套标称厚度见表 1。</w:t>
      </w:r>
    </w:p>
    <w:p>
      <w:pPr>
        <w:pStyle w:val="BodyText"/>
        <w:tabs>
          <w:tab w:pos="590" w:val="left" w:leader="none"/>
        </w:tabs>
        <w:spacing w:before="88"/>
        <w:ind w:right="111"/>
        <w:jc w:val="center"/>
      </w:pPr>
      <w:r>
        <w:rPr/>
        <w:t>表</w:t>
      </w:r>
      <w:r>
        <w:rPr>
          <w:spacing w:val="-50"/>
        </w:rPr>
        <w:t> </w:t>
      </w:r>
      <w:r>
        <w:rPr>
          <w:rFonts w:ascii="Microsoft YaHei" w:eastAsia="Microsoft YaHei" w:hint="eastAsia"/>
        </w:rPr>
        <w:t>1</w:t>
        <w:tab/>
      </w:r>
      <w:r>
        <w:rPr/>
        <w:t>三芯电</w:t>
      </w:r>
      <w:r>
        <w:rPr>
          <w:spacing w:val="5"/>
        </w:rPr>
        <w:t>缆</w:t>
      </w:r>
      <w:r>
        <w:rPr/>
        <w:t>外护套标称</w:t>
      </w:r>
      <w:r>
        <w:rPr>
          <w:spacing w:val="5"/>
        </w:rPr>
        <w:t>厚</w:t>
      </w:r>
      <w:r>
        <w:rPr/>
        <w:t>度</w:t>
      </w:r>
    </w:p>
    <w:p>
      <w:pPr>
        <w:pStyle w:val="BodyText"/>
        <w:spacing w:before="4"/>
        <w:rPr>
          <w:sz w:val="8"/>
        </w:r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80"/>
        <w:gridCol w:w="2161"/>
        <w:gridCol w:w="2010"/>
        <w:gridCol w:w="2165"/>
      </w:tblGrid>
      <w:tr>
        <w:trPr>
          <w:trHeight w:val="300" w:hRule="atLeast"/>
        </w:trPr>
        <w:tc>
          <w:tcPr>
            <w:tcW w:w="3080" w:type="dxa"/>
            <w:vMerge w:val="restart"/>
            <w:tcBorders>
              <w:bottom w:val="single" w:sz="4" w:space="0" w:color="000000"/>
              <w:right w:val="single" w:sz="4" w:space="0" w:color="000000"/>
            </w:tcBorders>
          </w:tcPr>
          <w:p>
            <w:pPr>
              <w:pStyle w:val="TableParagraph"/>
              <w:spacing w:before="10"/>
              <w:rPr>
                <w:sz w:val="25"/>
              </w:rPr>
            </w:pPr>
          </w:p>
          <w:p>
            <w:pPr>
              <w:pStyle w:val="TableParagraph"/>
              <w:ind w:left="741"/>
              <w:rPr>
                <w:sz w:val="18"/>
              </w:rPr>
            </w:pPr>
            <w:r>
              <w:rPr>
                <w:sz w:val="18"/>
              </w:rPr>
              <w:t>电缆截面积（</w:t>
            </w:r>
            <w:r>
              <w:rPr>
                <w:rFonts w:ascii="Times New Roman" w:eastAsia="Times New Roman"/>
                <w:sz w:val="18"/>
              </w:rPr>
              <w:t>mm</w:t>
            </w:r>
            <w:r>
              <w:rPr>
                <w:rFonts w:ascii="Times New Roman" w:eastAsia="Times New Roman"/>
                <w:sz w:val="18"/>
                <w:vertAlign w:val="superscript"/>
              </w:rPr>
              <w:t>2</w:t>
            </w:r>
            <w:r>
              <w:rPr>
                <w:sz w:val="18"/>
                <w:vertAlign w:val="baseline"/>
              </w:rPr>
              <w:t>）</w:t>
            </w:r>
          </w:p>
        </w:tc>
        <w:tc>
          <w:tcPr>
            <w:tcW w:w="6336" w:type="dxa"/>
            <w:gridSpan w:val="3"/>
            <w:tcBorders>
              <w:left w:val="single" w:sz="4" w:space="0" w:color="000000"/>
              <w:bottom w:val="single" w:sz="4" w:space="0" w:color="000000"/>
            </w:tcBorders>
          </w:tcPr>
          <w:p>
            <w:pPr>
              <w:pStyle w:val="TableParagraph"/>
              <w:spacing w:before="28"/>
              <w:ind w:left="2201" w:right="2182"/>
              <w:jc w:val="center"/>
              <w:rPr>
                <w:sz w:val="18"/>
              </w:rPr>
            </w:pPr>
            <w:r>
              <w:rPr>
                <w:sz w:val="18"/>
              </w:rPr>
              <w:t>外护套标称厚度（</w:t>
            </w:r>
            <w:r>
              <w:rPr>
                <w:rFonts w:ascii="Times New Roman" w:eastAsia="Times New Roman"/>
                <w:sz w:val="18"/>
              </w:rPr>
              <w:t>mm</w:t>
            </w:r>
            <w:r>
              <w:rPr>
                <w:sz w:val="18"/>
              </w:rPr>
              <w:t>）</w:t>
            </w:r>
          </w:p>
        </w:tc>
      </w:tr>
      <w:tr>
        <w:trPr>
          <w:trHeight w:val="292" w:hRule="atLeast"/>
        </w:trPr>
        <w:tc>
          <w:tcPr>
            <w:tcW w:w="3080" w:type="dxa"/>
            <w:vMerge/>
            <w:tcBorders>
              <w:top w:val="nil"/>
              <w:bottom w:val="single" w:sz="4" w:space="0" w:color="000000"/>
              <w:right w:val="single" w:sz="4" w:space="0" w:color="000000"/>
            </w:tcBorders>
          </w:tcPr>
          <w:p>
            <w:pPr>
              <w:rPr>
                <w:sz w:val="2"/>
                <w:szCs w:val="2"/>
              </w:rPr>
            </w:pPr>
          </w:p>
        </w:tc>
        <w:tc>
          <w:tcPr>
            <w:tcW w:w="216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4"/>
              <w:rPr>
                <w:sz w:val="13"/>
              </w:rPr>
            </w:pPr>
          </w:p>
          <w:p>
            <w:pPr>
              <w:pStyle w:val="TableParagraph"/>
              <w:spacing w:before="1"/>
              <w:ind w:left="792" w:right="778"/>
              <w:jc w:val="center"/>
              <w:rPr>
                <w:sz w:val="18"/>
              </w:rPr>
            </w:pPr>
            <w:r>
              <w:rPr>
                <w:sz w:val="18"/>
              </w:rPr>
              <w:t>无铠装</w:t>
            </w:r>
          </w:p>
        </w:tc>
        <w:tc>
          <w:tcPr>
            <w:tcW w:w="4175" w:type="dxa"/>
            <w:gridSpan w:val="2"/>
            <w:tcBorders>
              <w:top w:val="single" w:sz="4" w:space="0" w:color="000000"/>
              <w:left w:val="single" w:sz="4" w:space="0" w:color="000000"/>
              <w:bottom w:val="single" w:sz="4" w:space="0" w:color="000000"/>
            </w:tcBorders>
          </w:tcPr>
          <w:p>
            <w:pPr>
              <w:pStyle w:val="TableParagraph"/>
              <w:spacing w:before="20"/>
              <w:ind w:left="1801" w:right="1781"/>
              <w:jc w:val="center"/>
              <w:rPr>
                <w:sz w:val="18"/>
              </w:rPr>
            </w:pPr>
            <w:r>
              <w:rPr>
                <w:sz w:val="18"/>
              </w:rPr>
              <w:t>有铠装</w:t>
            </w:r>
          </w:p>
        </w:tc>
      </w:tr>
      <w:tr>
        <w:trPr>
          <w:trHeight w:val="292" w:hRule="atLeast"/>
        </w:trPr>
        <w:tc>
          <w:tcPr>
            <w:tcW w:w="3080" w:type="dxa"/>
            <w:vMerge/>
            <w:tcBorders>
              <w:top w:val="nil"/>
              <w:bottom w:val="single" w:sz="4" w:space="0" w:color="000000"/>
              <w:right w:val="single" w:sz="4" w:space="0" w:color="000000"/>
            </w:tcBorders>
          </w:tcPr>
          <w:p>
            <w:pPr>
              <w:rPr>
                <w:sz w:val="2"/>
                <w:szCs w:val="2"/>
              </w:rPr>
            </w:pPr>
          </w:p>
        </w:tc>
        <w:tc>
          <w:tcPr>
            <w:tcW w:w="2161" w:type="dxa"/>
            <w:vMerge/>
            <w:tcBorders>
              <w:top w:val="nil"/>
              <w:left w:val="single" w:sz="4" w:space="0" w:color="000000"/>
              <w:bottom w:val="single" w:sz="4" w:space="0" w:color="000000"/>
              <w:right w:val="single" w:sz="4" w:space="0" w:color="000000"/>
            </w:tcBorders>
          </w:tcPr>
          <w:p>
            <w:pPr>
              <w:rPr>
                <w:sz w:val="2"/>
                <w:szCs w:val="2"/>
              </w:rPr>
            </w:pP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before="20"/>
              <w:ind w:left="720" w:right="699"/>
              <w:jc w:val="center"/>
              <w:rPr>
                <w:sz w:val="18"/>
              </w:rPr>
            </w:pPr>
            <w:r>
              <w:rPr>
                <w:sz w:val="18"/>
              </w:rPr>
              <w:t>金属带</w:t>
            </w:r>
          </w:p>
        </w:tc>
        <w:tc>
          <w:tcPr>
            <w:tcW w:w="2165" w:type="dxa"/>
            <w:tcBorders>
              <w:top w:val="single" w:sz="4" w:space="0" w:color="000000"/>
              <w:left w:val="single" w:sz="4" w:space="0" w:color="000000"/>
              <w:bottom w:val="single" w:sz="4" w:space="0" w:color="000000"/>
            </w:tcBorders>
          </w:tcPr>
          <w:p>
            <w:pPr>
              <w:pStyle w:val="TableParagraph"/>
              <w:spacing w:before="20"/>
              <w:ind w:left="792" w:right="779"/>
              <w:jc w:val="center"/>
              <w:rPr>
                <w:sz w:val="18"/>
              </w:rPr>
            </w:pPr>
            <w:r>
              <w:rPr>
                <w:sz w:val="18"/>
              </w:rPr>
              <w:t>金属丝</w:t>
            </w:r>
          </w:p>
        </w:tc>
      </w:tr>
      <w:tr>
        <w:trPr>
          <w:trHeight w:val="264" w:hRule="atLeast"/>
        </w:trPr>
        <w:tc>
          <w:tcPr>
            <w:tcW w:w="3080" w:type="dxa"/>
            <w:tcBorders>
              <w:top w:val="single" w:sz="4" w:space="0" w:color="000000"/>
              <w:right w:val="single" w:sz="4" w:space="0" w:color="000000"/>
            </w:tcBorders>
          </w:tcPr>
          <w:p>
            <w:pPr>
              <w:pStyle w:val="TableParagraph"/>
              <w:spacing w:before="32"/>
              <w:ind w:left="1379" w:right="1378"/>
              <w:jc w:val="center"/>
              <w:rPr>
                <w:rFonts w:ascii="Times New Roman"/>
                <w:sz w:val="18"/>
              </w:rPr>
            </w:pPr>
            <w:r>
              <w:rPr>
                <w:rFonts w:ascii="Times New Roman"/>
                <w:sz w:val="18"/>
              </w:rPr>
              <w:t>35</w:t>
            </w:r>
          </w:p>
        </w:tc>
        <w:tc>
          <w:tcPr>
            <w:tcW w:w="2161" w:type="dxa"/>
            <w:tcBorders>
              <w:top w:val="single" w:sz="4" w:space="0" w:color="000000"/>
              <w:left w:val="single" w:sz="4" w:space="0" w:color="000000"/>
              <w:right w:val="single" w:sz="4" w:space="0" w:color="000000"/>
            </w:tcBorders>
          </w:tcPr>
          <w:p>
            <w:pPr>
              <w:pStyle w:val="TableParagraph"/>
              <w:spacing w:before="32"/>
              <w:ind w:left="788" w:right="778"/>
              <w:jc w:val="center"/>
              <w:rPr>
                <w:rFonts w:ascii="Times New Roman"/>
                <w:sz w:val="18"/>
              </w:rPr>
            </w:pPr>
            <w:r>
              <w:rPr>
                <w:rFonts w:ascii="Times New Roman"/>
                <w:sz w:val="18"/>
              </w:rPr>
              <w:t>2.5</w:t>
            </w:r>
          </w:p>
        </w:tc>
        <w:tc>
          <w:tcPr>
            <w:tcW w:w="2010" w:type="dxa"/>
            <w:tcBorders>
              <w:top w:val="single" w:sz="4" w:space="0" w:color="000000"/>
              <w:left w:val="single" w:sz="4" w:space="0" w:color="000000"/>
              <w:right w:val="single" w:sz="4" w:space="0" w:color="000000"/>
            </w:tcBorders>
          </w:tcPr>
          <w:p>
            <w:pPr>
              <w:pStyle w:val="TableParagraph"/>
              <w:spacing w:before="32"/>
              <w:ind w:left="716" w:right="699"/>
              <w:jc w:val="center"/>
              <w:rPr>
                <w:rFonts w:ascii="Times New Roman"/>
                <w:sz w:val="18"/>
              </w:rPr>
            </w:pPr>
            <w:r>
              <w:rPr>
                <w:rFonts w:ascii="Times New Roman"/>
                <w:sz w:val="18"/>
              </w:rPr>
              <w:t>2.7</w:t>
            </w:r>
          </w:p>
        </w:tc>
        <w:tc>
          <w:tcPr>
            <w:tcW w:w="2165" w:type="dxa"/>
            <w:tcBorders>
              <w:top w:val="single" w:sz="4" w:space="0" w:color="000000"/>
              <w:left w:val="single" w:sz="4" w:space="0" w:color="000000"/>
            </w:tcBorders>
          </w:tcPr>
          <w:p>
            <w:pPr>
              <w:pStyle w:val="TableParagraph"/>
              <w:spacing w:before="32"/>
              <w:ind w:left="788" w:right="779"/>
              <w:jc w:val="center"/>
              <w:rPr>
                <w:rFonts w:ascii="Times New Roman"/>
                <w:sz w:val="18"/>
              </w:rPr>
            </w:pPr>
            <w:r>
              <w:rPr>
                <w:rFonts w:ascii="Times New Roman"/>
                <w:sz w:val="18"/>
              </w:rPr>
              <w:t>2.8</w:t>
            </w:r>
          </w:p>
        </w:tc>
      </w:tr>
    </w:tbl>
    <w:p>
      <w:pPr>
        <w:spacing w:after="0"/>
        <w:jc w:val="center"/>
        <w:rPr>
          <w:rFonts w:ascii="Times New Roman"/>
          <w:sz w:val="18"/>
        </w:rPr>
        <w:sectPr>
          <w:pgSz w:w="11910" w:h="16870"/>
          <w:pgMar w:top="1560" w:bottom="280" w:left="1260" w:right="860"/>
        </w:sectPr>
      </w:pP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80"/>
        <w:gridCol w:w="2161"/>
        <w:gridCol w:w="2010"/>
        <w:gridCol w:w="2165"/>
      </w:tblGrid>
      <w:tr>
        <w:trPr>
          <w:trHeight w:val="272" w:hRule="atLeast"/>
        </w:trPr>
        <w:tc>
          <w:tcPr>
            <w:tcW w:w="3080" w:type="dxa"/>
            <w:tcBorders>
              <w:bottom w:val="single" w:sz="4" w:space="0" w:color="000000"/>
              <w:right w:val="single" w:sz="4" w:space="0" w:color="000000"/>
            </w:tcBorders>
          </w:tcPr>
          <w:p>
            <w:pPr>
              <w:pStyle w:val="TableParagraph"/>
              <w:spacing w:before="28"/>
              <w:ind w:left="1379" w:right="1378"/>
              <w:jc w:val="center"/>
              <w:rPr>
                <w:rFonts w:ascii="Times New Roman"/>
                <w:sz w:val="18"/>
              </w:rPr>
            </w:pPr>
            <w:r>
              <w:rPr>
                <w:rFonts w:ascii="Times New Roman"/>
                <w:sz w:val="18"/>
              </w:rPr>
              <w:t>70</w:t>
            </w:r>
          </w:p>
        </w:tc>
        <w:tc>
          <w:tcPr>
            <w:tcW w:w="2161" w:type="dxa"/>
            <w:tcBorders>
              <w:left w:val="single" w:sz="4" w:space="0" w:color="000000"/>
              <w:bottom w:val="single" w:sz="4" w:space="0" w:color="000000"/>
              <w:right w:val="single" w:sz="4" w:space="0" w:color="000000"/>
            </w:tcBorders>
          </w:tcPr>
          <w:p>
            <w:pPr>
              <w:pStyle w:val="TableParagraph"/>
              <w:spacing w:before="28"/>
              <w:ind w:left="788" w:right="778"/>
              <w:jc w:val="center"/>
              <w:rPr>
                <w:rFonts w:ascii="Times New Roman"/>
                <w:sz w:val="18"/>
              </w:rPr>
            </w:pPr>
            <w:r>
              <w:rPr>
                <w:rFonts w:ascii="Times New Roman"/>
                <w:sz w:val="18"/>
              </w:rPr>
              <w:t>2.7</w:t>
            </w:r>
          </w:p>
        </w:tc>
        <w:tc>
          <w:tcPr>
            <w:tcW w:w="2010" w:type="dxa"/>
            <w:tcBorders>
              <w:left w:val="single" w:sz="4" w:space="0" w:color="000000"/>
              <w:bottom w:val="single" w:sz="4" w:space="0" w:color="000000"/>
              <w:right w:val="single" w:sz="4" w:space="0" w:color="000000"/>
            </w:tcBorders>
          </w:tcPr>
          <w:p>
            <w:pPr>
              <w:pStyle w:val="TableParagraph"/>
              <w:spacing w:before="28"/>
              <w:ind w:left="716" w:right="699"/>
              <w:jc w:val="center"/>
              <w:rPr>
                <w:rFonts w:ascii="Times New Roman"/>
                <w:sz w:val="18"/>
              </w:rPr>
            </w:pPr>
            <w:r>
              <w:rPr>
                <w:rFonts w:ascii="Times New Roman"/>
                <w:sz w:val="18"/>
              </w:rPr>
              <w:t>2.9</w:t>
            </w:r>
          </w:p>
        </w:tc>
        <w:tc>
          <w:tcPr>
            <w:tcW w:w="2165" w:type="dxa"/>
            <w:tcBorders>
              <w:left w:val="single" w:sz="4" w:space="0" w:color="000000"/>
              <w:bottom w:val="single" w:sz="4" w:space="0" w:color="000000"/>
            </w:tcBorders>
          </w:tcPr>
          <w:p>
            <w:pPr>
              <w:pStyle w:val="TableParagraph"/>
              <w:spacing w:before="28"/>
              <w:ind w:left="788" w:right="779"/>
              <w:jc w:val="center"/>
              <w:rPr>
                <w:rFonts w:ascii="Times New Roman"/>
                <w:sz w:val="18"/>
              </w:rPr>
            </w:pPr>
            <w:r>
              <w:rPr>
                <w:rFonts w:ascii="Times New Roman"/>
                <w:sz w:val="18"/>
              </w:rPr>
              <w:t>3.0</w:t>
            </w:r>
          </w:p>
        </w:tc>
      </w:tr>
      <w:tr>
        <w:trPr>
          <w:trHeight w:val="270" w:hRule="atLeast"/>
        </w:trPr>
        <w:tc>
          <w:tcPr>
            <w:tcW w:w="3080" w:type="dxa"/>
            <w:tcBorders>
              <w:top w:val="single" w:sz="4" w:space="0" w:color="000000"/>
              <w:bottom w:val="single" w:sz="4" w:space="0" w:color="000000"/>
              <w:right w:val="single" w:sz="4" w:space="0" w:color="000000"/>
            </w:tcBorders>
          </w:tcPr>
          <w:p>
            <w:pPr>
              <w:pStyle w:val="TableParagraph"/>
              <w:spacing w:before="27"/>
              <w:ind w:left="1379" w:right="1378"/>
              <w:jc w:val="center"/>
              <w:rPr>
                <w:rFonts w:ascii="Times New Roman"/>
                <w:sz w:val="18"/>
              </w:rPr>
            </w:pPr>
            <w:r>
              <w:rPr>
                <w:rFonts w:ascii="Times New Roman"/>
                <w:sz w:val="18"/>
              </w:rPr>
              <w:t>95</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before="27"/>
              <w:ind w:left="788" w:right="778"/>
              <w:jc w:val="center"/>
              <w:rPr>
                <w:rFonts w:ascii="Times New Roman"/>
                <w:sz w:val="18"/>
              </w:rPr>
            </w:pPr>
            <w:r>
              <w:rPr>
                <w:rFonts w:ascii="Times New Roman"/>
                <w:sz w:val="18"/>
              </w:rPr>
              <w:t>2.8</w:t>
            </w: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before="27"/>
              <w:ind w:left="716" w:right="699"/>
              <w:jc w:val="center"/>
              <w:rPr>
                <w:rFonts w:ascii="Times New Roman"/>
                <w:sz w:val="18"/>
              </w:rPr>
            </w:pPr>
            <w:r>
              <w:rPr>
                <w:rFonts w:ascii="Times New Roman"/>
                <w:sz w:val="18"/>
              </w:rPr>
              <w:t>3.1</w:t>
            </w:r>
          </w:p>
        </w:tc>
        <w:tc>
          <w:tcPr>
            <w:tcW w:w="2165" w:type="dxa"/>
            <w:tcBorders>
              <w:top w:val="single" w:sz="4" w:space="0" w:color="000000"/>
              <w:left w:val="single" w:sz="4" w:space="0" w:color="000000"/>
              <w:bottom w:val="single" w:sz="4" w:space="0" w:color="000000"/>
            </w:tcBorders>
          </w:tcPr>
          <w:p>
            <w:pPr>
              <w:pStyle w:val="TableParagraph"/>
              <w:spacing w:before="27"/>
              <w:ind w:left="788" w:right="779"/>
              <w:jc w:val="center"/>
              <w:rPr>
                <w:rFonts w:ascii="Times New Roman"/>
                <w:sz w:val="18"/>
              </w:rPr>
            </w:pPr>
            <w:r>
              <w:rPr>
                <w:rFonts w:ascii="Times New Roman"/>
                <w:sz w:val="18"/>
              </w:rPr>
              <w:t>3.2</w:t>
            </w:r>
          </w:p>
        </w:tc>
      </w:tr>
      <w:tr>
        <w:trPr>
          <w:trHeight w:val="285" w:hRule="atLeast"/>
        </w:trPr>
        <w:tc>
          <w:tcPr>
            <w:tcW w:w="3080" w:type="dxa"/>
            <w:tcBorders>
              <w:top w:val="single" w:sz="4" w:space="0" w:color="000000"/>
              <w:bottom w:val="single" w:sz="4" w:space="0" w:color="000000"/>
              <w:right w:val="single" w:sz="4" w:space="0" w:color="000000"/>
            </w:tcBorders>
          </w:tcPr>
          <w:p>
            <w:pPr>
              <w:pStyle w:val="TableParagraph"/>
              <w:spacing w:before="19"/>
              <w:ind w:left="1379" w:right="1378"/>
              <w:jc w:val="center"/>
              <w:rPr>
                <w:rFonts w:ascii="Times New Roman"/>
                <w:sz w:val="18"/>
              </w:rPr>
            </w:pPr>
            <w:r>
              <w:rPr>
                <w:rFonts w:ascii="Times New Roman"/>
                <w:sz w:val="18"/>
              </w:rPr>
              <w:t>120</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before="19"/>
              <w:ind w:left="788" w:right="778"/>
              <w:jc w:val="center"/>
              <w:rPr>
                <w:rFonts w:ascii="Times New Roman"/>
                <w:sz w:val="18"/>
              </w:rPr>
            </w:pPr>
            <w:r>
              <w:rPr>
                <w:rFonts w:ascii="Times New Roman"/>
                <w:sz w:val="18"/>
              </w:rPr>
              <w:t>2.9</w:t>
            </w: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before="19"/>
              <w:ind w:left="716" w:right="699"/>
              <w:jc w:val="center"/>
              <w:rPr>
                <w:rFonts w:ascii="Times New Roman"/>
                <w:sz w:val="18"/>
              </w:rPr>
            </w:pPr>
            <w:r>
              <w:rPr>
                <w:rFonts w:ascii="Times New Roman"/>
                <w:sz w:val="18"/>
              </w:rPr>
              <w:t>3.2</w:t>
            </w:r>
          </w:p>
        </w:tc>
        <w:tc>
          <w:tcPr>
            <w:tcW w:w="2165" w:type="dxa"/>
            <w:tcBorders>
              <w:top w:val="single" w:sz="4" w:space="0" w:color="000000"/>
              <w:left w:val="single" w:sz="4" w:space="0" w:color="000000"/>
              <w:bottom w:val="single" w:sz="4" w:space="0" w:color="000000"/>
            </w:tcBorders>
          </w:tcPr>
          <w:p>
            <w:pPr>
              <w:pStyle w:val="TableParagraph"/>
              <w:spacing w:before="19"/>
              <w:ind w:left="788" w:right="779"/>
              <w:jc w:val="center"/>
              <w:rPr>
                <w:rFonts w:ascii="Times New Roman"/>
                <w:sz w:val="18"/>
              </w:rPr>
            </w:pPr>
            <w:r>
              <w:rPr>
                <w:rFonts w:ascii="Times New Roman"/>
                <w:sz w:val="18"/>
              </w:rPr>
              <w:t>3.3</w:t>
            </w:r>
          </w:p>
        </w:tc>
      </w:tr>
      <w:tr>
        <w:trPr>
          <w:trHeight w:val="285" w:hRule="atLeast"/>
        </w:trPr>
        <w:tc>
          <w:tcPr>
            <w:tcW w:w="3080" w:type="dxa"/>
            <w:tcBorders>
              <w:top w:val="single" w:sz="4" w:space="0" w:color="000000"/>
              <w:bottom w:val="single" w:sz="4" w:space="0" w:color="000000"/>
              <w:right w:val="single" w:sz="4" w:space="0" w:color="000000"/>
            </w:tcBorders>
          </w:tcPr>
          <w:p>
            <w:pPr>
              <w:pStyle w:val="TableParagraph"/>
              <w:spacing w:before="19"/>
              <w:ind w:left="1379" w:right="1378"/>
              <w:jc w:val="center"/>
              <w:rPr>
                <w:rFonts w:ascii="Times New Roman"/>
                <w:sz w:val="18"/>
              </w:rPr>
            </w:pPr>
            <w:r>
              <w:rPr>
                <w:rFonts w:ascii="Times New Roman"/>
                <w:sz w:val="18"/>
              </w:rPr>
              <w:t>150</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before="19"/>
              <w:ind w:left="788" w:right="778"/>
              <w:jc w:val="center"/>
              <w:rPr>
                <w:rFonts w:ascii="Times New Roman"/>
                <w:sz w:val="18"/>
              </w:rPr>
            </w:pPr>
            <w:r>
              <w:rPr>
                <w:rFonts w:ascii="Times New Roman"/>
                <w:sz w:val="18"/>
              </w:rPr>
              <w:t>3.0</w:t>
            </w: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before="19"/>
              <w:ind w:left="716" w:right="699"/>
              <w:jc w:val="center"/>
              <w:rPr>
                <w:rFonts w:ascii="Times New Roman"/>
                <w:sz w:val="18"/>
              </w:rPr>
            </w:pPr>
            <w:r>
              <w:rPr>
                <w:rFonts w:ascii="Times New Roman"/>
                <w:sz w:val="18"/>
              </w:rPr>
              <w:t>3.3</w:t>
            </w:r>
          </w:p>
        </w:tc>
        <w:tc>
          <w:tcPr>
            <w:tcW w:w="2165" w:type="dxa"/>
            <w:tcBorders>
              <w:top w:val="single" w:sz="4" w:space="0" w:color="000000"/>
              <w:left w:val="single" w:sz="4" w:space="0" w:color="000000"/>
              <w:bottom w:val="single" w:sz="4" w:space="0" w:color="000000"/>
            </w:tcBorders>
          </w:tcPr>
          <w:p>
            <w:pPr>
              <w:pStyle w:val="TableParagraph"/>
              <w:spacing w:before="19"/>
              <w:ind w:left="788" w:right="779"/>
              <w:jc w:val="center"/>
              <w:rPr>
                <w:rFonts w:ascii="Times New Roman"/>
                <w:sz w:val="18"/>
              </w:rPr>
            </w:pPr>
            <w:r>
              <w:rPr>
                <w:rFonts w:ascii="Times New Roman"/>
                <w:sz w:val="18"/>
              </w:rPr>
              <w:t>3.4</w:t>
            </w:r>
          </w:p>
        </w:tc>
      </w:tr>
      <w:tr>
        <w:trPr>
          <w:trHeight w:val="292" w:hRule="atLeast"/>
        </w:trPr>
        <w:tc>
          <w:tcPr>
            <w:tcW w:w="3080" w:type="dxa"/>
            <w:tcBorders>
              <w:top w:val="single" w:sz="4" w:space="0" w:color="000000"/>
              <w:bottom w:val="single" w:sz="4" w:space="0" w:color="000000"/>
              <w:right w:val="single" w:sz="4" w:space="0" w:color="000000"/>
            </w:tcBorders>
          </w:tcPr>
          <w:p>
            <w:pPr>
              <w:pStyle w:val="TableParagraph"/>
              <w:spacing w:before="27"/>
              <w:ind w:left="1379" w:right="1378"/>
              <w:jc w:val="center"/>
              <w:rPr>
                <w:rFonts w:ascii="Times New Roman"/>
                <w:sz w:val="18"/>
              </w:rPr>
            </w:pPr>
            <w:r>
              <w:rPr>
                <w:rFonts w:ascii="Times New Roman"/>
                <w:sz w:val="18"/>
              </w:rPr>
              <w:t>185</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before="27"/>
              <w:ind w:left="788" w:right="778"/>
              <w:jc w:val="center"/>
              <w:rPr>
                <w:rFonts w:ascii="Times New Roman"/>
                <w:sz w:val="18"/>
              </w:rPr>
            </w:pPr>
            <w:r>
              <w:rPr>
                <w:rFonts w:ascii="Times New Roman"/>
                <w:sz w:val="18"/>
              </w:rPr>
              <w:t>3.1</w:t>
            </w: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before="27"/>
              <w:ind w:left="716" w:right="699"/>
              <w:jc w:val="center"/>
              <w:rPr>
                <w:rFonts w:ascii="Times New Roman"/>
                <w:sz w:val="18"/>
              </w:rPr>
            </w:pPr>
            <w:r>
              <w:rPr>
                <w:rFonts w:ascii="Times New Roman"/>
                <w:sz w:val="18"/>
              </w:rPr>
              <w:t>3.4</w:t>
            </w:r>
          </w:p>
        </w:tc>
        <w:tc>
          <w:tcPr>
            <w:tcW w:w="2165" w:type="dxa"/>
            <w:tcBorders>
              <w:top w:val="single" w:sz="4" w:space="0" w:color="000000"/>
              <w:left w:val="single" w:sz="4" w:space="0" w:color="000000"/>
              <w:bottom w:val="single" w:sz="4" w:space="0" w:color="000000"/>
            </w:tcBorders>
          </w:tcPr>
          <w:p>
            <w:pPr>
              <w:pStyle w:val="TableParagraph"/>
              <w:spacing w:before="27"/>
              <w:ind w:left="788" w:right="779"/>
              <w:jc w:val="center"/>
              <w:rPr>
                <w:rFonts w:ascii="Times New Roman"/>
                <w:sz w:val="18"/>
              </w:rPr>
            </w:pPr>
            <w:r>
              <w:rPr>
                <w:rFonts w:ascii="Times New Roman"/>
                <w:sz w:val="18"/>
              </w:rPr>
              <w:t>3.5</w:t>
            </w:r>
          </w:p>
        </w:tc>
      </w:tr>
      <w:tr>
        <w:trPr>
          <w:trHeight w:val="285" w:hRule="atLeast"/>
        </w:trPr>
        <w:tc>
          <w:tcPr>
            <w:tcW w:w="3080" w:type="dxa"/>
            <w:tcBorders>
              <w:top w:val="single" w:sz="4" w:space="0" w:color="000000"/>
              <w:bottom w:val="single" w:sz="4" w:space="0" w:color="000000"/>
              <w:right w:val="single" w:sz="4" w:space="0" w:color="000000"/>
            </w:tcBorders>
          </w:tcPr>
          <w:p>
            <w:pPr>
              <w:pStyle w:val="TableParagraph"/>
              <w:spacing w:before="19"/>
              <w:ind w:left="1379" w:right="1378"/>
              <w:jc w:val="center"/>
              <w:rPr>
                <w:rFonts w:ascii="Times New Roman"/>
                <w:sz w:val="18"/>
              </w:rPr>
            </w:pPr>
            <w:r>
              <w:rPr>
                <w:rFonts w:ascii="Times New Roman"/>
                <w:sz w:val="18"/>
              </w:rPr>
              <w:t>240</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before="19"/>
              <w:ind w:left="788" w:right="778"/>
              <w:jc w:val="center"/>
              <w:rPr>
                <w:rFonts w:ascii="Times New Roman"/>
                <w:sz w:val="18"/>
              </w:rPr>
            </w:pPr>
            <w:r>
              <w:rPr>
                <w:rFonts w:ascii="Times New Roman"/>
                <w:sz w:val="18"/>
              </w:rPr>
              <w:t>3.3</w:t>
            </w: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before="19"/>
              <w:ind w:left="716" w:right="699"/>
              <w:jc w:val="center"/>
              <w:rPr>
                <w:rFonts w:ascii="Times New Roman"/>
                <w:sz w:val="18"/>
              </w:rPr>
            </w:pPr>
            <w:r>
              <w:rPr>
                <w:rFonts w:ascii="Times New Roman"/>
                <w:sz w:val="18"/>
              </w:rPr>
              <w:t>3.6</w:t>
            </w:r>
          </w:p>
        </w:tc>
        <w:tc>
          <w:tcPr>
            <w:tcW w:w="2165" w:type="dxa"/>
            <w:tcBorders>
              <w:top w:val="single" w:sz="4" w:space="0" w:color="000000"/>
              <w:left w:val="single" w:sz="4" w:space="0" w:color="000000"/>
              <w:bottom w:val="single" w:sz="4" w:space="0" w:color="000000"/>
            </w:tcBorders>
          </w:tcPr>
          <w:p>
            <w:pPr>
              <w:pStyle w:val="TableParagraph"/>
              <w:spacing w:before="19"/>
              <w:ind w:left="788" w:right="779"/>
              <w:jc w:val="center"/>
              <w:rPr>
                <w:rFonts w:ascii="Times New Roman"/>
                <w:sz w:val="18"/>
              </w:rPr>
            </w:pPr>
            <w:r>
              <w:rPr>
                <w:rFonts w:ascii="Times New Roman"/>
                <w:sz w:val="18"/>
              </w:rPr>
              <w:t>3.7</w:t>
            </w:r>
          </w:p>
        </w:tc>
      </w:tr>
      <w:tr>
        <w:trPr>
          <w:trHeight w:val="285" w:hRule="atLeast"/>
        </w:trPr>
        <w:tc>
          <w:tcPr>
            <w:tcW w:w="3080" w:type="dxa"/>
            <w:tcBorders>
              <w:top w:val="single" w:sz="4" w:space="0" w:color="000000"/>
              <w:bottom w:val="single" w:sz="4" w:space="0" w:color="000000"/>
              <w:right w:val="single" w:sz="4" w:space="0" w:color="000000"/>
            </w:tcBorders>
          </w:tcPr>
          <w:p>
            <w:pPr>
              <w:pStyle w:val="TableParagraph"/>
              <w:spacing w:before="19"/>
              <w:ind w:left="1379" w:right="1378"/>
              <w:jc w:val="center"/>
              <w:rPr>
                <w:rFonts w:ascii="Times New Roman"/>
                <w:sz w:val="18"/>
              </w:rPr>
            </w:pPr>
            <w:r>
              <w:rPr>
                <w:rFonts w:ascii="Times New Roman"/>
                <w:sz w:val="18"/>
              </w:rPr>
              <w:t>300</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before="19"/>
              <w:ind w:left="788" w:right="778"/>
              <w:jc w:val="center"/>
              <w:rPr>
                <w:rFonts w:ascii="Times New Roman"/>
                <w:sz w:val="18"/>
              </w:rPr>
            </w:pPr>
            <w:r>
              <w:rPr>
                <w:rFonts w:ascii="Times New Roman"/>
                <w:sz w:val="18"/>
              </w:rPr>
              <w:t>3.4</w:t>
            </w:r>
          </w:p>
        </w:tc>
        <w:tc>
          <w:tcPr>
            <w:tcW w:w="2010" w:type="dxa"/>
            <w:tcBorders>
              <w:top w:val="single" w:sz="4" w:space="0" w:color="000000"/>
              <w:left w:val="single" w:sz="4" w:space="0" w:color="000000"/>
              <w:bottom w:val="single" w:sz="4" w:space="0" w:color="000000"/>
              <w:right w:val="single" w:sz="4" w:space="0" w:color="000000"/>
            </w:tcBorders>
          </w:tcPr>
          <w:p>
            <w:pPr>
              <w:pStyle w:val="TableParagraph"/>
              <w:spacing w:before="19"/>
              <w:ind w:left="716" w:right="699"/>
              <w:jc w:val="center"/>
              <w:rPr>
                <w:rFonts w:ascii="Times New Roman"/>
                <w:sz w:val="18"/>
              </w:rPr>
            </w:pPr>
            <w:r>
              <w:rPr>
                <w:rFonts w:ascii="Times New Roman"/>
                <w:sz w:val="18"/>
              </w:rPr>
              <w:t>3.8</w:t>
            </w:r>
          </w:p>
        </w:tc>
        <w:tc>
          <w:tcPr>
            <w:tcW w:w="2165" w:type="dxa"/>
            <w:tcBorders>
              <w:top w:val="single" w:sz="4" w:space="0" w:color="000000"/>
              <w:left w:val="single" w:sz="4" w:space="0" w:color="000000"/>
              <w:bottom w:val="single" w:sz="4" w:space="0" w:color="000000"/>
            </w:tcBorders>
          </w:tcPr>
          <w:p>
            <w:pPr>
              <w:pStyle w:val="TableParagraph"/>
              <w:spacing w:before="19"/>
              <w:ind w:left="788" w:right="779"/>
              <w:jc w:val="center"/>
              <w:rPr>
                <w:rFonts w:ascii="Times New Roman"/>
                <w:sz w:val="18"/>
              </w:rPr>
            </w:pPr>
            <w:r>
              <w:rPr>
                <w:rFonts w:ascii="Times New Roman"/>
                <w:sz w:val="18"/>
              </w:rPr>
              <w:t>3.9</w:t>
            </w:r>
          </w:p>
        </w:tc>
      </w:tr>
      <w:tr>
        <w:trPr>
          <w:trHeight w:val="286" w:hRule="atLeast"/>
        </w:trPr>
        <w:tc>
          <w:tcPr>
            <w:tcW w:w="3080" w:type="dxa"/>
            <w:tcBorders>
              <w:top w:val="single" w:sz="4" w:space="0" w:color="000000"/>
              <w:right w:val="single" w:sz="4" w:space="0" w:color="000000"/>
            </w:tcBorders>
          </w:tcPr>
          <w:p>
            <w:pPr>
              <w:pStyle w:val="TableParagraph"/>
              <w:spacing w:before="19"/>
              <w:ind w:left="1379" w:right="1378"/>
              <w:jc w:val="center"/>
              <w:rPr>
                <w:rFonts w:ascii="Times New Roman"/>
                <w:sz w:val="18"/>
              </w:rPr>
            </w:pPr>
            <w:r>
              <w:rPr>
                <w:rFonts w:ascii="Times New Roman"/>
                <w:sz w:val="18"/>
              </w:rPr>
              <w:t>400</w:t>
            </w:r>
          </w:p>
        </w:tc>
        <w:tc>
          <w:tcPr>
            <w:tcW w:w="2161" w:type="dxa"/>
            <w:tcBorders>
              <w:top w:val="single" w:sz="4" w:space="0" w:color="000000"/>
              <w:left w:val="single" w:sz="4" w:space="0" w:color="000000"/>
              <w:right w:val="single" w:sz="4" w:space="0" w:color="000000"/>
            </w:tcBorders>
          </w:tcPr>
          <w:p>
            <w:pPr>
              <w:pStyle w:val="TableParagraph"/>
              <w:spacing w:before="19"/>
              <w:ind w:left="788" w:right="778"/>
              <w:jc w:val="center"/>
              <w:rPr>
                <w:rFonts w:ascii="Times New Roman"/>
                <w:sz w:val="18"/>
              </w:rPr>
            </w:pPr>
            <w:r>
              <w:rPr>
                <w:rFonts w:ascii="Times New Roman"/>
                <w:sz w:val="18"/>
              </w:rPr>
              <w:t>3.7</w:t>
            </w:r>
          </w:p>
        </w:tc>
        <w:tc>
          <w:tcPr>
            <w:tcW w:w="2010" w:type="dxa"/>
            <w:tcBorders>
              <w:top w:val="single" w:sz="4" w:space="0" w:color="000000"/>
              <w:left w:val="single" w:sz="4" w:space="0" w:color="000000"/>
              <w:right w:val="single" w:sz="4" w:space="0" w:color="000000"/>
            </w:tcBorders>
          </w:tcPr>
          <w:p>
            <w:pPr>
              <w:pStyle w:val="TableParagraph"/>
              <w:spacing w:before="19"/>
              <w:ind w:left="716" w:right="699"/>
              <w:jc w:val="center"/>
              <w:rPr>
                <w:rFonts w:ascii="Times New Roman"/>
                <w:sz w:val="18"/>
              </w:rPr>
            </w:pPr>
            <w:r>
              <w:rPr>
                <w:rFonts w:ascii="Times New Roman"/>
                <w:sz w:val="18"/>
              </w:rPr>
              <w:t>4.1</w:t>
            </w:r>
          </w:p>
        </w:tc>
        <w:tc>
          <w:tcPr>
            <w:tcW w:w="2165" w:type="dxa"/>
            <w:tcBorders>
              <w:top w:val="single" w:sz="4" w:space="0" w:color="000000"/>
              <w:left w:val="single" w:sz="4" w:space="0" w:color="000000"/>
            </w:tcBorders>
          </w:tcPr>
          <w:p>
            <w:pPr>
              <w:pStyle w:val="TableParagraph"/>
              <w:spacing w:before="19"/>
              <w:ind w:left="788" w:right="779"/>
              <w:jc w:val="center"/>
              <w:rPr>
                <w:rFonts w:ascii="Times New Roman"/>
                <w:sz w:val="18"/>
              </w:rPr>
            </w:pPr>
            <w:r>
              <w:rPr>
                <w:rFonts w:ascii="Times New Roman"/>
                <w:sz w:val="18"/>
              </w:rPr>
              <w:t>4.2</w:t>
            </w:r>
          </w:p>
        </w:tc>
      </w:tr>
    </w:tbl>
    <w:p>
      <w:pPr>
        <w:pStyle w:val="BodyText"/>
        <w:rPr>
          <w:sz w:val="16"/>
        </w:rPr>
      </w:pPr>
    </w:p>
    <w:p>
      <w:pPr>
        <w:pStyle w:val="BodyText"/>
        <w:spacing w:before="76"/>
        <w:ind w:left="641"/>
      </w:pPr>
      <w:r>
        <w:rPr/>
        <w:t>外护套厚度平均值应不小于标称值，任一点最小厚度应不小于标称值的 </w:t>
      </w:r>
      <w:r>
        <w:rPr>
          <w:rFonts w:ascii="Times New Roman" w:eastAsia="Times New Roman"/>
        </w:rPr>
        <w:t>90%</w:t>
      </w:r>
      <w:r>
        <w:rPr/>
        <w:t>。</w:t>
      </w:r>
    </w:p>
    <w:p>
      <w:pPr>
        <w:pStyle w:val="BodyText"/>
        <w:spacing w:line="276" w:lineRule="auto" w:before="34"/>
        <w:ind w:left="224" w:right="339" w:firstLine="417"/>
      </w:pPr>
      <w:r>
        <w:rPr/>
        <w:t>外护套通常为黑色或红色，也可以按照制造方和买方协议采用黑色以外的其他颜色，以适应电缆使用的特定环境。外护套应经受 </w:t>
      </w:r>
      <w:r>
        <w:rPr>
          <w:rFonts w:ascii="Times New Roman" w:eastAsia="Times New Roman"/>
        </w:rPr>
        <w:t>GB/T 3048.10 </w:t>
      </w:r>
      <w:r>
        <w:rPr/>
        <w:t>规定的火花试验。</w:t>
      </w:r>
    </w:p>
    <w:p>
      <w:pPr>
        <w:pStyle w:val="ListParagraph"/>
        <w:numPr>
          <w:ilvl w:val="2"/>
          <w:numId w:val="41"/>
        </w:numPr>
        <w:tabs>
          <w:tab w:pos="1066" w:val="left" w:leader="none"/>
          <w:tab w:pos="1067" w:val="left" w:leader="none"/>
        </w:tabs>
        <w:spacing w:line="240" w:lineRule="auto" w:before="0" w:after="0"/>
        <w:ind w:left="1067" w:right="0" w:hanging="843"/>
        <w:jc w:val="left"/>
        <w:rPr>
          <w:sz w:val="21"/>
        </w:rPr>
      </w:pPr>
      <w:bookmarkStart w:name="2.1.10　电缆不圆度" w:id="64"/>
      <w:bookmarkEnd w:id="64"/>
      <w:r>
        <w:rPr/>
      </w:r>
      <w:bookmarkStart w:name="2.1.10　电缆不圆度" w:id="65"/>
      <w:bookmarkEnd w:id="65"/>
      <w:r>
        <w:rPr>
          <w:w w:val="95"/>
          <w:sz w:val="21"/>
        </w:rPr>
        <w:t>电缆不圆度</w:t>
      </w:r>
    </w:p>
    <w:p>
      <w:pPr>
        <w:pStyle w:val="BodyText"/>
        <w:spacing w:line="276" w:lineRule="auto" w:before="34"/>
        <w:ind w:left="641" w:right="6547"/>
      </w:pPr>
      <w:r>
        <w:rPr/>
        <w:t>电缆不圆度应不大于 </w:t>
      </w:r>
      <w:r>
        <w:rPr>
          <w:rFonts w:ascii="Times New Roman" w:eastAsia="Times New Roman"/>
        </w:rPr>
        <w:t>10%</w:t>
      </w:r>
      <w:r>
        <w:rPr/>
        <w:t>。电缆不圆度的计算公式为：</w:t>
      </w:r>
    </w:p>
    <w:p>
      <w:pPr>
        <w:spacing w:line="180" w:lineRule="auto" w:before="0"/>
        <w:ind w:left="2587" w:right="0" w:firstLine="0"/>
        <w:jc w:val="left"/>
        <w:rPr>
          <w:rFonts w:ascii="Times New Roman" w:hAnsi="Times New Roman" w:eastAsia="Times New Roman"/>
          <w:sz w:val="21"/>
        </w:rPr>
      </w:pPr>
      <w:r>
        <w:rPr/>
        <w:pict>
          <v:line style="position:absolute;mso-position-horizontal-relative:page;mso-position-vertical-relative:paragraph;z-index:-170632" from="252.742035pt,13.242343pt" to="380.647537pt,13.242343pt" stroked="true" strokeweight=".486417pt" strokecolor="#000000">
            <v:stroke dashstyle="solid"/>
            <w10:wrap type="none"/>
          </v:line>
        </w:pict>
      </w:r>
      <w:r>
        <w:rPr>
          <w:position w:val="-13"/>
          <w:sz w:val="21"/>
        </w:rPr>
        <w:t>电缆不圆度</w:t>
      </w:r>
      <w:r>
        <w:rPr>
          <w:rFonts w:ascii="Times New Roman" w:hAnsi="Times New Roman" w:eastAsia="Times New Roman"/>
          <w:position w:val="-13"/>
          <w:sz w:val="21"/>
        </w:rPr>
        <w:t>= </w:t>
      </w:r>
      <w:r>
        <w:rPr>
          <w:sz w:val="20"/>
        </w:rPr>
        <w:t>电缆最大外径</w:t>
      </w:r>
      <w:r>
        <w:rPr>
          <w:rFonts w:ascii="Symbol" w:hAnsi="Symbol" w:eastAsia="Symbol"/>
          <w:sz w:val="20"/>
        </w:rPr>
        <w:t></w:t>
      </w:r>
      <w:r>
        <w:rPr>
          <w:sz w:val="20"/>
        </w:rPr>
        <w:t>电缆最小外径 </w:t>
      </w:r>
      <w:r>
        <w:rPr>
          <w:position w:val="-13"/>
          <w:sz w:val="21"/>
        </w:rPr>
        <w:t>×</w:t>
      </w:r>
      <w:r>
        <w:rPr>
          <w:rFonts w:ascii="Times New Roman" w:hAnsi="Times New Roman" w:eastAsia="Times New Roman"/>
          <w:position w:val="-13"/>
          <w:sz w:val="21"/>
        </w:rPr>
        <w:t>100%</w:t>
      </w:r>
    </w:p>
    <w:p>
      <w:pPr>
        <w:spacing w:line="207" w:lineRule="exact" w:before="0"/>
        <w:ind w:left="454" w:right="111" w:firstLine="0"/>
        <w:jc w:val="center"/>
        <w:rPr>
          <w:sz w:val="20"/>
        </w:rPr>
      </w:pPr>
      <w:r>
        <w:rPr>
          <w:w w:val="105"/>
          <w:sz w:val="20"/>
        </w:rPr>
        <w:t>电缆最大外径</w:t>
      </w:r>
    </w:p>
    <w:p>
      <w:pPr>
        <w:pStyle w:val="ListParagraph"/>
        <w:numPr>
          <w:ilvl w:val="2"/>
          <w:numId w:val="41"/>
        </w:numPr>
        <w:tabs>
          <w:tab w:pos="1110" w:val="left" w:leader="none"/>
          <w:tab w:pos="1111" w:val="left" w:leader="none"/>
        </w:tabs>
        <w:spacing w:line="240" w:lineRule="auto" w:before="51" w:after="0"/>
        <w:ind w:left="1110" w:right="0" w:hanging="886"/>
        <w:jc w:val="left"/>
        <w:rPr>
          <w:sz w:val="21"/>
        </w:rPr>
      </w:pPr>
      <w:bookmarkStart w:name="2.1.11　电缆阻燃要求" w:id="66"/>
      <w:bookmarkEnd w:id="66"/>
      <w:r>
        <w:rPr/>
      </w:r>
      <w:bookmarkStart w:name="2.1.11　电缆阻燃要求" w:id="67"/>
      <w:bookmarkEnd w:id="67"/>
      <w:r>
        <w:rPr>
          <w:sz w:val="21"/>
        </w:rPr>
        <w:t>1</w:t>
      </w:r>
      <w:r>
        <w:rPr>
          <w:sz w:val="21"/>
        </w:rPr>
        <w:t>1</w:t>
        <w:tab/>
        <w:t>电缆阻燃要求</w:t>
      </w:r>
    </w:p>
    <w:p>
      <w:pPr>
        <w:pStyle w:val="BodyText"/>
        <w:spacing w:before="33"/>
        <w:ind w:left="641"/>
      </w:pPr>
      <w:r>
        <w:rPr/>
        <w:t>采用阻燃电缆时，电缆的阻燃特性和技术参数要求需符合 GB/T 19666 的相关规定。</w:t>
      </w:r>
    </w:p>
    <w:p>
      <w:pPr>
        <w:pStyle w:val="ListParagraph"/>
        <w:numPr>
          <w:ilvl w:val="2"/>
          <w:numId w:val="41"/>
        </w:numPr>
        <w:tabs>
          <w:tab w:pos="967" w:val="left" w:leader="none"/>
        </w:tabs>
        <w:spacing w:line="240" w:lineRule="auto" w:before="48" w:after="0"/>
        <w:ind w:left="966" w:right="0" w:hanging="742"/>
        <w:jc w:val="left"/>
        <w:rPr>
          <w:sz w:val="21"/>
        </w:rPr>
      </w:pPr>
      <w:bookmarkStart w:name="2.1.12 电缆阻水要求" w:id="68"/>
      <w:bookmarkEnd w:id="68"/>
      <w:r>
        <w:rPr/>
      </w:r>
      <w:bookmarkStart w:name="2.1.12 电缆阻水要求" w:id="69"/>
      <w:bookmarkEnd w:id="69"/>
      <w:r>
        <w:rPr>
          <w:sz w:val="21"/>
        </w:rPr>
        <w:t>电缆阻水要求</w:t>
      </w:r>
    </w:p>
    <w:p>
      <w:pPr>
        <w:pStyle w:val="BodyText"/>
        <w:spacing w:line="268" w:lineRule="auto" w:before="34"/>
        <w:ind w:left="224" w:right="356" w:firstLine="417"/>
      </w:pPr>
      <w:bookmarkStart w:name="阻水电缆可采用金属塑料复合阻水层或金属套等径向防水构造，电缆的阻水特性要求需符合" w:id="70"/>
      <w:bookmarkEnd w:id="70"/>
      <w:r>
        <w:rPr/>
      </w:r>
      <w:r>
        <w:rPr/>
        <w:t>阻水电缆可采用金属塑料复合阻水层或金属套等径向防水构造，电缆的阻水特性要求需符合GB/T 12706.2、GB/T 11017.1 及 GB/Z18890. 1 的相关规定。</w:t>
      </w:r>
    </w:p>
    <w:p>
      <w:pPr>
        <w:pStyle w:val="BodyText"/>
        <w:tabs>
          <w:tab w:pos="757" w:val="left" w:leader="none"/>
        </w:tabs>
        <w:spacing w:before="17"/>
        <w:ind w:left="224"/>
      </w:pPr>
      <w:bookmarkStart w:name="2.2　密封和牵引头" w:id="71"/>
      <w:bookmarkEnd w:id="71"/>
      <w:r>
        <w:rPr/>
      </w:r>
      <w:r>
        <w:rPr/>
        <w:t>2.2</w:t>
        <w:tab/>
        <w:t>密封和牵引头</w:t>
      </w:r>
    </w:p>
    <w:p>
      <w:pPr>
        <w:pStyle w:val="BodyText"/>
        <w:spacing w:line="273" w:lineRule="auto" w:before="33"/>
        <w:ind w:left="224" w:right="126" w:firstLine="417"/>
      </w:pPr>
      <w:r>
        <w:rPr>
          <w:spacing w:val="-2"/>
        </w:rPr>
        <w:t>电缆两端应用防水密封套密封，密封套和电缆的重叠长度应不小于 </w:t>
      </w:r>
      <w:r>
        <w:rPr/>
        <w:t>200mm。如有要求安装牵引头， 牵引头应与线芯采用围压的连接方式并与电缆可靠密封，在运输、储存、敷设过程中保证电缆密封不</w:t>
      </w:r>
      <w:r>
        <w:rPr>
          <w:spacing w:val="-3"/>
        </w:rPr>
        <w:t>失效。</w:t>
      </w:r>
    </w:p>
    <w:p>
      <w:pPr>
        <w:pStyle w:val="ListParagraph"/>
        <w:numPr>
          <w:ilvl w:val="0"/>
          <w:numId w:val="40"/>
        </w:numPr>
        <w:tabs>
          <w:tab w:pos="555" w:val="left" w:leader="none"/>
          <w:tab w:pos="556" w:val="left" w:leader="none"/>
        </w:tabs>
        <w:spacing w:line="336" w:lineRule="exact" w:before="0" w:after="0"/>
        <w:ind w:left="555" w:right="0" w:hanging="331"/>
        <w:jc w:val="left"/>
        <w:rPr>
          <w:sz w:val="21"/>
        </w:rPr>
      </w:pPr>
      <w:bookmarkStart w:name="3　标准技术参数" w:id="72"/>
      <w:bookmarkEnd w:id="72"/>
      <w:r>
        <w:rPr/>
      </w:r>
      <w:bookmarkStart w:name="_bookmark7" w:id="73"/>
      <w:bookmarkEnd w:id="73"/>
      <w:r>
        <w:rPr/>
      </w:r>
      <w:bookmarkStart w:name="_bookmark7" w:id="74"/>
      <w:bookmarkEnd w:id="74"/>
      <w:r>
        <w:rPr>
          <w:sz w:val="21"/>
        </w:rPr>
        <w:t>标准技术参数</w:t>
      </w:r>
    </w:p>
    <w:p>
      <w:pPr>
        <w:pStyle w:val="BodyText"/>
        <w:spacing w:before="3"/>
        <w:rPr>
          <w:sz w:val="31"/>
        </w:rPr>
      </w:pPr>
    </w:p>
    <w:p>
      <w:pPr>
        <w:pStyle w:val="BodyText"/>
        <w:spacing w:line="283" w:lineRule="auto"/>
        <w:ind w:left="224" w:right="324" w:firstLine="424"/>
      </w:pPr>
      <w:r>
        <w:rPr>
          <w:w w:val="95"/>
        </w:rPr>
        <w:t>技术参数特性表是对采购设备的基础技术参数要求，供货方应对技术参数特性表中标准参数值   </w:t>
      </w:r>
      <w:r>
        <w:rPr/>
        <w:t>进行响应。</w:t>
      </w:r>
      <w:r>
        <w:rPr>
          <w:rFonts w:ascii="Times New Roman" w:eastAsia="Times New Roman"/>
        </w:rPr>
        <w:t>10kV </w:t>
      </w:r>
      <w:r>
        <w:rPr/>
        <w:t>三芯电力电缆技术参数特性见表 </w:t>
      </w:r>
      <w:r>
        <w:rPr>
          <w:rFonts w:ascii="Times New Roman" w:eastAsia="Times New Roman"/>
        </w:rPr>
        <w:t>2</w:t>
      </w:r>
      <w:r>
        <w:rPr/>
        <w:t>。</w:t>
      </w:r>
    </w:p>
    <w:p>
      <w:pPr>
        <w:pStyle w:val="BodyText"/>
        <w:tabs>
          <w:tab w:pos="590" w:val="left" w:leader="none"/>
        </w:tabs>
        <w:spacing w:before="83" w:after="13"/>
        <w:ind w:right="110"/>
        <w:jc w:val="center"/>
      </w:pPr>
      <w:r>
        <w:rPr/>
        <w:t>表</w:t>
      </w:r>
      <w:r>
        <w:rPr>
          <w:spacing w:val="-49"/>
        </w:rPr>
        <w:t> </w:t>
      </w:r>
      <w:r>
        <w:rPr>
          <w:rFonts w:ascii="Microsoft YaHei" w:eastAsia="Microsoft YaHei" w:hint="eastAsia"/>
        </w:rPr>
        <w:t>2</w:t>
        <w:tab/>
      </w:r>
      <w:r>
        <w:rPr>
          <w:spacing w:val="26"/>
        </w:rPr>
        <w:t>技</w:t>
      </w:r>
      <w:r>
        <w:rPr>
          <w:spacing w:val="35"/>
        </w:rPr>
        <w:t>术</w:t>
      </w:r>
      <w:r>
        <w:rPr>
          <w:spacing w:val="26"/>
        </w:rPr>
        <w:t>参数</w:t>
      </w:r>
      <w:r>
        <w:rPr>
          <w:spacing w:val="35"/>
        </w:rPr>
        <w:t>特</w:t>
      </w:r>
      <w:r>
        <w:rPr>
          <w:spacing w:val="30"/>
        </w:rPr>
        <w:t>性</w:t>
      </w:r>
      <w:r>
        <w:rPr/>
        <w:t>表</w:t>
      </w:r>
    </w:p>
    <w:tbl>
      <w:tblPr>
        <w:tblW w:w="0" w:type="auto"/>
        <w:jc w:val="left"/>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3"/>
        <w:gridCol w:w="2601"/>
        <w:gridCol w:w="1218"/>
        <w:gridCol w:w="1758"/>
        <w:gridCol w:w="1729"/>
      </w:tblGrid>
      <w:tr>
        <w:trPr>
          <w:trHeight w:val="350" w:hRule="atLeast"/>
        </w:trPr>
        <w:tc>
          <w:tcPr>
            <w:tcW w:w="8819" w:type="dxa"/>
            <w:gridSpan w:val="5"/>
          </w:tcPr>
          <w:p>
            <w:pPr>
              <w:pStyle w:val="TableParagraph"/>
              <w:spacing w:before="56"/>
              <w:ind w:left="3664" w:right="3665"/>
              <w:jc w:val="center"/>
              <w:rPr>
                <w:sz w:val="18"/>
              </w:rPr>
            </w:pPr>
            <w:r>
              <w:rPr>
                <w:sz w:val="18"/>
              </w:rPr>
              <w:t>电缆结构技术参数</w:t>
            </w:r>
          </w:p>
        </w:tc>
      </w:tr>
      <w:tr>
        <w:trPr>
          <w:trHeight w:val="357" w:hRule="atLeast"/>
        </w:trPr>
        <w:tc>
          <w:tcPr>
            <w:tcW w:w="4114" w:type="dxa"/>
            <w:gridSpan w:val="2"/>
          </w:tcPr>
          <w:p>
            <w:pPr>
              <w:pStyle w:val="TableParagraph"/>
              <w:spacing w:before="63"/>
              <w:ind w:left="1313"/>
              <w:rPr>
                <w:sz w:val="18"/>
              </w:rPr>
            </w:pPr>
            <w:r>
              <w:rPr>
                <w:sz w:val="18"/>
              </w:rPr>
              <w:t>绝缘水平（</w:t>
            </w:r>
            <w:r>
              <w:rPr>
                <w:rFonts w:ascii="Times New Roman" w:eastAsia="Times New Roman"/>
                <w:sz w:val="18"/>
              </w:rPr>
              <w:t>U0/U</w:t>
            </w:r>
            <w:r>
              <w:rPr>
                <w:sz w:val="18"/>
              </w:rPr>
              <w:t>）</w:t>
            </w:r>
          </w:p>
        </w:tc>
        <w:tc>
          <w:tcPr>
            <w:tcW w:w="4705" w:type="dxa"/>
            <w:gridSpan w:val="3"/>
          </w:tcPr>
          <w:p>
            <w:pPr>
              <w:pStyle w:val="TableParagraph"/>
              <w:spacing w:before="75"/>
              <w:ind w:left="1989" w:right="1990"/>
              <w:jc w:val="center"/>
              <w:rPr>
                <w:rFonts w:ascii="Times New Roman"/>
                <w:sz w:val="18"/>
              </w:rPr>
            </w:pPr>
            <w:r>
              <w:rPr>
                <w:rFonts w:ascii="Times New Roman"/>
                <w:sz w:val="18"/>
              </w:rPr>
              <w:t>8.7/15kV</w:t>
            </w:r>
          </w:p>
        </w:tc>
      </w:tr>
      <w:tr>
        <w:trPr>
          <w:trHeight w:val="350" w:hRule="atLeast"/>
        </w:trPr>
        <w:tc>
          <w:tcPr>
            <w:tcW w:w="1513" w:type="dxa"/>
          </w:tcPr>
          <w:p>
            <w:pPr>
              <w:pStyle w:val="TableParagraph"/>
              <w:spacing w:before="56"/>
              <w:ind w:left="485"/>
              <w:rPr>
                <w:sz w:val="18"/>
              </w:rPr>
            </w:pPr>
            <w:r>
              <w:rPr>
                <w:sz w:val="18"/>
              </w:rPr>
              <w:t>铜导体</w:t>
            </w:r>
          </w:p>
        </w:tc>
        <w:tc>
          <w:tcPr>
            <w:tcW w:w="2601" w:type="dxa"/>
          </w:tcPr>
          <w:p>
            <w:pPr>
              <w:pStyle w:val="TableParagraph"/>
              <w:spacing w:before="56"/>
              <w:ind w:left="218" w:right="212"/>
              <w:jc w:val="center"/>
              <w:rPr>
                <w:sz w:val="18"/>
              </w:rPr>
            </w:pPr>
            <w:r>
              <w:rPr>
                <w:sz w:val="18"/>
              </w:rPr>
              <w:t>材料</w:t>
            </w:r>
          </w:p>
        </w:tc>
        <w:tc>
          <w:tcPr>
            <w:tcW w:w="1218" w:type="dxa"/>
          </w:tcPr>
          <w:p>
            <w:pPr>
              <w:pStyle w:val="TableParagraph"/>
              <w:rPr>
                <w:rFonts w:ascii="Times New Roman"/>
                <w:sz w:val="20"/>
              </w:rPr>
            </w:pPr>
          </w:p>
        </w:tc>
        <w:tc>
          <w:tcPr>
            <w:tcW w:w="1758" w:type="dxa"/>
          </w:tcPr>
          <w:p>
            <w:pPr>
              <w:pStyle w:val="TableParagraph"/>
              <w:spacing w:before="56"/>
              <w:ind w:right="6"/>
              <w:jc w:val="center"/>
              <w:rPr>
                <w:sz w:val="18"/>
              </w:rPr>
            </w:pPr>
            <w:r>
              <w:rPr>
                <w:sz w:val="18"/>
              </w:rPr>
              <w:t>铜</w:t>
            </w:r>
          </w:p>
        </w:tc>
        <w:tc>
          <w:tcPr>
            <w:tcW w:w="1729" w:type="dxa"/>
          </w:tcPr>
          <w:p>
            <w:pPr>
              <w:pStyle w:val="TableParagraph"/>
              <w:rPr>
                <w:rFonts w:ascii="Times New Roman"/>
                <w:sz w:val="20"/>
              </w:rPr>
            </w:pPr>
          </w:p>
        </w:tc>
      </w:tr>
      <w:tr>
        <w:trPr>
          <w:trHeight w:val="357" w:hRule="atLeast"/>
        </w:trPr>
        <w:tc>
          <w:tcPr>
            <w:tcW w:w="4114" w:type="dxa"/>
            <w:gridSpan w:val="2"/>
          </w:tcPr>
          <w:p>
            <w:pPr>
              <w:pStyle w:val="TableParagraph"/>
              <w:tabs>
                <w:tab w:pos="547" w:val="left" w:leader="none"/>
              </w:tabs>
              <w:spacing w:before="63"/>
              <w:ind w:left="6"/>
              <w:jc w:val="center"/>
              <w:rPr>
                <w:sz w:val="18"/>
              </w:rPr>
            </w:pPr>
            <w:r>
              <w:rPr>
                <w:sz w:val="18"/>
              </w:rPr>
              <w:t>项</w:t>
              <w:tab/>
              <w:t>目</w:t>
            </w:r>
          </w:p>
        </w:tc>
        <w:tc>
          <w:tcPr>
            <w:tcW w:w="1218" w:type="dxa"/>
          </w:tcPr>
          <w:p>
            <w:pPr>
              <w:pStyle w:val="TableParagraph"/>
              <w:spacing w:before="63"/>
              <w:ind w:left="259" w:right="253"/>
              <w:jc w:val="center"/>
              <w:rPr>
                <w:sz w:val="18"/>
              </w:rPr>
            </w:pPr>
            <w:r>
              <w:rPr>
                <w:sz w:val="18"/>
              </w:rPr>
              <w:t>单位</w:t>
            </w:r>
          </w:p>
        </w:tc>
        <w:tc>
          <w:tcPr>
            <w:tcW w:w="1758" w:type="dxa"/>
          </w:tcPr>
          <w:p>
            <w:pPr>
              <w:pStyle w:val="TableParagraph"/>
              <w:spacing w:before="63"/>
              <w:ind w:left="184" w:right="191"/>
              <w:jc w:val="center"/>
              <w:rPr>
                <w:sz w:val="18"/>
              </w:rPr>
            </w:pPr>
            <w:r>
              <w:rPr>
                <w:sz w:val="18"/>
              </w:rPr>
              <w:t>标准参数值</w:t>
            </w:r>
          </w:p>
        </w:tc>
        <w:tc>
          <w:tcPr>
            <w:tcW w:w="1729" w:type="dxa"/>
          </w:tcPr>
          <w:p>
            <w:pPr>
              <w:pStyle w:val="TableParagraph"/>
              <w:spacing w:before="63"/>
              <w:ind w:left="28" w:right="29"/>
              <w:jc w:val="center"/>
              <w:rPr>
                <w:sz w:val="18"/>
              </w:rPr>
            </w:pPr>
            <w:r>
              <w:rPr>
                <w:sz w:val="18"/>
              </w:rPr>
              <w:t>备注</w:t>
            </w:r>
          </w:p>
        </w:tc>
      </w:tr>
      <w:tr>
        <w:trPr>
          <w:trHeight w:val="350" w:hRule="atLeast"/>
        </w:trPr>
        <w:tc>
          <w:tcPr>
            <w:tcW w:w="1513"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1"/>
              <w:rPr>
                <w:sz w:val="17"/>
              </w:rPr>
            </w:pPr>
          </w:p>
          <w:p>
            <w:pPr>
              <w:pStyle w:val="TableParagraph"/>
              <w:ind w:left="485"/>
              <w:rPr>
                <w:sz w:val="18"/>
              </w:rPr>
            </w:pPr>
            <w:r>
              <w:rPr>
                <w:sz w:val="18"/>
              </w:rPr>
              <w:t>铜导体</w:t>
            </w:r>
          </w:p>
        </w:tc>
        <w:tc>
          <w:tcPr>
            <w:tcW w:w="2601"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1"/>
              <w:rPr>
                <w:sz w:val="17"/>
              </w:rPr>
            </w:pPr>
          </w:p>
          <w:p>
            <w:pPr>
              <w:pStyle w:val="TableParagraph"/>
              <w:ind w:left="665"/>
              <w:rPr>
                <w:sz w:val="18"/>
              </w:rPr>
            </w:pPr>
            <w:r>
              <w:rPr>
                <w:sz w:val="18"/>
              </w:rPr>
              <w:t>芯数×标称截面</w:t>
            </w:r>
          </w:p>
        </w:tc>
        <w:tc>
          <w:tcPr>
            <w:tcW w:w="1218"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1"/>
              <w:rPr>
                <w:sz w:val="23"/>
              </w:rPr>
            </w:pPr>
          </w:p>
          <w:p>
            <w:pPr>
              <w:pStyle w:val="TableParagraph"/>
              <w:ind w:left="261"/>
              <w:rPr>
                <w:rFonts w:ascii="Times New Roman" w:hAnsi="Times New Roman" w:eastAsia="Times New Roman"/>
                <w:sz w:val="18"/>
              </w:rPr>
            </w:pPr>
            <w:r>
              <w:rPr>
                <w:sz w:val="18"/>
              </w:rPr>
              <w:t>芯×</w:t>
            </w:r>
            <w:r>
              <w:rPr>
                <w:rFonts w:ascii="Times New Roman" w:hAnsi="Times New Roman" w:eastAsia="Times New Roman"/>
                <w:sz w:val="18"/>
              </w:rPr>
              <w:t>mm</w:t>
            </w:r>
            <w:r>
              <w:rPr>
                <w:rFonts w:ascii="Times New Roman" w:hAnsi="Times New Roman" w:eastAsia="Times New Roman"/>
                <w:sz w:val="18"/>
                <w:vertAlign w:val="superscript"/>
              </w:rPr>
              <w:t>2</w:t>
            </w:r>
          </w:p>
        </w:tc>
        <w:tc>
          <w:tcPr>
            <w:tcW w:w="1758" w:type="dxa"/>
          </w:tcPr>
          <w:p>
            <w:pPr>
              <w:pStyle w:val="TableParagraph"/>
              <w:spacing w:before="56"/>
              <w:ind w:left="184" w:right="190"/>
              <w:jc w:val="center"/>
              <w:rPr>
                <w:rFonts w:ascii="Times New Roman" w:hAnsi="Times New Roman"/>
                <w:sz w:val="18"/>
              </w:rPr>
            </w:pPr>
            <w:r>
              <w:rPr>
                <w:rFonts w:ascii="Times New Roman" w:hAnsi="Times New Roman"/>
                <w:sz w:val="18"/>
              </w:rPr>
              <w:t>3</w:t>
            </w:r>
            <w:r>
              <w:rPr>
                <w:sz w:val="18"/>
              </w:rPr>
              <w:t>×</w:t>
            </w:r>
            <w:r>
              <w:rPr>
                <w:rFonts w:ascii="Times New Roman" w:hAnsi="Times New Roman"/>
                <w:sz w:val="18"/>
              </w:rPr>
              <w:t>35</w:t>
            </w:r>
          </w:p>
        </w:tc>
        <w:tc>
          <w:tcPr>
            <w:tcW w:w="1729" w:type="dxa"/>
          </w:tcPr>
          <w:p>
            <w:pPr>
              <w:pStyle w:val="TableParagraph"/>
              <w:rPr>
                <w:rFonts w:ascii="Times New Roman"/>
                <w:sz w:val="20"/>
              </w:rPr>
            </w:pPr>
          </w:p>
        </w:tc>
      </w:tr>
      <w:tr>
        <w:trPr>
          <w:trHeight w:val="357"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63"/>
              <w:ind w:left="184" w:right="190"/>
              <w:jc w:val="center"/>
              <w:rPr>
                <w:rFonts w:ascii="Times New Roman" w:hAnsi="Times New Roman"/>
                <w:sz w:val="18"/>
              </w:rPr>
            </w:pPr>
            <w:r>
              <w:rPr>
                <w:rFonts w:ascii="Times New Roman" w:hAnsi="Times New Roman"/>
                <w:sz w:val="18"/>
              </w:rPr>
              <w:t>3</w:t>
            </w:r>
            <w:r>
              <w:rPr>
                <w:sz w:val="18"/>
              </w:rPr>
              <w:t>×</w:t>
            </w:r>
            <w:r>
              <w:rPr>
                <w:rFonts w:ascii="Times New Roman" w:hAnsi="Times New Roman"/>
                <w:sz w:val="18"/>
              </w:rPr>
              <w:t>70</w:t>
            </w:r>
          </w:p>
        </w:tc>
        <w:tc>
          <w:tcPr>
            <w:tcW w:w="1729" w:type="dxa"/>
          </w:tcPr>
          <w:p>
            <w:pPr>
              <w:pStyle w:val="TableParagraph"/>
              <w:rPr>
                <w:rFonts w:ascii="Times New Roman"/>
                <w:sz w:val="20"/>
              </w:rPr>
            </w:pPr>
          </w:p>
        </w:tc>
      </w:tr>
      <w:tr>
        <w:trPr>
          <w:trHeight w:val="350"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56"/>
              <w:ind w:left="184" w:right="190"/>
              <w:jc w:val="center"/>
              <w:rPr>
                <w:rFonts w:ascii="Times New Roman" w:hAnsi="Times New Roman"/>
                <w:sz w:val="18"/>
              </w:rPr>
            </w:pPr>
            <w:r>
              <w:rPr>
                <w:rFonts w:ascii="Times New Roman" w:hAnsi="Times New Roman"/>
                <w:sz w:val="18"/>
              </w:rPr>
              <w:t>3</w:t>
            </w:r>
            <w:r>
              <w:rPr>
                <w:sz w:val="18"/>
              </w:rPr>
              <w:t>×</w:t>
            </w:r>
            <w:r>
              <w:rPr>
                <w:rFonts w:ascii="Times New Roman" w:hAnsi="Times New Roman"/>
                <w:sz w:val="18"/>
              </w:rPr>
              <w:t>95</w:t>
            </w:r>
          </w:p>
        </w:tc>
        <w:tc>
          <w:tcPr>
            <w:tcW w:w="1729" w:type="dxa"/>
          </w:tcPr>
          <w:p>
            <w:pPr>
              <w:pStyle w:val="TableParagraph"/>
              <w:rPr>
                <w:rFonts w:ascii="Times New Roman"/>
                <w:sz w:val="20"/>
              </w:rPr>
            </w:pPr>
          </w:p>
        </w:tc>
      </w:tr>
      <w:tr>
        <w:trPr>
          <w:trHeight w:val="357"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63"/>
              <w:ind w:left="184" w:right="194"/>
              <w:jc w:val="center"/>
              <w:rPr>
                <w:rFonts w:ascii="Times New Roman" w:hAnsi="Times New Roman"/>
                <w:sz w:val="18"/>
              </w:rPr>
            </w:pPr>
            <w:r>
              <w:rPr>
                <w:rFonts w:ascii="Times New Roman" w:hAnsi="Times New Roman"/>
                <w:sz w:val="18"/>
              </w:rPr>
              <w:t>3</w:t>
            </w:r>
            <w:r>
              <w:rPr>
                <w:sz w:val="18"/>
              </w:rPr>
              <w:t>×</w:t>
            </w:r>
            <w:r>
              <w:rPr>
                <w:rFonts w:ascii="Times New Roman" w:hAnsi="Times New Roman"/>
                <w:sz w:val="18"/>
              </w:rPr>
              <w:t>120</w:t>
            </w:r>
          </w:p>
        </w:tc>
        <w:tc>
          <w:tcPr>
            <w:tcW w:w="1729" w:type="dxa"/>
          </w:tcPr>
          <w:p>
            <w:pPr>
              <w:pStyle w:val="TableParagraph"/>
              <w:rPr>
                <w:rFonts w:ascii="Times New Roman"/>
                <w:sz w:val="20"/>
              </w:rPr>
            </w:pPr>
          </w:p>
        </w:tc>
      </w:tr>
      <w:tr>
        <w:trPr>
          <w:trHeight w:val="350"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56"/>
              <w:ind w:left="184" w:right="194"/>
              <w:jc w:val="center"/>
              <w:rPr>
                <w:rFonts w:ascii="Times New Roman" w:hAnsi="Times New Roman"/>
                <w:sz w:val="18"/>
              </w:rPr>
            </w:pPr>
            <w:r>
              <w:rPr>
                <w:rFonts w:ascii="Times New Roman" w:hAnsi="Times New Roman"/>
                <w:sz w:val="18"/>
              </w:rPr>
              <w:t>3</w:t>
            </w:r>
            <w:r>
              <w:rPr>
                <w:sz w:val="18"/>
              </w:rPr>
              <w:t>×</w:t>
            </w:r>
            <w:r>
              <w:rPr>
                <w:rFonts w:ascii="Times New Roman" w:hAnsi="Times New Roman"/>
                <w:sz w:val="18"/>
              </w:rPr>
              <w:t>150</w:t>
            </w:r>
          </w:p>
        </w:tc>
        <w:tc>
          <w:tcPr>
            <w:tcW w:w="1729" w:type="dxa"/>
          </w:tcPr>
          <w:p>
            <w:pPr>
              <w:pStyle w:val="TableParagraph"/>
              <w:rPr>
                <w:rFonts w:ascii="Times New Roman"/>
                <w:sz w:val="20"/>
              </w:rPr>
            </w:pPr>
          </w:p>
        </w:tc>
      </w:tr>
      <w:tr>
        <w:trPr>
          <w:trHeight w:val="357"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63"/>
              <w:ind w:left="184" w:right="194"/>
              <w:jc w:val="center"/>
              <w:rPr>
                <w:rFonts w:ascii="Times New Roman" w:hAnsi="Times New Roman"/>
                <w:sz w:val="18"/>
              </w:rPr>
            </w:pPr>
            <w:r>
              <w:rPr>
                <w:rFonts w:ascii="Times New Roman" w:hAnsi="Times New Roman"/>
                <w:sz w:val="18"/>
              </w:rPr>
              <w:t>3</w:t>
            </w:r>
            <w:r>
              <w:rPr>
                <w:sz w:val="18"/>
              </w:rPr>
              <w:t>×</w:t>
            </w:r>
            <w:r>
              <w:rPr>
                <w:rFonts w:ascii="Times New Roman" w:hAnsi="Times New Roman"/>
                <w:sz w:val="18"/>
              </w:rPr>
              <w:t>185</w:t>
            </w:r>
          </w:p>
        </w:tc>
        <w:tc>
          <w:tcPr>
            <w:tcW w:w="1729" w:type="dxa"/>
          </w:tcPr>
          <w:p>
            <w:pPr>
              <w:pStyle w:val="TableParagraph"/>
              <w:rPr>
                <w:rFonts w:ascii="Times New Roman"/>
                <w:sz w:val="20"/>
              </w:rPr>
            </w:pPr>
          </w:p>
        </w:tc>
      </w:tr>
      <w:tr>
        <w:trPr>
          <w:trHeight w:val="357"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56"/>
              <w:ind w:left="184" w:right="194"/>
              <w:jc w:val="center"/>
              <w:rPr>
                <w:rFonts w:ascii="Times New Roman" w:hAnsi="Times New Roman"/>
                <w:sz w:val="18"/>
              </w:rPr>
            </w:pPr>
            <w:r>
              <w:rPr>
                <w:rFonts w:ascii="Times New Roman" w:hAnsi="Times New Roman"/>
                <w:sz w:val="18"/>
              </w:rPr>
              <w:t>3</w:t>
            </w:r>
            <w:r>
              <w:rPr>
                <w:sz w:val="18"/>
              </w:rPr>
              <w:t>×</w:t>
            </w:r>
            <w:r>
              <w:rPr>
                <w:rFonts w:ascii="Times New Roman" w:hAnsi="Times New Roman"/>
                <w:sz w:val="18"/>
              </w:rPr>
              <w:t>240</w:t>
            </w:r>
          </w:p>
        </w:tc>
        <w:tc>
          <w:tcPr>
            <w:tcW w:w="1729" w:type="dxa"/>
          </w:tcPr>
          <w:p>
            <w:pPr>
              <w:pStyle w:val="TableParagraph"/>
              <w:rPr>
                <w:rFonts w:ascii="Times New Roman"/>
                <w:sz w:val="20"/>
              </w:rPr>
            </w:pPr>
          </w:p>
        </w:tc>
      </w:tr>
    </w:tbl>
    <w:p>
      <w:pPr>
        <w:spacing w:after="0"/>
        <w:rPr>
          <w:rFonts w:ascii="Times New Roman"/>
          <w:sz w:val="20"/>
        </w:rPr>
        <w:sectPr>
          <w:pgSz w:w="11910" w:h="16870"/>
          <w:pgMar w:top="1580" w:bottom="280" w:left="1260" w:right="860"/>
        </w:sectPr>
      </w:pPr>
    </w:p>
    <w:tbl>
      <w:tblPr>
        <w:tblW w:w="0" w:type="auto"/>
        <w:jc w:val="left"/>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3"/>
        <w:gridCol w:w="2601"/>
        <w:gridCol w:w="1218"/>
        <w:gridCol w:w="1758"/>
        <w:gridCol w:w="1729"/>
      </w:tblGrid>
      <w:tr>
        <w:trPr>
          <w:trHeight w:val="357" w:hRule="atLeast"/>
        </w:trPr>
        <w:tc>
          <w:tcPr>
            <w:tcW w:w="8819" w:type="dxa"/>
            <w:gridSpan w:val="5"/>
          </w:tcPr>
          <w:p>
            <w:pPr>
              <w:pStyle w:val="TableParagraph"/>
              <w:spacing w:before="58"/>
              <w:ind w:left="3664" w:right="3665"/>
              <w:jc w:val="center"/>
              <w:rPr>
                <w:sz w:val="18"/>
              </w:rPr>
            </w:pPr>
            <w:r>
              <w:rPr>
                <w:sz w:val="18"/>
              </w:rPr>
              <w:t>电缆结构技术参数</w:t>
            </w:r>
          </w:p>
        </w:tc>
      </w:tr>
      <w:tr>
        <w:trPr>
          <w:trHeight w:val="350" w:hRule="atLeast"/>
        </w:trPr>
        <w:tc>
          <w:tcPr>
            <w:tcW w:w="1513" w:type="dxa"/>
            <w:vMerge w:val="restart"/>
          </w:tcPr>
          <w:p>
            <w:pPr>
              <w:pStyle w:val="TableParagraph"/>
              <w:rPr>
                <w:rFonts w:ascii="Times New Roman"/>
                <w:sz w:val="16"/>
              </w:rPr>
            </w:pPr>
          </w:p>
        </w:tc>
        <w:tc>
          <w:tcPr>
            <w:tcW w:w="2601" w:type="dxa"/>
            <w:vMerge w:val="restart"/>
          </w:tcPr>
          <w:p>
            <w:pPr>
              <w:pStyle w:val="TableParagraph"/>
              <w:rPr>
                <w:rFonts w:ascii="Times New Roman"/>
                <w:sz w:val="16"/>
              </w:rPr>
            </w:pPr>
          </w:p>
        </w:tc>
        <w:tc>
          <w:tcPr>
            <w:tcW w:w="1218" w:type="dxa"/>
            <w:vMerge w:val="restart"/>
          </w:tcPr>
          <w:p>
            <w:pPr>
              <w:pStyle w:val="TableParagraph"/>
              <w:rPr>
                <w:rFonts w:ascii="Times New Roman"/>
                <w:sz w:val="16"/>
              </w:rPr>
            </w:pPr>
          </w:p>
        </w:tc>
        <w:tc>
          <w:tcPr>
            <w:tcW w:w="1758" w:type="dxa"/>
          </w:tcPr>
          <w:p>
            <w:pPr>
              <w:pStyle w:val="TableParagraph"/>
              <w:spacing w:before="51"/>
              <w:ind w:left="184" w:right="194"/>
              <w:jc w:val="center"/>
              <w:rPr>
                <w:rFonts w:ascii="Times New Roman" w:hAnsi="Times New Roman"/>
                <w:sz w:val="18"/>
              </w:rPr>
            </w:pPr>
            <w:r>
              <w:rPr>
                <w:rFonts w:ascii="Times New Roman" w:hAnsi="Times New Roman"/>
                <w:sz w:val="18"/>
              </w:rPr>
              <w:t>3</w:t>
            </w:r>
            <w:r>
              <w:rPr>
                <w:sz w:val="18"/>
              </w:rPr>
              <w:t>×</w:t>
            </w:r>
            <w:r>
              <w:rPr>
                <w:rFonts w:ascii="Times New Roman" w:hAnsi="Times New Roman"/>
                <w:sz w:val="18"/>
              </w:rPr>
              <w:t>300</w:t>
            </w:r>
          </w:p>
        </w:tc>
        <w:tc>
          <w:tcPr>
            <w:tcW w:w="1729" w:type="dxa"/>
          </w:tcPr>
          <w:p>
            <w:pPr>
              <w:pStyle w:val="TableParagraph"/>
              <w:rPr>
                <w:rFonts w:ascii="Times New Roman"/>
                <w:sz w:val="16"/>
              </w:rPr>
            </w:pPr>
          </w:p>
        </w:tc>
      </w:tr>
      <w:tr>
        <w:trPr>
          <w:trHeight w:val="357"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58"/>
              <w:ind w:left="184" w:right="194"/>
              <w:jc w:val="center"/>
              <w:rPr>
                <w:rFonts w:ascii="Times New Roman" w:hAnsi="Times New Roman"/>
                <w:sz w:val="18"/>
              </w:rPr>
            </w:pPr>
            <w:r>
              <w:rPr>
                <w:rFonts w:ascii="Times New Roman" w:hAnsi="Times New Roman"/>
                <w:sz w:val="18"/>
              </w:rPr>
              <w:t>3</w:t>
            </w:r>
            <w:r>
              <w:rPr>
                <w:sz w:val="18"/>
              </w:rPr>
              <w:t>×</w:t>
            </w:r>
            <w:r>
              <w:rPr>
                <w:rFonts w:ascii="Times New Roman" w:hAnsi="Times New Roman"/>
                <w:sz w:val="18"/>
              </w:rPr>
              <w:t>400</w:t>
            </w:r>
          </w:p>
        </w:tc>
        <w:tc>
          <w:tcPr>
            <w:tcW w:w="1729" w:type="dxa"/>
          </w:tcPr>
          <w:p>
            <w:pPr>
              <w:pStyle w:val="TableParagraph"/>
              <w:rPr>
                <w:rFonts w:ascii="Times New Roman"/>
                <w:sz w:val="16"/>
              </w:rPr>
            </w:pPr>
          </w:p>
        </w:tc>
      </w:tr>
      <w:tr>
        <w:trPr>
          <w:trHeight w:val="350" w:hRule="atLeast"/>
        </w:trPr>
        <w:tc>
          <w:tcPr>
            <w:tcW w:w="1513" w:type="dxa"/>
            <w:vMerge/>
            <w:tcBorders>
              <w:top w:val="nil"/>
            </w:tcBorders>
          </w:tcPr>
          <w:p>
            <w:pPr>
              <w:rPr>
                <w:sz w:val="2"/>
                <w:szCs w:val="2"/>
              </w:rPr>
            </w:pPr>
          </w:p>
        </w:tc>
        <w:tc>
          <w:tcPr>
            <w:tcW w:w="2601" w:type="dxa"/>
          </w:tcPr>
          <w:p>
            <w:pPr>
              <w:pStyle w:val="TableParagraph"/>
              <w:spacing w:before="51"/>
              <w:ind w:left="218" w:right="212"/>
              <w:jc w:val="center"/>
              <w:rPr>
                <w:sz w:val="18"/>
              </w:rPr>
            </w:pPr>
            <w:r>
              <w:rPr>
                <w:sz w:val="18"/>
              </w:rPr>
              <w:t>结构形式</w:t>
            </w:r>
          </w:p>
        </w:tc>
        <w:tc>
          <w:tcPr>
            <w:tcW w:w="1218" w:type="dxa"/>
          </w:tcPr>
          <w:p>
            <w:pPr>
              <w:pStyle w:val="TableParagraph"/>
              <w:rPr>
                <w:rFonts w:ascii="Times New Roman"/>
                <w:sz w:val="16"/>
              </w:rPr>
            </w:pPr>
          </w:p>
        </w:tc>
        <w:tc>
          <w:tcPr>
            <w:tcW w:w="1758" w:type="dxa"/>
          </w:tcPr>
          <w:p>
            <w:pPr>
              <w:pStyle w:val="TableParagraph"/>
              <w:spacing w:before="51"/>
              <w:ind w:left="184" w:right="184"/>
              <w:jc w:val="center"/>
              <w:rPr>
                <w:sz w:val="18"/>
              </w:rPr>
            </w:pPr>
            <w:r>
              <w:rPr>
                <w:sz w:val="18"/>
              </w:rPr>
              <w:t>紧压圆形</w:t>
            </w:r>
          </w:p>
        </w:tc>
        <w:tc>
          <w:tcPr>
            <w:tcW w:w="1729" w:type="dxa"/>
          </w:tcPr>
          <w:p>
            <w:pPr>
              <w:pStyle w:val="TableParagraph"/>
              <w:rPr>
                <w:rFonts w:ascii="Times New Roman"/>
                <w:sz w:val="16"/>
              </w:rPr>
            </w:pPr>
          </w:p>
        </w:tc>
      </w:tr>
      <w:tr>
        <w:trPr>
          <w:trHeight w:val="364" w:hRule="atLeast"/>
        </w:trPr>
        <w:tc>
          <w:tcPr>
            <w:tcW w:w="1513" w:type="dxa"/>
            <w:vMerge/>
            <w:tcBorders>
              <w:top w:val="nil"/>
            </w:tcBorders>
          </w:tcPr>
          <w:p>
            <w:pPr>
              <w:rPr>
                <w:sz w:val="2"/>
                <w:szCs w:val="2"/>
              </w:rPr>
            </w:pPr>
          </w:p>
        </w:tc>
        <w:tc>
          <w:tcPr>
            <w:tcW w:w="2601"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6"/>
              <w:rPr>
                <w:sz w:val="13"/>
              </w:rPr>
            </w:pPr>
          </w:p>
          <w:p>
            <w:pPr>
              <w:pStyle w:val="TableParagraph"/>
              <w:ind w:left="758"/>
              <w:rPr>
                <w:sz w:val="18"/>
              </w:rPr>
            </w:pPr>
            <w:r>
              <w:rPr>
                <w:sz w:val="18"/>
              </w:rPr>
              <w:t>最少单线根数</w:t>
            </w:r>
          </w:p>
        </w:tc>
        <w:tc>
          <w:tcPr>
            <w:tcW w:w="1218"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6"/>
              <w:rPr>
                <w:sz w:val="13"/>
              </w:rPr>
            </w:pPr>
          </w:p>
          <w:p>
            <w:pPr>
              <w:pStyle w:val="TableParagraph"/>
              <w:ind w:left="13"/>
              <w:jc w:val="center"/>
              <w:rPr>
                <w:sz w:val="18"/>
              </w:rPr>
            </w:pPr>
            <w:r>
              <w:rPr>
                <w:sz w:val="18"/>
              </w:rPr>
              <w:t>根</w:t>
            </w:r>
          </w:p>
        </w:tc>
        <w:tc>
          <w:tcPr>
            <w:tcW w:w="1758" w:type="dxa"/>
          </w:tcPr>
          <w:p>
            <w:pPr>
              <w:pStyle w:val="TableParagraph"/>
              <w:spacing w:before="77"/>
              <w:ind w:left="2"/>
              <w:jc w:val="center"/>
              <w:rPr>
                <w:rFonts w:ascii="Times New Roman"/>
                <w:sz w:val="18"/>
              </w:rPr>
            </w:pPr>
            <w:r>
              <w:rPr>
                <w:rFonts w:ascii="Times New Roman"/>
                <w:sz w:val="18"/>
              </w:rPr>
              <w:t>6</w:t>
            </w:r>
          </w:p>
        </w:tc>
        <w:tc>
          <w:tcPr>
            <w:tcW w:w="1729" w:type="dxa"/>
          </w:tcPr>
          <w:p>
            <w:pPr>
              <w:pStyle w:val="TableParagraph"/>
              <w:spacing w:before="58"/>
              <w:ind w:left="28" w:right="29"/>
              <w:jc w:val="center"/>
              <w:rPr>
                <w:sz w:val="18"/>
              </w:rPr>
            </w:pPr>
            <w:r>
              <w:rPr>
                <w:sz w:val="18"/>
              </w:rPr>
              <w:t>对应 </w:t>
            </w:r>
            <w:r>
              <w:rPr>
                <w:rFonts w:ascii="Times New Roman" w:eastAsia="Times New Roman"/>
                <w:sz w:val="18"/>
              </w:rPr>
              <w:t>35mm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1"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77"/>
              <w:ind w:left="184" w:right="197"/>
              <w:jc w:val="center"/>
              <w:rPr>
                <w:rFonts w:ascii="Times New Roman"/>
                <w:sz w:val="18"/>
              </w:rPr>
            </w:pPr>
            <w:r>
              <w:rPr>
                <w:rFonts w:ascii="Times New Roman"/>
                <w:sz w:val="18"/>
              </w:rPr>
              <w:t>12</w:t>
            </w:r>
          </w:p>
        </w:tc>
        <w:tc>
          <w:tcPr>
            <w:tcW w:w="1729" w:type="dxa"/>
          </w:tcPr>
          <w:p>
            <w:pPr>
              <w:pStyle w:val="TableParagraph"/>
              <w:spacing w:before="58"/>
              <w:ind w:left="28" w:right="29"/>
              <w:jc w:val="center"/>
              <w:rPr>
                <w:sz w:val="18"/>
              </w:rPr>
            </w:pPr>
            <w:r>
              <w:rPr>
                <w:sz w:val="18"/>
              </w:rPr>
              <w:t>对应 </w:t>
            </w:r>
            <w:r>
              <w:rPr>
                <w:rFonts w:ascii="Times New Roman" w:eastAsia="Times New Roman"/>
                <w:sz w:val="18"/>
              </w:rPr>
              <w:t>70mm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65"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70"/>
              <w:ind w:left="184" w:right="197"/>
              <w:jc w:val="center"/>
              <w:rPr>
                <w:rFonts w:ascii="Times New Roman"/>
                <w:sz w:val="18"/>
              </w:rPr>
            </w:pPr>
            <w:r>
              <w:rPr>
                <w:rFonts w:ascii="Times New Roman"/>
                <w:sz w:val="18"/>
              </w:rPr>
              <w:t>15</w:t>
            </w:r>
          </w:p>
        </w:tc>
        <w:tc>
          <w:tcPr>
            <w:tcW w:w="1729" w:type="dxa"/>
          </w:tcPr>
          <w:p>
            <w:pPr>
              <w:pStyle w:val="TableParagraph"/>
              <w:spacing w:before="51"/>
              <w:ind w:left="28" w:right="29"/>
              <w:jc w:val="center"/>
              <w:rPr>
                <w:sz w:val="18"/>
              </w:rPr>
            </w:pPr>
            <w:r>
              <w:rPr>
                <w:sz w:val="18"/>
              </w:rPr>
              <w:t>对应 </w:t>
            </w:r>
            <w:r>
              <w:rPr>
                <w:rFonts w:ascii="Times New Roman" w:eastAsia="Times New Roman"/>
                <w:sz w:val="18"/>
              </w:rPr>
              <w:t>95mm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64"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70"/>
              <w:ind w:left="184" w:right="197"/>
              <w:jc w:val="center"/>
              <w:rPr>
                <w:rFonts w:ascii="Times New Roman"/>
                <w:sz w:val="18"/>
              </w:rPr>
            </w:pPr>
            <w:r>
              <w:rPr>
                <w:rFonts w:ascii="Times New Roman"/>
                <w:sz w:val="18"/>
              </w:rPr>
              <w:t>18</w:t>
            </w:r>
          </w:p>
        </w:tc>
        <w:tc>
          <w:tcPr>
            <w:tcW w:w="1729" w:type="dxa"/>
          </w:tcPr>
          <w:p>
            <w:pPr>
              <w:pStyle w:val="TableParagraph"/>
              <w:spacing w:before="51"/>
              <w:ind w:left="30" w:right="25"/>
              <w:jc w:val="center"/>
              <w:rPr>
                <w:sz w:val="18"/>
              </w:rPr>
            </w:pPr>
            <w:r>
              <w:rPr>
                <w:sz w:val="18"/>
              </w:rPr>
              <w:t>对应 </w:t>
            </w:r>
            <w:r>
              <w:rPr>
                <w:rFonts w:ascii="Times New Roman" w:eastAsia="Times New Roman"/>
                <w:sz w:val="18"/>
              </w:rPr>
              <w:t>120mm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64"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70"/>
              <w:ind w:left="184" w:right="197"/>
              <w:jc w:val="center"/>
              <w:rPr>
                <w:rFonts w:ascii="Times New Roman"/>
                <w:sz w:val="18"/>
              </w:rPr>
            </w:pPr>
            <w:r>
              <w:rPr>
                <w:rFonts w:ascii="Times New Roman"/>
                <w:sz w:val="18"/>
              </w:rPr>
              <w:t>18</w:t>
            </w:r>
          </w:p>
        </w:tc>
        <w:tc>
          <w:tcPr>
            <w:tcW w:w="1729" w:type="dxa"/>
          </w:tcPr>
          <w:p>
            <w:pPr>
              <w:pStyle w:val="TableParagraph"/>
              <w:spacing w:before="51"/>
              <w:ind w:left="30" w:right="25"/>
              <w:jc w:val="center"/>
              <w:rPr>
                <w:sz w:val="18"/>
              </w:rPr>
            </w:pPr>
            <w:r>
              <w:rPr>
                <w:sz w:val="18"/>
              </w:rPr>
              <w:t>对应 </w:t>
            </w:r>
            <w:r>
              <w:rPr>
                <w:rFonts w:ascii="Times New Roman" w:eastAsia="Times New Roman"/>
                <w:sz w:val="18"/>
              </w:rPr>
              <w:t>150mm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64"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70"/>
              <w:ind w:left="184" w:right="197"/>
              <w:jc w:val="center"/>
              <w:rPr>
                <w:rFonts w:ascii="Times New Roman"/>
                <w:sz w:val="18"/>
              </w:rPr>
            </w:pPr>
            <w:r>
              <w:rPr>
                <w:rFonts w:ascii="Times New Roman"/>
                <w:sz w:val="18"/>
              </w:rPr>
              <w:t>30</w:t>
            </w:r>
          </w:p>
        </w:tc>
        <w:tc>
          <w:tcPr>
            <w:tcW w:w="1729" w:type="dxa"/>
          </w:tcPr>
          <w:p>
            <w:pPr>
              <w:pStyle w:val="TableParagraph"/>
              <w:spacing w:before="51"/>
              <w:ind w:left="30" w:right="25"/>
              <w:jc w:val="center"/>
              <w:rPr>
                <w:sz w:val="18"/>
              </w:rPr>
            </w:pPr>
            <w:r>
              <w:rPr>
                <w:sz w:val="18"/>
              </w:rPr>
              <w:t>对应 </w:t>
            </w:r>
            <w:r>
              <w:rPr>
                <w:rFonts w:ascii="Times New Roman" w:eastAsia="Times New Roman"/>
                <w:sz w:val="18"/>
              </w:rPr>
              <w:t>185mm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64"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70"/>
              <w:ind w:left="184" w:right="197"/>
              <w:jc w:val="center"/>
              <w:rPr>
                <w:rFonts w:ascii="Times New Roman"/>
                <w:sz w:val="18"/>
              </w:rPr>
            </w:pPr>
            <w:r>
              <w:rPr>
                <w:rFonts w:ascii="Times New Roman"/>
                <w:sz w:val="18"/>
              </w:rPr>
              <w:t>34</w:t>
            </w:r>
          </w:p>
        </w:tc>
        <w:tc>
          <w:tcPr>
            <w:tcW w:w="1729" w:type="dxa"/>
          </w:tcPr>
          <w:p>
            <w:pPr>
              <w:pStyle w:val="TableParagraph"/>
              <w:spacing w:before="58"/>
              <w:ind w:left="30" w:right="25"/>
              <w:jc w:val="center"/>
              <w:rPr>
                <w:sz w:val="18"/>
              </w:rPr>
            </w:pPr>
            <w:r>
              <w:rPr>
                <w:sz w:val="18"/>
              </w:rPr>
              <w:t>对应 </w:t>
            </w:r>
            <w:r>
              <w:rPr>
                <w:rFonts w:ascii="Times New Roman" w:eastAsia="Times New Roman"/>
                <w:sz w:val="18"/>
              </w:rPr>
              <w:t>240mm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1"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77"/>
              <w:ind w:left="184" w:right="197"/>
              <w:jc w:val="center"/>
              <w:rPr>
                <w:rFonts w:ascii="Times New Roman"/>
                <w:sz w:val="18"/>
              </w:rPr>
            </w:pPr>
            <w:r>
              <w:rPr>
                <w:rFonts w:ascii="Times New Roman"/>
                <w:sz w:val="18"/>
              </w:rPr>
              <w:t>34</w:t>
            </w:r>
          </w:p>
        </w:tc>
        <w:tc>
          <w:tcPr>
            <w:tcW w:w="1729" w:type="dxa"/>
          </w:tcPr>
          <w:p>
            <w:pPr>
              <w:pStyle w:val="TableParagraph"/>
              <w:spacing w:before="58"/>
              <w:ind w:left="30" w:right="25"/>
              <w:jc w:val="center"/>
              <w:rPr>
                <w:sz w:val="18"/>
              </w:rPr>
            </w:pPr>
            <w:r>
              <w:rPr>
                <w:sz w:val="18"/>
              </w:rPr>
              <w:t>对应 </w:t>
            </w:r>
            <w:r>
              <w:rPr>
                <w:rFonts w:ascii="Times New Roman" w:eastAsia="Times New Roman"/>
                <w:sz w:val="18"/>
              </w:rPr>
              <w:t>300mm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64"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70"/>
              <w:ind w:left="184" w:right="197"/>
              <w:jc w:val="center"/>
              <w:rPr>
                <w:rFonts w:ascii="Times New Roman"/>
                <w:sz w:val="18"/>
              </w:rPr>
            </w:pPr>
            <w:r>
              <w:rPr>
                <w:rFonts w:ascii="Times New Roman"/>
                <w:sz w:val="18"/>
              </w:rPr>
              <w:t>53</w:t>
            </w:r>
          </w:p>
        </w:tc>
        <w:tc>
          <w:tcPr>
            <w:tcW w:w="1729" w:type="dxa"/>
          </w:tcPr>
          <w:p>
            <w:pPr>
              <w:pStyle w:val="TableParagraph"/>
              <w:spacing w:before="51"/>
              <w:ind w:left="30" w:right="25"/>
              <w:jc w:val="center"/>
              <w:rPr>
                <w:sz w:val="18"/>
              </w:rPr>
            </w:pPr>
            <w:r>
              <w:rPr>
                <w:sz w:val="18"/>
              </w:rPr>
              <w:t>对应 </w:t>
            </w:r>
            <w:r>
              <w:rPr>
                <w:rFonts w:ascii="Times New Roman" w:eastAsia="Times New Roman"/>
                <w:sz w:val="18"/>
              </w:rPr>
              <w:t>400mm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64" w:hRule="atLeast"/>
        </w:trPr>
        <w:tc>
          <w:tcPr>
            <w:tcW w:w="1513" w:type="dxa"/>
            <w:vMerge/>
            <w:tcBorders>
              <w:top w:val="nil"/>
            </w:tcBorders>
          </w:tcPr>
          <w:p>
            <w:pPr>
              <w:rPr>
                <w:sz w:val="2"/>
                <w:szCs w:val="2"/>
              </w:rPr>
            </w:pPr>
          </w:p>
        </w:tc>
        <w:tc>
          <w:tcPr>
            <w:tcW w:w="2601"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9"/>
              <w:rPr>
                <w:sz w:val="15"/>
              </w:rPr>
            </w:pPr>
          </w:p>
          <w:p>
            <w:pPr>
              <w:pStyle w:val="TableParagraph"/>
              <w:ind w:left="218" w:right="212"/>
              <w:jc w:val="center"/>
              <w:rPr>
                <w:sz w:val="18"/>
              </w:rPr>
            </w:pPr>
            <w:r>
              <w:rPr>
                <w:sz w:val="18"/>
              </w:rPr>
              <w:t>导体外径</w:t>
            </w:r>
          </w:p>
        </w:tc>
        <w:tc>
          <w:tcPr>
            <w:tcW w:w="1218"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4"/>
              </w:rPr>
            </w:pPr>
          </w:p>
          <w:p>
            <w:pPr>
              <w:pStyle w:val="TableParagraph"/>
              <w:ind w:left="273" w:right="253"/>
              <w:jc w:val="center"/>
              <w:rPr>
                <w:rFonts w:ascii="Times New Roman"/>
                <w:sz w:val="18"/>
              </w:rPr>
            </w:pPr>
            <w:r>
              <w:rPr>
                <w:rFonts w:ascii="Times New Roman"/>
                <w:sz w:val="18"/>
              </w:rPr>
              <w:t>mm</w:t>
            </w:r>
          </w:p>
        </w:tc>
        <w:tc>
          <w:tcPr>
            <w:tcW w:w="1758" w:type="dxa"/>
          </w:tcPr>
          <w:p>
            <w:pPr>
              <w:pStyle w:val="TableParagraph"/>
              <w:spacing w:before="51"/>
              <w:ind w:left="184" w:right="263"/>
              <w:jc w:val="center"/>
              <w:rPr>
                <w:sz w:val="18"/>
              </w:rPr>
            </w:pPr>
            <w:r>
              <w:rPr>
                <w:sz w:val="18"/>
              </w:rPr>
              <w:t>（供货方提供）</w:t>
            </w:r>
          </w:p>
        </w:tc>
        <w:tc>
          <w:tcPr>
            <w:tcW w:w="1729" w:type="dxa"/>
          </w:tcPr>
          <w:p>
            <w:pPr>
              <w:pStyle w:val="TableParagraph"/>
              <w:spacing w:before="51"/>
              <w:ind w:left="28" w:right="29"/>
              <w:jc w:val="center"/>
              <w:rPr>
                <w:sz w:val="18"/>
              </w:rPr>
            </w:pPr>
            <w:r>
              <w:rPr>
                <w:sz w:val="18"/>
              </w:rPr>
              <w:t>对应 </w:t>
            </w:r>
            <w:r>
              <w:rPr>
                <w:rFonts w:ascii="Times New Roman" w:eastAsia="Times New Roman"/>
                <w:sz w:val="18"/>
              </w:rPr>
              <w:t>35mm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1"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spacing w:before="51"/>
              <w:ind w:left="28" w:right="29"/>
              <w:jc w:val="center"/>
              <w:rPr>
                <w:sz w:val="18"/>
              </w:rPr>
            </w:pPr>
            <w:r>
              <w:rPr>
                <w:sz w:val="18"/>
              </w:rPr>
              <w:t>对应 </w:t>
            </w:r>
            <w:r>
              <w:rPr>
                <w:rFonts w:ascii="Times New Roman" w:eastAsia="Times New Roman"/>
                <w:sz w:val="18"/>
              </w:rPr>
              <w:t>70mm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2"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spacing w:before="51"/>
              <w:ind w:left="28" w:right="29"/>
              <w:jc w:val="center"/>
              <w:rPr>
                <w:sz w:val="18"/>
              </w:rPr>
            </w:pPr>
            <w:r>
              <w:rPr>
                <w:sz w:val="18"/>
              </w:rPr>
              <w:t>对应 </w:t>
            </w:r>
            <w:r>
              <w:rPr>
                <w:rFonts w:ascii="Times New Roman" w:eastAsia="Times New Roman"/>
                <w:sz w:val="18"/>
              </w:rPr>
              <w:t>95mm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8"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spacing w:before="58"/>
              <w:ind w:left="30" w:right="25"/>
              <w:jc w:val="center"/>
              <w:rPr>
                <w:sz w:val="18"/>
              </w:rPr>
            </w:pPr>
            <w:r>
              <w:rPr>
                <w:sz w:val="18"/>
              </w:rPr>
              <w:t>对应 </w:t>
            </w:r>
            <w:r>
              <w:rPr>
                <w:rFonts w:ascii="Times New Roman" w:eastAsia="Times New Roman"/>
                <w:sz w:val="18"/>
              </w:rPr>
              <w:t>120mm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1"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spacing w:before="51"/>
              <w:ind w:left="30" w:right="25"/>
              <w:jc w:val="center"/>
              <w:rPr>
                <w:sz w:val="18"/>
              </w:rPr>
            </w:pPr>
            <w:r>
              <w:rPr>
                <w:sz w:val="18"/>
              </w:rPr>
              <w:t>对应 </w:t>
            </w:r>
            <w:r>
              <w:rPr>
                <w:rFonts w:ascii="Times New Roman" w:eastAsia="Times New Roman"/>
                <w:sz w:val="18"/>
              </w:rPr>
              <w:t>150mm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2"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spacing w:before="51"/>
              <w:ind w:left="30" w:right="25"/>
              <w:jc w:val="center"/>
              <w:rPr>
                <w:sz w:val="18"/>
              </w:rPr>
            </w:pPr>
            <w:r>
              <w:rPr>
                <w:sz w:val="18"/>
              </w:rPr>
              <w:t>对应 </w:t>
            </w:r>
            <w:r>
              <w:rPr>
                <w:rFonts w:ascii="Times New Roman" w:eastAsia="Times New Roman"/>
                <w:sz w:val="18"/>
              </w:rPr>
              <w:t>185mm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1"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spacing w:before="51"/>
              <w:ind w:left="30" w:right="25"/>
              <w:jc w:val="center"/>
              <w:rPr>
                <w:sz w:val="18"/>
              </w:rPr>
            </w:pPr>
            <w:r>
              <w:rPr>
                <w:sz w:val="18"/>
              </w:rPr>
              <w:t>对应 </w:t>
            </w:r>
            <w:r>
              <w:rPr>
                <w:rFonts w:ascii="Times New Roman" w:eastAsia="Times New Roman"/>
                <w:sz w:val="18"/>
              </w:rPr>
              <w:t>240mm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9"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spacing w:before="58"/>
              <w:ind w:left="30" w:right="25"/>
              <w:jc w:val="center"/>
              <w:rPr>
                <w:sz w:val="18"/>
              </w:rPr>
            </w:pPr>
            <w:r>
              <w:rPr>
                <w:sz w:val="18"/>
              </w:rPr>
              <w:t>对应 </w:t>
            </w:r>
            <w:r>
              <w:rPr>
                <w:rFonts w:ascii="Times New Roman" w:eastAsia="Times New Roman"/>
                <w:sz w:val="18"/>
              </w:rPr>
              <w:t>300mm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1" w:hRule="atLeast"/>
        </w:trPr>
        <w:tc>
          <w:tcPr>
            <w:tcW w:w="1513" w:type="dxa"/>
            <w:vMerge/>
            <w:tcBorders>
              <w:top w:val="nil"/>
            </w:tcBorders>
          </w:tcPr>
          <w:p>
            <w:pPr>
              <w:rPr>
                <w:sz w:val="2"/>
                <w:szCs w:val="2"/>
              </w:rPr>
            </w:pPr>
          </w:p>
        </w:tc>
        <w:tc>
          <w:tcPr>
            <w:tcW w:w="2601" w:type="dxa"/>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spacing w:before="51"/>
              <w:ind w:left="30" w:right="25"/>
              <w:jc w:val="center"/>
              <w:rPr>
                <w:sz w:val="18"/>
              </w:rPr>
            </w:pPr>
            <w:r>
              <w:rPr>
                <w:sz w:val="18"/>
              </w:rPr>
              <w:t>对应 </w:t>
            </w:r>
            <w:r>
              <w:rPr>
                <w:rFonts w:ascii="Times New Roman" w:eastAsia="Times New Roman"/>
                <w:sz w:val="18"/>
              </w:rPr>
              <w:t>400mm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1" w:hRule="atLeast"/>
        </w:trPr>
        <w:tc>
          <w:tcPr>
            <w:tcW w:w="1513" w:type="dxa"/>
            <w:vMerge/>
            <w:tcBorders>
              <w:top w:val="nil"/>
            </w:tcBorders>
          </w:tcPr>
          <w:p>
            <w:pPr>
              <w:rPr>
                <w:sz w:val="2"/>
                <w:szCs w:val="2"/>
              </w:rPr>
            </w:pPr>
          </w:p>
        </w:tc>
        <w:tc>
          <w:tcPr>
            <w:tcW w:w="2601" w:type="dxa"/>
          </w:tcPr>
          <w:p>
            <w:pPr>
              <w:pStyle w:val="TableParagraph"/>
              <w:spacing w:before="51"/>
              <w:ind w:left="218" w:right="212"/>
              <w:jc w:val="center"/>
              <w:rPr>
                <w:sz w:val="18"/>
              </w:rPr>
            </w:pPr>
            <w:r>
              <w:rPr>
                <w:sz w:val="18"/>
              </w:rPr>
              <w:t>紧压系数</w:t>
            </w:r>
          </w:p>
        </w:tc>
        <w:tc>
          <w:tcPr>
            <w:tcW w:w="1218" w:type="dxa"/>
          </w:tcPr>
          <w:p>
            <w:pPr>
              <w:pStyle w:val="TableParagraph"/>
              <w:rPr>
                <w:rFonts w:ascii="Times New Roman"/>
                <w:sz w:val="16"/>
              </w:rPr>
            </w:pPr>
          </w:p>
        </w:tc>
        <w:tc>
          <w:tcPr>
            <w:tcW w:w="1758" w:type="dxa"/>
          </w:tcPr>
          <w:p>
            <w:pPr>
              <w:pStyle w:val="TableParagraph"/>
              <w:spacing w:before="51"/>
              <w:ind w:left="184" w:right="187"/>
              <w:jc w:val="center"/>
              <w:rPr>
                <w:rFonts w:ascii="Times New Roman" w:hAnsi="Times New Roman"/>
                <w:sz w:val="18"/>
              </w:rPr>
            </w:pPr>
            <w:r>
              <w:rPr>
                <w:sz w:val="18"/>
              </w:rPr>
              <w:t>≥</w:t>
            </w:r>
            <w:r>
              <w:rPr>
                <w:rFonts w:ascii="Times New Roman" w:hAnsi="Times New Roman"/>
                <w:sz w:val="18"/>
              </w:rPr>
              <w:t>0.9</w:t>
            </w:r>
          </w:p>
        </w:tc>
        <w:tc>
          <w:tcPr>
            <w:tcW w:w="1729" w:type="dxa"/>
          </w:tcPr>
          <w:p>
            <w:pPr>
              <w:pStyle w:val="TableParagraph"/>
              <w:rPr>
                <w:rFonts w:ascii="Times New Roman"/>
                <w:sz w:val="16"/>
              </w:rPr>
            </w:pPr>
          </w:p>
        </w:tc>
      </w:tr>
      <w:tr>
        <w:trPr>
          <w:trHeight w:val="372" w:hRule="atLeast"/>
        </w:trPr>
        <w:tc>
          <w:tcPr>
            <w:tcW w:w="1513" w:type="dxa"/>
            <w:vMerge w:val="restart"/>
          </w:tcPr>
          <w:p>
            <w:pPr>
              <w:pStyle w:val="TableParagraph"/>
              <w:spacing w:before="2"/>
              <w:rPr>
                <w:sz w:val="19"/>
              </w:rPr>
            </w:pPr>
          </w:p>
          <w:p>
            <w:pPr>
              <w:pStyle w:val="TableParagraph"/>
              <w:ind w:left="398"/>
              <w:rPr>
                <w:sz w:val="18"/>
              </w:rPr>
            </w:pPr>
            <w:r>
              <w:rPr>
                <w:sz w:val="18"/>
              </w:rPr>
              <w:t>导体屏蔽</w:t>
            </w:r>
          </w:p>
        </w:tc>
        <w:tc>
          <w:tcPr>
            <w:tcW w:w="2601" w:type="dxa"/>
          </w:tcPr>
          <w:p>
            <w:pPr>
              <w:pStyle w:val="TableParagraph"/>
              <w:spacing w:before="51"/>
              <w:ind w:left="212" w:right="212"/>
              <w:jc w:val="center"/>
              <w:rPr>
                <w:sz w:val="18"/>
              </w:rPr>
            </w:pPr>
            <w:r>
              <w:rPr>
                <w:sz w:val="18"/>
              </w:rPr>
              <w:t>挤包半导电厚度</w:t>
            </w:r>
          </w:p>
        </w:tc>
        <w:tc>
          <w:tcPr>
            <w:tcW w:w="1218" w:type="dxa"/>
          </w:tcPr>
          <w:p>
            <w:pPr>
              <w:pStyle w:val="TableParagraph"/>
              <w:spacing w:before="70"/>
              <w:ind w:left="273" w:right="253"/>
              <w:jc w:val="center"/>
              <w:rPr>
                <w:rFonts w:ascii="Times New Roman"/>
                <w:sz w:val="18"/>
              </w:rPr>
            </w:pPr>
            <w:r>
              <w:rPr>
                <w:rFonts w:ascii="Times New Roman"/>
                <w:sz w:val="18"/>
              </w:rPr>
              <w:t>mm</w:t>
            </w: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rPr>
                <w:rFonts w:ascii="Times New Roman"/>
                <w:sz w:val="16"/>
              </w:rPr>
            </w:pPr>
          </w:p>
        </w:tc>
      </w:tr>
      <w:tr>
        <w:trPr>
          <w:trHeight w:val="378" w:hRule="atLeast"/>
        </w:trPr>
        <w:tc>
          <w:tcPr>
            <w:tcW w:w="1513" w:type="dxa"/>
            <w:vMerge/>
            <w:tcBorders>
              <w:top w:val="nil"/>
            </w:tcBorders>
          </w:tcPr>
          <w:p>
            <w:pPr>
              <w:rPr>
                <w:sz w:val="2"/>
                <w:szCs w:val="2"/>
              </w:rPr>
            </w:pPr>
          </w:p>
        </w:tc>
        <w:tc>
          <w:tcPr>
            <w:tcW w:w="2601" w:type="dxa"/>
          </w:tcPr>
          <w:p>
            <w:pPr>
              <w:pStyle w:val="TableParagraph"/>
              <w:spacing w:before="58"/>
              <w:ind w:left="218" w:right="212"/>
              <w:jc w:val="center"/>
              <w:rPr>
                <w:sz w:val="18"/>
              </w:rPr>
            </w:pPr>
            <w:r>
              <w:rPr>
                <w:sz w:val="18"/>
              </w:rPr>
              <w:t>外径</w:t>
            </w:r>
          </w:p>
        </w:tc>
        <w:tc>
          <w:tcPr>
            <w:tcW w:w="1218" w:type="dxa"/>
          </w:tcPr>
          <w:p>
            <w:pPr>
              <w:pStyle w:val="TableParagraph"/>
              <w:spacing w:before="77"/>
              <w:ind w:left="273" w:right="253"/>
              <w:jc w:val="center"/>
              <w:rPr>
                <w:rFonts w:ascii="Times New Roman"/>
                <w:sz w:val="18"/>
              </w:rPr>
            </w:pPr>
            <w:r>
              <w:rPr>
                <w:rFonts w:ascii="Times New Roman"/>
                <w:sz w:val="18"/>
              </w:rPr>
              <w:t>mm</w:t>
            </w: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rPr>
                <w:rFonts w:ascii="Times New Roman"/>
                <w:sz w:val="16"/>
              </w:rPr>
            </w:pPr>
          </w:p>
        </w:tc>
      </w:tr>
      <w:tr>
        <w:trPr>
          <w:trHeight w:val="371" w:hRule="atLeast"/>
        </w:trPr>
        <w:tc>
          <w:tcPr>
            <w:tcW w:w="1513" w:type="dxa"/>
            <w:vMerge w:val="restart"/>
          </w:tcPr>
          <w:p>
            <w:pPr>
              <w:pStyle w:val="TableParagraph"/>
              <w:rPr>
                <w:sz w:val="18"/>
              </w:rPr>
            </w:pPr>
          </w:p>
          <w:p>
            <w:pPr>
              <w:pStyle w:val="TableParagraph"/>
              <w:rPr>
                <w:sz w:val="18"/>
              </w:rPr>
            </w:pPr>
          </w:p>
          <w:p>
            <w:pPr>
              <w:pStyle w:val="TableParagraph"/>
              <w:spacing w:before="12"/>
              <w:rPr>
                <w:sz w:val="12"/>
              </w:rPr>
            </w:pPr>
          </w:p>
          <w:p>
            <w:pPr>
              <w:pStyle w:val="TableParagraph"/>
              <w:ind w:left="558" w:right="544"/>
              <w:jc w:val="center"/>
              <w:rPr>
                <w:sz w:val="18"/>
              </w:rPr>
            </w:pPr>
            <w:r>
              <w:rPr>
                <w:sz w:val="18"/>
              </w:rPr>
              <w:t>绝缘</w:t>
            </w:r>
          </w:p>
        </w:tc>
        <w:tc>
          <w:tcPr>
            <w:tcW w:w="2601" w:type="dxa"/>
          </w:tcPr>
          <w:p>
            <w:pPr>
              <w:pStyle w:val="TableParagraph"/>
              <w:spacing w:before="51"/>
              <w:ind w:left="218" w:right="212"/>
              <w:jc w:val="center"/>
              <w:rPr>
                <w:sz w:val="18"/>
              </w:rPr>
            </w:pPr>
            <w:r>
              <w:rPr>
                <w:sz w:val="18"/>
              </w:rPr>
              <w:t>材料</w:t>
            </w:r>
          </w:p>
        </w:tc>
        <w:tc>
          <w:tcPr>
            <w:tcW w:w="1218" w:type="dxa"/>
          </w:tcPr>
          <w:p>
            <w:pPr>
              <w:pStyle w:val="TableParagraph"/>
              <w:rPr>
                <w:rFonts w:ascii="Times New Roman"/>
                <w:sz w:val="16"/>
              </w:rPr>
            </w:pPr>
          </w:p>
        </w:tc>
        <w:tc>
          <w:tcPr>
            <w:tcW w:w="1758" w:type="dxa"/>
          </w:tcPr>
          <w:p>
            <w:pPr>
              <w:pStyle w:val="TableParagraph"/>
              <w:spacing w:before="70"/>
              <w:ind w:left="184" w:right="184"/>
              <w:jc w:val="center"/>
              <w:rPr>
                <w:rFonts w:ascii="Times New Roman"/>
                <w:sz w:val="18"/>
              </w:rPr>
            </w:pPr>
            <w:r>
              <w:rPr>
                <w:rFonts w:ascii="Times New Roman"/>
                <w:sz w:val="18"/>
              </w:rPr>
              <w:t>XLPE</w:t>
            </w:r>
          </w:p>
        </w:tc>
        <w:tc>
          <w:tcPr>
            <w:tcW w:w="1729" w:type="dxa"/>
          </w:tcPr>
          <w:p>
            <w:pPr>
              <w:pStyle w:val="TableParagraph"/>
              <w:rPr>
                <w:rFonts w:ascii="Times New Roman"/>
                <w:sz w:val="16"/>
              </w:rPr>
            </w:pPr>
          </w:p>
        </w:tc>
      </w:tr>
      <w:tr>
        <w:trPr>
          <w:trHeight w:val="371" w:hRule="atLeast"/>
        </w:trPr>
        <w:tc>
          <w:tcPr>
            <w:tcW w:w="1513" w:type="dxa"/>
            <w:vMerge/>
            <w:tcBorders>
              <w:top w:val="nil"/>
            </w:tcBorders>
          </w:tcPr>
          <w:p>
            <w:pPr>
              <w:rPr>
                <w:sz w:val="2"/>
                <w:szCs w:val="2"/>
              </w:rPr>
            </w:pPr>
          </w:p>
        </w:tc>
        <w:tc>
          <w:tcPr>
            <w:tcW w:w="2601" w:type="dxa"/>
          </w:tcPr>
          <w:p>
            <w:pPr>
              <w:pStyle w:val="TableParagraph"/>
              <w:spacing w:before="51"/>
              <w:ind w:left="218" w:right="212"/>
              <w:jc w:val="center"/>
              <w:rPr>
                <w:rFonts w:ascii="Times New Roman" w:eastAsia="Times New Roman"/>
                <w:i/>
                <w:sz w:val="18"/>
              </w:rPr>
            </w:pPr>
            <w:r>
              <w:rPr>
                <w:sz w:val="18"/>
              </w:rPr>
              <w:t>平均厚度不小于标称厚度 </w:t>
            </w:r>
            <w:r>
              <w:rPr>
                <w:rFonts w:ascii="Times New Roman" w:eastAsia="Times New Roman"/>
                <w:i/>
                <w:sz w:val="18"/>
              </w:rPr>
              <w:t>t</w:t>
            </w:r>
          </w:p>
        </w:tc>
        <w:tc>
          <w:tcPr>
            <w:tcW w:w="1218" w:type="dxa"/>
          </w:tcPr>
          <w:p>
            <w:pPr>
              <w:pStyle w:val="TableParagraph"/>
              <w:spacing w:before="70"/>
              <w:ind w:left="273" w:right="253"/>
              <w:jc w:val="center"/>
              <w:rPr>
                <w:rFonts w:ascii="Times New Roman"/>
                <w:sz w:val="18"/>
              </w:rPr>
            </w:pPr>
            <w:r>
              <w:rPr>
                <w:rFonts w:ascii="Times New Roman"/>
                <w:sz w:val="18"/>
              </w:rPr>
              <w:t>mm</w:t>
            </w:r>
          </w:p>
        </w:tc>
        <w:tc>
          <w:tcPr>
            <w:tcW w:w="1758" w:type="dxa"/>
          </w:tcPr>
          <w:p>
            <w:pPr>
              <w:pStyle w:val="TableParagraph"/>
              <w:spacing w:before="70"/>
              <w:ind w:left="184" w:right="194"/>
              <w:jc w:val="center"/>
              <w:rPr>
                <w:rFonts w:ascii="Times New Roman"/>
                <w:sz w:val="18"/>
              </w:rPr>
            </w:pPr>
            <w:r>
              <w:rPr>
                <w:rFonts w:ascii="Times New Roman"/>
                <w:sz w:val="18"/>
              </w:rPr>
              <w:t>4.5</w:t>
            </w:r>
          </w:p>
        </w:tc>
        <w:tc>
          <w:tcPr>
            <w:tcW w:w="1729" w:type="dxa"/>
          </w:tcPr>
          <w:p>
            <w:pPr>
              <w:pStyle w:val="TableParagraph"/>
              <w:rPr>
                <w:rFonts w:ascii="Times New Roman"/>
                <w:sz w:val="16"/>
              </w:rPr>
            </w:pPr>
          </w:p>
        </w:tc>
      </w:tr>
      <w:tr>
        <w:trPr>
          <w:trHeight w:val="371" w:hRule="atLeast"/>
        </w:trPr>
        <w:tc>
          <w:tcPr>
            <w:tcW w:w="1513" w:type="dxa"/>
            <w:vMerge/>
            <w:tcBorders>
              <w:top w:val="nil"/>
            </w:tcBorders>
          </w:tcPr>
          <w:p>
            <w:pPr>
              <w:rPr>
                <w:sz w:val="2"/>
                <w:szCs w:val="2"/>
              </w:rPr>
            </w:pPr>
          </w:p>
        </w:tc>
        <w:tc>
          <w:tcPr>
            <w:tcW w:w="2601" w:type="dxa"/>
          </w:tcPr>
          <w:p>
            <w:pPr>
              <w:pStyle w:val="TableParagraph"/>
              <w:spacing w:before="58"/>
              <w:ind w:left="218" w:right="212"/>
              <w:jc w:val="center"/>
              <w:rPr>
                <w:sz w:val="18"/>
              </w:rPr>
            </w:pPr>
            <w:r>
              <w:rPr>
                <w:sz w:val="18"/>
              </w:rPr>
              <w:t>最薄点厚度不小于</w:t>
            </w:r>
          </w:p>
        </w:tc>
        <w:tc>
          <w:tcPr>
            <w:tcW w:w="1218" w:type="dxa"/>
          </w:tcPr>
          <w:p>
            <w:pPr>
              <w:pStyle w:val="TableParagraph"/>
              <w:spacing w:before="70"/>
              <w:ind w:left="273" w:right="253"/>
              <w:jc w:val="center"/>
              <w:rPr>
                <w:rFonts w:ascii="Times New Roman"/>
                <w:sz w:val="18"/>
              </w:rPr>
            </w:pPr>
            <w:r>
              <w:rPr>
                <w:rFonts w:ascii="Times New Roman"/>
                <w:sz w:val="18"/>
              </w:rPr>
              <w:t>mm</w:t>
            </w:r>
          </w:p>
        </w:tc>
        <w:tc>
          <w:tcPr>
            <w:tcW w:w="1758" w:type="dxa"/>
          </w:tcPr>
          <w:p>
            <w:pPr>
              <w:pStyle w:val="TableParagraph"/>
              <w:spacing w:before="70"/>
              <w:ind w:left="184" w:right="196"/>
              <w:jc w:val="center"/>
              <w:rPr>
                <w:rFonts w:ascii="Times New Roman"/>
                <w:sz w:val="18"/>
              </w:rPr>
            </w:pPr>
            <w:r>
              <w:rPr>
                <w:rFonts w:ascii="Times New Roman"/>
                <w:sz w:val="18"/>
              </w:rPr>
              <w:t>4.1</w:t>
            </w:r>
          </w:p>
        </w:tc>
        <w:tc>
          <w:tcPr>
            <w:tcW w:w="1729" w:type="dxa"/>
          </w:tcPr>
          <w:p>
            <w:pPr>
              <w:pStyle w:val="TableParagraph"/>
              <w:rPr>
                <w:rFonts w:ascii="Times New Roman"/>
                <w:sz w:val="16"/>
              </w:rPr>
            </w:pPr>
          </w:p>
        </w:tc>
      </w:tr>
      <w:tr>
        <w:trPr>
          <w:trHeight w:val="378" w:hRule="atLeast"/>
        </w:trPr>
        <w:tc>
          <w:tcPr>
            <w:tcW w:w="1513" w:type="dxa"/>
            <w:vMerge/>
            <w:tcBorders>
              <w:top w:val="nil"/>
            </w:tcBorders>
          </w:tcPr>
          <w:p>
            <w:pPr>
              <w:rPr>
                <w:sz w:val="2"/>
                <w:szCs w:val="2"/>
              </w:rPr>
            </w:pPr>
          </w:p>
        </w:tc>
        <w:tc>
          <w:tcPr>
            <w:tcW w:w="2601" w:type="dxa"/>
          </w:tcPr>
          <w:p>
            <w:pPr>
              <w:pStyle w:val="TableParagraph"/>
              <w:spacing w:before="58"/>
              <w:ind w:left="212" w:right="212"/>
              <w:jc w:val="center"/>
              <w:rPr>
                <w:sz w:val="18"/>
              </w:rPr>
            </w:pPr>
            <w:r>
              <w:rPr>
                <w:sz w:val="18"/>
              </w:rPr>
              <w:t>偏心度</w:t>
            </w:r>
          </w:p>
        </w:tc>
        <w:tc>
          <w:tcPr>
            <w:tcW w:w="1218" w:type="dxa"/>
          </w:tcPr>
          <w:p>
            <w:pPr>
              <w:pStyle w:val="TableParagraph"/>
              <w:spacing w:before="77"/>
              <w:ind w:left="12"/>
              <w:jc w:val="center"/>
              <w:rPr>
                <w:rFonts w:ascii="Times New Roman"/>
                <w:sz w:val="18"/>
              </w:rPr>
            </w:pPr>
            <w:r>
              <w:rPr>
                <w:rFonts w:ascii="Times New Roman"/>
                <w:w w:val="99"/>
                <w:sz w:val="18"/>
              </w:rPr>
              <w:t>%</w:t>
            </w:r>
          </w:p>
        </w:tc>
        <w:tc>
          <w:tcPr>
            <w:tcW w:w="1758" w:type="dxa"/>
          </w:tcPr>
          <w:p>
            <w:pPr>
              <w:pStyle w:val="TableParagraph"/>
              <w:spacing w:before="77"/>
              <w:ind w:left="184" w:right="197"/>
              <w:jc w:val="center"/>
              <w:rPr>
                <w:rFonts w:ascii="Times New Roman"/>
                <w:sz w:val="18"/>
              </w:rPr>
            </w:pPr>
            <w:r>
              <w:rPr>
                <w:rFonts w:ascii="Times New Roman"/>
                <w:sz w:val="18"/>
              </w:rPr>
              <w:t>10</w:t>
            </w:r>
          </w:p>
        </w:tc>
        <w:tc>
          <w:tcPr>
            <w:tcW w:w="1729" w:type="dxa"/>
          </w:tcPr>
          <w:p>
            <w:pPr>
              <w:pStyle w:val="TableParagraph"/>
              <w:rPr>
                <w:rFonts w:ascii="Times New Roman"/>
                <w:sz w:val="16"/>
              </w:rPr>
            </w:pPr>
          </w:p>
        </w:tc>
      </w:tr>
      <w:tr>
        <w:trPr>
          <w:trHeight w:val="372" w:hRule="atLeast"/>
        </w:trPr>
        <w:tc>
          <w:tcPr>
            <w:tcW w:w="1513" w:type="dxa"/>
            <w:vMerge w:val="restart"/>
          </w:tcPr>
          <w:p>
            <w:pPr>
              <w:pStyle w:val="TableParagraph"/>
              <w:spacing w:before="145"/>
              <w:ind w:left="305"/>
              <w:rPr>
                <w:sz w:val="18"/>
              </w:rPr>
            </w:pPr>
            <w:r>
              <w:rPr>
                <w:sz w:val="18"/>
              </w:rPr>
              <w:t>绝缘屏蔽层</w:t>
            </w:r>
          </w:p>
        </w:tc>
        <w:tc>
          <w:tcPr>
            <w:tcW w:w="2601" w:type="dxa"/>
          </w:tcPr>
          <w:p>
            <w:pPr>
              <w:pStyle w:val="TableParagraph"/>
              <w:spacing w:before="51"/>
              <w:ind w:left="218" w:right="212"/>
              <w:jc w:val="center"/>
              <w:rPr>
                <w:sz w:val="18"/>
              </w:rPr>
            </w:pPr>
            <w:r>
              <w:rPr>
                <w:sz w:val="18"/>
              </w:rPr>
              <w:t>最小厚度</w:t>
            </w:r>
          </w:p>
        </w:tc>
        <w:tc>
          <w:tcPr>
            <w:tcW w:w="1218" w:type="dxa"/>
          </w:tcPr>
          <w:p>
            <w:pPr>
              <w:pStyle w:val="TableParagraph"/>
              <w:spacing w:before="70"/>
              <w:ind w:left="273" w:right="253"/>
              <w:jc w:val="center"/>
              <w:rPr>
                <w:rFonts w:ascii="Times New Roman"/>
                <w:sz w:val="18"/>
              </w:rPr>
            </w:pPr>
            <w:r>
              <w:rPr>
                <w:rFonts w:ascii="Times New Roman"/>
                <w:sz w:val="18"/>
              </w:rPr>
              <w:t>mm</w:t>
            </w: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rPr>
                <w:rFonts w:ascii="Times New Roman"/>
                <w:sz w:val="16"/>
              </w:rPr>
            </w:pPr>
          </w:p>
        </w:tc>
      </w:tr>
      <w:tr>
        <w:trPr>
          <w:trHeight w:val="371" w:hRule="atLeast"/>
        </w:trPr>
        <w:tc>
          <w:tcPr>
            <w:tcW w:w="1513" w:type="dxa"/>
            <w:vMerge/>
            <w:tcBorders>
              <w:top w:val="nil"/>
            </w:tcBorders>
          </w:tcPr>
          <w:p>
            <w:pPr>
              <w:rPr>
                <w:sz w:val="2"/>
                <w:szCs w:val="2"/>
              </w:rPr>
            </w:pPr>
          </w:p>
        </w:tc>
        <w:tc>
          <w:tcPr>
            <w:tcW w:w="2601" w:type="dxa"/>
          </w:tcPr>
          <w:p>
            <w:pPr>
              <w:pStyle w:val="TableParagraph"/>
              <w:spacing w:before="51"/>
              <w:ind w:left="218" w:right="212"/>
              <w:jc w:val="center"/>
              <w:rPr>
                <w:sz w:val="18"/>
              </w:rPr>
            </w:pPr>
            <w:r>
              <w:rPr>
                <w:sz w:val="18"/>
              </w:rPr>
              <w:t>外径</w:t>
            </w:r>
          </w:p>
        </w:tc>
        <w:tc>
          <w:tcPr>
            <w:tcW w:w="1218" w:type="dxa"/>
          </w:tcPr>
          <w:p>
            <w:pPr>
              <w:pStyle w:val="TableParagraph"/>
              <w:spacing w:before="70"/>
              <w:ind w:left="273" w:right="253"/>
              <w:jc w:val="center"/>
              <w:rPr>
                <w:rFonts w:ascii="Times New Roman"/>
                <w:sz w:val="18"/>
              </w:rPr>
            </w:pPr>
            <w:r>
              <w:rPr>
                <w:rFonts w:ascii="Times New Roman"/>
                <w:sz w:val="18"/>
              </w:rPr>
              <w:t>mm</w:t>
            </w: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rPr>
                <w:rFonts w:ascii="Times New Roman"/>
                <w:sz w:val="16"/>
              </w:rPr>
            </w:pPr>
          </w:p>
        </w:tc>
      </w:tr>
      <w:tr>
        <w:trPr>
          <w:trHeight w:val="371" w:hRule="atLeast"/>
        </w:trPr>
        <w:tc>
          <w:tcPr>
            <w:tcW w:w="1513" w:type="dxa"/>
            <w:vMerge w:val="restart"/>
          </w:tcPr>
          <w:p>
            <w:pPr>
              <w:pStyle w:val="TableParagraph"/>
              <w:rPr>
                <w:sz w:val="18"/>
              </w:rPr>
            </w:pPr>
          </w:p>
          <w:p>
            <w:pPr>
              <w:pStyle w:val="TableParagraph"/>
              <w:rPr>
                <w:sz w:val="18"/>
              </w:rPr>
            </w:pPr>
          </w:p>
          <w:p>
            <w:pPr>
              <w:pStyle w:val="TableParagraph"/>
              <w:rPr>
                <w:sz w:val="18"/>
              </w:rPr>
            </w:pPr>
          </w:p>
          <w:p>
            <w:pPr>
              <w:pStyle w:val="TableParagraph"/>
              <w:spacing w:before="130"/>
              <w:ind w:left="398"/>
              <w:rPr>
                <w:sz w:val="18"/>
              </w:rPr>
            </w:pPr>
            <w:r>
              <w:rPr>
                <w:sz w:val="18"/>
              </w:rPr>
              <w:t>金属屏蔽</w:t>
            </w:r>
          </w:p>
        </w:tc>
        <w:tc>
          <w:tcPr>
            <w:tcW w:w="2601" w:type="dxa"/>
          </w:tcPr>
          <w:p>
            <w:pPr>
              <w:pStyle w:val="TableParagraph"/>
              <w:spacing w:before="58"/>
              <w:ind w:left="218" w:right="212"/>
              <w:jc w:val="center"/>
              <w:rPr>
                <w:sz w:val="18"/>
              </w:rPr>
            </w:pPr>
            <w:r>
              <w:rPr>
                <w:sz w:val="18"/>
              </w:rPr>
              <w:t>铜带层数</w:t>
            </w:r>
          </w:p>
        </w:tc>
        <w:tc>
          <w:tcPr>
            <w:tcW w:w="1218" w:type="dxa"/>
          </w:tcPr>
          <w:p>
            <w:pPr>
              <w:pStyle w:val="TableParagraph"/>
              <w:rPr>
                <w:rFonts w:ascii="Times New Roman"/>
                <w:sz w:val="16"/>
              </w:rPr>
            </w:pPr>
          </w:p>
        </w:tc>
        <w:tc>
          <w:tcPr>
            <w:tcW w:w="1758" w:type="dxa"/>
          </w:tcPr>
          <w:p>
            <w:pPr>
              <w:pStyle w:val="TableParagraph"/>
              <w:spacing w:before="70"/>
              <w:ind w:left="2"/>
              <w:jc w:val="center"/>
              <w:rPr>
                <w:rFonts w:ascii="Times New Roman"/>
                <w:sz w:val="18"/>
              </w:rPr>
            </w:pPr>
            <w:r>
              <w:rPr>
                <w:rFonts w:ascii="Times New Roman"/>
                <w:sz w:val="18"/>
              </w:rPr>
              <w:t>1</w:t>
            </w:r>
          </w:p>
        </w:tc>
        <w:tc>
          <w:tcPr>
            <w:tcW w:w="1729" w:type="dxa"/>
          </w:tcPr>
          <w:p>
            <w:pPr>
              <w:pStyle w:val="TableParagraph"/>
              <w:rPr>
                <w:rFonts w:ascii="Times New Roman"/>
                <w:sz w:val="16"/>
              </w:rPr>
            </w:pPr>
          </w:p>
        </w:tc>
      </w:tr>
      <w:tr>
        <w:trPr>
          <w:trHeight w:val="379" w:hRule="atLeast"/>
        </w:trPr>
        <w:tc>
          <w:tcPr>
            <w:tcW w:w="1513" w:type="dxa"/>
            <w:vMerge/>
            <w:tcBorders>
              <w:top w:val="nil"/>
            </w:tcBorders>
          </w:tcPr>
          <w:p>
            <w:pPr>
              <w:rPr>
                <w:sz w:val="2"/>
                <w:szCs w:val="2"/>
              </w:rPr>
            </w:pPr>
          </w:p>
        </w:tc>
        <w:tc>
          <w:tcPr>
            <w:tcW w:w="2601" w:type="dxa"/>
          </w:tcPr>
          <w:p>
            <w:pPr>
              <w:pStyle w:val="TableParagraph"/>
              <w:spacing w:before="58"/>
              <w:ind w:left="218" w:right="212"/>
              <w:jc w:val="center"/>
              <w:rPr>
                <w:sz w:val="18"/>
              </w:rPr>
            </w:pPr>
            <w:r>
              <w:rPr>
                <w:sz w:val="18"/>
              </w:rPr>
              <w:t>铜带最小厚度</w:t>
            </w:r>
          </w:p>
        </w:tc>
        <w:tc>
          <w:tcPr>
            <w:tcW w:w="1218" w:type="dxa"/>
          </w:tcPr>
          <w:p>
            <w:pPr>
              <w:pStyle w:val="TableParagraph"/>
              <w:spacing w:before="77"/>
              <w:ind w:left="273" w:right="253"/>
              <w:jc w:val="center"/>
              <w:rPr>
                <w:rFonts w:ascii="Times New Roman"/>
                <w:sz w:val="18"/>
              </w:rPr>
            </w:pPr>
            <w:r>
              <w:rPr>
                <w:rFonts w:ascii="Times New Roman"/>
                <w:sz w:val="18"/>
              </w:rPr>
              <w:t>mm</w:t>
            </w:r>
          </w:p>
        </w:tc>
        <w:tc>
          <w:tcPr>
            <w:tcW w:w="1758" w:type="dxa"/>
          </w:tcPr>
          <w:p>
            <w:pPr>
              <w:pStyle w:val="TableParagraph"/>
              <w:spacing w:before="77"/>
              <w:ind w:left="184" w:right="194"/>
              <w:jc w:val="center"/>
              <w:rPr>
                <w:rFonts w:ascii="Times New Roman"/>
                <w:sz w:val="18"/>
              </w:rPr>
            </w:pPr>
            <w:r>
              <w:rPr>
                <w:rFonts w:ascii="Times New Roman"/>
                <w:sz w:val="18"/>
              </w:rPr>
              <w:t>0.1</w:t>
            </w:r>
          </w:p>
        </w:tc>
        <w:tc>
          <w:tcPr>
            <w:tcW w:w="1729" w:type="dxa"/>
          </w:tcPr>
          <w:p>
            <w:pPr>
              <w:pStyle w:val="TableParagraph"/>
              <w:rPr>
                <w:rFonts w:ascii="Times New Roman"/>
                <w:sz w:val="16"/>
              </w:rPr>
            </w:pPr>
          </w:p>
        </w:tc>
      </w:tr>
      <w:tr>
        <w:trPr>
          <w:trHeight w:val="371" w:hRule="atLeast"/>
        </w:trPr>
        <w:tc>
          <w:tcPr>
            <w:tcW w:w="1513" w:type="dxa"/>
            <w:vMerge/>
            <w:tcBorders>
              <w:top w:val="nil"/>
            </w:tcBorders>
          </w:tcPr>
          <w:p>
            <w:pPr>
              <w:rPr>
                <w:sz w:val="2"/>
                <w:szCs w:val="2"/>
              </w:rPr>
            </w:pPr>
          </w:p>
        </w:tc>
        <w:tc>
          <w:tcPr>
            <w:tcW w:w="2601" w:type="dxa"/>
          </w:tcPr>
          <w:p>
            <w:pPr>
              <w:pStyle w:val="TableParagraph"/>
              <w:spacing w:before="51"/>
              <w:ind w:left="218" w:right="212"/>
              <w:jc w:val="center"/>
              <w:rPr>
                <w:sz w:val="18"/>
              </w:rPr>
            </w:pPr>
            <w:r>
              <w:rPr>
                <w:sz w:val="18"/>
              </w:rPr>
              <w:t>平均搭盖率不小于</w:t>
            </w:r>
          </w:p>
        </w:tc>
        <w:tc>
          <w:tcPr>
            <w:tcW w:w="1218" w:type="dxa"/>
          </w:tcPr>
          <w:p>
            <w:pPr>
              <w:pStyle w:val="TableParagraph"/>
              <w:spacing w:before="70"/>
              <w:ind w:left="12"/>
              <w:jc w:val="center"/>
              <w:rPr>
                <w:rFonts w:ascii="Times New Roman"/>
                <w:sz w:val="18"/>
              </w:rPr>
            </w:pPr>
            <w:r>
              <w:rPr>
                <w:rFonts w:ascii="Times New Roman"/>
                <w:w w:val="99"/>
                <w:sz w:val="18"/>
              </w:rPr>
              <w:t>%</w:t>
            </w:r>
          </w:p>
        </w:tc>
        <w:tc>
          <w:tcPr>
            <w:tcW w:w="1758" w:type="dxa"/>
          </w:tcPr>
          <w:p>
            <w:pPr>
              <w:pStyle w:val="TableParagraph"/>
              <w:spacing w:before="70"/>
              <w:ind w:left="184" w:right="197"/>
              <w:jc w:val="center"/>
              <w:rPr>
                <w:rFonts w:ascii="Times New Roman"/>
                <w:sz w:val="18"/>
              </w:rPr>
            </w:pPr>
            <w:r>
              <w:rPr>
                <w:rFonts w:ascii="Times New Roman"/>
                <w:sz w:val="18"/>
              </w:rPr>
              <w:t>15</w:t>
            </w:r>
          </w:p>
        </w:tc>
        <w:tc>
          <w:tcPr>
            <w:tcW w:w="1729" w:type="dxa"/>
          </w:tcPr>
          <w:p>
            <w:pPr>
              <w:pStyle w:val="TableParagraph"/>
              <w:rPr>
                <w:rFonts w:ascii="Times New Roman"/>
                <w:sz w:val="16"/>
              </w:rPr>
            </w:pPr>
          </w:p>
        </w:tc>
      </w:tr>
      <w:tr>
        <w:trPr>
          <w:trHeight w:val="371" w:hRule="atLeast"/>
        </w:trPr>
        <w:tc>
          <w:tcPr>
            <w:tcW w:w="1513" w:type="dxa"/>
            <w:vMerge/>
            <w:tcBorders>
              <w:top w:val="nil"/>
            </w:tcBorders>
          </w:tcPr>
          <w:p>
            <w:pPr>
              <w:rPr>
                <w:sz w:val="2"/>
                <w:szCs w:val="2"/>
              </w:rPr>
            </w:pPr>
          </w:p>
        </w:tc>
        <w:tc>
          <w:tcPr>
            <w:tcW w:w="2601" w:type="dxa"/>
          </w:tcPr>
          <w:p>
            <w:pPr>
              <w:pStyle w:val="TableParagraph"/>
              <w:spacing w:before="51"/>
              <w:ind w:left="212" w:right="212"/>
              <w:jc w:val="center"/>
              <w:rPr>
                <w:sz w:val="18"/>
              </w:rPr>
            </w:pPr>
            <w:r>
              <w:rPr>
                <w:sz w:val="18"/>
              </w:rPr>
              <w:t>最小搭盖率</w:t>
            </w:r>
          </w:p>
        </w:tc>
        <w:tc>
          <w:tcPr>
            <w:tcW w:w="1218" w:type="dxa"/>
          </w:tcPr>
          <w:p>
            <w:pPr>
              <w:pStyle w:val="TableParagraph"/>
              <w:spacing w:before="70"/>
              <w:ind w:left="12"/>
              <w:jc w:val="center"/>
              <w:rPr>
                <w:rFonts w:ascii="Times New Roman"/>
                <w:sz w:val="18"/>
              </w:rPr>
            </w:pPr>
            <w:r>
              <w:rPr>
                <w:rFonts w:ascii="Times New Roman"/>
                <w:w w:val="99"/>
                <w:sz w:val="18"/>
              </w:rPr>
              <w:t>%</w:t>
            </w:r>
          </w:p>
        </w:tc>
        <w:tc>
          <w:tcPr>
            <w:tcW w:w="1758" w:type="dxa"/>
          </w:tcPr>
          <w:p>
            <w:pPr>
              <w:pStyle w:val="TableParagraph"/>
              <w:spacing w:before="70"/>
              <w:ind w:left="2"/>
              <w:jc w:val="center"/>
              <w:rPr>
                <w:rFonts w:ascii="Times New Roman"/>
                <w:sz w:val="18"/>
              </w:rPr>
            </w:pPr>
            <w:r>
              <w:rPr>
                <w:rFonts w:ascii="Times New Roman"/>
                <w:sz w:val="18"/>
              </w:rPr>
              <w:t>5</w:t>
            </w:r>
          </w:p>
        </w:tc>
        <w:tc>
          <w:tcPr>
            <w:tcW w:w="1729" w:type="dxa"/>
          </w:tcPr>
          <w:p>
            <w:pPr>
              <w:pStyle w:val="TableParagraph"/>
              <w:rPr>
                <w:rFonts w:ascii="Times New Roman"/>
                <w:sz w:val="16"/>
              </w:rPr>
            </w:pPr>
          </w:p>
        </w:tc>
      </w:tr>
      <w:tr>
        <w:trPr>
          <w:trHeight w:val="379" w:hRule="atLeast"/>
        </w:trPr>
        <w:tc>
          <w:tcPr>
            <w:tcW w:w="1513" w:type="dxa"/>
            <w:vMerge/>
            <w:tcBorders>
              <w:top w:val="nil"/>
            </w:tcBorders>
          </w:tcPr>
          <w:p>
            <w:pPr>
              <w:rPr>
                <w:sz w:val="2"/>
                <w:szCs w:val="2"/>
              </w:rPr>
            </w:pPr>
          </w:p>
        </w:tc>
        <w:tc>
          <w:tcPr>
            <w:tcW w:w="2601" w:type="dxa"/>
          </w:tcPr>
          <w:p>
            <w:pPr>
              <w:pStyle w:val="TableParagraph"/>
              <w:spacing w:before="58"/>
              <w:ind w:left="212" w:right="212"/>
              <w:jc w:val="center"/>
              <w:rPr>
                <w:sz w:val="18"/>
              </w:rPr>
            </w:pPr>
            <w:r>
              <w:rPr>
                <w:sz w:val="18"/>
              </w:rPr>
              <w:t>铜丝直径×根数</w:t>
            </w:r>
          </w:p>
        </w:tc>
        <w:tc>
          <w:tcPr>
            <w:tcW w:w="1218" w:type="dxa"/>
          </w:tcPr>
          <w:p>
            <w:pPr>
              <w:pStyle w:val="TableParagraph"/>
              <w:spacing w:before="58"/>
              <w:ind w:left="273" w:right="253"/>
              <w:jc w:val="center"/>
              <w:rPr>
                <w:sz w:val="18"/>
              </w:rPr>
            </w:pPr>
            <w:r>
              <w:rPr>
                <w:rFonts w:ascii="Times New Roman" w:hAnsi="Times New Roman" w:eastAsia="Times New Roman"/>
                <w:sz w:val="18"/>
              </w:rPr>
              <w:t>mm</w:t>
            </w:r>
            <w:r>
              <w:rPr>
                <w:sz w:val="18"/>
              </w:rPr>
              <w:t>×根</w:t>
            </w: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rPr>
                <w:rFonts w:ascii="Times New Roman"/>
                <w:sz w:val="16"/>
              </w:rPr>
            </w:pPr>
          </w:p>
        </w:tc>
      </w:tr>
    </w:tbl>
    <w:p>
      <w:pPr>
        <w:spacing w:after="0"/>
        <w:rPr>
          <w:rFonts w:ascii="Times New Roman"/>
          <w:sz w:val="16"/>
        </w:rPr>
        <w:sectPr>
          <w:pgSz w:w="11910" w:h="16870"/>
          <w:pgMar w:top="1580" w:bottom="280" w:left="1260" w:right="860"/>
        </w:sectPr>
      </w:pPr>
    </w:p>
    <w:tbl>
      <w:tblPr>
        <w:tblW w:w="0" w:type="auto"/>
        <w:jc w:val="left"/>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3"/>
        <w:gridCol w:w="2601"/>
        <w:gridCol w:w="1218"/>
        <w:gridCol w:w="1758"/>
        <w:gridCol w:w="1729"/>
      </w:tblGrid>
      <w:tr>
        <w:trPr>
          <w:trHeight w:val="357" w:hRule="atLeast"/>
        </w:trPr>
        <w:tc>
          <w:tcPr>
            <w:tcW w:w="8819" w:type="dxa"/>
            <w:gridSpan w:val="5"/>
          </w:tcPr>
          <w:p>
            <w:pPr>
              <w:pStyle w:val="TableParagraph"/>
              <w:spacing w:before="58"/>
              <w:ind w:left="3664" w:right="3665"/>
              <w:jc w:val="center"/>
              <w:rPr>
                <w:sz w:val="18"/>
              </w:rPr>
            </w:pPr>
            <w:r>
              <w:rPr>
                <w:sz w:val="18"/>
              </w:rPr>
              <w:t>电缆结构技术参数</w:t>
            </w:r>
          </w:p>
        </w:tc>
      </w:tr>
      <w:tr>
        <w:trPr>
          <w:trHeight w:val="371" w:hRule="atLeast"/>
        </w:trPr>
        <w:tc>
          <w:tcPr>
            <w:tcW w:w="1513" w:type="dxa"/>
          </w:tcPr>
          <w:p>
            <w:pPr>
              <w:pStyle w:val="TableParagraph"/>
              <w:rPr>
                <w:rFonts w:ascii="Times New Roman"/>
                <w:sz w:val="16"/>
              </w:rPr>
            </w:pPr>
          </w:p>
        </w:tc>
        <w:tc>
          <w:tcPr>
            <w:tcW w:w="2601" w:type="dxa"/>
          </w:tcPr>
          <w:p>
            <w:pPr>
              <w:pStyle w:val="TableParagraph"/>
              <w:spacing w:before="51"/>
              <w:ind w:left="206" w:right="212"/>
              <w:jc w:val="center"/>
              <w:rPr>
                <w:sz w:val="18"/>
              </w:rPr>
            </w:pPr>
            <w:r>
              <w:rPr>
                <w:rFonts w:ascii="Times New Roman" w:hAnsi="Times New Roman" w:eastAsia="Times New Roman"/>
                <w:sz w:val="18"/>
              </w:rPr>
              <w:t>20</w:t>
            </w:r>
            <w:r>
              <w:rPr>
                <w:sz w:val="18"/>
              </w:rPr>
              <w:t>℃时最大直流电阻</w:t>
            </w:r>
          </w:p>
        </w:tc>
        <w:tc>
          <w:tcPr>
            <w:tcW w:w="1218" w:type="dxa"/>
          </w:tcPr>
          <w:p>
            <w:pPr>
              <w:pStyle w:val="TableParagraph"/>
              <w:spacing w:before="64"/>
              <w:ind w:left="255" w:right="253"/>
              <w:jc w:val="center"/>
              <w:rPr>
                <w:rFonts w:ascii="Times New Roman" w:hAnsi="Times New Roman"/>
                <w:sz w:val="18"/>
              </w:rPr>
            </w:pPr>
            <w:r>
              <w:rPr>
                <w:rFonts w:ascii="Symbol" w:hAnsi="Symbol"/>
                <w:sz w:val="18"/>
              </w:rPr>
              <w:t></w:t>
            </w:r>
            <w:r>
              <w:rPr>
                <w:rFonts w:ascii="Times New Roman" w:hAnsi="Times New Roman"/>
                <w:sz w:val="18"/>
              </w:rPr>
              <w:t>/km</w:t>
            </w: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rPr>
                <w:rFonts w:ascii="Times New Roman"/>
                <w:sz w:val="16"/>
              </w:rPr>
            </w:pPr>
          </w:p>
        </w:tc>
      </w:tr>
      <w:tr>
        <w:trPr>
          <w:trHeight w:val="609" w:hRule="atLeast"/>
        </w:trPr>
        <w:tc>
          <w:tcPr>
            <w:tcW w:w="1513" w:type="dxa"/>
          </w:tcPr>
          <w:p>
            <w:pPr>
              <w:pStyle w:val="TableParagraph"/>
              <w:spacing w:before="6"/>
              <w:rPr>
                <w:sz w:val="13"/>
              </w:rPr>
            </w:pPr>
          </w:p>
          <w:p>
            <w:pPr>
              <w:pStyle w:val="TableParagraph"/>
              <w:spacing w:before="1"/>
              <w:ind w:left="485"/>
              <w:rPr>
                <w:sz w:val="18"/>
              </w:rPr>
            </w:pPr>
            <w:r>
              <w:rPr>
                <w:sz w:val="18"/>
              </w:rPr>
              <w:t>填充层</w:t>
            </w:r>
          </w:p>
        </w:tc>
        <w:tc>
          <w:tcPr>
            <w:tcW w:w="2601" w:type="dxa"/>
          </w:tcPr>
          <w:p>
            <w:pPr>
              <w:pStyle w:val="TableParagraph"/>
              <w:spacing w:before="6"/>
              <w:rPr>
                <w:sz w:val="13"/>
              </w:rPr>
            </w:pPr>
          </w:p>
          <w:p>
            <w:pPr>
              <w:pStyle w:val="TableParagraph"/>
              <w:spacing w:before="1"/>
              <w:ind w:left="218" w:right="212"/>
              <w:jc w:val="center"/>
              <w:rPr>
                <w:sz w:val="18"/>
              </w:rPr>
            </w:pPr>
            <w:r>
              <w:rPr>
                <w:sz w:val="18"/>
              </w:rPr>
              <w:t>填充材料</w:t>
            </w:r>
          </w:p>
        </w:tc>
        <w:tc>
          <w:tcPr>
            <w:tcW w:w="1218" w:type="dxa"/>
          </w:tcPr>
          <w:p>
            <w:pPr>
              <w:pStyle w:val="TableParagraph"/>
              <w:rPr>
                <w:rFonts w:ascii="Times New Roman"/>
                <w:sz w:val="16"/>
              </w:rPr>
            </w:pPr>
          </w:p>
        </w:tc>
        <w:tc>
          <w:tcPr>
            <w:tcW w:w="1758" w:type="dxa"/>
          </w:tcPr>
          <w:p>
            <w:pPr>
              <w:pStyle w:val="TableParagraph"/>
              <w:spacing w:before="65"/>
              <w:ind w:left="152" w:right="152"/>
              <w:rPr>
                <w:sz w:val="18"/>
              </w:rPr>
            </w:pPr>
            <w:r>
              <w:rPr>
                <w:sz w:val="18"/>
              </w:rPr>
              <w:t>供货方提供（聚丙烯膜或聚丙烯绳）</w:t>
            </w:r>
          </w:p>
        </w:tc>
        <w:tc>
          <w:tcPr>
            <w:tcW w:w="1729" w:type="dxa"/>
          </w:tcPr>
          <w:p>
            <w:pPr>
              <w:pStyle w:val="TableParagraph"/>
              <w:rPr>
                <w:rFonts w:ascii="Times New Roman"/>
                <w:sz w:val="16"/>
              </w:rPr>
            </w:pPr>
          </w:p>
        </w:tc>
      </w:tr>
      <w:tr>
        <w:trPr>
          <w:trHeight w:val="371" w:hRule="atLeast"/>
        </w:trPr>
        <w:tc>
          <w:tcPr>
            <w:tcW w:w="1513" w:type="dxa"/>
            <w:vMerge w:val="restart"/>
          </w:tcPr>
          <w:p>
            <w:pPr>
              <w:pStyle w:val="TableParagraph"/>
              <w:rPr>
                <w:sz w:val="18"/>
              </w:rPr>
            </w:pPr>
          </w:p>
          <w:p>
            <w:pPr>
              <w:pStyle w:val="TableParagraph"/>
              <w:rPr>
                <w:sz w:val="18"/>
              </w:rPr>
            </w:pPr>
          </w:p>
          <w:p>
            <w:pPr>
              <w:pStyle w:val="TableParagraph"/>
              <w:spacing w:before="3"/>
              <w:rPr>
                <w:sz w:val="16"/>
              </w:rPr>
            </w:pPr>
          </w:p>
          <w:p>
            <w:pPr>
              <w:pStyle w:val="TableParagraph"/>
              <w:spacing w:before="1"/>
              <w:ind w:left="485"/>
              <w:rPr>
                <w:sz w:val="18"/>
              </w:rPr>
            </w:pPr>
            <w:r>
              <w:rPr>
                <w:sz w:val="18"/>
              </w:rPr>
              <w:t>隔离套</w:t>
            </w:r>
          </w:p>
        </w:tc>
        <w:tc>
          <w:tcPr>
            <w:tcW w:w="2601" w:type="dxa"/>
          </w:tcPr>
          <w:p>
            <w:pPr>
              <w:pStyle w:val="TableParagraph"/>
              <w:spacing w:before="51"/>
              <w:ind w:left="218" w:right="212"/>
              <w:jc w:val="center"/>
              <w:rPr>
                <w:sz w:val="18"/>
              </w:rPr>
            </w:pPr>
            <w:r>
              <w:rPr>
                <w:sz w:val="18"/>
              </w:rPr>
              <w:t>挤包材料</w:t>
            </w:r>
          </w:p>
        </w:tc>
        <w:tc>
          <w:tcPr>
            <w:tcW w:w="1218" w:type="dxa"/>
          </w:tcPr>
          <w:p>
            <w:pPr>
              <w:pStyle w:val="TableParagraph"/>
              <w:rPr>
                <w:rFonts w:ascii="Times New Roman"/>
                <w:sz w:val="16"/>
              </w:rPr>
            </w:pP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rPr>
                <w:rFonts w:ascii="Times New Roman"/>
                <w:sz w:val="16"/>
              </w:rPr>
            </w:pPr>
          </w:p>
        </w:tc>
      </w:tr>
      <w:tr>
        <w:trPr>
          <w:trHeight w:val="609" w:hRule="atLeast"/>
        </w:trPr>
        <w:tc>
          <w:tcPr>
            <w:tcW w:w="1513" w:type="dxa"/>
            <w:vMerge/>
            <w:tcBorders>
              <w:top w:val="nil"/>
            </w:tcBorders>
          </w:tcPr>
          <w:p>
            <w:pPr>
              <w:rPr>
                <w:sz w:val="2"/>
                <w:szCs w:val="2"/>
              </w:rPr>
            </w:pPr>
          </w:p>
        </w:tc>
        <w:tc>
          <w:tcPr>
            <w:tcW w:w="2601" w:type="dxa"/>
          </w:tcPr>
          <w:p>
            <w:pPr>
              <w:pStyle w:val="TableParagraph"/>
              <w:spacing w:before="58"/>
              <w:ind w:left="218" w:right="212"/>
              <w:jc w:val="center"/>
              <w:rPr>
                <w:rFonts w:ascii="Times New Roman" w:eastAsia="Times New Roman"/>
                <w:i/>
                <w:sz w:val="18"/>
              </w:rPr>
            </w:pPr>
            <w:r>
              <w:rPr>
                <w:sz w:val="18"/>
              </w:rPr>
              <w:t>最小厚度不小于标称厚度 </w:t>
            </w:r>
            <w:r>
              <w:rPr>
                <w:rFonts w:ascii="Times New Roman" w:eastAsia="Times New Roman"/>
                <w:i/>
                <w:sz w:val="18"/>
              </w:rPr>
              <w:t>t</w:t>
            </w:r>
          </w:p>
          <w:p>
            <w:pPr>
              <w:pStyle w:val="TableParagraph"/>
              <w:spacing w:before="7"/>
              <w:ind w:left="134" w:right="212"/>
              <w:jc w:val="center"/>
              <w:rPr>
                <w:sz w:val="18"/>
              </w:rPr>
            </w:pPr>
            <w:r>
              <w:rPr>
                <w:sz w:val="18"/>
              </w:rPr>
              <w:t>（铠装）</w:t>
            </w:r>
          </w:p>
        </w:tc>
        <w:tc>
          <w:tcPr>
            <w:tcW w:w="1218" w:type="dxa"/>
          </w:tcPr>
          <w:p>
            <w:pPr>
              <w:pStyle w:val="TableParagraph"/>
              <w:rPr>
                <w:sz w:val="15"/>
              </w:rPr>
            </w:pPr>
          </w:p>
          <w:p>
            <w:pPr>
              <w:pStyle w:val="TableParagraph"/>
              <w:ind w:left="273" w:right="253"/>
              <w:jc w:val="center"/>
              <w:rPr>
                <w:rFonts w:ascii="Times New Roman"/>
                <w:sz w:val="18"/>
              </w:rPr>
            </w:pPr>
            <w:r>
              <w:rPr>
                <w:rFonts w:ascii="Times New Roman"/>
                <w:sz w:val="18"/>
              </w:rPr>
              <w:t>mm</w:t>
            </w:r>
          </w:p>
        </w:tc>
        <w:tc>
          <w:tcPr>
            <w:tcW w:w="1758" w:type="dxa"/>
          </w:tcPr>
          <w:p>
            <w:pPr>
              <w:pStyle w:val="TableParagraph"/>
              <w:rPr>
                <w:sz w:val="15"/>
              </w:rPr>
            </w:pPr>
          </w:p>
          <w:p>
            <w:pPr>
              <w:pStyle w:val="TableParagraph"/>
              <w:ind w:left="184" w:right="198"/>
              <w:jc w:val="center"/>
              <w:rPr>
                <w:rFonts w:ascii="Times New Roman"/>
                <w:i/>
                <w:sz w:val="18"/>
              </w:rPr>
            </w:pPr>
            <w:r>
              <w:rPr>
                <w:rFonts w:ascii="Times New Roman"/>
                <w:sz w:val="18"/>
              </w:rPr>
              <w:t>80%</w:t>
            </w:r>
            <w:r>
              <w:rPr>
                <w:rFonts w:ascii="Times New Roman"/>
                <w:i/>
                <w:sz w:val="18"/>
              </w:rPr>
              <w:t>t</w:t>
            </w:r>
          </w:p>
        </w:tc>
        <w:tc>
          <w:tcPr>
            <w:tcW w:w="1729" w:type="dxa"/>
          </w:tcPr>
          <w:p>
            <w:pPr>
              <w:pStyle w:val="TableParagraph"/>
              <w:rPr>
                <w:rFonts w:ascii="Times New Roman"/>
                <w:sz w:val="16"/>
              </w:rPr>
            </w:pPr>
          </w:p>
        </w:tc>
      </w:tr>
      <w:tr>
        <w:trPr>
          <w:trHeight w:val="601" w:hRule="atLeast"/>
        </w:trPr>
        <w:tc>
          <w:tcPr>
            <w:tcW w:w="1513" w:type="dxa"/>
            <w:vMerge/>
            <w:tcBorders>
              <w:top w:val="nil"/>
            </w:tcBorders>
          </w:tcPr>
          <w:p>
            <w:pPr>
              <w:rPr>
                <w:sz w:val="2"/>
                <w:szCs w:val="2"/>
              </w:rPr>
            </w:pPr>
          </w:p>
        </w:tc>
        <w:tc>
          <w:tcPr>
            <w:tcW w:w="2601" w:type="dxa"/>
          </w:tcPr>
          <w:p>
            <w:pPr>
              <w:pStyle w:val="TableParagraph"/>
              <w:spacing w:line="231" w:lineRule="exact" w:before="58"/>
              <w:ind w:left="218" w:right="212"/>
              <w:jc w:val="center"/>
              <w:rPr>
                <w:rFonts w:ascii="Times New Roman" w:eastAsia="Times New Roman"/>
                <w:i/>
                <w:sz w:val="18"/>
              </w:rPr>
            </w:pPr>
            <w:r>
              <w:rPr>
                <w:sz w:val="18"/>
              </w:rPr>
              <w:t>最小厚度不小于标称厚度 </w:t>
            </w:r>
            <w:r>
              <w:rPr>
                <w:rFonts w:ascii="Times New Roman" w:eastAsia="Times New Roman"/>
                <w:i/>
                <w:sz w:val="18"/>
              </w:rPr>
              <w:t>t</w:t>
            </w:r>
          </w:p>
          <w:p>
            <w:pPr>
              <w:pStyle w:val="TableParagraph"/>
              <w:ind w:left="142" w:right="212"/>
              <w:jc w:val="center"/>
              <w:rPr>
                <w:sz w:val="18"/>
              </w:rPr>
            </w:pPr>
            <w:r>
              <w:rPr>
                <w:sz w:val="18"/>
              </w:rPr>
              <w:t>（无铠装）</w:t>
            </w:r>
          </w:p>
        </w:tc>
        <w:tc>
          <w:tcPr>
            <w:tcW w:w="1218" w:type="dxa"/>
          </w:tcPr>
          <w:p>
            <w:pPr>
              <w:pStyle w:val="TableParagraph"/>
              <w:spacing w:before="5"/>
              <w:rPr>
                <w:sz w:val="14"/>
              </w:rPr>
            </w:pPr>
          </w:p>
          <w:p>
            <w:pPr>
              <w:pStyle w:val="TableParagraph"/>
              <w:spacing w:before="1"/>
              <w:ind w:left="273" w:right="253"/>
              <w:jc w:val="center"/>
              <w:rPr>
                <w:rFonts w:ascii="Times New Roman"/>
                <w:sz w:val="18"/>
              </w:rPr>
            </w:pPr>
            <w:r>
              <w:rPr>
                <w:rFonts w:ascii="Times New Roman"/>
                <w:sz w:val="18"/>
              </w:rPr>
              <w:t>mm</w:t>
            </w:r>
          </w:p>
        </w:tc>
        <w:tc>
          <w:tcPr>
            <w:tcW w:w="1758" w:type="dxa"/>
          </w:tcPr>
          <w:p>
            <w:pPr>
              <w:pStyle w:val="TableParagraph"/>
              <w:spacing w:before="5"/>
              <w:rPr>
                <w:sz w:val="14"/>
              </w:rPr>
            </w:pPr>
          </w:p>
          <w:p>
            <w:pPr>
              <w:pStyle w:val="TableParagraph"/>
              <w:spacing w:before="1"/>
              <w:ind w:left="184" w:right="198"/>
              <w:jc w:val="center"/>
              <w:rPr>
                <w:rFonts w:ascii="Times New Roman"/>
                <w:i/>
                <w:sz w:val="18"/>
              </w:rPr>
            </w:pPr>
            <w:r>
              <w:rPr>
                <w:rFonts w:ascii="Times New Roman"/>
                <w:sz w:val="18"/>
              </w:rPr>
              <w:t>85%</w:t>
            </w:r>
            <w:r>
              <w:rPr>
                <w:rFonts w:ascii="Times New Roman"/>
                <w:i/>
                <w:sz w:val="18"/>
              </w:rPr>
              <w:t>t</w:t>
            </w:r>
          </w:p>
        </w:tc>
        <w:tc>
          <w:tcPr>
            <w:tcW w:w="1729" w:type="dxa"/>
          </w:tcPr>
          <w:p>
            <w:pPr>
              <w:pStyle w:val="TableParagraph"/>
              <w:rPr>
                <w:rFonts w:ascii="Times New Roman"/>
                <w:sz w:val="16"/>
              </w:rPr>
            </w:pPr>
          </w:p>
        </w:tc>
      </w:tr>
      <w:tr>
        <w:trPr>
          <w:trHeight w:val="378" w:hRule="atLeast"/>
        </w:trPr>
        <w:tc>
          <w:tcPr>
            <w:tcW w:w="1513" w:type="dxa"/>
            <w:vMerge w:val="restart"/>
          </w:tcPr>
          <w:p>
            <w:pPr>
              <w:pStyle w:val="TableParagraph"/>
              <w:spacing w:before="1"/>
              <w:rPr>
                <w:sz w:val="19"/>
              </w:rPr>
            </w:pPr>
          </w:p>
          <w:p>
            <w:pPr>
              <w:pStyle w:val="TableParagraph"/>
              <w:spacing w:before="1"/>
              <w:ind w:left="485"/>
              <w:rPr>
                <w:sz w:val="18"/>
              </w:rPr>
            </w:pPr>
            <w:r>
              <w:rPr>
                <w:sz w:val="18"/>
              </w:rPr>
              <w:t>内衬层</w:t>
            </w:r>
          </w:p>
        </w:tc>
        <w:tc>
          <w:tcPr>
            <w:tcW w:w="2601" w:type="dxa"/>
          </w:tcPr>
          <w:p>
            <w:pPr>
              <w:pStyle w:val="TableParagraph"/>
              <w:spacing w:before="58"/>
              <w:ind w:left="218" w:right="212"/>
              <w:jc w:val="center"/>
              <w:rPr>
                <w:sz w:val="18"/>
              </w:rPr>
            </w:pPr>
            <w:r>
              <w:rPr>
                <w:sz w:val="18"/>
              </w:rPr>
              <w:t>材料</w:t>
            </w:r>
          </w:p>
        </w:tc>
        <w:tc>
          <w:tcPr>
            <w:tcW w:w="1218" w:type="dxa"/>
          </w:tcPr>
          <w:p>
            <w:pPr>
              <w:pStyle w:val="TableParagraph"/>
              <w:rPr>
                <w:rFonts w:ascii="Times New Roman"/>
                <w:sz w:val="16"/>
              </w:rPr>
            </w:pP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rPr>
                <w:rFonts w:ascii="Times New Roman"/>
                <w:sz w:val="16"/>
              </w:rPr>
            </w:pPr>
          </w:p>
        </w:tc>
      </w:tr>
      <w:tr>
        <w:trPr>
          <w:trHeight w:val="371" w:hRule="atLeast"/>
        </w:trPr>
        <w:tc>
          <w:tcPr>
            <w:tcW w:w="1513" w:type="dxa"/>
            <w:vMerge/>
            <w:tcBorders>
              <w:top w:val="nil"/>
            </w:tcBorders>
          </w:tcPr>
          <w:p>
            <w:pPr>
              <w:rPr>
                <w:sz w:val="2"/>
                <w:szCs w:val="2"/>
              </w:rPr>
            </w:pPr>
          </w:p>
        </w:tc>
        <w:tc>
          <w:tcPr>
            <w:tcW w:w="2601" w:type="dxa"/>
          </w:tcPr>
          <w:p>
            <w:pPr>
              <w:pStyle w:val="TableParagraph"/>
              <w:spacing w:before="51"/>
              <w:ind w:left="218" w:right="212"/>
              <w:jc w:val="center"/>
              <w:rPr>
                <w:sz w:val="18"/>
              </w:rPr>
            </w:pPr>
            <w:r>
              <w:rPr>
                <w:sz w:val="18"/>
              </w:rPr>
              <w:t>厚度</w:t>
            </w:r>
          </w:p>
        </w:tc>
        <w:tc>
          <w:tcPr>
            <w:tcW w:w="1218" w:type="dxa"/>
          </w:tcPr>
          <w:p>
            <w:pPr>
              <w:pStyle w:val="TableParagraph"/>
              <w:spacing w:before="70"/>
              <w:ind w:left="273" w:right="253"/>
              <w:jc w:val="center"/>
              <w:rPr>
                <w:rFonts w:ascii="Times New Roman"/>
                <w:sz w:val="18"/>
              </w:rPr>
            </w:pPr>
            <w:r>
              <w:rPr>
                <w:rFonts w:ascii="Times New Roman"/>
                <w:sz w:val="18"/>
              </w:rPr>
              <w:t>mm</w:t>
            </w: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rPr>
                <w:rFonts w:ascii="Times New Roman"/>
                <w:sz w:val="16"/>
              </w:rPr>
            </w:pPr>
          </w:p>
        </w:tc>
      </w:tr>
      <w:tr>
        <w:trPr>
          <w:trHeight w:val="371" w:hRule="atLeast"/>
        </w:trPr>
        <w:tc>
          <w:tcPr>
            <w:tcW w:w="1513" w:type="dxa"/>
            <w:vMerge w:val="restart"/>
          </w:tcPr>
          <w:p>
            <w:pPr>
              <w:pStyle w:val="TableParagraph"/>
              <w:rPr>
                <w:sz w:val="18"/>
              </w:rPr>
            </w:pPr>
          </w:p>
          <w:p>
            <w:pPr>
              <w:pStyle w:val="TableParagraph"/>
              <w:rPr>
                <w:sz w:val="18"/>
              </w:rPr>
            </w:pPr>
          </w:p>
          <w:p>
            <w:pPr>
              <w:pStyle w:val="TableParagraph"/>
              <w:spacing w:before="12"/>
              <w:rPr>
                <w:sz w:val="12"/>
              </w:rPr>
            </w:pPr>
          </w:p>
          <w:p>
            <w:pPr>
              <w:pStyle w:val="TableParagraph"/>
              <w:ind w:left="485"/>
              <w:rPr>
                <w:sz w:val="18"/>
              </w:rPr>
            </w:pPr>
            <w:r>
              <w:rPr>
                <w:sz w:val="18"/>
              </w:rPr>
              <w:t>铠装层</w:t>
            </w:r>
          </w:p>
        </w:tc>
        <w:tc>
          <w:tcPr>
            <w:tcW w:w="2601" w:type="dxa"/>
          </w:tcPr>
          <w:p>
            <w:pPr>
              <w:pStyle w:val="TableParagraph"/>
              <w:spacing w:before="51"/>
              <w:ind w:left="218" w:right="212"/>
              <w:jc w:val="center"/>
              <w:rPr>
                <w:sz w:val="18"/>
              </w:rPr>
            </w:pPr>
            <w:r>
              <w:rPr>
                <w:sz w:val="18"/>
              </w:rPr>
              <w:t>材料</w:t>
            </w:r>
          </w:p>
        </w:tc>
        <w:tc>
          <w:tcPr>
            <w:tcW w:w="1218" w:type="dxa"/>
          </w:tcPr>
          <w:p>
            <w:pPr>
              <w:pStyle w:val="TableParagraph"/>
              <w:rPr>
                <w:rFonts w:ascii="Times New Roman"/>
                <w:sz w:val="16"/>
              </w:rPr>
            </w:pP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spacing w:before="51"/>
              <w:ind w:right="138"/>
              <w:jc w:val="right"/>
              <w:rPr>
                <w:sz w:val="18"/>
              </w:rPr>
            </w:pPr>
            <w:r>
              <w:rPr>
                <w:sz w:val="18"/>
              </w:rPr>
              <w:t>与供货需求表一致</w:t>
            </w:r>
          </w:p>
        </w:tc>
      </w:tr>
      <w:tr>
        <w:trPr>
          <w:trHeight w:val="371" w:hRule="atLeast"/>
        </w:trPr>
        <w:tc>
          <w:tcPr>
            <w:tcW w:w="1513" w:type="dxa"/>
            <w:vMerge/>
            <w:tcBorders>
              <w:top w:val="nil"/>
            </w:tcBorders>
          </w:tcPr>
          <w:p>
            <w:pPr>
              <w:rPr>
                <w:sz w:val="2"/>
                <w:szCs w:val="2"/>
              </w:rPr>
            </w:pPr>
          </w:p>
        </w:tc>
        <w:tc>
          <w:tcPr>
            <w:tcW w:w="2601" w:type="dxa"/>
          </w:tcPr>
          <w:p>
            <w:pPr>
              <w:pStyle w:val="TableParagraph"/>
              <w:spacing w:before="58"/>
              <w:ind w:left="212" w:right="212"/>
              <w:jc w:val="center"/>
              <w:rPr>
                <w:sz w:val="18"/>
              </w:rPr>
            </w:pPr>
            <w:r>
              <w:rPr>
                <w:sz w:val="18"/>
              </w:rPr>
              <w:t>钢带厚度</w:t>
            </w:r>
            <w:r>
              <w:rPr>
                <w:rFonts w:ascii="Times New Roman" w:eastAsia="Times New Roman"/>
                <w:sz w:val="18"/>
              </w:rPr>
              <w:t>/</w:t>
            </w:r>
            <w:r>
              <w:rPr>
                <w:sz w:val="18"/>
              </w:rPr>
              <w:t>钢丝直径</w:t>
            </w:r>
          </w:p>
        </w:tc>
        <w:tc>
          <w:tcPr>
            <w:tcW w:w="1218" w:type="dxa"/>
          </w:tcPr>
          <w:p>
            <w:pPr>
              <w:pStyle w:val="TableParagraph"/>
              <w:spacing w:before="70"/>
              <w:ind w:left="273" w:right="253"/>
              <w:jc w:val="center"/>
              <w:rPr>
                <w:rFonts w:ascii="Times New Roman"/>
                <w:sz w:val="18"/>
              </w:rPr>
            </w:pPr>
            <w:r>
              <w:rPr>
                <w:rFonts w:ascii="Times New Roman"/>
                <w:sz w:val="18"/>
              </w:rPr>
              <w:t>mm</w:t>
            </w: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rPr>
                <w:rFonts w:ascii="Times New Roman"/>
                <w:sz w:val="16"/>
              </w:rPr>
            </w:pPr>
          </w:p>
        </w:tc>
      </w:tr>
      <w:tr>
        <w:trPr>
          <w:trHeight w:val="379" w:hRule="atLeast"/>
        </w:trPr>
        <w:tc>
          <w:tcPr>
            <w:tcW w:w="1513" w:type="dxa"/>
            <w:vMerge/>
            <w:tcBorders>
              <w:top w:val="nil"/>
            </w:tcBorders>
          </w:tcPr>
          <w:p>
            <w:pPr>
              <w:rPr>
                <w:sz w:val="2"/>
                <w:szCs w:val="2"/>
              </w:rPr>
            </w:pPr>
          </w:p>
        </w:tc>
        <w:tc>
          <w:tcPr>
            <w:tcW w:w="2601" w:type="dxa"/>
          </w:tcPr>
          <w:p>
            <w:pPr>
              <w:pStyle w:val="TableParagraph"/>
              <w:spacing w:before="58"/>
              <w:ind w:left="218" w:right="212"/>
              <w:jc w:val="center"/>
              <w:rPr>
                <w:sz w:val="18"/>
              </w:rPr>
            </w:pPr>
            <w:r>
              <w:rPr>
                <w:sz w:val="18"/>
              </w:rPr>
              <w:t>钢带层数</w:t>
            </w:r>
          </w:p>
        </w:tc>
        <w:tc>
          <w:tcPr>
            <w:tcW w:w="1218" w:type="dxa"/>
          </w:tcPr>
          <w:p>
            <w:pPr>
              <w:pStyle w:val="TableParagraph"/>
              <w:spacing w:before="58"/>
              <w:ind w:left="13"/>
              <w:jc w:val="center"/>
              <w:rPr>
                <w:sz w:val="18"/>
              </w:rPr>
            </w:pPr>
            <w:r>
              <w:rPr>
                <w:sz w:val="18"/>
              </w:rPr>
              <w:t>层</w:t>
            </w:r>
          </w:p>
        </w:tc>
        <w:tc>
          <w:tcPr>
            <w:tcW w:w="1758" w:type="dxa"/>
          </w:tcPr>
          <w:p>
            <w:pPr>
              <w:pStyle w:val="TableParagraph"/>
              <w:spacing w:before="77"/>
              <w:ind w:left="2"/>
              <w:jc w:val="center"/>
              <w:rPr>
                <w:rFonts w:ascii="Times New Roman"/>
                <w:sz w:val="18"/>
              </w:rPr>
            </w:pPr>
            <w:r>
              <w:rPr>
                <w:rFonts w:ascii="Times New Roman"/>
                <w:sz w:val="18"/>
              </w:rPr>
              <w:t>2</w:t>
            </w:r>
          </w:p>
        </w:tc>
        <w:tc>
          <w:tcPr>
            <w:tcW w:w="1729" w:type="dxa"/>
          </w:tcPr>
          <w:p>
            <w:pPr>
              <w:pStyle w:val="TableParagraph"/>
              <w:rPr>
                <w:rFonts w:ascii="Times New Roman"/>
                <w:sz w:val="16"/>
              </w:rPr>
            </w:pPr>
          </w:p>
        </w:tc>
      </w:tr>
      <w:tr>
        <w:trPr>
          <w:trHeight w:val="371" w:hRule="atLeast"/>
        </w:trPr>
        <w:tc>
          <w:tcPr>
            <w:tcW w:w="1513" w:type="dxa"/>
            <w:vMerge/>
            <w:tcBorders>
              <w:top w:val="nil"/>
            </w:tcBorders>
          </w:tcPr>
          <w:p>
            <w:pPr>
              <w:rPr>
                <w:sz w:val="2"/>
                <w:szCs w:val="2"/>
              </w:rPr>
            </w:pPr>
          </w:p>
        </w:tc>
        <w:tc>
          <w:tcPr>
            <w:tcW w:w="2601" w:type="dxa"/>
          </w:tcPr>
          <w:p>
            <w:pPr>
              <w:pStyle w:val="TableParagraph"/>
              <w:spacing w:before="51"/>
              <w:ind w:left="218" w:right="212"/>
              <w:jc w:val="center"/>
              <w:rPr>
                <w:sz w:val="18"/>
              </w:rPr>
            </w:pPr>
            <w:r>
              <w:rPr>
                <w:sz w:val="18"/>
              </w:rPr>
              <w:t>钢带宽度</w:t>
            </w:r>
          </w:p>
        </w:tc>
        <w:tc>
          <w:tcPr>
            <w:tcW w:w="1218" w:type="dxa"/>
          </w:tcPr>
          <w:p>
            <w:pPr>
              <w:pStyle w:val="TableParagraph"/>
              <w:spacing w:before="70"/>
              <w:ind w:left="273" w:right="253"/>
              <w:jc w:val="center"/>
              <w:rPr>
                <w:rFonts w:ascii="Times New Roman"/>
                <w:sz w:val="18"/>
              </w:rPr>
            </w:pPr>
            <w:r>
              <w:rPr>
                <w:rFonts w:ascii="Times New Roman"/>
                <w:sz w:val="18"/>
              </w:rPr>
              <w:t>mm</w:t>
            </w: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rPr>
                <w:rFonts w:ascii="Times New Roman"/>
                <w:sz w:val="16"/>
              </w:rPr>
            </w:pPr>
          </w:p>
        </w:tc>
      </w:tr>
      <w:tr>
        <w:trPr>
          <w:trHeight w:val="840" w:hRule="atLeast"/>
        </w:trPr>
        <w:tc>
          <w:tcPr>
            <w:tcW w:w="1513"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30"/>
              <w:ind w:left="485"/>
              <w:rPr>
                <w:sz w:val="18"/>
              </w:rPr>
            </w:pPr>
            <w:r>
              <w:rPr>
                <w:sz w:val="18"/>
              </w:rPr>
              <w:t>外护套</w:t>
            </w:r>
          </w:p>
        </w:tc>
        <w:tc>
          <w:tcPr>
            <w:tcW w:w="2601" w:type="dxa"/>
          </w:tcPr>
          <w:p>
            <w:pPr>
              <w:pStyle w:val="TableParagraph"/>
              <w:spacing w:before="7"/>
              <w:rPr>
                <w:sz w:val="22"/>
              </w:rPr>
            </w:pPr>
          </w:p>
          <w:p>
            <w:pPr>
              <w:pStyle w:val="TableParagraph"/>
              <w:ind w:left="218" w:right="212"/>
              <w:jc w:val="center"/>
              <w:rPr>
                <w:sz w:val="18"/>
              </w:rPr>
            </w:pPr>
            <w:r>
              <w:rPr>
                <w:sz w:val="18"/>
              </w:rPr>
              <w:t>材料</w:t>
            </w:r>
          </w:p>
        </w:tc>
        <w:tc>
          <w:tcPr>
            <w:tcW w:w="1218" w:type="dxa"/>
          </w:tcPr>
          <w:p>
            <w:pPr>
              <w:pStyle w:val="TableParagraph"/>
              <w:rPr>
                <w:rFonts w:ascii="Times New Roman"/>
                <w:sz w:val="16"/>
              </w:rPr>
            </w:pPr>
          </w:p>
        </w:tc>
        <w:tc>
          <w:tcPr>
            <w:tcW w:w="1758" w:type="dxa"/>
          </w:tcPr>
          <w:p>
            <w:pPr>
              <w:pStyle w:val="TableParagraph"/>
              <w:spacing w:before="7"/>
              <w:rPr>
                <w:sz w:val="22"/>
              </w:rPr>
            </w:pPr>
          </w:p>
          <w:p>
            <w:pPr>
              <w:pStyle w:val="TableParagraph"/>
              <w:ind w:left="184" w:right="263"/>
              <w:jc w:val="center"/>
              <w:rPr>
                <w:sz w:val="18"/>
              </w:rPr>
            </w:pPr>
            <w:r>
              <w:rPr>
                <w:sz w:val="18"/>
              </w:rPr>
              <w:t>（供货方提供）</w:t>
            </w:r>
          </w:p>
        </w:tc>
        <w:tc>
          <w:tcPr>
            <w:tcW w:w="1729" w:type="dxa"/>
          </w:tcPr>
          <w:p>
            <w:pPr>
              <w:pStyle w:val="TableParagraph"/>
              <w:spacing w:line="244" w:lineRule="auto" w:before="58"/>
              <w:ind w:left="138" w:right="130" w:hanging="15"/>
              <w:jc w:val="center"/>
              <w:rPr>
                <w:rFonts w:ascii="Times New Roman" w:eastAsia="Times New Roman"/>
                <w:sz w:val="18"/>
              </w:rPr>
            </w:pPr>
            <w:r>
              <w:rPr>
                <w:rFonts w:ascii="Times New Roman" w:eastAsia="Times New Roman"/>
                <w:spacing w:val="-7"/>
                <w:sz w:val="18"/>
              </w:rPr>
              <w:t>YJLV </w:t>
            </w:r>
            <w:r>
              <w:rPr>
                <w:spacing w:val="-20"/>
                <w:sz w:val="18"/>
              </w:rPr>
              <w:t>及 </w:t>
            </w:r>
            <w:r>
              <w:rPr>
                <w:rFonts w:ascii="Times New Roman" w:eastAsia="Times New Roman"/>
                <w:spacing w:val="-3"/>
                <w:sz w:val="18"/>
              </w:rPr>
              <w:t>YJV </w:t>
            </w:r>
            <w:r>
              <w:rPr>
                <w:sz w:val="18"/>
              </w:rPr>
              <w:t>型电</w:t>
            </w:r>
            <w:r>
              <w:rPr>
                <w:spacing w:val="-12"/>
                <w:sz w:val="18"/>
              </w:rPr>
              <w:t>缆选用 </w:t>
            </w:r>
            <w:r>
              <w:rPr>
                <w:rFonts w:ascii="Times New Roman" w:eastAsia="Times New Roman"/>
                <w:sz w:val="18"/>
              </w:rPr>
              <w:t>PVC</w:t>
            </w:r>
            <w:r>
              <w:rPr>
                <w:sz w:val="18"/>
              </w:rPr>
              <w:t>，</w:t>
            </w:r>
            <w:r>
              <w:rPr>
                <w:rFonts w:ascii="Times New Roman" w:eastAsia="Times New Roman"/>
                <w:sz w:val="18"/>
              </w:rPr>
              <w:t>YJY </w:t>
            </w:r>
            <w:r>
              <w:rPr>
                <w:spacing w:val="-8"/>
                <w:sz w:val="18"/>
              </w:rPr>
              <w:t>型电缆选用 </w:t>
            </w:r>
            <w:r>
              <w:rPr>
                <w:rFonts w:ascii="Times New Roman" w:eastAsia="Times New Roman"/>
                <w:sz w:val="18"/>
              </w:rPr>
              <w:t>PE</w:t>
            </w:r>
          </w:p>
        </w:tc>
      </w:tr>
      <w:tr>
        <w:trPr>
          <w:trHeight w:val="371" w:hRule="atLeast"/>
        </w:trPr>
        <w:tc>
          <w:tcPr>
            <w:tcW w:w="1513" w:type="dxa"/>
            <w:vMerge/>
            <w:tcBorders>
              <w:top w:val="nil"/>
            </w:tcBorders>
          </w:tcPr>
          <w:p>
            <w:pPr>
              <w:rPr>
                <w:sz w:val="2"/>
                <w:szCs w:val="2"/>
              </w:rPr>
            </w:pPr>
          </w:p>
        </w:tc>
        <w:tc>
          <w:tcPr>
            <w:tcW w:w="2601" w:type="dxa"/>
          </w:tcPr>
          <w:p>
            <w:pPr>
              <w:pStyle w:val="TableParagraph"/>
              <w:spacing w:before="51"/>
              <w:ind w:left="218" w:right="212"/>
              <w:jc w:val="center"/>
              <w:rPr>
                <w:sz w:val="18"/>
              </w:rPr>
            </w:pPr>
            <w:r>
              <w:rPr>
                <w:sz w:val="18"/>
              </w:rPr>
              <w:t>颜色</w:t>
            </w:r>
          </w:p>
        </w:tc>
        <w:tc>
          <w:tcPr>
            <w:tcW w:w="1218" w:type="dxa"/>
          </w:tcPr>
          <w:p>
            <w:pPr>
              <w:pStyle w:val="TableParagraph"/>
              <w:rPr>
                <w:rFonts w:ascii="Times New Roman"/>
                <w:sz w:val="16"/>
              </w:rPr>
            </w:pP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spacing w:before="51"/>
              <w:ind w:left="28" w:right="29"/>
              <w:jc w:val="center"/>
              <w:rPr>
                <w:sz w:val="18"/>
              </w:rPr>
            </w:pPr>
            <w:r>
              <w:rPr>
                <w:sz w:val="18"/>
              </w:rPr>
              <w:t>黑色</w:t>
            </w:r>
          </w:p>
        </w:tc>
      </w:tr>
      <w:tr>
        <w:trPr>
          <w:trHeight w:val="379" w:hRule="atLeast"/>
        </w:trPr>
        <w:tc>
          <w:tcPr>
            <w:tcW w:w="1513" w:type="dxa"/>
            <w:vMerge/>
            <w:tcBorders>
              <w:top w:val="nil"/>
            </w:tcBorders>
          </w:tcPr>
          <w:p>
            <w:pPr>
              <w:rPr>
                <w:sz w:val="2"/>
                <w:szCs w:val="2"/>
              </w:rPr>
            </w:pPr>
          </w:p>
        </w:tc>
        <w:tc>
          <w:tcPr>
            <w:tcW w:w="2601" w:type="dxa"/>
          </w:tcPr>
          <w:p>
            <w:pPr>
              <w:pStyle w:val="TableParagraph"/>
              <w:spacing w:before="58"/>
              <w:ind w:left="218" w:right="205"/>
              <w:jc w:val="center"/>
              <w:rPr>
                <w:sz w:val="18"/>
              </w:rPr>
            </w:pPr>
            <w:r>
              <w:rPr>
                <w:sz w:val="18"/>
              </w:rPr>
              <w:t>标称厚度 </w:t>
            </w:r>
            <w:r>
              <w:rPr>
                <w:rFonts w:ascii="Times New Roman" w:eastAsia="Times New Roman"/>
                <w:i/>
                <w:sz w:val="18"/>
              </w:rPr>
              <w:t>t</w:t>
            </w:r>
            <w:r>
              <w:rPr>
                <w:sz w:val="18"/>
              </w:rPr>
              <w:t>（无铠装）</w:t>
            </w:r>
          </w:p>
        </w:tc>
        <w:tc>
          <w:tcPr>
            <w:tcW w:w="1218" w:type="dxa"/>
          </w:tcPr>
          <w:p>
            <w:pPr>
              <w:pStyle w:val="TableParagraph"/>
              <w:spacing w:before="77"/>
              <w:ind w:left="273" w:right="253"/>
              <w:jc w:val="center"/>
              <w:rPr>
                <w:rFonts w:ascii="Times New Roman"/>
                <w:sz w:val="18"/>
              </w:rPr>
            </w:pPr>
            <w:r>
              <w:rPr>
                <w:rFonts w:ascii="Times New Roman"/>
                <w:sz w:val="18"/>
              </w:rPr>
              <w:t>mm</w:t>
            </w: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spacing w:before="58"/>
              <w:ind w:left="318"/>
              <w:rPr>
                <w:sz w:val="18"/>
              </w:rPr>
            </w:pPr>
            <w:r>
              <w:rPr>
                <w:sz w:val="18"/>
              </w:rPr>
              <w:t>参照通用选择</w:t>
            </w:r>
          </w:p>
        </w:tc>
      </w:tr>
      <w:tr>
        <w:trPr>
          <w:trHeight w:val="371" w:hRule="atLeast"/>
        </w:trPr>
        <w:tc>
          <w:tcPr>
            <w:tcW w:w="1513" w:type="dxa"/>
            <w:vMerge/>
            <w:tcBorders>
              <w:top w:val="nil"/>
            </w:tcBorders>
          </w:tcPr>
          <w:p>
            <w:pPr>
              <w:rPr>
                <w:sz w:val="2"/>
                <w:szCs w:val="2"/>
              </w:rPr>
            </w:pPr>
          </w:p>
        </w:tc>
        <w:tc>
          <w:tcPr>
            <w:tcW w:w="2601" w:type="dxa"/>
          </w:tcPr>
          <w:p>
            <w:pPr>
              <w:pStyle w:val="TableParagraph"/>
              <w:spacing w:before="51"/>
              <w:ind w:left="218" w:right="205"/>
              <w:jc w:val="center"/>
              <w:rPr>
                <w:sz w:val="18"/>
              </w:rPr>
            </w:pPr>
            <w:r>
              <w:rPr>
                <w:sz w:val="18"/>
              </w:rPr>
              <w:t>标称厚度 </w:t>
            </w:r>
            <w:r>
              <w:rPr>
                <w:rFonts w:ascii="Times New Roman" w:eastAsia="Times New Roman"/>
                <w:i/>
                <w:sz w:val="18"/>
              </w:rPr>
              <w:t>t</w:t>
            </w:r>
            <w:r>
              <w:rPr>
                <w:sz w:val="18"/>
              </w:rPr>
              <w:t>（有铠装）</w:t>
            </w:r>
          </w:p>
        </w:tc>
        <w:tc>
          <w:tcPr>
            <w:tcW w:w="1218" w:type="dxa"/>
          </w:tcPr>
          <w:p>
            <w:pPr>
              <w:pStyle w:val="TableParagraph"/>
              <w:spacing w:before="70"/>
              <w:ind w:left="273" w:right="253"/>
              <w:jc w:val="center"/>
              <w:rPr>
                <w:rFonts w:ascii="Times New Roman"/>
                <w:sz w:val="18"/>
              </w:rPr>
            </w:pPr>
            <w:r>
              <w:rPr>
                <w:rFonts w:ascii="Times New Roman"/>
                <w:sz w:val="18"/>
              </w:rPr>
              <w:t>mm</w:t>
            </w: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spacing w:before="51"/>
              <w:ind w:left="318"/>
              <w:rPr>
                <w:sz w:val="18"/>
              </w:rPr>
            </w:pPr>
            <w:r>
              <w:rPr>
                <w:sz w:val="18"/>
              </w:rPr>
              <w:t>参照通用选择</w:t>
            </w:r>
          </w:p>
        </w:tc>
      </w:tr>
      <w:tr>
        <w:trPr>
          <w:trHeight w:val="371" w:hRule="atLeast"/>
        </w:trPr>
        <w:tc>
          <w:tcPr>
            <w:tcW w:w="1513" w:type="dxa"/>
            <w:vMerge/>
            <w:tcBorders>
              <w:top w:val="nil"/>
            </w:tcBorders>
          </w:tcPr>
          <w:p>
            <w:pPr>
              <w:rPr>
                <w:sz w:val="2"/>
                <w:szCs w:val="2"/>
              </w:rPr>
            </w:pPr>
          </w:p>
        </w:tc>
        <w:tc>
          <w:tcPr>
            <w:tcW w:w="2601" w:type="dxa"/>
          </w:tcPr>
          <w:p>
            <w:pPr>
              <w:pStyle w:val="TableParagraph"/>
              <w:spacing w:before="51"/>
              <w:ind w:left="218" w:right="212"/>
              <w:jc w:val="center"/>
              <w:rPr>
                <w:sz w:val="18"/>
              </w:rPr>
            </w:pPr>
            <w:r>
              <w:rPr>
                <w:sz w:val="18"/>
              </w:rPr>
              <w:t>最薄点厚度不小于</w:t>
            </w:r>
          </w:p>
        </w:tc>
        <w:tc>
          <w:tcPr>
            <w:tcW w:w="1218" w:type="dxa"/>
          </w:tcPr>
          <w:p>
            <w:pPr>
              <w:pStyle w:val="TableParagraph"/>
              <w:spacing w:before="70"/>
              <w:ind w:left="273" w:right="253"/>
              <w:jc w:val="center"/>
              <w:rPr>
                <w:rFonts w:ascii="Times New Roman"/>
                <w:sz w:val="18"/>
              </w:rPr>
            </w:pPr>
            <w:r>
              <w:rPr>
                <w:rFonts w:ascii="Times New Roman"/>
                <w:sz w:val="18"/>
              </w:rPr>
              <w:t>mm</w:t>
            </w:r>
          </w:p>
        </w:tc>
        <w:tc>
          <w:tcPr>
            <w:tcW w:w="1758" w:type="dxa"/>
          </w:tcPr>
          <w:p>
            <w:pPr>
              <w:pStyle w:val="TableParagraph"/>
              <w:spacing w:before="70"/>
              <w:ind w:left="184" w:right="198"/>
              <w:jc w:val="center"/>
              <w:rPr>
                <w:rFonts w:ascii="Times New Roman"/>
                <w:i/>
                <w:sz w:val="18"/>
              </w:rPr>
            </w:pPr>
            <w:r>
              <w:rPr>
                <w:rFonts w:ascii="Times New Roman"/>
                <w:sz w:val="18"/>
              </w:rPr>
              <w:t>90%</w:t>
            </w:r>
            <w:r>
              <w:rPr>
                <w:rFonts w:ascii="Times New Roman"/>
                <w:i/>
                <w:sz w:val="18"/>
              </w:rPr>
              <w:t>t</w:t>
            </w:r>
          </w:p>
        </w:tc>
        <w:tc>
          <w:tcPr>
            <w:tcW w:w="1729" w:type="dxa"/>
          </w:tcPr>
          <w:p>
            <w:pPr>
              <w:pStyle w:val="TableParagraph"/>
              <w:rPr>
                <w:rFonts w:ascii="Times New Roman"/>
                <w:sz w:val="16"/>
              </w:rPr>
            </w:pPr>
          </w:p>
        </w:tc>
      </w:tr>
      <w:tr>
        <w:trPr>
          <w:trHeight w:val="372" w:hRule="atLeast"/>
        </w:trPr>
        <w:tc>
          <w:tcPr>
            <w:tcW w:w="4114" w:type="dxa"/>
            <w:gridSpan w:val="2"/>
          </w:tcPr>
          <w:p>
            <w:pPr>
              <w:pStyle w:val="TableParagraph"/>
              <w:spacing w:before="58"/>
              <w:ind w:left="7"/>
              <w:jc w:val="center"/>
              <w:rPr>
                <w:rFonts w:ascii="Times New Roman" w:eastAsia="Times New Roman"/>
                <w:i/>
                <w:sz w:val="18"/>
              </w:rPr>
            </w:pPr>
            <w:r>
              <w:rPr>
                <w:sz w:val="18"/>
              </w:rPr>
              <w:t>电缆外径 </w:t>
            </w:r>
            <w:r>
              <w:rPr>
                <w:rFonts w:ascii="Times New Roman" w:eastAsia="Times New Roman"/>
                <w:i/>
                <w:sz w:val="18"/>
              </w:rPr>
              <w:t>D</w:t>
            </w:r>
          </w:p>
        </w:tc>
        <w:tc>
          <w:tcPr>
            <w:tcW w:w="1218" w:type="dxa"/>
          </w:tcPr>
          <w:p>
            <w:pPr>
              <w:pStyle w:val="TableParagraph"/>
              <w:spacing w:before="70"/>
              <w:ind w:left="273" w:right="253"/>
              <w:jc w:val="center"/>
              <w:rPr>
                <w:rFonts w:ascii="Times New Roman"/>
                <w:sz w:val="18"/>
              </w:rPr>
            </w:pPr>
            <w:r>
              <w:rPr>
                <w:rFonts w:ascii="Times New Roman"/>
                <w:sz w:val="18"/>
              </w:rPr>
              <w:t>mm</w:t>
            </w: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rPr>
                <w:rFonts w:ascii="Times New Roman"/>
                <w:sz w:val="16"/>
              </w:rPr>
            </w:pPr>
          </w:p>
        </w:tc>
      </w:tr>
      <w:tr>
        <w:trPr>
          <w:trHeight w:val="378" w:hRule="atLeast"/>
        </w:trPr>
        <w:tc>
          <w:tcPr>
            <w:tcW w:w="4114" w:type="dxa"/>
            <w:gridSpan w:val="2"/>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4"/>
              </w:rPr>
            </w:pPr>
          </w:p>
          <w:p>
            <w:pPr>
              <w:pStyle w:val="TableParagraph"/>
              <w:ind w:left="974"/>
              <w:rPr>
                <w:sz w:val="18"/>
              </w:rPr>
            </w:pPr>
            <w:r>
              <w:rPr>
                <w:rFonts w:ascii="Times New Roman" w:hAnsi="Times New Roman" w:eastAsia="Times New Roman"/>
                <w:sz w:val="18"/>
              </w:rPr>
              <w:t>20</w:t>
            </w:r>
            <w:r>
              <w:rPr>
                <w:sz w:val="18"/>
              </w:rPr>
              <w:t>℃时铜导体最大直流电阻</w:t>
            </w:r>
          </w:p>
        </w:tc>
        <w:tc>
          <w:tcPr>
            <w:tcW w:w="121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6"/>
              <w:ind w:left="398"/>
              <w:rPr>
                <w:rFonts w:ascii="Times New Roman" w:hAnsi="Times New Roman"/>
                <w:sz w:val="18"/>
              </w:rPr>
            </w:pPr>
            <w:r>
              <w:rPr>
                <w:rFonts w:ascii="Symbol" w:hAnsi="Symbol"/>
                <w:sz w:val="18"/>
              </w:rPr>
              <w:t></w:t>
            </w:r>
            <w:r>
              <w:rPr>
                <w:rFonts w:ascii="Times New Roman" w:hAnsi="Times New Roman"/>
                <w:sz w:val="18"/>
              </w:rPr>
              <w:t>/km</w:t>
            </w:r>
          </w:p>
        </w:tc>
        <w:tc>
          <w:tcPr>
            <w:tcW w:w="1758" w:type="dxa"/>
          </w:tcPr>
          <w:p>
            <w:pPr>
              <w:pStyle w:val="TableParagraph"/>
              <w:spacing w:before="77"/>
              <w:ind w:left="184" w:right="187"/>
              <w:jc w:val="center"/>
              <w:rPr>
                <w:rFonts w:ascii="Times New Roman"/>
                <w:sz w:val="18"/>
              </w:rPr>
            </w:pPr>
            <w:r>
              <w:rPr>
                <w:rFonts w:ascii="Times New Roman"/>
                <w:sz w:val="18"/>
              </w:rPr>
              <w:t>0.524</w:t>
            </w:r>
          </w:p>
        </w:tc>
        <w:tc>
          <w:tcPr>
            <w:tcW w:w="1729" w:type="dxa"/>
          </w:tcPr>
          <w:p>
            <w:pPr>
              <w:pStyle w:val="TableParagraph"/>
              <w:spacing w:before="58"/>
              <w:ind w:right="202"/>
              <w:jc w:val="right"/>
              <w:rPr>
                <w:sz w:val="18"/>
              </w:rPr>
            </w:pPr>
            <w:r>
              <w:rPr>
                <w:sz w:val="18"/>
              </w:rPr>
              <w:t>对应 </w:t>
            </w:r>
            <w:r>
              <w:rPr>
                <w:rFonts w:ascii="Times New Roman" w:eastAsia="Times New Roman"/>
                <w:sz w:val="18"/>
              </w:rPr>
              <w:t>35mm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1" w:hRule="atLeast"/>
        </w:trPr>
        <w:tc>
          <w:tcPr>
            <w:tcW w:w="4114" w:type="dxa"/>
            <w:gridSpan w:val="2"/>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70"/>
              <w:ind w:left="184" w:right="187"/>
              <w:jc w:val="center"/>
              <w:rPr>
                <w:rFonts w:ascii="Times New Roman"/>
                <w:sz w:val="18"/>
              </w:rPr>
            </w:pPr>
            <w:r>
              <w:rPr>
                <w:rFonts w:ascii="Times New Roman"/>
                <w:sz w:val="18"/>
              </w:rPr>
              <w:t>0.268</w:t>
            </w:r>
          </w:p>
        </w:tc>
        <w:tc>
          <w:tcPr>
            <w:tcW w:w="1729" w:type="dxa"/>
          </w:tcPr>
          <w:p>
            <w:pPr>
              <w:pStyle w:val="TableParagraph"/>
              <w:spacing w:before="51"/>
              <w:ind w:right="202"/>
              <w:jc w:val="right"/>
              <w:rPr>
                <w:sz w:val="18"/>
              </w:rPr>
            </w:pPr>
            <w:r>
              <w:rPr>
                <w:sz w:val="18"/>
              </w:rPr>
              <w:t>对应 </w:t>
            </w:r>
            <w:r>
              <w:rPr>
                <w:rFonts w:ascii="Times New Roman" w:eastAsia="Times New Roman"/>
                <w:sz w:val="18"/>
              </w:rPr>
              <w:t>70mm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2" w:hRule="atLeast"/>
        </w:trPr>
        <w:tc>
          <w:tcPr>
            <w:tcW w:w="4114" w:type="dxa"/>
            <w:gridSpan w:val="2"/>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70"/>
              <w:ind w:left="184" w:right="187"/>
              <w:jc w:val="center"/>
              <w:rPr>
                <w:rFonts w:ascii="Times New Roman"/>
                <w:sz w:val="18"/>
              </w:rPr>
            </w:pPr>
            <w:r>
              <w:rPr>
                <w:rFonts w:ascii="Times New Roman"/>
                <w:sz w:val="18"/>
              </w:rPr>
              <w:t>0.193</w:t>
            </w:r>
          </w:p>
        </w:tc>
        <w:tc>
          <w:tcPr>
            <w:tcW w:w="1729" w:type="dxa"/>
          </w:tcPr>
          <w:p>
            <w:pPr>
              <w:pStyle w:val="TableParagraph"/>
              <w:spacing w:before="51"/>
              <w:ind w:right="202"/>
              <w:jc w:val="right"/>
              <w:rPr>
                <w:sz w:val="18"/>
              </w:rPr>
            </w:pPr>
            <w:r>
              <w:rPr>
                <w:sz w:val="18"/>
              </w:rPr>
              <w:t>对应 </w:t>
            </w:r>
            <w:r>
              <w:rPr>
                <w:rFonts w:ascii="Times New Roman" w:eastAsia="Times New Roman"/>
                <w:sz w:val="18"/>
              </w:rPr>
              <w:t>95mm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1" w:hRule="atLeast"/>
        </w:trPr>
        <w:tc>
          <w:tcPr>
            <w:tcW w:w="4114" w:type="dxa"/>
            <w:gridSpan w:val="2"/>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70"/>
              <w:ind w:left="184" w:right="187"/>
              <w:jc w:val="center"/>
              <w:rPr>
                <w:rFonts w:ascii="Times New Roman"/>
                <w:sz w:val="18"/>
              </w:rPr>
            </w:pPr>
            <w:r>
              <w:rPr>
                <w:rFonts w:ascii="Times New Roman"/>
                <w:sz w:val="18"/>
              </w:rPr>
              <w:t>0.153</w:t>
            </w:r>
          </w:p>
        </w:tc>
        <w:tc>
          <w:tcPr>
            <w:tcW w:w="1729" w:type="dxa"/>
          </w:tcPr>
          <w:p>
            <w:pPr>
              <w:pStyle w:val="TableParagraph"/>
              <w:spacing w:before="58"/>
              <w:ind w:right="152"/>
              <w:jc w:val="right"/>
              <w:rPr>
                <w:sz w:val="18"/>
              </w:rPr>
            </w:pPr>
            <w:r>
              <w:rPr>
                <w:sz w:val="18"/>
              </w:rPr>
              <w:t>对应 </w:t>
            </w:r>
            <w:r>
              <w:rPr>
                <w:rFonts w:ascii="Times New Roman" w:eastAsia="Times New Roman"/>
                <w:sz w:val="18"/>
              </w:rPr>
              <w:t>120mm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8" w:hRule="atLeast"/>
        </w:trPr>
        <w:tc>
          <w:tcPr>
            <w:tcW w:w="4114" w:type="dxa"/>
            <w:gridSpan w:val="2"/>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77"/>
              <w:ind w:left="184" w:right="187"/>
              <w:jc w:val="center"/>
              <w:rPr>
                <w:rFonts w:ascii="Times New Roman"/>
                <w:sz w:val="18"/>
              </w:rPr>
            </w:pPr>
            <w:r>
              <w:rPr>
                <w:rFonts w:ascii="Times New Roman"/>
                <w:sz w:val="18"/>
              </w:rPr>
              <w:t>0.124</w:t>
            </w:r>
          </w:p>
        </w:tc>
        <w:tc>
          <w:tcPr>
            <w:tcW w:w="1729" w:type="dxa"/>
          </w:tcPr>
          <w:p>
            <w:pPr>
              <w:pStyle w:val="TableParagraph"/>
              <w:spacing w:before="58"/>
              <w:ind w:right="152"/>
              <w:jc w:val="right"/>
              <w:rPr>
                <w:sz w:val="18"/>
              </w:rPr>
            </w:pPr>
            <w:r>
              <w:rPr>
                <w:sz w:val="18"/>
              </w:rPr>
              <w:t>对应 </w:t>
            </w:r>
            <w:r>
              <w:rPr>
                <w:rFonts w:ascii="Times New Roman" w:eastAsia="Times New Roman"/>
                <w:sz w:val="18"/>
              </w:rPr>
              <w:t>150mm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2" w:hRule="atLeast"/>
        </w:trPr>
        <w:tc>
          <w:tcPr>
            <w:tcW w:w="4114" w:type="dxa"/>
            <w:gridSpan w:val="2"/>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70"/>
              <w:ind w:left="599"/>
              <w:rPr>
                <w:rFonts w:ascii="Times New Roman"/>
                <w:sz w:val="18"/>
              </w:rPr>
            </w:pPr>
            <w:r>
              <w:rPr>
                <w:rFonts w:ascii="Times New Roman"/>
                <w:sz w:val="18"/>
              </w:rPr>
              <w:t>0.099 1</w:t>
            </w:r>
          </w:p>
        </w:tc>
        <w:tc>
          <w:tcPr>
            <w:tcW w:w="1729" w:type="dxa"/>
          </w:tcPr>
          <w:p>
            <w:pPr>
              <w:pStyle w:val="TableParagraph"/>
              <w:spacing w:before="51"/>
              <w:ind w:right="152"/>
              <w:jc w:val="right"/>
              <w:rPr>
                <w:sz w:val="18"/>
              </w:rPr>
            </w:pPr>
            <w:r>
              <w:rPr>
                <w:sz w:val="18"/>
              </w:rPr>
              <w:t>对应 </w:t>
            </w:r>
            <w:r>
              <w:rPr>
                <w:rFonts w:ascii="Times New Roman" w:eastAsia="Times New Roman"/>
                <w:sz w:val="18"/>
              </w:rPr>
              <w:t>185mm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1" w:hRule="atLeast"/>
        </w:trPr>
        <w:tc>
          <w:tcPr>
            <w:tcW w:w="4114" w:type="dxa"/>
            <w:gridSpan w:val="2"/>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70"/>
              <w:ind w:left="599"/>
              <w:rPr>
                <w:rFonts w:ascii="Times New Roman"/>
                <w:sz w:val="18"/>
              </w:rPr>
            </w:pPr>
            <w:r>
              <w:rPr>
                <w:rFonts w:ascii="Times New Roman"/>
                <w:sz w:val="18"/>
              </w:rPr>
              <w:t>0.075 4</w:t>
            </w:r>
          </w:p>
        </w:tc>
        <w:tc>
          <w:tcPr>
            <w:tcW w:w="1729" w:type="dxa"/>
          </w:tcPr>
          <w:p>
            <w:pPr>
              <w:pStyle w:val="TableParagraph"/>
              <w:spacing w:before="51"/>
              <w:ind w:right="152"/>
              <w:jc w:val="right"/>
              <w:rPr>
                <w:sz w:val="18"/>
              </w:rPr>
            </w:pPr>
            <w:r>
              <w:rPr>
                <w:sz w:val="18"/>
              </w:rPr>
              <w:t>对应 </w:t>
            </w:r>
            <w:r>
              <w:rPr>
                <w:rFonts w:ascii="Times New Roman" w:eastAsia="Times New Roman"/>
                <w:sz w:val="18"/>
              </w:rPr>
              <w:t>240mm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1" w:hRule="atLeast"/>
        </w:trPr>
        <w:tc>
          <w:tcPr>
            <w:tcW w:w="4114" w:type="dxa"/>
            <w:gridSpan w:val="2"/>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70"/>
              <w:ind w:left="599"/>
              <w:rPr>
                <w:rFonts w:ascii="Times New Roman"/>
                <w:sz w:val="18"/>
              </w:rPr>
            </w:pPr>
            <w:r>
              <w:rPr>
                <w:rFonts w:ascii="Times New Roman"/>
                <w:sz w:val="18"/>
              </w:rPr>
              <w:t>0.060 1</w:t>
            </w:r>
          </w:p>
        </w:tc>
        <w:tc>
          <w:tcPr>
            <w:tcW w:w="1729" w:type="dxa"/>
          </w:tcPr>
          <w:p>
            <w:pPr>
              <w:pStyle w:val="TableParagraph"/>
              <w:spacing w:before="58"/>
              <w:ind w:right="152"/>
              <w:jc w:val="right"/>
              <w:rPr>
                <w:sz w:val="18"/>
              </w:rPr>
            </w:pPr>
            <w:r>
              <w:rPr>
                <w:sz w:val="18"/>
              </w:rPr>
              <w:t>对应 </w:t>
            </w:r>
            <w:r>
              <w:rPr>
                <w:rFonts w:ascii="Times New Roman" w:eastAsia="Times New Roman"/>
                <w:sz w:val="18"/>
              </w:rPr>
              <w:t>300mm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9" w:hRule="atLeast"/>
        </w:trPr>
        <w:tc>
          <w:tcPr>
            <w:tcW w:w="4114" w:type="dxa"/>
            <w:gridSpan w:val="2"/>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78"/>
              <w:ind w:left="599"/>
              <w:rPr>
                <w:rFonts w:ascii="Times New Roman"/>
                <w:sz w:val="18"/>
              </w:rPr>
            </w:pPr>
            <w:r>
              <w:rPr>
                <w:rFonts w:ascii="Times New Roman"/>
                <w:sz w:val="18"/>
              </w:rPr>
              <w:t>0.047 0</w:t>
            </w:r>
          </w:p>
        </w:tc>
        <w:tc>
          <w:tcPr>
            <w:tcW w:w="1729" w:type="dxa"/>
          </w:tcPr>
          <w:p>
            <w:pPr>
              <w:pStyle w:val="TableParagraph"/>
              <w:spacing w:before="58"/>
              <w:ind w:right="152"/>
              <w:jc w:val="right"/>
              <w:rPr>
                <w:sz w:val="18"/>
              </w:rPr>
            </w:pPr>
            <w:r>
              <w:rPr>
                <w:sz w:val="18"/>
              </w:rPr>
              <w:t>对应 </w:t>
            </w:r>
            <w:r>
              <w:rPr>
                <w:rFonts w:ascii="Times New Roman" w:eastAsia="Times New Roman"/>
                <w:sz w:val="18"/>
              </w:rPr>
              <w:t>400mm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1" w:hRule="atLeast"/>
        </w:trPr>
        <w:tc>
          <w:tcPr>
            <w:tcW w:w="4114" w:type="dxa"/>
            <w:gridSpan w:val="2"/>
            <w:vMerge w:val="restart"/>
          </w:tcPr>
          <w:p>
            <w:pPr>
              <w:pStyle w:val="TableParagraph"/>
              <w:rPr>
                <w:sz w:val="20"/>
              </w:rPr>
            </w:pPr>
          </w:p>
          <w:p>
            <w:pPr>
              <w:pStyle w:val="TableParagraph"/>
              <w:rPr>
                <w:sz w:val="20"/>
              </w:rPr>
            </w:pPr>
          </w:p>
          <w:p>
            <w:pPr>
              <w:pStyle w:val="TableParagraph"/>
              <w:rPr>
                <w:sz w:val="20"/>
              </w:rPr>
            </w:pPr>
          </w:p>
          <w:p>
            <w:pPr>
              <w:pStyle w:val="TableParagraph"/>
              <w:spacing w:before="9"/>
              <w:rPr>
                <w:sz w:val="18"/>
              </w:rPr>
            </w:pPr>
          </w:p>
          <w:p>
            <w:pPr>
              <w:pStyle w:val="TableParagraph"/>
              <w:ind w:left="974"/>
              <w:rPr>
                <w:sz w:val="18"/>
              </w:rPr>
            </w:pPr>
            <w:r>
              <w:rPr>
                <w:rFonts w:ascii="Times New Roman" w:hAnsi="Times New Roman" w:eastAsia="Times New Roman"/>
                <w:sz w:val="18"/>
              </w:rPr>
              <w:t>90</w:t>
            </w:r>
            <w:r>
              <w:rPr>
                <w:sz w:val="18"/>
              </w:rPr>
              <w:t>℃时铜导体最大交流电阻</w:t>
            </w:r>
          </w:p>
        </w:tc>
        <w:tc>
          <w:tcPr>
            <w:tcW w:w="1218"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77"/>
              <w:ind w:left="398"/>
              <w:rPr>
                <w:rFonts w:ascii="Times New Roman" w:hAnsi="Times New Roman"/>
                <w:sz w:val="18"/>
              </w:rPr>
            </w:pPr>
            <w:r>
              <w:rPr>
                <w:rFonts w:ascii="Symbol" w:hAnsi="Symbol"/>
                <w:sz w:val="18"/>
              </w:rPr>
              <w:t></w:t>
            </w:r>
            <w:r>
              <w:rPr>
                <w:rFonts w:ascii="Times New Roman" w:hAnsi="Times New Roman"/>
                <w:sz w:val="18"/>
              </w:rPr>
              <w:t>/km</w:t>
            </w: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spacing w:before="51"/>
              <w:ind w:right="202"/>
              <w:jc w:val="right"/>
              <w:rPr>
                <w:sz w:val="18"/>
              </w:rPr>
            </w:pPr>
            <w:r>
              <w:rPr>
                <w:sz w:val="18"/>
              </w:rPr>
              <w:t>对应 </w:t>
            </w:r>
            <w:r>
              <w:rPr>
                <w:rFonts w:ascii="Times New Roman" w:eastAsia="Times New Roman"/>
                <w:sz w:val="18"/>
              </w:rPr>
              <w:t>35mm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1" w:hRule="atLeast"/>
        </w:trPr>
        <w:tc>
          <w:tcPr>
            <w:tcW w:w="4114" w:type="dxa"/>
            <w:gridSpan w:val="2"/>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spacing w:before="51"/>
              <w:ind w:right="202"/>
              <w:jc w:val="right"/>
              <w:rPr>
                <w:sz w:val="18"/>
              </w:rPr>
            </w:pPr>
            <w:r>
              <w:rPr>
                <w:sz w:val="18"/>
              </w:rPr>
              <w:t>对应 </w:t>
            </w:r>
            <w:r>
              <w:rPr>
                <w:rFonts w:ascii="Times New Roman" w:eastAsia="Times New Roman"/>
                <w:sz w:val="18"/>
              </w:rPr>
              <w:t>70mm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2" w:hRule="atLeast"/>
        </w:trPr>
        <w:tc>
          <w:tcPr>
            <w:tcW w:w="4114" w:type="dxa"/>
            <w:gridSpan w:val="2"/>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spacing w:before="58"/>
              <w:ind w:right="202"/>
              <w:jc w:val="right"/>
              <w:rPr>
                <w:sz w:val="18"/>
              </w:rPr>
            </w:pPr>
            <w:r>
              <w:rPr>
                <w:sz w:val="18"/>
              </w:rPr>
              <w:t>对应 </w:t>
            </w:r>
            <w:r>
              <w:rPr>
                <w:rFonts w:ascii="Times New Roman" w:eastAsia="Times New Roman"/>
                <w:sz w:val="18"/>
              </w:rPr>
              <w:t>95mm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8" w:hRule="atLeast"/>
        </w:trPr>
        <w:tc>
          <w:tcPr>
            <w:tcW w:w="4114" w:type="dxa"/>
            <w:gridSpan w:val="2"/>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spacing w:before="58"/>
              <w:ind w:right="152"/>
              <w:jc w:val="right"/>
              <w:rPr>
                <w:sz w:val="18"/>
              </w:rPr>
            </w:pPr>
            <w:r>
              <w:rPr>
                <w:sz w:val="18"/>
              </w:rPr>
              <w:t>对应 </w:t>
            </w:r>
            <w:r>
              <w:rPr>
                <w:rFonts w:ascii="Times New Roman" w:eastAsia="Times New Roman"/>
                <w:sz w:val="18"/>
              </w:rPr>
              <w:t>120mm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1" w:hRule="atLeast"/>
        </w:trPr>
        <w:tc>
          <w:tcPr>
            <w:tcW w:w="4114" w:type="dxa"/>
            <w:gridSpan w:val="2"/>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spacing w:before="51"/>
              <w:ind w:right="152"/>
              <w:jc w:val="right"/>
              <w:rPr>
                <w:sz w:val="18"/>
              </w:rPr>
            </w:pPr>
            <w:r>
              <w:rPr>
                <w:sz w:val="18"/>
              </w:rPr>
              <w:t>对应 </w:t>
            </w:r>
            <w:r>
              <w:rPr>
                <w:rFonts w:ascii="Times New Roman" w:eastAsia="Times New Roman"/>
                <w:sz w:val="18"/>
              </w:rPr>
              <w:t>150mm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9" w:hRule="atLeast"/>
        </w:trPr>
        <w:tc>
          <w:tcPr>
            <w:tcW w:w="4114" w:type="dxa"/>
            <w:gridSpan w:val="2"/>
            <w:vMerge/>
            <w:tcBorders>
              <w:top w:val="nil"/>
            </w:tcBorders>
          </w:tcPr>
          <w:p>
            <w:pPr>
              <w:rPr>
                <w:sz w:val="2"/>
                <w:szCs w:val="2"/>
              </w:rPr>
            </w:pPr>
          </w:p>
        </w:tc>
        <w:tc>
          <w:tcPr>
            <w:tcW w:w="1218" w:type="dxa"/>
            <w:vMerge/>
            <w:tcBorders>
              <w:top w:val="nil"/>
            </w:tcBorders>
          </w:tcPr>
          <w:p>
            <w:pPr>
              <w:rPr>
                <w:sz w:val="2"/>
                <w:szCs w:val="2"/>
              </w:rPr>
            </w:pPr>
          </w:p>
        </w:tc>
        <w:tc>
          <w:tcPr>
            <w:tcW w:w="1758" w:type="dxa"/>
          </w:tcPr>
          <w:p>
            <w:pPr>
              <w:pStyle w:val="TableParagraph"/>
              <w:spacing w:before="58"/>
              <w:ind w:left="184" w:right="263"/>
              <w:jc w:val="center"/>
              <w:rPr>
                <w:sz w:val="18"/>
              </w:rPr>
            </w:pPr>
            <w:r>
              <w:rPr>
                <w:sz w:val="18"/>
              </w:rPr>
              <w:t>（供货方提供）</w:t>
            </w:r>
          </w:p>
        </w:tc>
        <w:tc>
          <w:tcPr>
            <w:tcW w:w="1729" w:type="dxa"/>
          </w:tcPr>
          <w:p>
            <w:pPr>
              <w:pStyle w:val="TableParagraph"/>
              <w:spacing w:before="51"/>
              <w:ind w:right="152"/>
              <w:jc w:val="right"/>
              <w:rPr>
                <w:sz w:val="18"/>
              </w:rPr>
            </w:pPr>
            <w:r>
              <w:rPr>
                <w:sz w:val="18"/>
              </w:rPr>
              <w:t>对应 </w:t>
            </w:r>
            <w:r>
              <w:rPr>
                <w:rFonts w:ascii="Times New Roman" w:eastAsia="Times New Roman"/>
                <w:sz w:val="18"/>
              </w:rPr>
              <w:t>185mm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bl>
    <w:p>
      <w:pPr>
        <w:spacing w:after="0"/>
        <w:jc w:val="right"/>
        <w:rPr>
          <w:sz w:val="18"/>
        </w:rPr>
        <w:sectPr>
          <w:pgSz w:w="11910" w:h="16870"/>
          <w:pgMar w:top="1580" w:bottom="280" w:left="1260" w:right="860"/>
        </w:sectPr>
      </w:pPr>
    </w:p>
    <w:tbl>
      <w:tblPr>
        <w:tblW w:w="0" w:type="auto"/>
        <w:jc w:val="left"/>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136"/>
        <w:gridCol w:w="1131"/>
        <w:gridCol w:w="2017"/>
        <w:gridCol w:w="1218"/>
        <w:gridCol w:w="879"/>
        <w:gridCol w:w="879"/>
        <w:gridCol w:w="1729"/>
      </w:tblGrid>
      <w:tr>
        <w:trPr>
          <w:trHeight w:val="357" w:hRule="atLeast"/>
        </w:trPr>
        <w:tc>
          <w:tcPr>
            <w:tcW w:w="8817" w:type="dxa"/>
            <w:gridSpan w:val="8"/>
          </w:tcPr>
          <w:p>
            <w:pPr>
              <w:pStyle w:val="TableParagraph"/>
              <w:spacing w:before="58"/>
              <w:ind w:left="3570" w:right="3570"/>
              <w:jc w:val="center"/>
              <w:rPr>
                <w:sz w:val="18"/>
              </w:rPr>
            </w:pPr>
            <w:r>
              <w:rPr>
                <w:sz w:val="18"/>
              </w:rPr>
              <w:t>电缆结构技术参数</w:t>
            </w:r>
          </w:p>
        </w:tc>
      </w:tr>
      <w:tr>
        <w:trPr>
          <w:trHeight w:val="371" w:hRule="atLeast"/>
        </w:trPr>
        <w:tc>
          <w:tcPr>
            <w:tcW w:w="4112" w:type="dxa"/>
            <w:gridSpan w:val="4"/>
            <w:vMerge w:val="restart"/>
          </w:tcPr>
          <w:p>
            <w:pPr>
              <w:pStyle w:val="TableParagraph"/>
              <w:rPr>
                <w:rFonts w:ascii="Times New Roman"/>
                <w:sz w:val="16"/>
              </w:rPr>
            </w:pPr>
          </w:p>
        </w:tc>
        <w:tc>
          <w:tcPr>
            <w:tcW w:w="1218" w:type="dxa"/>
            <w:vMerge w:val="restart"/>
          </w:tcPr>
          <w:p>
            <w:pPr>
              <w:pStyle w:val="TableParagraph"/>
              <w:rPr>
                <w:rFonts w:ascii="Times New Roman"/>
                <w:sz w:val="16"/>
              </w:rPr>
            </w:pPr>
          </w:p>
        </w:tc>
        <w:tc>
          <w:tcPr>
            <w:tcW w:w="1758" w:type="dxa"/>
            <w:gridSpan w:val="2"/>
          </w:tcPr>
          <w:p>
            <w:pPr>
              <w:pStyle w:val="TableParagraph"/>
              <w:spacing w:before="58"/>
              <w:ind w:left="205"/>
              <w:rPr>
                <w:sz w:val="18"/>
              </w:rPr>
            </w:pPr>
            <w:r>
              <w:rPr>
                <w:sz w:val="18"/>
              </w:rPr>
              <w:t>（供货方提供）</w:t>
            </w:r>
          </w:p>
        </w:tc>
        <w:tc>
          <w:tcPr>
            <w:tcW w:w="1729" w:type="dxa"/>
          </w:tcPr>
          <w:p>
            <w:pPr>
              <w:pStyle w:val="TableParagraph"/>
              <w:spacing w:before="51"/>
              <w:ind w:left="30" w:right="21"/>
              <w:jc w:val="center"/>
              <w:rPr>
                <w:sz w:val="18"/>
              </w:rPr>
            </w:pPr>
            <w:r>
              <w:rPr>
                <w:sz w:val="18"/>
              </w:rPr>
              <w:t>对应 </w:t>
            </w:r>
            <w:r>
              <w:rPr>
                <w:rFonts w:ascii="Times New Roman" w:eastAsia="Times New Roman"/>
                <w:sz w:val="18"/>
              </w:rPr>
              <w:t>240mm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1" w:hRule="atLeast"/>
        </w:trPr>
        <w:tc>
          <w:tcPr>
            <w:tcW w:w="4112" w:type="dxa"/>
            <w:gridSpan w:val="4"/>
            <w:vMerge/>
            <w:tcBorders>
              <w:top w:val="nil"/>
            </w:tcBorders>
          </w:tcPr>
          <w:p>
            <w:pPr>
              <w:rPr>
                <w:sz w:val="2"/>
                <w:szCs w:val="2"/>
              </w:rPr>
            </w:pPr>
          </w:p>
        </w:tc>
        <w:tc>
          <w:tcPr>
            <w:tcW w:w="1218" w:type="dxa"/>
            <w:vMerge/>
            <w:tcBorders>
              <w:top w:val="nil"/>
            </w:tcBorders>
          </w:tcPr>
          <w:p>
            <w:pPr>
              <w:rPr>
                <w:sz w:val="2"/>
                <w:szCs w:val="2"/>
              </w:rPr>
            </w:pPr>
          </w:p>
        </w:tc>
        <w:tc>
          <w:tcPr>
            <w:tcW w:w="1758" w:type="dxa"/>
            <w:gridSpan w:val="2"/>
          </w:tcPr>
          <w:p>
            <w:pPr>
              <w:pStyle w:val="TableParagraph"/>
              <w:spacing w:before="58"/>
              <w:ind w:left="205"/>
              <w:rPr>
                <w:sz w:val="18"/>
              </w:rPr>
            </w:pPr>
            <w:r>
              <w:rPr>
                <w:sz w:val="18"/>
              </w:rPr>
              <w:t>（供货方提供）</w:t>
            </w:r>
          </w:p>
        </w:tc>
        <w:tc>
          <w:tcPr>
            <w:tcW w:w="1729" w:type="dxa"/>
          </w:tcPr>
          <w:p>
            <w:pPr>
              <w:pStyle w:val="TableParagraph"/>
              <w:spacing w:before="58"/>
              <w:ind w:left="30" w:right="21"/>
              <w:jc w:val="center"/>
              <w:rPr>
                <w:sz w:val="18"/>
              </w:rPr>
            </w:pPr>
            <w:r>
              <w:rPr>
                <w:sz w:val="18"/>
              </w:rPr>
              <w:t>对应 </w:t>
            </w:r>
            <w:r>
              <w:rPr>
                <w:rFonts w:ascii="Times New Roman" w:eastAsia="Times New Roman"/>
                <w:sz w:val="18"/>
              </w:rPr>
              <w:t>300mm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79" w:hRule="atLeast"/>
        </w:trPr>
        <w:tc>
          <w:tcPr>
            <w:tcW w:w="4112" w:type="dxa"/>
            <w:gridSpan w:val="4"/>
            <w:vMerge/>
            <w:tcBorders>
              <w:top w:val="nil"/>
            </w:tcBorders>
          </w:tcPr>
          <w:p>
            <w:pPr>
              <w:rPr>
                <w:sz w:val="2"/>
                <w:szCs w:val="2"/>
              </w:rPr>
            </w:pPr>
          </w:p>
        </w:tc>
        <w:tc>
          <w:tcPr>
            <w:tcW w:w="1218" w:type="dxa"/>
            <w:vMerge/>
            <w:tcBorders>
              <w:top w:val="nil"/>
            </w:tcBorders>
          </w:tcPr>
          <w:p>
            <w:pPr>
              <w:rPr>
                <w:sz w:val="2"/>
                <w:szCs w:val="2"/>
              </w:rPr>
            </w:pPr>
          </w:p>
        </w:tc>
        <w:tc>
          <w:tcPr>
            <w:tcW w:w="1758" w:type="dxa"/>
            <w:gridSpan w:val="2"/>
          </w:tcPr>
          <w:p>
            <w:pPr>
              <w:pStyle w:val="TableParagraph"/>
              <w:spacing w:before="58"/>
              <w:ind w:left="205"/>
              <w:rPr>
                <w:sz w:val="18"/>
              </w:rPr>
            </w:pPr>
            <w:r>
              <w:rPr>
                <w:sz w:val="18"/>
              </w:rPr>
              <w:t>（供货方提供）</w:t>
            </w:r>
          </w:p>
        </w:tc>
        <w:tc>
          <w:tcPr>
            <w:tcW w:w="1729" w:type="dxa"/>
          </w:tcPr>
          <w:p>
            <w:pPr>
              <w:pStyle w:val="TableParagraph"/>
              <w:spacing w:before="58"/>
              <w:ind w:left="30" w:right="21"/>
              <w:jc w:val="center"/>
              <w:rPr>
                <w:sz w:val="18"/>
              </w:rPr>
            </w:pPr>
            <w:r>
              <w:rPr>
                <w:sz w:val="18"/>
              </w:rPr>
              <w:t>对应 </w:t>
            </w:r>
            <w:r>
              <w:rPr>
                <w:rFonts w:ascii="Times New Roman" w:eastAsia="Times New Roman"/>
                <w:sz w:val="18"/>
              </w:rPr>
              <w:t>400mm</w:t>
            </w:r>
            <w:r>
              <w:rPr>
                <w:rFonts w:ascii="Times New Roman" w:eastAsia="Times New Roman"/>
                <w:sz w:val="18"/>
                <w:vertAlign w:val="superscript"/>
              </w:rPr>
              <w:t>2</w:t>
            </w:r>
            <w:r>
              <w:rPr>
                <w:rFonts w:ascii="Times New Roman" w:eastAsia="Times New Roman"/>
                <w:sz w:val="18"/>
                <w:vertAlign w:val="baseline"/>
              </w:rPr>
              <w:t> </w:t>
            </w:r>
            <w:r>
              <w:rPr>
                <w:sz w:val="18"/>
                <w:vertAlign w:val="baseline"/>
              </w:rPr>
              <w:t>截面</w:t>
            </w:r>
          </w:p>
        </w:tc>
      </w:tr>
      <w:tr>
        <w:trPr>
          <w:trHeight w:val="364" w:hRule="atLeast"/>
        </w:trPr>
        <w:tc>
          <w:tcPr>
            <w:tcW w:w="4112" w:type="dxa"/>
            <w:gridSpan w:val="4"/>
          </w:tcPr>
          <w:p>
            <w:pPr>
              <w:pStyle w:val="TableParagraph"/>
              <w:spacing w:before="51"/>
              <w:ind w:left="1495" w:right="1480"/>
              <w:jc w:val="center"/>
              <w:rPr>
                <w:sz w:val="18"/>
              </w:rPr>
            </w:pPr>
            <w:r>
              <w:rPr>
                <w:sz w:val="18"/>
              </w:rPr>
              <w:t>电缆电容值</w:t>
            </w:r>
          </w:p>
        </w:tc>
        <w:tc>
          <w:tcPr>
            <w:tcW w:w="1218" w:type="dxa"/>
          </w:tcPr>
          <w:p>
            <w:pPr>
              <w:pStyle w:val="TableParagraph"/>
              <w:spacing w:before="57"/>
              <w:ind w:left="371"/>
              <w:rPr>
                <w:rFonts w:ascii="Times New Roman" w:hAnsi="Times New Roman"/>
                <w:sz w:val="18"/>
              </w:rPr>
            </w:pPr>
            <w:r>
              <w:rPr>
                <w:rFonts w:ascii="Symbol" w:hAnsi="Symbol"/>
                <w:sz w:val="18"/>
              </w:rPr>
              <w:t></w:t>
            </w:r>
            <w:r>
              <w:rPr>
                <w:rFonts w:ascii="Times New Roman" w:hAnsi="Times New Roman"/>
                <w:sz w:val="18"/>
              </w:rPr>
              <w:t>F/km</w:t>
            </w:r>
          </w:p>
        </w:tc>
        <w:tc>
          <w:tcPr>
            <w:tcW w:w="1758" w:type="dxa"/>
            <w:gridSpan w:val="2"/>
          </w:tcPr>
          <w:p>
            <w:pPr>
              <w:pStyle w:val="TableParagraph"/>
              <w:spacing w:before="51"/>
              <w:ind w:left="205"/>
              <w:rPr>
                <w:sz w:val="18"/>
              </w:rPr>
            </w:pPr>
            <w:r>
              <w:rPr>
                <w:sz w:val="18"/>
              </w:rPr>
              <w:t>（供货方提供）</w:t>
            </w:r>
          </w:p>
        </w:tc>
        <w:tc>
          <w:tcPr>
            <w:tcW w:w="1729" w:type="dxa"/>
          </w:tcPr>
          <w:p>
            <w:pPr>
              <w:pStyle w:val="TableParagraph"/>
              <w:rPr>
                <w:rFonts w:ascii="Times New Roman"/>
                <w:sz w:val="16"/>
              </w:rPr>
            </w:pPr>
          </w:p>
        </w:tc>
      </w:tr>
      <w:tr>
        <w:trPr>
          <w:trHeight w:val="364" w:hRule="atLeast"/>
        </w:trPr>
        <w:tc>
          <w:tcPr>
            <w:tcW w:w="4112" w:type="dxa"/>
            <w:gridSpan w:val="4"/>
          </w:tcPr>
          <w:p>
            <w:pPr>
              <w:pStyle w:val="TableParagraph"/>
              <w:spacing w:before="58"/>
              <w:ind w:left="1495" w:right="1480"/>
              <w:jc w:val="center"/>
              <w:rPr>
                <w:sz w:val="18"/>
              </w:rPr>
            </w:pPr>
            <w:r>
              <w:rPr>
                <w:sz w:val="18"/>
              </w:rPr>
              <w:t>电缆电感值</w:t>
            </w:r>
          </w:p>
        </w:tc>
        <w:tc>
          <w:tcPr>
            <w:tcW w:w="1218" w:type="dxa"/>
          </w:tcPr>
          <w:p>
            <w:pPr>
              <w:pStyle w:val="TableParagraph"/>
              <w:spacing w:before="64"/>
              <w:ind w:left="357"/>
              <w:rPr>
                <w:rFonts w:ascii="Times New Roman" w:hAnsi="Times New Roman"/>
                <w:sz w:val="18"/>
              </w:rPr>
            </w:pPr>
            <w:r>
              <w:rPr>
                <w:rFonts w:ascii="Symbol" w:hAnsi="Symbol"/>
                <w:sz w:val="18"/>
              </w:rPr>
              <w:t></w:t>
            </w:r>
            <w:r>
              <w:rPr>
                <w:rFonts w:ascii="Times New Roman" w:hAnsi="Times New Roman"/>
                <w:sz w:val="18"/>
              </w:rPr>
              <w:t>H/km</w:t>
            </w:r>
          </w:p>
        </w:tc>
        <w:tc>
          <w:tcPr>
            <w:tcW w:w="1758" w:type="dxa"/>
            <w:gridSpan w:val="2"/>
          </w:tcPr>
          <w:p>
            <w:pPr>
              <w:pStyle w:val="TableParagraph"/>
              <w:spacing w:before="51"/>
              <w:ind w:left="205"/>
              <w:rPr>
                <w:sz w:val="18"/>
              </w:rPr>
            </w:pPr>
            <w:r>
              <w:rPr>
                <w:sz w:val="18"/>
              </w:rPr>
              <w:t>（供货方提供）</w:t>
            </w:r>
          </w:p>
        </w:tc>
        <w:tc>
          <w:tcPr>
            <w:tcW w:w="1729" w:type="dxa"/>
          </w:tcPr>
          <w:p>
            <w:pPr>
              <w:pStyle w:val="TableParagraph"/>
              <w:rPr>
                <w:rFonts w:ascii="Times New Roman"/>
                <w:sz w:val="16"/>
              </w:rPr>
            </w:pPr>
          </w:p>
        </w:tc>
      </w:tr>
      <w:tr>
        <w:trPr>
          <w:trHeight w:val="365" w:hRule="atLeast"/>
        </w:trPr>
        <w:tc>
          <w:tcPr>
            <w:tcW w:w="4112" w:type="dxa"/>
            <w:gridSpan w:val="4"/>
          </w:tcPr>
          <w:p>
            <w:pPr>
              <w:pStyle w:val="TableParagraph"/>
              <w:spacing w:before="59"/>
              <w:ind w:left="1248"/>
              <w:rPr>
                <w:sz w:val="18"/>
              </w:rPr>
            </w:pPr>
            <w:r>
              <w:rPr>
                <w:sz w:val="18"/>
              </w:rPr>
              <w:t>电缆长期允许载流量</w:t>
            </w:r>
          </w:p>
        </w:tc>
        <w:tc>
          <w:tcPr>
            <w:tcW w:w="1218" w:type="dxa"/>
          </w:tcPr>
          <w:p>
            <w:pPr>
              <w:pStyle w:val="TableParagraph"/>
              <w:spacing w:before="70"/>
              <w:ind w:left="10"/>
              <w:jc w:val="center"/>
              <w:rPr>
                <w:rFonts w:ascii="Times New Roman"/>
                <w:sz w:val="18"/>
              </w:rPr>
            </w:pPr>
            <w:r>
              <w:rPr>
                <w:rFonts w:ascii="Times New Roman"/>
                <w:w w:val="99"/>
                <w:sz w:val="18"/>
              </w:rPr>
              <w:t>A</w:t>
            </w:r>
          </w:p>
        </w:tc>
        <w:tc>
          <w:tcPr>
            <w:tcW w:w="1758" w:type="dxa"/>
            <w:gridSpan w:val="2"/>
          </w:tcPr>
          <w:p>
            <w:pPr>
              <w:pStyle w:val="TableParagraph"/>
              <w:spacing w:before="51"/>
              <w:ind w:left="205"/>
              <w:rPr>
                <w:sz w:val="18"/>
              </w:rPr>
            </w:pPr>
            <w:r>
              <w:rPr>
                <w:sz w:val="18"/>
              </w:rPr>
              <w:t>（供货方提供）</w:t>
            </w:r>
          </w:p>
        </w:tc>
        <w:tc>
          <w:tcPr>
            <w:tcW w:w="1729" w:type="dxa"/>
          </w:tcPr>
          <w:p>
            <w:pPr>
              <w:pStyle w:val="TableParagraph"/>
              <w:rPr>
                <w:rFonts w:ascii="Times New Roman"/>
                <w:sz w:val="16"/>
              </w:rPr>
            </w:pPr>
          </w:p>
        </w:tc>
      </w:tr>
      <w:tr>
        <w:trPr>
          <w:trHeight w:val="357" w:hRule="atLeast"/>
        </w:trPr>
        <w:tc>
          <w:tcPr>
            <w:tcW w:w="4112" w:type="dxa"/>
            <w:gridSpan w:val="4"/>
          </w:tcPr>
          <w:p>
            <w:pPr>
              <w:pStyle w:val="TableParagraph"/>
              <w:spacing w:before="58"/>
              <w:ind w:left="160"/>
              <w:rPr>
                <w:sz w:val="18"/>
              </w:rPr>
            </w:pPr>
            <w:r>
              <w:rPr>
                <w:sz w:val="18"/>
              </w:rPr>
              <w:t>局部放电（试验灵敏度 </w:t>
            </w:r>
            <w:r>
              <w:rPr>
                <w:rFonts w:ascii="Times New Roman" w:eastAsia="Times New Roman"/>
                <w:sz w:val="18"/>
              </w:rPr>
              <w:t>10pC </w:t>
            </w:r>
            <w:r>
              <w:rPr>
                <w:sz w:val="18"/>
              </w:rPr>
              <w:t>或更优，</w:t>
            </w:r>
            <w:r>
              <w:rPr>
                <w:rFonts w:ascii="Times New Roman" w:eastAsia="Times New Roman"/>
                <w:sz w:val="18"/>
              </w:rPr>
              <w:t>15kV </w:t>
            </w:r>
            <w:r>
              <w:rPr>
                <w:sz w:val="18"/>
              </w:rPr>
              <w:t>下）</w:t>
            </w:r>
          </w:p>
        </w:tc>
        <w:tc>
          <w:tcPr>
            <w:tcW w:w="1218" w:type="dxa"/>
          </w:tcPr>
          <w:p>
            <w:pPr>
              <w:pStyle w:val="TableParagraph"/>
              <w:spacing w:before="63"/>
              <w:ind w:left="273" w:right="248"/>
              <w:jc w:val="center"/>
              <w:rPr>
                <w:rFonts w:ascii="Times New Roman"/>
                <w:sz w:val="18"/>
              </w:rPr>
            </w:pPr>
            <w:r>
              <w:rPr>
                <w:rFonts w:ascii="Times New Roman"/>
                <w:sz w:val="18"/>
              </w:rPr>
              <w:t>pC</w:t>
            </w:r>
          </w:p>
        </w:tc>
        <w:tc>
          <w:tcPr>
            <w:tcW w:w="1758" w:type="dxa"/>
            <w:gridSpan w:val="2"/>
          </w:tcPr>
          <w:p>
            <w:pPr>
              <w:pStyle w:val="TableParagraph"/>
              <w:spacing w:before="58"/>
              <w:ind w:left="334"/>
              <w:rPr>
                <w:sz w:val="18"/>
              </w:rPr>
            </w:pPr>
            <w:r>
              <w:rPr>
                <w:sz w:val="18"/>
              </w:rPr>
              <w:t>无可检测放电</w:t>
            </w:r>
          </w:p>
        </w:tc>
        <w:tc>
          <w:tcPr>
            <w:tcW w:w="1729" w:type="dxa"/>
          </w:tcPr>
          <w:p>
            <w:pPr>
              <w:pStyle w:val="TableParagraph"/>
              <w:rPr>
                <w:rFonts w:ascii="Times New Roman"/>
                <w:sz w:val="16"/>
              </w:rPr>
            </w:pPr>
          </w:p>
        </w:tc>
      </w:tr>
      <w:tr>
        <w:trPr>
          <w:trHeight w:val="350" w:hRule="atLeast"/>
        </w:trPr>
        <w:tc>
          <w:tcPr>
            <w:tcW w:w="4112" w:type="dxa"/>
            <w:gridSpan w:val="4"/>
          </w:tcPr>
          <w:p>
            <w:pPr>
              <w:pStyle w:val="TableParagraph"/>
              <w:spacing w:before="40"/>
              <w:ind w:left="751"/>
              <w:rPr>
                <w:sz w:val="18"/>
              </w:rPr>
            </w:pPr>
            <w:r>
              <w:rPr>
                <w:rFonts w:ascii="Times New Roman" w:hAnsi="Times New Roman" w:eastAsia="Times New Roman"/>
                <w:sz w:val="18"/>
              </w:rPr>
              <w:t>tan</w:t>
            </w:r>
            <w:r>
              <w:rPr>
                <w:rFonts w:ascii="Symbol" w:hAnsi="Symbol" w:eastAsia="Symbol"/>
                <w:i/>
                <w:sz w:val="19"/>
              </w:rPr>
              <w:t></w:t>
            </w:r>
            <w:r>
              <w:rPr>
                <w:sz w:val="18"/>
              </w:rPr>
              <w:t>（导体温度 </w:t>
            </w:r>
            <w:r>
              <w:rPr>
                <w:rFonts w:ascii="Times New Roman" w:hAnsi="Times New Roman" w:eastAsia="Times New Roman"/>
                <w:sz w:val="18"/>
              </w:rPr>
              <w:t>95</w:t>
            </w:r>
            <w:r>
              <w:rPr>
                <w:sz w:val="18"/>
              </w:rPr>
              <w:t>℃～</w:t>
            </w:r>
            <w:r>
              <w:rPr>
                <w:rFonts w:ascii="Times New Roman" w:hAnsi="Times New Roman" w:eastAsia="Times New Roman"/>
                <w:sz w:val="18"/>
              </w:rPr>
              <w:t>100</w:t>
            </w:r>
            <w:r>
              <w:rPr>
                <w:sz w:val="18"/>
              </w:rPr>
              <w:t>℃下）</w:t>
            </w:r>
          </w:p>
        </w:tc>
        <w:tc>
          <w:tcPr>
            <w:tcW w:w="1218" w:type="dxa"/>
          </w:tcPr>
          <w:p>
            <w:pPr>
              <w:pStyle w:val="TableParagraph"/>
              <w:rPr>
                <w:rFonts w:ascii="Times New Roman"/>
                <w:sz w:val="16"/>
              </w:rPr>
            </w:pPr>
          </w:p>
        </w:tc>
        <w:tc>
          <w:tcPr>
            <w:tcW w:w="1758" w:type="dxa"/>
            <w:gridSpan w:val="2"/>
          </w:tcPr>
          <w:p>
            <w:pPr>
              <w:pStyle w:val="TableParagraph"/>
              <w:spacing w:before="50"/>
              <w:ind w:left="493"/>
              <w:rPr>
                <w:rFonts w:ascii="Times New Roman" w:hAnsi="Times New Roman"/>
                <w:sz w:val="18"/>
              </w:rPr>
            </w:pPr>
            <w:r>
              <w:rPr>
                <w:sz w:val="18"/>
              </w:rPr>
              <w:t>≤</w:t>
            </w:r>
            <w:r>
              <w:rPr>
                <w:rFonts w:ascii="Times New Roman" w:hAnsi="Times New Roman"/>
                <w:sz w:val="18"/>
              </w:rPr>
              <w:t>8</w:t>
            </w:r>
            <w:r>
              <w:rPr>
                <w:sz w:val="18"/>
              </w:rPr>
              <w:t>×</w:t>
            </w:r>
            <w:r>
              <w:rPr>
                <w:rFonts w:ascii="Times New Roman" w:hAnsi="Times New Roman"/>
                <w:sz w:val="18"/>
              </w:rPr>
              <w:t>10</w:t>
            </w:r>
            <w:r>
              <w:rPr>
                <w:rFonts w:ascii="Symbol" w:hAnsi="Symbol"/>
                <w:sz w:val="18"/>
                <w:vertAlign w:val="superscript"/>
              </w:rPr>
              <w:t></w:t>
            </w:r>
            <w:r>
              <w:rPr>
                <w:rFonts w:ascii="Times New Roman" w:hAnsi="Times New Roman"/>
                <w:sz w:val="18"/>
                <w:vertAlign w:val="superscript"/>
              </w:rPr>
              <w:t>4</w:t>
            </w:r>
          </w:p>
        </w:tc>
        <w:tc>
          <w:tcPr>
            <w:tcW w:w="1729" w:type="dxa"/>
          </w:tcPr>
          <w:p>
            <w:pPr>
              <w:pStyle w:val="TableParagraph"/>
              <w:rPr>
                <w:rFonts w:ascii="Times New Roman"/>
                <w:sz w:val="16"/>
              </w:rPr>
            </w:pPr>
          </w:p>
        </w:tc>
      </w:tr>
      <w:tr>
        <w:trPr>
          <w:trHeight w:val="357" w:hRule="atLeast"/>
        </w:trPr>
        <w:tc>
          <w:tcPr>
            <w:tcW w:w="4112" w:type="dxa"/>
            <w:gridSpan w:val="4"/>
          </w:tcPr>
          <w:p>
            <w:pPr>
              <w:pStyle w:val="TableParagraph"/>
              <w:spacing w:before="51"/>
              <w:ind w:left="665"/>
              <w:rPr>
                <w:sz w:val="18"/>
              </w:rPr>
            </w:pPr>
            <w:r>
              <w:rPr>
                <w:sz w:val="18"/>
              </w:rPr>
              <w:t>导体屏蔽层老化前后 </w:t>
            </w:r>
            <w:r>
              <w:rPr>
                <w:rFonts w:ascii="Times New Roman" w:hAnsi="Times New Roman" w:eastAsia="Times New Roman"/>
                <w:sz w:val="18"/>
              </w:rPr>
              <w:t>90</w:t>
            </w:r>
            <w:r>
              <w:rPr>
                <w:sz w:val="18"/>
              </w:rPr>
              <w:t>℃ 时电阻率</w:t>
            </w:r>
          </w:p>
        </w:tc>
        <w:tc>
          <w:tcPr>
            <w:tcW w:w="1218" w:type="dxa"/>
          </w:tcPr>
          <w:p>
            <w:pPr>
              <w:pStyle w:val="TableParagraph"/>
              <w:spacing w:before="50"/>
              <w:ind w:left="378"/>
              <w:rPr>
                <w:rFonts w:ascii="Times New Roman" w:hAnsi="Times New Roman"/>
                <w:sz w:val="18"/>
              </w:rPr>
            </w:pPr>
            <w:r>
              <w:rPr>
                <w:rFonts w:ascii="Symbol" w:hAnsi="Symbol"/>
                <w:sz w:val="18"/>
              </w:rPr>
              <w:t></w:t>
            </w:r>
            <w:r>
              <w:rPr>
                <w:sz w:val="18"/>
              </w:rPr>
              <w:t>·</w:t>
            </w:r>
            <w:r>
              <w:rPr>
                <w:rFonts w:ascii="Times New Roman" w:hAnsi="Times New Roman"/>
                <w:sz w:val="18"/>
              </w:rPr>
              <w:t>m</w:t>
            </w:r>
          </w:p>
        </w:tc>
        <w:tc>
          <w:tcPr>
            <w:tcW w:w="1758" w:type="dxa"/>
            <w:gridSpan w:val="2"/>
          </w:tcPr>
          <w:p>
            <w:pPr>
              <w:pStyle w:val="TableParagraph"/>
              <w:spacing w:before="51"/>
              <w:ind w:left="184" w:right="190"/>
              <w:jc w:val="center"/>
              <w:rPr>
                <w:rFonts w:ascii="Times New Roman" w:hAnsi="Times New Roman"/>
                <w:sz w:val="18"/>
              </w:rPr>
            </w:pPr>
            <w:r>
              <w:rPr>
                <w:sz w:val="18"/>
              </w:rPr>
              <w:t>≤</w:t>
            </w:r>
            <w:r>
              <w:rPr>
                <w:rFonts w:ascii="Times New Roman" w:hAnsi="Times New Roman"/>
                <w:sz w:val="18"/>
              </w:rPr>
              <w:t>1000</w:t>
            </w:r>
          </w:p>
        </w:tc>
        <w:tc>
          <w:tcPr>
            <w:tcW w:w="1729" w:type="dxa"/>
          </w:tcPr>
          <w:p>
            <w:pPr>
              <w:pStyle w:val="TableParagraph"/>
              <w:rPr>
                <w:rFonts w:ascii="Times New Roman"/>
                <w:sz w:val="16"/>
              </w:rPr>
            </w:pPr>
          </w:p>
        </w:tc>
      </w:tr>
      <w:tr>
        <w:trPr>
          <w:trHeight w:val="350" w:hRule="atLeast"/>
        </w:trPr>
        <w:tc>
          <w:tcPr>
            <w:tcW w:w="4112" w:type="dxa"/>
            <w:gridSpan w:val="4"/>
          </w:tcPr>
          <w:p>
            <w:pPr>
              <w:pStyle w:val="TableParagraph"/>
              <w:spacing w:before="51"/>
              <w:ind w:left="665"/>
              <w:rPr>
                <w:sz w:val="18"/>
              </w:rPr>
            </w:pPr>
            <w:r>
              <w:rPr>
                <w:sz w:val="18"/>
              </w:rPr>
              <w:t>绝缘屏蔽层老化前后 </w:t>
            </w:r>
            <w:r>
              <w:rPr>
                <w:rFonts w:ascii="Times New Roman" w:hAnsi="Times New Roman" w:eastAsia="Times New Roman"/>
                <w:sz w:val="18"/>
              </w:rPr>
              <w:t>90</w:t>
            </w:r>
            <w:r>
              <w:rPr>
                <w:sz w:val="18"/>
              </w:rPr>
              <w:t>℃ 时电阻率</w:t>
            </w:r>
          </w:p>
        </w:tc>
        <w:tc>
          <w:tcPr>
            <w:tcW w:w="1218" w:type="dxa"/>
          </w:tcPr>
          <w:p>
            <w:pPr>
              <w:pStyle w:val="TableParagraph"/>
              <w:spacing w:before="50"/>
              <w:ind w:left="378"/>
              <w:rPr>
                <w:rFonts w:ascii="Times New Roman" w:hAnsi="Times New Roman"/>
                <w:sz w:val="18"/>
              </w:rPr>
            </w:pPr>
            <w:r>
              <w:rPr>
                <w:rFonts w:ascii="Symbol" w:hAnsi="Symbol"/>
                <w:sz w:val="18"/>
              </w:rPr>
              <w:t></w:t>
            </w:r>
            <w:r>
              <w:rPr>
                <w:sz w:val="18"/>
              </w:rPr>
              <w:t>·</w:t>
            </w:r>
            <w:r>
              <w:rPr>
                <w:rFonts w:ascii="Times New Roman" w:hAnsi="Times New Roman"/>
                <w:sz w:val="18"/>
              </w:rPr>
              <w:t>m</w:t>
            </w:r>
          </w:p>
        </w:tc>
        <w:tc>
          <w:tcPr>
            <w:tcW w:w="1758" w:type="dxa"/>
            <w:gridSpan w:val="2"/>
          </w:tcPr>
          <w:p>
            <w:pPr>
              <w:pStyle w:val="TableParagraph"/>
              <w:spacing w:before="51"/>
              <w:ind w:left="184" w:right="186"/>
              <w:jc w:val="center"/>
              <w:rPr>
                <w:rFonts w:ascii="Times New Roman" w:hAnsi="Times New Roman"/>
                <w:sz w:val="18"/>
              </w:rPr>
            </w:pPr>
            <w:r>
              <w:rPr>
                <w:sz w:val="18"/>
              </w:rPr>
              <w:t>≤</w:t>
            </w:r>
            <w:r>
              <w:rPr>
                <w:rFonts w:ascii="Times New Roman" w:hAnsi="Times New Roman"/>
                <w:sz w:val="18"/>
              </w:rPr>
              <w:t>500</w:t>
            </w:r>
          </w:p>
        </w:tc>
        <w:tc>
          <w:tcPr>
            <w:tcW w:w="1729" w:type="dxa"/>
          </w:tcPr>
          <w:p>
            <w:pPr>
              <w:pStyle w:val="TableParagraph"/>
              <w:rPr>
                <w:rFonts w:ascii="Times New Roman"/>
                <w:sz w:val="16"/>
              </w:rPr>
            </w:pPr>
          </w:p>
        </w:tc>
      </w:tr>
      <w:tr>
        <w:trPr>
          <w:trHeight w:val="342" w:hRule="atLeast"/>
        </w:trPr>
        <w:tc>
          <w:tcPr>
            <w:tcW w:w="4112" w:type="dxa"/>
            <w:gridSpan w:val="4"/>
          </w:tcPr>
          <w:p>
            <w:pPr>
              <w:pStyle w:val="TableParagraph"/>
              <w:spacing w:before="36"/>
              <w:ind w:left="1335"/>
              <w:rPr>
                <w:sz w:val="18"/>
              </w:rPr>
            </w:pPr>
            <w:r>
              <w:rPr>
                <w:sz w:val="18"/>
              </w:rPr>
              <w:t>出厂工频电压试验</w:t>
            </w:r>
          </w:p>
        </w:tc>
        <w:tc>
          <w:tcPr>
            <w:tcW w:w="1218" w:type="dxa"/>
          </w:tcPr>
          <w:p>
            <w:pPr>
              <w:pStyle w:val="TableParagraph"/>
              <w:spacing w:before="48"/>
              <w:ind w:left="335"/>
              <w:rPr>
                <w:rFonts w:ascii="Times New Roman"/>
                <w:sz w:val="18"/>
              </w:rPr>
            </w:pPr>
            <w:r>
              <w:rPr>
                <w:rFonts w:ascii="Times New Roman"/>
                <w:sz w:val="18"/>
              </w:rPr>
              <w:t>kV/min</w:t>
            </w:r>
          </w:p>
        </w:tc>
        <w:tc>
          <w:tcPr>
            <w:tcW w:w="1758" w:type="dxa"/>
            <w:gridSpan w:val="2"/>
          </w:tcPr>
          <w:p>
            <w:pPr>
              <w:pStyle w:val="TableParagraph"/>
              <w:spacing w:before="48"/>
              <w:ind w:left="184" w:right="190"/>
              <w:jc w:val="center"/>
              <w:rPr>
                <w:rFonts w:ascii="Times New Roman"/>
                <w:sz w:val="18"/>
              </w:rPr>
            </w:pPr>
            <w:r>
              <w:rPr>
                <w:rFonts w:ascii="Times New Roman"/>
                <w:sz w:val="18"/>
              </w:rPr>
              <w:t>30.5/5</w:t>
            </w:r>
          </w:p>
        </w:tc>
        <w:tc>
          <w:tcPr>
            <w:tcW w:w="1729" w:type="dxa"/>
          </w:tcPr>
          <w:p>
            <w:pPr>
              <w:pStyle w:val="TableParagraph"/>
              <w:rPr>
                <w:rFonts w:ascii="Times New Roman"/>
                <w:sz w:val="16"/>
              </w:rPr>
            </w:pPr>
          </w:p>
        </w:tc>
      </w:tr>
      <w:tr>
        <w:trPr>
          <w:trHeight w:val="343" w:hRule="atLeast"/>
        </w:trPr>
        <w:tc>
          <w:tcPr>
            <w:tcW w:w="964" w:type="dxa"/>
            <w:gridSpan w:val="2"/>
            <w:vMerge w:val="restart"/>
          </w:tcPr>
          <w:p>
            <w:pPr>
              <w:pStyle w:val="TableParagraph"/>
              <w:spacing w:before="94"/>
              <w:ind w:left="211" w:right="107" w:hanging="87"/>
              <w:rPr>
                <w:sz w:val="18"/>
              </w:rPr>
            </w:pPr>
            <w:r>
              <w:rPr>
                <w:sz w:val="18"/>
              </w:rPr>
              <w:t>安装后耐压试验</w:t>
            </w:r>
          </w:p>
        </w:tc>
        <w:tc>
          <w:tcPr>
            <w:tcW w:w="3148" w:type="dxa"/>
            <w:gridSpan w:val="2"/>
          </w:tcPr>
          <w:p>
            <w:pPr>
              <w:pStyle w:val="TableParagraph"/>
              <w:spacing w:before="37"/>
              <w:ind w:left="767"/>
              <w:rPr>
                <w:sz w:val="18"/>
              </w:rPr>
            </w:pPr>
            <w:r>
              <w:rPr>
                <w:sz w:val="18"/>
              </w:rPr>
              <w:t>主绝缘交流电压试验</w:t>
            </w:r>
          </w:p>
        </w:tc>
        <w:tc>
          <w:tcPr>
            <w:tcW w:w="1218" w:type="dxa"/>
          </w:tcPr>
          <w:p>
            <w:pPr>
              <w:pStyle w:val="TableParagraph"/>
              <w:spacing w:before="49"/>
              <w:ind w:left="335"/>
              <w:rPr>
                <w:rFonts w:ascii="Times New Roman"/>
                <w:sz w:val="18"/>
              </w:rPr>
            </w:pPr>
            <w:r>
              <w:rPr>
                <w:rFonts w:ascii="Times New Roman"/>
                <w:sz w:val="18"/>
              </w:rPr>
              <w:t>kV/min</w:t>
            </w:r>
          </w:p>
        </w:tc>
        <w:tc>
          <w:tcPr>
            <w:tcW w:w="1758" w:type="dxa"/>
            <w:gridSpan w:val="2"/>
          </w:tcPr>
          <w:p>
            <w:pPr>
              <w:pStyle w:val="TableParagraph"/>
              <w:spacing w:before="37"/>
              <w:ind w:left="313"/>
              <w:rPr>
                <w:rFonts w:ascii="Times New Roman" w:eastAsia="Times New Roman"/>
                <w:sz w:val="18"/>
              </w:rPr>
            </w:pPr>
            <w:r>
              <w:rPr>
                <w:rFonts w:ascii="Times New Roman" w:eastAsia="Times New Roman"/>
                <w:sz w:val="18"/>
              </w:rPr>
              <w:t>22/5 </w:t>
            </w:r>
            <w:r>
              <w:rPr>
                <w:sz w:val="18"/>
              </w:rPr>
              <w:t>或 </w:t>
            </w:r>
            <w:r>
              <w:rPr>
                <w:rFonts w:ascii="Times New Roman" w:eastAsia="Times New Roman"/>
                <w:sz w:val="18"/>
              </w:rPr>
              <w:t>17.5/60</w:t>
            </w:r>
          </w:p>
        </w:tc>
        <w:tc>
          <w:tcPr>
            <w:tcW w:w="1729" w:type="dxa"/>
          </w:tcPr>
          <w:p>
            <w:pPr>
              <w:pStyle w:val="TableParagraph"/>
              <w:rPr>
                <w:rFonts w:ascii="Times New Roman"/>
                <w:sz w:val="16"/>
              </w:rPr>
            </w:pPr>
          </w:p>
        </w:tc>
      </w:tr>
      <w:tr>
        <w:trPr>
          <w:trHeight w:val="335" w:hRule="atLeast"/>
        </w:trPr>
        <w:tc>
          <w:tcPr>
            <w:tcW w:w="964" w:type="dxa"/>
            <w:gridSpan w:val="2"/>
            <w:vMerge/>
            <w:tcBorders>
              <w:top w:val="nil"/>
            </w:tcBorders>
          </w:tcPr>
          <w:p>
            <w:pPr>
              <w:rPr>
                <w:sz w:val="2"/>
                <w:szCs w:val="2"/>
              </w:rPr>
            </w:pPr>
          </w:p>
        </w:tc>
        <w:tc>
          <w:tcPr>
            <w:tcW w:w="3148" w:type="dxa"/>
            <w:gridSpan w:val="2"/>
          </w:tcPr>
          <w:p>
            <w:pPr>
              <w:pStyle w:val="TableParagraph"/>
              <w:spacing w:before="36"/>
              <w:ind w:left="767"/>
              <w:rPr>
                <w:sz w:val="18"/>
              </w:rPr>
            </w:pPr>
            <w:r>
              <w:rPr>
                <w:sz w:val="18"/>
              </w:rPr>
              <w:t>外护套直流耐压试验</w:t>
            </w:r>
          </w:p>
        </w:tc>
        <w:tc>
          <w:tcPr>
            <w:tcW w:w="1218" w:type="dxa"/>
          </w:tcPr>
          <w:p>
            <w:pPr>
              <w:pStyle w:val="TableParagraph"/>
              <w:spacing w:before="48"/>
              <w:ind w:left="335"/>
              <w:rPr>
                <w:rFonts w:ascii="Times New Roman"/>
                <w:sz w:val="18"/>
              </w:rPr>
            </w:pPr>
            <w:r>
              <w:rPr>
                <w:rFonts w:ascii="Times New Roman"/>
                <w:sz w:val="18"/>
              </w:rPr>
              <w:t>kV/min</w:t>
            </w:r>
          </w:p>
        </w:tc>
        <w:tc>
          <w:tcPr>
            <w:tcW w:w="1758" w:type="dxa"/>
            <w:gridSpan w:val="2"/>
          </w:tcPr>
          <w:p>
            <w:pPr>
              <w:pStyle w:val="TableParagraph"/>
              <w:spacing w:before="48"/>
              <w:ind w:left="184" w:right="185"/>
              <w:jc w:val="center"/>
              <w:rPr>
                <w:rFonts w:ascii="Times New Roman"/>
                <w:sz w:val="18"/>
              </w:rPr>
            </w:pPr>
            <w:r>
              <w:rPr>
                <w:rFonts w:ascii="Times New Roman"/>
                <w:sz w:val="18"/>
              </w:rPr>
              <w:t>10/1</w:t>
            </w:r>
          </w:p>
        </w:tc>
        <w:tc>
          <w:tcPr>
            <w:tcW w:w="1729" w:type="dxa"/>
          </w:tcPr>
          <w:p>
            <w:pPr>
              <w:pStyle w:val="TableParagraph"/>
              <w:rPr>
                <w:rFonts w:ascii="Times New Roman"/>
                <w:sz w:val="16"/>
              </w:rPr>
            </w:pPr>
          </w:p>
        </w:tc>
      </w:tr>
      <w:tr>
        <w:trPr>
          <w:trHeight w:val="371" w:hRule="atLeast"/>
        </w:trPr>
        <w:tc>
          <w:tcPr>
            <w:tcW w:w="4112" w:type="dxa"/>
            <w:gridSpan w:val="4"/>
          </w:tcPr>
          <w:p>
            <w:pPr>
              <w:pStyle w:val="TableParagraph"/>
              <w:spacing w:before="58"/>
              <w:ind w:left="1495" w:right="1480"/>
              <w:jc w:val="center"/>
              <w:rPr>
                <w:sz w:val="18"/>
              </w:rPr>
            </w:pPr>
            <w:r>
              <w:rPr>
                <w:sz w:val="18"/>
              </w:rPr>
              <w:t>电缆盘尺寸</w:t>
            </w:r>
          </w:p>
        </w:tc>
        <w:tc>
          <w:tcPr>
            <w:tcW w:w="1218" w:type="dxa"/>
          </w:tcPr>
          <w:p>
            <w:pPr>
              <w:pStyle w:val="TableParagraph"/>
              <w:spacing w:before="63"/>
              <w:ind w:left="273" w:right="249"/>
              <w:jc w:val="center"/>
              <w:rPr>
                <w:rFonts w:ascii="Times New Roman"/>
                <w:sz w:val="18"/>
              </w:rPr>
            </w:pPr>
            <w:r>
              <w:rPr>
                <w:rFonts w:ascii="Times New Roman"/>
                <w:sz w:val="18"/>
              </w:rPr>
              <w:t>mm</w:t>
            </w:r>
          </w:p>
        </w:tc>
        <w:tc>
          <w:tcPr>
            <w:tcW w:w="1758" w:type="dxa"/>
            <w:gridSpan w:val="2"/>
          </w:tcPr>
          <w:p>
            <w:pPr>
              <w:pStyle w:val="TableParagraph"/>
              <w:spacing w:before="58"/>
              <w:ind w:left="205"/>
              <w:rPr>
                <w:sz w:val="18"/>
              </w:rPr>
            </w:pPr>
            <w:r>
              <w:rPr>
                <w:sz w:val="18"/>
              </w:rPr>
              <w:t>（供货方提供）</w:t>
            </w:r>
          </w:p>
        </w:tc>
        <w:tc>
          <w:tcPr>
            <w:tcW w:w="1729" w:type="dxa"/>
          </w:tcPr>
          <w:p>
            <w:pPr>
              <w:pStyle w:val="TableParagraph"/>
              <w:rPr>
                <w:rFonts w:ascii="Times New Roman"/>
                <w:sz w:val="16"/>
              </w:rPr>
            </w:pPr>
          </w:p>
        </w:tc>
      </w:tr>
      <w:tr>
        <w:trPr>
          <w:trHeight w:val="480" w:hRule="atLeast"/>
        </w:trPr>
        <w:tc>
          <w:tcPr>
            <w:tcW w:w="4112" w:type="dxa"/>
            <w:gridSpan w:val="4"/>
          </w:tcPr>
          <w:p>
            <w:pPr>
              <w:pStyle w:val="TableParagraph"/>
              <w:spacing w:before="109"/>
              <w:ind w:left="1068"/>
              <w:rPr>
                <w:sz w:val="18"/>
              </w:rPr>
            </w:pPr>
            <w:r>
              <w:rPr>
                <w:sz w:val="18"/>
              </w:rPr>
              <w:t>电缆敷设时的最大牵引力</w:t>
            </w:r>
          </w:p>
        </w:tc>
        <w:tc>
          <w:tcPr>
            <w:tcW w:w="1218" w:type="dxa"/>
          </w:tcPr>
          <w:p>
            <w:pPr>
              <w:pStyle w:val="TableParagraph"/>
              <w:spacing w:before="114"/>
              <w:ind w:left="349"/>
              <w:rPr>
                <w:rFonts w:ascii="Times New Roman"/>
                <w:sz w:val="18"/>
              </w:rPr>
            </w:pPr>
            <w:r>
              <w:rPr>
                <w:rFonts w:ascii="Times New Roman"/>
                <w:sz w:val="18"/>
              </w:rPr>
              <w:t>N/mm</w:t>
            </w:r>
            <w:r>
              <w:rPr>
                <w:rFonts w:ascii="Times New Roman"/>
                <w:sz w:val="18"/>
                <w:vertAlign w:val="superscript"/>
              </w:rPr>
              <w:t>2</w:t>
            </w:r>
          </w:p>
        </w:tc>
        <w:tc>
          <w:tcPr>
            <w:tcW w:w="1758" w:type="dxa"/>
            <w:gridSpan w:val="2"/>
          </w:tcPr>
          <w:p>
            <w:pPr>
              <w:pStyle w:val="TableParagraph"/>
              <w:spacing w:before="114"/>
              <w:ind w:left="184" w:right="193"/>
              <w:jc w:val="center"/>
              <w:rPr>
                <w:rFonts w:ascii="Times New Roman"/>
                <w:sz w:val="18"/>
              </w:rPr>
            </w:pPr>
            <w:r>
              <w:rPr>
                <w:rFonts w:ascii="Times New Roman"/>
                <w:sz w:val="18"/>
              </w:rPr>
              <w:t>70</w:t>
            </w:r>
          </w:p>
        </w:tc>
        <w:tc>
          <w:tcPr>
            <w:tcW w:w="1729" w:type="dxa"/>
          </w:tcPr>
          <w:p>
            <w:pPr>
              <w:pStyle w:val="TableParagraph"/>
              <w:spacing w:before="109"/>
              <w:ind w:left="30" w:right="29"/>
              <w:jc w:val="center"/>
              <w:rPr>
                <w:sz w:val="18"/>
              </w:rPr>
            </w:pPr>
            <w:r>
              <w:rPr>
                <w:sz w:val="18"/>
              </w:rPr>
              <w:t>铜芯，牵引头</w:t>
            </w:r>
          </w:p>
        </w:tc>
      </w:tr>
      <w:tr>
        <w:trPr>
          <w:trHeight w:val="335" w:hRule="atLeast"/>
        </w:trPr>
        <w:tc>
          <w:tcPr>
            <w:tcW w:w="4112" w:type="dxa"/>
            <w:gridSpan w:val="4"/>
          </w:tcPr>
          <w:p>
            <w:pPr>
              <w:pStyle w:val="TableParagraph"/>
              <w:spacing w:before="36"/>
              <w:ind w:left="1068"/>
              <w:rPr>
                <w:sz w:val="18"/>
              </w:rPr>
            </w:pPr>
            <w:r>
              <w:rPr>
                <w:sz w:val="18"/>
              </w:rPr>
              <w:t>电缆敷设时的最大侧压力</w:t>
            </w:r>
          </w:p>
        </w:tc>
        <w:tc>
          <w:tcPr>
            <w:tcW w:w="1218" w:type="dxa"/>
          </w:tcPr>
          <w:p>
            <w:pPr>
              <w:pStyle w:val="TableParagraph"/>
              <w:spacing w:before="48"/>
              <w:ind w:left="266" w:right="253"/>
              <w:jc w:val="center"/>
              <w:rPr>
                <w:rFonts w:ascii="Times New Roman"/>
                <w:sz w:val="18"/>
              </w:rPr>
            </w:pPr>
            <w:r>
              <w:rPr>
                <w:rFonts w:ascii="Times New Roman"/>
                <w:sz w:val="18"/>
              </w:rPr>
              <w:t>N/m</w:t>
            </w:r>
          </w:p>
        </w:tc>
        <w:tc>
          <w:tcPr>
            <w:tcW w:w="1758" w:type="dxa"/>
            <w:gridSpan w:val="2"/>
          </w:tcPr>
          <w:p>
            <w:pPr>
              <w:pStyle w:val="TableParagraph"/>
              <w:spacing w:before="48"/>
              <w:ind w:left="184" w:right="185"/>
              <w:jc w:val="center"/>
              <w:rPr>
                <w:rFonts w:ascii="Times New Roman"/>
                <w:sz w:val="18"/>
              </w:rPr>
            </w:pPr>
            <w:r>
              <w:rPr>
                <w:rFonts w:ascii="Times New Roman"/>
                <w:sz w:val="18"/>
              </w:rPr>
              <w:t>5000</w:t>
            </w:r>
          </w:p>
        </w:tc>
        <w:tc>
          <w:tcPr>
            <w:tcW w:w="1729" w:type="dxa"/>
          </w:tcPr>
          <w:p>
            <w:pPr>
              <w:pStyle w:val="TableParagraph"/>
              <w:rPr>
                <w:rFonts w:ascii="Times New Roman"/>
                <w:sz w:val="16"/>
              </w:rPr>
            </w:pPr>
          </w:p>
        </w:tc>
      </w:tr>
      <w:tr>
        <w:trPr>
          <w:trHeight w:val="371" w:hRule="atLeast"/>
        </w:trPr>
        <w:tc>
          <w:tcPr>
            <w:tcW w:w="4112" w:type="dxa"/>
            <w:gridSpan w:val="4"/>
          </w:tcPr>
          <w:p>
            <w:pPr>
              <w:pStyle w:val="TableParagraph"/>
              <w:spacing w:before="58"/>
              <w:ind w:left="1495" w:right="1487"/>
              <w:jc w:val="center"/>
              <w:rPr>
                <w:sz w:val="18"/>
              </w:rPr>
            </w:pPr>
            <w:r>
              <w:rPr>
                <w:sz w:val="18"/>
              </w:rPr>
              <w:t>电缆质量</w:t>
            </w:r>
          </w:p>
        </w:tc>
        <w:tc>
          <w:tcPr>
            <w:tcW w:w="1218" w:type="dxa"/>
          </w:tcPr>
          <w:p>
            <w:pPr>
              <w:pStyle w:val="TableParagraph"/>
              <w:spacing w:before="63"/>
              <w:ind w:left="265" w:right="253"/>
              <w:jc w:val="center"/>
              <w:rPr>
                <w:rFonts w:ascii="Times New Roman"/>
                <w:sz w:val="18"/>
              </w:rPr>
            </w:pPr>
            <w:r>
              <w:rPr>
                <w:rFonts w:ascii="Times New Roman"/>
                <w:sz w:val="18"/>
              </w:rPr>
              <w:t>kg/m</w:t>
            </w:r>
          </w:p>
        </w:tc>
        <w:tc>
          <w:tcPr>
            <w:tcW w:w="1758" w:type="dxa"/>
            <w:gridSpan w:val="2"/>
          </w:tcPr>
          <w:p>
            <w:pPr>
              <w:pStyle w:val="TableParagraph"/>
              <w:spacing w:before="58"/>
              <w:ind w:left="205"/>
              <w:rPr>
                <w:sz w:val="18"/>
              </w:rPr>
            </w:pPr>
            <w:r>
              <w:rPr>
                <w:sz w:val="18"/>
              </w:rPr>
              <w:t>（供货方提供）</w:t>
            </w:r>
          </w:p>
        </w:tc>
        <w:tc>
          <w:tcPr>
            <w:tcW w:w="1729" w:type="dxa"/>
          </w:tcPr>
          <w:p>
            <w:pPr>
              <w:pStyle w:val="TableParagraph"/>
              <w:rPr>
                <w:rFonts w:ascii="Times New Roman"/>
                <w:sz w:val="16"/>
              </w:rPr>
            </w:pPr>
          </w:p>
        </w:tc>
      </w:tr>
      <w:tr>
        <w:trPr>
          <w:trHeight w:val="335" w:hRule="atLeast"/>
        </w:trPr>
        <w:tc>
          <w:tcPr>
            <w:tcW w:w="4112" w:type="dxa"/>
            <w:gridSpan w:val="4"/>
          </w:tcPr>
          <w:p>
            <w:pPr>
              <w:pStyle w:val="TableParagraph"/>
              <w:spacing w:before="37"/>
              <w:ind w:left="1068"/>
              <w:rPr>
                <w:sz w:val="18"/>
              </w:rPr>
            </w:pPr>
            <w:r>
              <w:rPr>
                <w:sz w:val="18"/>
              </w:rPr>
              <w:t>电缆敷设时允许环境温度</w:t>
            </w:r>
          </w:p>
        </w:tc>
        <w:tc>
          <w:tcPr>
            <w:tcW w:w="1218" w:type="dxa"/>
          </w:tcPr>
          <w:p>
            <w:pPr>
              <w:pStyle w:val="TableParagraph"/>
              <w:spacing w:before="37"/>
              <w:ind w:left="17"/>
              <w:jc w:val="center"/>
              <w:rPr>
                <w:sz w:val="18"/>
              </w:rPr>
            </w:pPr>
            <w:r>
              <w:rPr>
                <w:sz w:val="18"/>
              </w:rPr>
              <w:t>℃</w:t>
            </w:r>
          </w:p>
        </w:tc>
        <w:tc>
          <w:tcPr>
            <w:tcW w:w="1758" w:type="dxa"/>
            <w:gridSpan w:val="2"/>
          </w:tcPr>
          <w:p>
            <w:pPr>
              <w:pStyle w:val="TableParagraph"/>
              <w:spacing w:before="36"/>
              <w:ind w:left="507"/>
              <w:rPr>
                <w:rFonts w:ascii="Times New Roman" w:hAnsi="Times New Roman" w:eastAsia="Times New Roman"/>
                <w:sz w:val="18"/>
              </w:rPr>
            </w:pPr>
            <w:r>
              <w:rPr>
                <w:rFonts w:ascii="Symbol" w:hAnsi="Symbol" w:eastAsia="Symbol"/>
                <w:sz w:val="18"/>
              </w:rPr>
              <w:t></w:t>
            </w:r>
            <w:r>
              <w:rPr>
                <w:rFonts w:ascii="Times New Roman" w:hAnsi="Times New Roman" w:eastAsia="Times New Roman"/>
                <w:sz w:val="18"/>
              </w:rPr>
              <w:t>5</w:t>
            </w:r>
            <w:r>
              <w:rPr>
                <w:sz w:val="18"/>
              </w:rPr>
              <w:t>～＋</w:t>
            </w:r>
            <w:r>
              <w:rPr>
                <w:rFonts w:ascii="Times New Roman" w:hAnsi="Times New Roman" w:eastAsia="Times New Roman"/>
                <w:sz w:val="18"/>
              </w:rPr>
              <w:t>40</w:t>
            </w:r>
          </w:p>
        </w:tc>
        <w:tc>
          <w:tcPr>
            <w:tcW w:w="1729" w:type="dxa"/>
          </w:tcPr>
          <w:p>
            <w:pPr>
              <w:pStyle w:val="TableParagraph"/>
              <w:rPr>
                <w:rFonts w:ascii="Times New Roman"/>
                <w:sz w:val="16"/>
              </w:rPr>
            </w:pPr>
          </w:p>
        </w:tc>
      </w:tr>
      <w:tr>
        <w:trPr>
          <w:trHeight w:val="342" w:hRule="atLeast"/>
        </w:trPr>
        <w:tc>
          <w:tcPr>
            <w:tcW w:w="4112" w:type="dxa"/>
            <w:gridSpan w:val="4"/>
          </w:tcPr>
          <w:p>
            <w:pPr>
              <w:pStyle w:val="TableParagraph"/>
              <w:spacing w:before="44"/>
              <w:ind w:left="888"/>
              <w:rPr>
                <w:sz w:val="18"/>
              </w:rPr>
            </w:pPr>
            <w:r>
              <w:rPr>
                <w:sz w:val="18"/>
              </w:rPr>
              <w:t>电缆在正常使用条件下的寿命</w:t>
            </w:r>
          </w:p>
        </w:tc>
        <w:tc>
          <w:tcPr>
            <w:tcW w:w="1218" w:type="dxa"/>
          </w:tcPr>
          <w:p>
            <w:pPr>
              <w:pStyle w:val="TableParagraph"/>
              <w:spacing w:before="44"/>
              <w:ind w:left="17"/>
              <w:jc w:val="center"/>
              <w:rPr>
                <w:sz w:val="18"/>
              </w:rPr>
            </w:pPr>
            <w:r>
              <w:rPr>
                <w:sz w:val="18"/>
              </w:rPr>
              <w:t>年</w:t>
            </w:r>
          </w:p>
        </w:tc>
        <w:tc>
          <w:tcPr>
            <w:tcW w:w="1758" w:type="dxa"/>
            <w:gridSpan w:val="2"/>
          </w:tcPr>
          <w:p>
            <w:pPr>
              <w:pStyle w:val="TableParagraph"/>
              <w:spacing w:before="44"/>
              <w:ind w:left="184" w:right="186"/>
              <w:jc w:val="center"/>
              <w:rPr>
                <w:rFonts w:ascii="Times New Roman" w:hAnsi="Times New Roman"/>
                <w:sz w:val="18"/>
              </w:rPr>
            </w:pPr>
            <w:r>
              <w:rPr>
                <w:sz w:val="18"/>
              </w:rPr>
              <w:t>≥</w:t>
            </w:r>
            <w:r>
              <w:rPr>
                <w:rFonts w:ascii="Times New Roman" w:hAnsi="Times New Roman"/>
                <w:sz w:val="18"/>
              </w:rPr>
              <w:t>30</w:t>
            </w:r>
          </w:p>
        </w:tc>
        <w:tc>
          <w:tcPr>
            <w:tcW w:w="1729" w:type="dxa"/>
          </w:tcPr>
          <w:p>
            <w:pPr>
              <w:pStyle w:val="TableParagraph"/>
              <w:rPr>
                <w:rFonts w:ascii="Times New Roman"/>
                <w:sz w:val="16"/>
              </w:rPr>
            </w:pPr>
          </w:p>
        </w:tc>
      </w:tr>
      <w:tr>
        <w:trPr>
          <w:trHeight w:val="342" w:hRule="atLeast"/>
        </w:trPr>
        <w:tc>
          <w:tcPr>
            <w:tcW w:w="4112" w:type="dxa"/>
            <w:gridSpan w:val="4"/>
          </w:tcPr>
          <w:p>
            <w:pPr>
              <w:pStyle w:val="TableParagraph"/>
              <w:spacing w:before="44"/>
              <w:ind w:left="1495" w:right="1487"/>
              <w:jc w:val="center"/>
              <w:rPr>
                <w:sz w:val="18"/>
              </w:rPr>
            </w:pPr>
            <w:r>
              <w:rPr>
                <w:sz w:val="18"/>
              </w:rPr>
              <w:t>电缆阻燃级别</w:t>
            </w:r>
          </w:p>
        </w:tc>
        <w:tc>
          <w:tcPr>
            <w:tcW w:w="1218" w:type="dxa"/>
          </w:tcPr>
          <w:p>
            <w:pPr>
              <w:pStyle w:val="TableParagraph"/>
              <w:rPr>
                <w:rFonts w:ascii="Times New Roman"/>
                <w:sz w:val="16"/>
              </w:rPr>
            </w:pPr>
          </w:p>
        </w:tc>
        <w:tc>
          <w:tcPr>
            <w:tcW w:w="1758" w:type="dxa"/>
            <w:gridSpan w:val="2"/>
          </w:tcPr>
          <w:p>
            <w:pPr>
              <w:pStyle w:val="TableParagraph"/>
              <w:spacing w:before="44"/>
              <w:ind w:left="334"/>
              <w:rPr>
                <w:sz w:val="18"/>
              </w:rPr>
            </w:pPr>
            <w:r>
              <w:rPr>
                <w:sz w:val="18"/>
              </w:rPr>
              <w:t>按供货需求表</w:t>
            </w:r>
          </w:p>
        </w:tc>
        <w:tc>
          <w:tcPr>
            <w:tcW w:w="1729" w:type="dxa"/>
          </w:tcPr>
          <w:p>
            <w:pPr>
              <w:pStyle w:val="TableParagraph"/>
              <w:spacing w:before="44"/>
              <w:ind w:left="30" w:right="29"/>
              <w:jc w:val="center"/>
              <w:rPr>
                <w:sz w:val="18"/>
              </w:rPr>
            </w:pPr>
            <w:r>
              <w:rPr>
                <w:sz w:val="18"/>
              </w:rPr>
              <w:t>采用阻燃电缆时填写</w:t>
            </w:r>
          </w:p>
        </w:tc>
      </w:tr>
      <w:tr>
        <w:trPr>
          <w:trHeight w:val="343" w:hRule="atLeast"/>
        </w:trPr>
        <w:tc>
          <w:tcPr>
            <w:tcW w:w="8817" w:type="dxa"/>
            <w:gridSpan w:val="8"/>
          </w:tcPr>
          <w:p>
            <w:pPr>
              <w:pStyle w:val="TableParagraph"/>
              <w:spacing w:before="37"/>
              <w:ind w:left="3577" w:right="3570"/>
              <w:jc w:val="center"/>
              <w:rPr>
                <w:sz w:val="18"/>
              </w:rPr>
            </w:pPr>
            <w:r>
              <w:rPr>
                <w:sz w:val="18"/>
              </w:rPr>
              <w:t>电缆非电气技术参数</w:t>
            </w:r>
          </w:p>
        </w:tc>
      </w:tr>
      <w:tr>
        <w:trPr>
          <w:trHeight w:val="342" w:hRule="atLeast"/>
        </w:trPr>
        <w:tc>
          <w:tcPr>
            <w:tcW w:w="828"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6"/>
              <w:rPr>
                <w:sz w:val="13"/>
              </w:rPr>
            </w:pPr>
          </w:p>
          <w:p>
            <w:pPr>
              <w:pStyle w:val="TableParagraph"/>
              <w:ind w:left="232"/>
              <w:rPr>
                <w:sz w:val="18"/>
              </w:rPr>
            </w:pPr>
            <w:r>
              <w:rPr>
                <w:sz w:val="18"/>
              </w:rPr>
              <w:t>绝缘</w:t>
            </w:r>
          </w:p>
        </w:tc>
        <w:tc>
          <w:tcPr>
            <w:tcW w:w="3284" w:type="dxa"/>
            <w:gridSpan w:val="3"/>
          </w:tcPr>
          <w:p>
            <w:pPr>
              <w:pStyle w:val="TableParagraph"/>
              <w:spacing w:before="36"/>
              <w:ind w:left="744"/>
              <w:rPr>
                <w:sz w:val="18"/>
              </w:rPr>
            </w:pPr>
            <w:r>
              <w:rPr>
                <w:sz w:val="18"/>
              </w:rPr>
              <w:t>老化前抗张强度不小于</w:t>
            </w:r>
          </w:p>
        </w:tc>
        <w:tc>
          <w:tcPr>
            <w:tcW w:w="1218" w:type="dxa"/>
          </w:tcPr>
          <w:p>
            <w:pPr>
              <w:pStyle w:val="TableParagraph"/>
              <w:spacing w:before="48"/>
              <w:ind w:left="270" w:right="253"/>
              <w:jc w:val="center"/>
              <w:rPr>
                <w:rFonts w:ascii="Times New Roman"/>
                <w:sz w:val="18"/>
              </w:rPr>
            </w:pPr>
            <w:r>
              <w:rPr>
                <w:rFonts w:ascii="Times New Roman"/>
                <w:sz w:val="18"/>
              </w:rPr>
              <w:t>MPa</w:t>
            </w:r>
          </w:p>
        </w:tc>
        <w:tc>
          <w:tcPr>
            <w:tcW w:w="1758" w:type="dxa"/>
            <w:gridSpan w:val="2"/>
          </w:tcPr>
          <w:p>
            <w:pPr>
              <w:pStyle w:val="TableParagraph"/>
              <w:spacing w:before="48"/>
              <w:ind w:left="184" w:right="185"/>
              <w:jc w:val="center"/>
              <w:rPr>
                <w:rFonts w:ascii="Times New Roman"/>
                <w:sz w:val="18"/>
              </w:rPr>
            </w:pPr>
            <w:r>
              <w:rPr>
                <w:rFonts w:ascii="Times New Roman"/>
                <w:sz w:val="18"/>
              </w:rPr>
              <w:t>12.5</w:t>
            </w:r>
          </w:p>
        </w:tc>
        <w:tc>
          <w:tcPr>
            <w:tcW w:w="1729" w:type="dxa"/>
          </w:tcPr>
          <w:p>
            <w:pPr>
              <w:pStyle w:val="TableParagraph"/>
              <w:rPr>
                <w:rFonts w:ascii="Times New Roman"/>
                <w:sz w:val="16"/>
              </w:rPr>
            </w:pPr>
          </w:p>
        </w:tc>
      </w:tr>
      <w:tr>
        <w:trPr>
          <w:trHeight w:val="335" w:hRule="atLeast"/>
        </w:trPr>
        <w:tc>
          <w:tcPr>
            <w:tcW w:w="828" w:type="dxa"/>
            <w:vMerge/>
            <w:tcBorders>
              <w:top w:val="nil"/>
            </w:tcBorders>
          </w:tcPr>
          <w:p>
            <w:pPr>
              <w:rPr>
                <w:sz w:val="2"/>
                <w:szCs w:val="2"/>
              </w:rPr>
            </w:pPr>
          </w:p>
        </w:tc>
        <w:tc>
          <w:tcPr>
            <w:tcW w:w="3284" w:type="dxa"/>
            <w:gridSpan w:val="3"/>
          </w:tcPr>
          <w:p>
            <w:pPr>
              <w:pStyle w:val="TableParagraph"/>
              <w:spacing w:before="36"/>
              <w:ind w:left="651"/>
              <w:rPr>
                <w:sz w:val="18"/>
              </w:rPr>
            </w:pPr>
            <w:r>
              <w:rPr>
                <w:sz w:val="18"/>
              </w:rPr>
              <w:t>老化前断裂伸长率不小于</w:t>
            </w:r>
          </w:p>
        </w:tc>
        <w:tc>
          <w:tcPr>
            <w:tcW w:w="1218" w:type="dxa"/>
          </w:tcPr>
          <w:p>
            <w:pPr>
              <w:pStyle w:val="TableParagraph"/>
              <w:spacing w:before="48"/>
              <w:ind w:left="16"/>
              <w:jc w:val="center"/>
              <w:rPr>
                <w:rFonts w:ascii="Times New Roman"/>
                <w:sz w:val="18"/>
              </w:rPr>
            </w:pPr>
            <w:r>
              <w:rPr>
                <w:rFonts w:ascii="Times New Roman"/>
                <w:w w:val="99"/>
                <w:sz w:val="18"/>
              </w:rPr>
              <w:t>%</w:t>
            </w:r>
          </w:p>
        </w:tc>
        <w:tc>
          <w:tcPr>
            <w:tcW w:w="1758" w:type="dxa"/>
            <w:gridSpan w:val="2"/>
          </w:tcPr>
          <w:p>
            <w:pPr>
              <w:pStyle w:val="TableParagraph"/>
              <w:spacing w:before="48"/>
              <w:ind w:left="184" w:right="193"/>
              <w:jc w:val="center"/>
              <w:rPr>
                <w:rFonts w:ascii="Times New Roman"/>
                <w:sz w:val="18"/>
              </w:rPr>
            </w:pPr>
            <w:r>
              <w:rPr>
                <w:rFonts w:ascii="Times New Roman"/>
                <w:sz w:val="18"/>
              </w:rPr>
              <w:t>200</w:t>
            </w:r>
          </w:p>
        </w:tc>
        <w:tc>
          <w:tcPr>
            <w:tcW w:w="1729" w:type="dxa"/>
          </w:tcPr>
          <w:p>
            <w:pPr>
              <w:pStyle w:val="TableParagraph"/>
              <w:rPr>
                <w:rFonts w:ascii="Times New Roman"/>
                <w:sz w:val="16"/>
              </w:rPr>
            </w:pPr>
          </w:p>
        </w:tc>
      </w:tr>
      <w:tr>
        <w:trPr>
          <w:trHeight w:val="343" w:hRule="atLeast"/>
        </w:trPr>
        <w:tc>
          <w:tcPr>
            <w:tcW w:w="828" w:type="dxa"/>
            <w:vMerge/>
            <w:tcBorders>
              <w:top w:val="nil"/>
            </w:tcBorders>
          </w:tcPr>
          <w:p>
            <w:pPr>
              <w:rPr>
                <w:sz w:val="2"/>
                <w:szCs w:val="2"/>
              </w:rPr>
            </w:pPr>
          </w:p>
        </w:tc>
        <w:tc>
          <w:tcPr>
            <w:tcW w:w="3284" w:type="dxa"/>
            <w:gridSpan w:val="3"/>
          </w:tcPr>
          <w:p>
            <w:pPr>
              <w:pStyle w:val="TableParagraph"/>
              <w:spacing w:before="44"/>
              <w:ind w:left="471"/>
              <w:rPr>
                <w:sz w:val="18"/>
              </w:rPr>
            </w:pPr>
            <w:r>
              <w:rPr>
                <w:sz w:val="18"/>
              </w:rPr>
              <w:t>老化后抗张强度变化率不超过</w:t>
            </w:r>
          </w:p>
        </w:tc>
        <w:tc>
          <w:tcPr>
            <w:tcW w:w="1218" w:type="dxa"/>
          </w:tcPr>
          <w:p>
            <w:pPr>
              <w:pStyle w:val="TableParagraph"/>
              <w:spacing w:before="56"/>
              <w:ind w:left="16"/>
              <w:jc w:val="center"/>
              <w:rPr>
                <w:rFonts w:ascii="Times New Roman"/>
                <w:sz w:val="18"/>
              </w:rPr>
            </w:pPr>
            <w:r>
              <w:rPr>
                <w:rFonts w:ascii="Times New Roman"/>
                <w:w w:val="99"/>
                <w:sz w:val="18"/>
              </w:rPr>
              <w:t>%</w:t>
            </w:r>
          </w:p>
        </w:tc>
        <w:tc>
          <w:tcPr>
            <w:tcW w:w="1758" w:type="dxa"/>
            <w:gridSpan w:val="2"/>
          </w:tcPr>
          <w:p>
            <w:pPr>
              <w:pStyle w:val="TableParagraph"/>
              <w:spacing w:before="44"/>
              <w:ind w:left="184" w:right="186"/>
              <w:jc w:val="center"/>
              <w:rPr>
                <w:rFonts w:ascii="Times New Roman" w:hAnsi="Times New Roman"/>
                <w:sz w:val="18"/>
              </w:rPr>
            </w:pPr>
            <w:r>
              <w:rPr>
                <w:sz w:val="18"/>
              </w:rPr>
              <w:t>±</w:t>
            </w:r>
            <w:r>
              <w:rPr>
                <w:rFonts w:ascii="Times New Roman" w:hAnsi="Times New Roman"/>
                <w:sz w:val="18"/>
              </w:rPr>
              <w:t>25</w:t>
            </w:r>
          </w:p>
        </w:tc>
        <w:tc>
          <w:tcPr>
            <w:tcW w:w="1729" w:type="dxa"/>
          </w:tcPr>
          <w:p>
            <w:pPr>
              <w:pStyle w:val="TableParagraph"/>
              <w:rPr>
                <w:rFonts w:ascii="Times New Roman"/>
                <w:sz w:val="16"/>
              </w:rPr>
            </w:pPr>
          </w:p>
        </w:tc>
      </w:tr>
      <w:tr>
        <w:trPr>
          <w:trHeight w:val="342" w:hRule="atLeast"/>
        </w:trPr>
        <w:tc>
          <w:tcPr>
            <w:tcW w:w="828" w:type="dxa"/>
            <w:vMerge/>
            <w:tcBorders>
              <w:top w:val="nil"/>
            </w:tcBorders>
          </w:tcPr>
          <w:p>
            <w:pPr>
              <w:rPr>
                <w:sz w:val="2"/>
                <w:szCs w:val="2"/>
              </w:rPr>
            </w:pPr>
          </w:p>
        </w:tc>
        <w:tc>
          <w:tcPr>
            <w:tcW w:w="3284" w:type="dxa"/>
            <w:gridSpan w:val="3"/>
          </w:tcPr>
          <w:p>
            <w:pPr>
              <w:pStyle w:val="TableParagraph"/>
              <w:spacing w:before="44"/>
              <w:ind w:left="384"/>
              <w:rPr>
                <w:sz w:val="18"/>
              </w:rPr>
            </w:pPr>
            <w:r>
              <w:rPr>
                <w:sz w:val="18"/>
              </w:rPr>
              <w:t>老化后断裂伸长率变化率不超过</w:t>
            </w:r>
          </w:p>
        </w:tc>
        <w:tc>
          <w:tcPr>
            <w:tcW w:w="1218" w:type="dxa"/>
          </w:tcPr>
          <w:p>
            <w:pPr>
              <w:pStyle w:val="TableParagraph"/>
              <w:spacing w:before="55"/>
              <w:ind w:left="16"/>
              <w:jc w:val="center"/>
              <w:rPr>
                <w:rFonts w:ascii="Times New Roman"/>
                <w:sz w:val="18"/>
              </w:rPr>
            </w:pPr>
            <w:r>
              <w:rPr>
                <w:rFonts w:ascii="Times New Roman"/>
                <w:w w:val="99"/>
                <w:sz w:val="18"/>
              </w:rPr>
              <w:t>%</w:t>
            </w:r>
          </w:p>
        </w:tc>
        <w:tc>
          <w:tcPr>
            <w:tcW w:w="1758" w:type="dxa"/>
            <w:gridSpan w:val="2"/>
          </w:tcPr>
          <w:p>
            <w:pPr>
              <w:pStyle w:val="TableParagraph"/>
              <w:spacing w:before="44"/>
              <w:ind w:left="184" w:right="186"/>
              <w:jc w:val="center"/>
              <w:rPr>
                <w:rFonts w:ascii="Times New Roman" w:hAnsi="Times New Roman"/>
                <w:sz w:val="18"/>
              </w:rPr>
            </w:pPr>
            <w:r>
              <w:rPr>
                <w:sz w:val="18"/>
              </w:rPr>
              <w:t>±</w:t>
            </w:r>
            <w:r>
              <w:rPr>
                <w:rFonts w:ascii="Times New Roman" w:hAnsi="Times New Roman"/>
                <w:sz w:val="18"/>
              </w:rPr>
              <w:t>25</w:t>
            </w:r>
          </w:p>
        </w:tc>
        <w:tc>
          <w:tcPr>
            <w:tcW w:w="1729" w:type="dxa"/>
          </w:tcPr>
          <w:p>
            <w:pPr>
              <w:pStyle w:val="TableParagraph"/>
              <w:rPr>
                <w:rFonts w:ascii="Times New Roman"/>
                <w:sz w:val="16"/>
              </w:rPr>
            </w:pPr>
          </w:p>
        </w:tc>
      </w:tr>
      <w:tr>
        <w:trPr>
          <w:trHeight w:val="342" w:hRule="atLeast"/>
        </w:trPr>
        <w:tc>
          <w:tcPr>
            <w:tcW w:w="828" w:type="dxa"/>
            <w:vMerge/>
            <w:tcBorders>
              <w:top w:val="nil"/>
            </w:tcBorders>
          </w:tcPr>
          <w:p>
            <w:pPr>
              <w:rPr>
                <w:sz w:val="2"/>
                <w:szCs w:val="2"/>
              </w:rPr>
            </w:pPr>
          </w:p>
        </w:tc>
        <w:tc>
          <w:tcPr>
            <w:tcW w:w="3284" w:type="dxa"/>
            <w:gridSpan w:val="3"/>
          </w:tcPr>
          <w:p>
            <w:pPr>
              <w:pStyle w:val="TableParagraph"/>
              <w:spacing w:before="36"/>
              <w:ind w:left="204"/>
              <w:rPr>
                <w:sz w:val="18"/>
              </w:rPr>
            </w:pPr>
            <w:r>
              <w:rPr>
                <w:sz w:val="18"/>
              </w:rPr>
              <w:t>电缆段老化后抗张强度变化率不超过</w:t>
            </w:r>
          </w:p>
        </w:tc>
        <w:tc>
          <w:tcPr>
            <w:tcW w:w="1218" w:type="dxa"/>
          </w:tcPr>
          <w:p>
            <w:pPr>
              <w:pStyle w:val="TableParagraph"/>
              <w:spacing w:before="48"/>
              <w:ind w:left="16"/>
              <w:jc w:val="center"/>
              <w:rPr>
                <w:rFonts w:ascii="Times New Roman"/>
                <w:sz w:val="18"/>
              </w:rPr>
            </w:pPr>
            <w:r>
              <w:rPr>
                <w:rFonts w:ascii="Times New Roman"/>
                <w:w w:val="99"/>
                <w:sz w:val="18"/>
              </w:rPr>
              <w:t>%</w:t>
            </w:r>
          </w:p>
        </w:tc>
        <w:tc>
          <w:tcPr>
            <w:tcW w:w="1758" w:type="dxa"/>
            <w:gridSpan w:val="2"/>
          </w:tcPr>
          <w:p>
            <w:pPr>
              <w:pStyle w:val="TableParagraph"/>
              <w:spacing w:before="36"/>
              <w:ind w:left="184" w:right="186"/>
              <w:jc w:val="center"/>
              <w:rPr>
                <w:rFonts w:ascii="Times New Roman" w:hAnsi="Times New Roman"/>
                <w:sz w:val="18"/>
              </w:rPr>
            </w:pPr>
            <w:r>
              <w:rPr>
                <w:sz w:val="18"/>
              </w:rPr>
              <w:t>±</w:t>
            </w:r>
            <w:r>
              <w:rPr>
                <w:rFonts w:ascii="Times New Roman" w:hAnsi="Times New Roman"/>
                <w:sz w:val="18"/>
              </w:rPr>
              <w:t>25</w:t>
            </w:r>
          </w:p>
        </w:tc>
        <w:tc>
          <w:tcPr>
            <w:tcW w:w="1729" w:type="dxa"/>
          </w:tcPr>
          <w:p>
            <w:pPr>
              <w:pStyle w:val="TableParagraph"/>
              <w:rPr>
                <w:rFonts w:ascii="Times New Roman"/>
                <w:sz w:val="16"/>
              </w:rPr>
            </w:pPr>
          </w:p>
        </w:tc>
      </w:tr>
      <w:tr>
        <w:trPr>
          <w:trHeight w:val="343" w:hRule="atLeast"/>
        </w:trPr>
        <w:tc>
          <w:tcPr>
            <w:tcW w:w="828" w:type="dxa"/>
            <w:vMerge/>
            <w:tcBorders>
              <w:top w:val="nil"/>
            </w:tcBorders>
          </w:tcPr>
          <w:p>
            <w:pPr>
              <w:rPr>
                <w:sz w:val="2"/>
                <w:szCs w:val="2"/>
              </w:rPr>
            </w:pPr>
          </w:p>
        </w:tc>
        <w:tc>
          <w:tcPr>
            <w:tcW w:w="3284" w:type="dxa"/>
            <w:gridSpan w:val="3"/>
          </w:tcPr>
          <w:p>
            <w:pPr>
              <w:pStyle w:val="TableParagraph"/>
              <w:spacing w:before="37"/>
              <w:ind w:left="110"/>
              <w:rPr>
                <w:sz w:val="18"/>
              </w:rPr>
            </w:pPr>
            <w:r>
              <w:rPr>
                <w:sz w:val="18"/>
              </w:rPr>
              <w:t>电缆段老化后断裂伸长率变化率不超过</w:t>
            </w:r>
          </w:p>
        </w:tc>
        <w:tc>
          <w:tcPr>
            <w:tcW w:w="1218" w:type="dxa"/>
          </w:tcPr>
          <w:p>
            <w:pPr>
              <w:pStyle w:val="TableParagraph"/>
              <w:spacing w:before="49"/>
              <w:ind w:left="16"/>
              <w:jc w:val="center"/>
              <w:rPr>
                <w:rFonts w:ascii="Times New Roman"/>
                <w:sz w:val="18"/>
              </w:rPr>
            </w:pPr>
            <w:r>
              <w:rPr>
                <w:rFonts w:ascii="Times New Roman"/>
                <w:w w:val="99"/>
                <w:sz w:val="18"/>
              </w:rPr>
              <w:t>%</w:t>
            </w:r>
          </w:p>
        </w:tc>
        <w:tc>
          <w:tcPr>
            <w:tcW w:w="1758" w:type="dxa"/>
            <w:gridSpan w:val="2"/>
          </w:tcPr>
          <w:p>
            <w:pPr>
              <w:pStyle w:val="TableParagraph"/>
              <w:spacing w:before="37"/>
              <w:ind w:left="184" w:right="186"/>
              <w:jc w:val="center"/>
              <w:rPr>
                <w:rFonts w:ascii="Times New Roman" w:hAnsi="Times New Roman"/>
                <w:sz w:val="18"/>
              </w:rPr>
            </w:pPr>
            <w:r>
              <w:rPr>
                <w:sz w:val="18"/>
              </w:rPr>
              <w:t>±</w:t>
            </w:r>
            <w:r>
              <w:rPr>
                <w:rFonts w:ascii="Times New Roman" w:hAnsi="Times New Roman"/>
                <w:sz w:val="18"/>
              </w:rPr>
              <w:t>25</w:t>
            </w:r>
          </w:p>
        </w:tc>
        <w:tc>
          <w:tcPr>
            <w:tcW w:w="1729" w:type="dxa"/>
          </w:tcPr>
          <w:p>
            <w:pPr>
              <w:pStyle w:val="TableParagraph"/>
              <w:rPr>
                <w:rFonts w:ascii="Times New Roman"/>
                <w:sz w:val="16"/>
              </w:rPr>
            </w:pPr>
          </w:p>
        </w:tc>
      </w:tr>
      <w:tr>
        <w:trPr>
          <w:trHeight w:val="342" w:hRule="atLeast"/>
        </w:trPr>
        <w:tc>
          <w:tcPr>
            <w:tcW w:w="828" w:type="dxa"/>
            <w:vMerge/>
            <w:tcBorders>
              <w:top w:val="nil"/>
            </w:tcBorders>
          </w:tcPr>
          <w:p>
            <w:pPr>
              <w:rPr>
                <w:sz w:val="2"/>
                <w:szCs w:val="2"/>
              </w:rPr>
            </w:pPr>
          </w:p>
        </w:tc>
        <w:tc>
          <w:tcPr>
            <w:tcW w:w="3284" w:type="dxa"/>
            <w:gridSpan w:val="3"/>
          </w:tcPr>
          <w:p>
            <w:pPr>
              <w:pStyle w:val="TableParagraph"/>
              <w:spacing w:before="36"/>
              <w:ind w:left="831"/>
              <w:rPr>
                <w:sz w:val="18"/>
              </w:rPr>
            </w:pPr>
            <w:r>
              <w:rPr>
                <w:sz w:val="18"/>
              </w:rPr>
              <w:t>绝缘收缩试验不大于</w:t>
            </w:r>
          </w:p>
        </w:tc>
        <w:tc>
          <w:tcPr>
            <w:tcW w:w="1218" w:type="dxa"/>
          </w:tcPr>
          <w:p>
            <w:pPr>
              <w:pStyle w:val="TableParagraph"/>
              <w:spacing w:before="48"/>
              <w:ind w:left="16"/>
              <w:jc w:val="center"/>
              <w:rPr>
                <w:rFonts w:ascii="Times New Roman"/>
                <w:sz w:val="18"/>
              </w:rPr>
            </w:pPr>
            <w:r>
              <w:rPr>
                <w:rFonts w:ascii="Times New Roman"/>
                <w:w w:val="99"/>
                <w:sz w:val="18"/>
              </w:rPr>
              <w:t>%</w:t>
            </w:r>
          </w:p>
        </w:tc>
        <w:tc>
          <w:tcPr>
            <w:tcW w:w="1758" w:type="dxa"/>
            <w:gridSpan w:val="2"/>
          </w:tcPr>
          <w:p>
            <w:pPr>
              <w:pStyle w:val="TableParagraph"/>
              <w:spacing w:before="48"/>
              <w:ind w:left="6"/>
              <w:jc w:val="center"/>
              <w:rPr>
                <w:rFonts w:ascii="Times New Roman"/>
                <w:sz w:val="18"/>
              </w:rPr>
            </w:pPr>
            <w:r>
              <w:rPr>
                <w:rFonts w:ascii="Times New Roman"/>
                <w:sz w:val="18"/>
              </w:rPr>
              <w:t>4</w:t>
            </w:r>
          </w:p>
        </w:tc>
        <w:tc>
          <w:tcPr>
            <w:tcW w:w="1729" w:type="dxa"/>
          </w:tcPr>
          <w:p>
            <w:pPr>
              <w:pStyle w:val="TableParagraph"/>
              <w:rPr>
                <w:rFonts w:ascii="Times New Roman"/>
                <w:sz w:val="16"/>
              </w:rPr>
            </w:pPr>
          </w:p>
        </w:tc>
      </w:tr>
      <w:tr>
        <w:trPr>
          <w:trHeight w:val="335" w:hRule="atLeast"/>
        </w:trPr>
        <w:tc>
          <w:tcPr>
            <w:tcW w:w="828" w:type="dxa"/>
            <w:vMerge w:val="restart"/>
          </w:tcPr>
          <w:p>
            <w:pPr>
              <w:pStyle w:val="TableParagraph"/>
              <w:spacing w:before="4"/>
              <w:rPr>
                <w:sz w:val="16"/>
              </w:rPr>
            </w:pPr>
          </w:p>
          <w:p>
            <w:pPr>
              <w:pStyle w:val="TableParagraph"/>
              <w:ind w:left="232"/>
              <w:rPr>
                <w:sz w:val="18"/>
              </w:rPr>
            </w:pPr>
            <w:r>
              <w:rPr>
                <w:sz w:val="18"/>
              </w:rPr>
              <w:t>绝缘</w:t>
            </w:r>
          </w:p>
        </w:tc>
        <w:tc>
          <w:tcPr>
            <w:tcW w:w="1267" w:type="dxa"/>
            <w:gridSpan w:val="2"/>
            <w:vMerge w:val="restart"/>
          </w:tcPr>
          <w:p>
            <w:pPr>
              <w:pStyle w:val="TableParagraph"/>
              <w:spacing w:before="4"/>
              <w:rPr>
                <w:sz w:val="16"/>
              </w:rPr>
            </w:pPr>
          </w:p>
          <w:p>
            <w:pPr>
              <w:pStyle w:val="TableParagraph"/>
              <w:ind w:left="363"/>
              <w:rPr>
                <w:sz w:val="18"/>
              </w:rPr>
            </w:pPr>
            <w:r>
              <w:rPr>
                <w:sz w:val="18"/>
              </w:rPr>
              <w:t>热延伸</w:t>
            </w:r>
          </w:p>
        </w:tc>
        <w:tc>
          <w:tcPr>
            <w:tcW w:w="2017" w:type="dxa"/>
          </w:tcPr>
          <w:p>
            <w:pPr>
              <w:pStyle w:val="TableParagraph"/>
              <w:spacing w:before="36"/>
              <w:ind w:left="9"/>
              <w:jc w:val="center"/>
              <w:rPr>
                <w:sz w:val="18"/>
              </w:rPr>
            </w:pPr>
            <w:r>
              <w:rPr>
                <w:sz w:val="18"/>
              </w:rPr>
              <w:t>负荷下伸长率不大于</w:t>
            </w:r>
          </w:p>
        </w:tc>
        <w:tc>
          <w:tcPr>
            <w:tcW w:w="1218" w:type="dxa"/>
          </w:tcPr>
          <w:p>
            <w:pPr>
              <w:pStyle w:val="TableParagraph"/>
              <w:spacing w:before="48"/>
              <w:ind w:left="16"/>
              <w:jc w:val="center"/>
              <w:rPr>
                <w:rFonts w:ascii="Times New Roman"/>
                <w:sz w:val="18"/>
              </w:rPr>
            </w:pPr>
            <w:r>
              <w:rPr>
                <w:rFonts w:ascii="Times New Roman"/>
                <w:w w:val="99"/>
                <w:sz w:val="18"/>
              </w:rPr>
              <w:t>%</w:t>
            </w:r>
          </w:p>
        </w:tc>
        <w:tc>
          <w:tcPr>
            <w:tcW w:w="1758" w:type="dxa"/>
            <w:gridSpan w:val="2"/>
          </w:tcPr>
          <w:p>
            <w:pPr>
              <w:pStyle w:val="TableParagraph"/>
              <w:spacing w:before="48"/>
              <w:ind w:left="184" w:right="193"/>
              <w:jc w:val="center"/>
              <w:rPr>
                <w:rFonts w:ascii="Times New Roman"/>
                <w:sz w:val="18"/>
              </w:rPr>
            </w:pPr>
            <w:r>
              <w:rPr>
                <w:rFonts w:ascii="Times New Roman"/>
                <w:sz w:val="18"/>
              </w:rPr>
              <w:t>125</w:t>
            </w:r>
          </w:p>
        </w:tc>
        <w:tc>
          <w:tcPr>
            <w:tcW w:w="1729" w:type="dxa"/>
          </w:tcPr>
          <w:p>
            <w:pPr>
              <w:pStyle w:val="TableParagraph"/>
              <w:rPr>
                <w:rFonts w:ascii="Times New Roman"/>
                <w:sz w:val="16"/>
              </w:rPr>
            </w:pPr>
          </w:p>
        </w:tc>
      </w:tr>
      <w:tr>
        <w:trPr>
          <w:trHeight w:val="343" w:hRule="atLeast"/>
        </w:trPr>
        <w:tc>
          <w:tcPr>
            <w:tcW w:w="828" w:type="dxa"/>
            <w:vMerge/>
            <w:tcBorders>
              <w:top w:val="nil"/>
            </w:tcBorders>
          </w:tcPr>
          <w:p>
            <w:pPr>
              <w:rPr>
                <w:sz w:val="2"/>
                <w:szCs w:val="2"/>
              </w:rPr>
            </w:pPr>
          </w:p>
        </w:tc>
        <w:tc>
          <w:tcPr>
            <w:tcW w:w="1267" w:type="dxa"/>
            <w:gridSpan w:val="2"/>
            <w:vMerge/>
            <w:tcBorders>
              <w:top w:val="nil"/>
            </w:tcBorders>
          </w:tcPr>
          <w:p>
            <w:pPr>
              <w:rPr>
                <w:sz w:val="2"/>
                <w:szCs w:val="2"/>
              </w:rPr>
            </w:pPr>
          </w:p>
        </w:tc>
        <w:tc>
          <w:tcPr>
            <w:tcW w:w="2017" w:type="dxa"/>
          </w:tcPr>
          <w:p>
            <w:pPr>
              <w:pStyle w:val="TableParagraph"/>
              <w:spacing w:before="44"/>
              <w:ind w:left="9"/>
              <w:jc w:val="center"/>
              <w:rPr>
                <w:sz w:val="18"/>
              </w:rPr>
            </w:pPr>
            <w:r>
              <w:rPr>
                <w:sz w:val="18"/>
              </w:rPr>
              <w:t>冷却后永久伸长率不大于</w:t>
            </w:r>
          </w:p>
        </w:tc>
        <w:tc>
          <w:tcPr>
            <w:tcW w:w="1218" w:type="dxa"/>
          </w:tcPr>
          <w:p>
            <w:pPr>
              <w:pStyle w:val="TableParagraph"/>
              <w:spacing w:before="55"/>
              <w:ind w:left="16"/>
              <w:jc w:val="center"/>
              <w:rPr>
                <w:rFonts w:ascii="Times New Roman"/>
                <w:sz w:val="18"/>
              </w:rPr>
            </w:pPr>
            <w:r>
              <w:rPr>
                <w:rFonts w:ascii="Times New Roman"/>
                <w:w w:val="99"/>
                <w:sz w:val="18"/>
              </w:rPr>
              <w:t>%</w:t>
            </w:r>
          </w:p>
        </w:tc>
        <w:tc>
          <w:tcPr>
            <w:tcW w:w="1758" w:type="dxa"/>
            <w:gridSpan w:val="2"/>
          </w:tcPr>
          <w:p>
            <w:pPr>
              <w:pStyle w:val="TableParagraph"/>
              <w:spacing w:before="55"/>
              <w:ind w:left="184" w:right="193"/>
              <w:jc w:val="center"/>
              <w:rPr>
                <w:rFonts w:ascii="Times New Roman"/>
                <w:sz w:val="18"/>
              </w:rPr>
            </w:pPr>
            <w:r>
              <w:rPr>
                <w:rFonts w:ascii="Times New Roman"/>
                <w:sz w:val="18"/>
              </w:rPr>
              <w:t>10</w:t>
            </w:r>
          </w:p>
        </w:tc>
        <w:tc>
          <w:tcPr>
            <w:tcW w:w="1729" w:type="dxa"/>
          </w:tcPr>
          <w:p>
            <w:pPr>
              <w:pStyle w:val="TableParagraph"/>
              <w:rPr>
                <w:rFonts w:ascii="Times New Roman"/>
                <w:sz w:val="16"/>
              </w:rPr>
            </w:pPr>
          </w:p>
        </w:tc>
      </w:tr>
      <w:tr>
        <w:trPr>
          <w:trHeight w:val="314" w:hRule="atLeast"/>
        </w:trPr>
        <w:tc>
          <w:tcPr>
            <w:tcW w:w="828"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58"/>
              <w:ind w:left="146"/>
              <w:rPr>
                <w:sz w:val="18"/>
              </w:rPr>
            </w:pPr>
            <w:r>
              <w:rPr>
                <w:sz w:val="18"/>
              </w:rPr>
              <w:t>外护套</w:t>
            </w:r>
          </w:p>
        </w:tc>
        <w:tc>
          <w:tcPr>
            <w:tcW w:w="4502" w:type="dxa"/>
            <w:gridSpan w:val="4"/>
          </w:tcPr>
          <w:p>
            <w:pPr>
              <w:pStyle w:val="TableParagraph"/>
              <w:rPr>
                <w:rFonts w:ascii="Times New Roman"/>
                <w:sz w:val="16"/>
              </w:rPr>
            </w:pPr>
          </w:p>
        </w:tc>
        <w:tc>
          <w:tcPr>
            <w:tcW w:w="879" w:type="dxa"/>
          </w:tcPr>
          <w:p>
            <w:pPr>
              <w:pStyle w:val="TableParagraph"/>
              <w:spacing w:before="41"/>
              <w:ind w:left="95" w:right="95"/>
              <w:jc w:val="center"/>
              <w:rPr>
                <w:rFonts w:ascii="Times New Roman"/>
                <w:sz w:val="18"/>
              </w:rPr>
            </w:pPr>
            <w:r>
              <w:rPr>
                <w:rFonts w:ascii="Times New Roman"/>
                <w:sz w:val="18"/>
              </w:rPr>
              <w:t>PE</w:t>
            </w:r>
          </w:p>
        </w:tc>
        <w:tc>
          <w:tcPr>
            <w:tcW w:w="879" w:type="dxa"/>
          </w:tcPr>
          <w:p>
            <w:pPr>
              <w:pStyle w:val="TableParagraph"/>
              <w:spacing w:before="41"/>
              <w:ind w:left="262"/>
              <w:rPr>
                <w:rFonts w:ascii="Times New Roman"/>
                <w:sz w:val="18"/>
              </w:rPr>
            </w:pPr>
            <w:r>
              <w:rPr>
                <w:rFonts w:ascii="Times New Roman"/>
                <w:sz w:val="18"/>
              </w:rPr>
              <w:t>PVC</w:t>
            </w:r>
          </w:p>
        </w:tc>
        <w:tc>
          <w:tcPr>
            <w:tcW w:w="1729" w:type="dxa"/>
          </w:tcPr>
          <w:p>
            <w:pPr>
              <w:pStyle w:val="TableParagraph"/>
              <w:rPr>
                <w:rFonts w:ascii="Times New Roman"/>
                <w:sz w:val="16"/>
              </w:rPr>
            </w:pPr>
          </w:p>
        </w:tc>
      </w:tr>
      <w:tr>
        <w:trPr>
          <w:trHeight w:val="342" w:hRule="atLeast"/>
        </w:trPr>
        <w:tc>
          <w:tcPr>
            <w:tcW w:w="828" w:type="dxa"/>
            <w:vMerge/>
            <w:tcBorders>
              <w:top w:val="nil"/>
            </w:tcBorders>
          </w:tcPr>
          <w:p>
            <w:pPr>
              <w:rPr>
                <w:sz w:val="2"/>
                <w:szCs w:val="2"/>
              </w:rPr>
            </w:pPr>
          </w:p>
        </w:tc>
        <w:tc>
          <w:tcPr>
            <w:tcW w:w="3284" w:type="dxa"/>
            <w:gridSpan w:val="3"/>
          </w:tcPr>
          <w:p>
            <w:pPr>
              <w:pStyle w:val="TableParagraph"/>
              <w:spacing w:before="43"/>
              <w:ind w:left="744"/>
              <w:rPr>
                <w:sz w:val="18"/>
              </w:rPr>
            </w:pPr>
            <w:r>
              <w:rPr>
                <w:sz w:val="18"/>
              </w:rPr>
              <w:t>老化前抗张强度不小于</w:t>
            </w:r>
          </w:p>
        </w:tc>
        <w:tc>
          <w:tcPr>
            <w:tcW w:w="1218" w:type="dxa"/>
          </w:tcPr>
          <w:p>
            <w:pPr>
              <w:pStyle w:val="TableParagraph"/>
              <w:spacing w:before="55"/>
              <w:ind w:left="270" w:right="253"/>
              <w:jc w:val="center"/>
              <w:rPr>
                <w:rFonts w:ascii="Times New Roman"/>
                <w:sz w:val="18"/>
              </w:rPr>
            </w:pPr>
            <w:r>
              <w:rPr>
                <w:rFonts w:ascii="Times New Roman"/>
                <w:sz w:val="18"/>
              </w:rPr>
              <w:t>MPa</w:t>
            </w:r>
          </w:p>
        </w:tc>
        <w:tc>
          <w:tcPr>
            <w:tcW w:w="879" w:type="dxa"/>
          </w:tcPr>
          <w:p>
            <w:pPr>
              <w:pStyle w:val="TableParagraph"/>
              <w:spacing w:before="55"/>
              <w:ind w:left="277"/>
              <w:rPr>
                <w:rFonts w:ascii="Times New Roman"/>
                <w:sz w:val="18"/>
              </w:rPr>
            </w:pPr>
            <w:r>
              <w:rPr>
                <w:rFonts w:ascii="Times New Roman"/>
                <w:sz w:val="18"/>
              </w:rPr>
              <w:t>10.0</w:t>
            </w:r>
          </w:p>
        </w:tc>
        <w:tc>
          <w:tcPr>
            <w:tcW w:w="879" w:type="dxa"/>
          </w:tcPr>
          <w:p>
            <w:pPr>
              <w:pStyle w:val="TableParagraph"/>
              <w:spacing w:before="55"/>
              <w:ind w:left="284"/>
              <w:rPr>
                <w:rFonts w:ascii="Times New Roman"/>
                <w:sz w:val="18"/>
              </w:rPr>
            </w:pPr>
            <w:r>
              <w:rPr>
                <w:rFonts w:ascii="Times New Roman"/>
                <w:sz w:val="18"/>
              </w:rPr>
              <w:t>12.5</w:t>
            </w:r>
          </w:p>
        </w:tc>
        <w:tc>
          <w:tcPr>
            <w:tcW w:w="1729" w:type="dxa"/>
          </w:tcPr>
          <w:p>
            <w:pPr>
              <w:pStyle w:val="TableParagraph"/>
              <w:rPr>
                <w:rFonts w:ascii="Times New Roman"/>
                <w:sz w:val="16"/>
              </w:rPr>
            </w:pPr>
          </w:p>
        </w:tc>
      </w:tr>
      <w:tr>
        <w:trPr>
          <w:trHeight w:val="342" w:hRule="atLeast"/>
        </w:trPr>
        <w:tc>
          <w:tcPr>
            <w:tcW w:w="828" w:type="dxa"/>
            <w:vMerge/>
            <w:tcBorders>
              <w:top w:val="nil"/>
            </w:tcBorders>
          </w:tcPr>
          <w:p>
            <w:pPr>
              <w:rPr>
                <w:sz w:val="2"/>
                <w:szCs w:val="2"/>
              </w:rPr>
            </w:pPr>
          </w:p>
        </w:tc>
        <w:tc>
          <w:tcPr>
            <w:tcW w:w="3284" w:type="dxa"/>
            <w:gridSpan w:val="3"/>
          </w:tcPr>
          <w:p>
            <w:pPr>
              <w:pStyle w:val="TableParagraph"/>
              <w:spacing w:before="36"/>
              <w:ind w:left="651"/>
              <w:rPr>
                <w:sz w:val="18"/>
              </w:rPr>
            </w:pPr>
            <w:r>
              <w:rPr>
                <w:sz w:val="18"/>
              </w:rPr>
              <w:t>老化前断裂伸长率不小于</w:t>
            </w:r>
          </w:p>
        </w:tc>
        <w:tc>
          <w:tcPr>
            <w:tcW w:w="1218" w:type="dxa"/>
          </w:tcPr>
          <w:p>
            <w:pPr>
              <w:pStyle w:val="TableParagraph"/>
              <w:spacing w:before="48"/>
              <w:ind w:left="16"/>
              <w:jc w:val="center"/>
              <w:rPr>
                <w:rFonts w:ascii="Times New Roman"/>
                <w:sz w:val="18"/>
              </w:rPr>
            </w:pPr>
            <w:r>
              <w:rPr>
                <w:rFonts w:ascii="Times New Roman"/>
                <w:w w:val="99"/>
                <w:sz w:val="18"/>
              </w:rPr>
              <w:t>%</w:t>
            </w:r>
          </w:p>
        </w:tc>
        <w:tc>
          <w:tcPr>
            <w:tcW w:w="879" w:type="dxa"/>
          </w:tcPr>
          <w:p>
            <w:pPr>
              <w:pStyle w:val="TableParagraph"/>
              <w:spacing w:before="48"/>
              <w:ind w:left="298"/>
              <w:rPr>
                <w:rFonts w:ascii="Times New Roman"/>
                <w:sz w:val="18"/>
              </w:rPr>
            </w:pPr>
            <w:r>
              <w:rPr>
                <w:rFonts w:ascii="Times New Roman"/>
                <w:sz w:val="18"/>
              </w:rPr>
              <w:t>300</w:t>
            </w:r>
          </w:p>
        </w:tc>
        <w:tc>
          <w:tcPr>
            <w:tcW w:w="879" w:type="dxa"/>
          </w:tcPr>
          <w:p>
            <w:pPr>
              <w:pStyle w:val="TableParagraph"/>
              <w:spacing w:before="48"/>
              <w:ind w:left="305"/>
              <w:rPr>
                <w:rFonts w:ascii="Times New Roman"/>
                <w:sz w:val="18"/>
              </w:rPr>
            </w:pPr>
            <w:r>
              <w:rPr>
                <w:rFonts w:ascii="Times New Roman"/>
                <w:sz w:val="18"/>
              </w:rPr>
              <w:t>150</w:t>
            </w:r>
          </w:p>
        </w:tc>
        <w:tc>
          <w:tcPr>
            <w:tcW w:w="1729" w:type="dxa"/>
          </w:tcPr>
          <w:p>
            <w:pPr>
              <w:pStyle w:val="TableParagraph"/>
              <w:rPr>
                <w:rFonts w:ascii="Times New Roman"/>
                <w:sz w:val="16"/>
              </w:rPr>
            </w:pPr>
          </w:p>
        </w:tc>
      </w:tr>
      <w:tr>
        <w:trPr>
          <w:trHeight w:val="343" w:hRule="atLeast"/>
        </w:trPr>
        <w:tc>
          <w:tcPr>
            <w:tcW w:w="828" w:type="dxa"/>
            <w:vMerge/>
            <w:tcBorders>
              <w:top w:val="nil"/>
            </w:tcBorders>
          </w:tcPr>
          <w:p>
            <w:pPr>
              <w:rPr>
                <w:sz w:val="2"/>
                <w:szCs w:val="2"/>
              </w:rPr>
            </w:pPr>
          </w:p>
        </w:tc>
        <w:tc>
          <w:tcPr>
            <w:tcW w:w="3284" w:type="dxa"/>
            <w:gridSpan w:val="3"/>
          </w:tcPr>
          <w:p>
            <w:pPr>
              <w:pStyle w:val="TableParagraph"/>
              <w:spacing w:before="37"/>
              <w:ind w:left="744"/>
              <w:rPr>
                <w:sz w:val="18"/>
              </w:rPr>
            </w:pPr>
            <w:r>
              <w:rPr>
                <w:sz w:val="18"/>
              </w:rPr>
              <w:t>老化后抗张强度不小于</w:t>
            </w:r>
          </w:p>
        </w:tc>
        <w:tc>
          <w:tcPr>
            <w:tcW w:w="1218" w:type="dxa"/>
          </w:tcPr>
          <w:p>
            <w:pPr>
              <w:pStyle w:val="TableParagraph"/>
              <w:spacing w:before="48"/>
              <w:ind w:left="270" w:right="253"/>
              <w:jc w:val="center"/>
              <w:rPr>
                <w:rFonts w:ascii="Times New Roman"/>
                <w:sz w:val="18"/>
              </w:rPr>
            </w:pPr>
            <w:r>
              <w:rPr>
                <w:rFonts w:ascii="Times New Roman"/>
                <w:sz w:val="18"/>
              </w:rPr>
              <w:t>MPa</w:t>
            </w:r>
          </w:p>
        </w:tc>
        <w:tc>
          <w:tcPr>
            <w:tcW w:w="879" w:type="dxa"/>
          </w:tcPr>
          <w:p>
            <w:pPr>
              <w:pStyle w:val="TableParagraph"/>
              <w:spacing w:before="37"/>
              <w:ind w:right="2"/>
              <w:jc w:val="center"/>
              <w:rPr>
                <w:sz w:val="18"/>
              </w:rPr>
            </w:pPr>
            <w:r>
              <w:rPr>
                <w:sz w:val="18"/>
              </w:rPr>
              <w:t>—</w:t>
            </w:r>
          </w:p>
        </w:tc>
        <w:tc>
          <w:tcPr>
            <w:tcW w:w="879" w:type="dxa"/>
          </w:tcPr>
          <w:p>
            <w:pPr>
              <w:pStyle w:val="TableParagraph"/>
              <w:spacing w:before="48"/>
              <w:ind w:left="284"/>
              <w:rPr>
                <w:rFonts w:ascii="Times New Roman"/>
                <w:sz w:val="18"/>
              </w:rPr>
            </w:pPr>
            <w:r>
              <w:rPr>
                <w:rFonts w:ascii="Times New Roman"/>
                <w:sz w:val="18"/>
              </w:rPr>
              <w:t>12.5</w:t>
            </w:r>
          </w:p>
        </w:tc>
        <w:tc>
          <w:tcPr>
            <w:tcW w:w="1729" w:type="dxa"/>
          </w:tcPr>
          <w:p>
            <w:pPr>
              <w:pStyle w:val="TableParagraph"/>
              <w:rPr>
                <w:rFonts w:ascii="Times New Roman"/>
                <w:sz w:val="16"/>
              </w:rPr>
            </w:pPr>
          </w:p>
        </w:tc>
      </w:tr>
      <w:tr>
        <w:trPr>
          <w:trHeight w:val="342" w:hRule="atLeast"/>
        </w:trPr>
        <w:tc>
          <w:tcPr>
            <w:tcW w:w="828" w:type="dxa"/>
            <w:vMerge/>
            <w:tcBorders>
              <w:top w:val="nil"/>
            </w:tcBorders>
          </w:tcPr>
          <w:p>
            <w:pPr>
              <w:rPr>
                <w:sz w:val="2"/>
                <w:szCs w:val="2"/>
              </w:rPr>
            </w:pPr>
          </w:p>
        </w:tc>
        <w:tc>
          <w:tcPr>
            <w:tcW w:w="3284" w:type="dxa"/>
            <w:gridSpan w:val="3"/>
          </w:tcPr>
          <w:p>
            <w:pPr>
              <w:pStyle w:val="TableParagraph"/>
              <w:spacing w:before="36"/>
              <w:ind w:left="651"/>
              <w:rPr>
                <w:sz w:val="18"/>
              </w:rPr>
            </w:pPr>
            <w:r>
              <w:rPr>
                <w:sz w:val="18"/>
              </w:rPr>
              <w:t>老化后断裂伸长率不小于</w:t>
            </w:r>
          </w:p>
        </w:tc>
        <w:tc>
          <w:tcPr>
            <w:tcW w:w="1218" w:type="dxa"/>
          </w:tcPr>
          <w:p>
            <w:pPr>
              <w:pStyle w:val="TableParagraph"/>
              <w:spacing w:before="48"/>
              <w:ind w:left="16"/>
              <w:jc w:val="center"/>
              <w:rPr>
                <w:rFonts w:ascii="Times New Roman"/>
                <w:sz w:val="18"/>
              </w:rPr>
            </w:pPr>
            <w:r>
              <w:rPr>
                <w:rFonts w:ascii="Times New Roman"/>
                <w:w w:val="99"/>
                <w:sz w:val="18"/>
              </w:rPr>
              <w:t>%</w:t>
            </w:r>
          </w:p>
        </w:tc>
        <w:tc>
          <w:tcPr>
            <w:tcW w:w="879" w:type="dxa"/>
          </w:tcPr>
          <w:p>
            <w:pPr>
              <w:pStyle w:val="TableParagraph"/>
              <w:spacing w:before="48"/>
              <w:ind w:left="298"/>
              <w:rPr>
                <w:rFonts w:ascii="Times New Roman"/>
                <w:sz w:val="18"/>
              </w:rPr>
            </w:pPr>
            <w:r>
              <w:rPr>
                <w:rFonts w:ascii="Times New Roman"/>
                <w:sz w:val="18"/>
              </w:rPr>
              <w:t>300</w:t>
            </w:r>
          </w:p>
        </w:tc>
        <w:tc>
          <w:tcPr>
            <w:tcW w:w="879" w:type="dxa"/>
          </w:tcPr>
          <w:p>
            <w:pPr>
              <w:pStyle w:val="TableParagraph"/>
              <w:spacing w:before="48"/>
              <w:ind w:left="305"/>
              <w:rPr>
                <w:rFonts w:ascii="Times New Roman"/>
                <w:sz w:val="18"/>
              </w:rPr>
            </w:pPr>
            <w:r>
              <w:rPr>
                <w:rFonts w:ascii="Times New Roman"/>
                <w:sz w:val="18"/>
              </w:rPr>
              <w:t>150</w:t>
            </w:r>
          </w:p>
        </w:tc>
        <w:tc>
          <w:tcPr>
            <w:tcW w:w="1729" w:type="dxa"/>
          </w:tcPr>
          <w:p>
            <w:pPr>
              <w:pStyle w:val="TableParagraph"/>
              <w:rPr>
                <w:rFonts w:ascii="Times New Roman"/>
                <w:sz w:val="16"/>
              </w:rPr>
            </w:pPr>
          </w:p>
        </w:tc>
      </w:tr>
      <w:tr>
        <w:trPr>
          <w:trHeight w:val="335" w:hRule="atLeast"/>
        </w:trPr>
        <w:tc>
          <w:tcPr>
            <w:tcW w:w="828" w:type="dxa"/>
            <w:vMerge/>
            <w:tcBorders>
              <w:top w:val="nil"/>
            </w:tcBorders>
          </w:tcPr>
          <w:p>
            <w:pPr>
              <w:rPr>
                <w:sz w:val="2"/>
                <w:szCs w:val="2"/>
              </w:rPr>
            </w:pPr>
          </w:p>
        </w:tc>
        <w:tc>
          <w:tcPr>
            <w:tcW w:w="3284" w:type="dxa"/>
            <w:gridSpan w:val="3"/>
          </w:tcPr>
          <w:p>
            <w:pPr>
              <w:pStyle w:val="TableParagraph"/>
              <w:spacing w:before="36"/>
              <w:ind w:left="471"/>
              <w:rPr>
                <w:sz w:val="18"/>
              </w:rPr>
            </w:pPr>
            <w:r>
              <w:rPr>
                <w:sz w:val="18"/>
              </w:rPr>
              <w:t>老化后抗张强度变化率不超过</w:t>
            </w:r>
          </w:p>
        </w:tc>
        <w:tc>
          <w:tcPr>
            <w:tcW w:w="1218" w:type="dxa"/>
          </w:tcPr>
          <w:p>
            <w:pPr>
              <w:pStyle w:val="TableParagraph"/>
              <w:spacing w:before="48"/>
              <w:ind w:left="16"/>
              <w:jc w:val="center"/>
              <w:rPr>
                <w:rFonts w:ascii="Times New Roman"/>
                <w:sz w:val="18"/>
              </w:rPr>
            </w:pPr>
            <w:r>
              <w:rPr>
                <w:rFonts w:ascii="Times New Roman"/>
                <w:w w:val="99"/>
                <w:sz w:val="18"/>
              </w:rPr>
              <w:t>%</w:t>
            </w:r>
          </w:p>
        </w:tc>
        <w:tc>
          <w:tcPr>
            <w:tcW w:w="879" w:type="dxa"/>
          </w:tcPr>
          <w:p>
            <w:pPr>
              <w:pStyle w:val="TableParagraph"/>
              <w:spacing w:before="36"/>
              <w:ind w:right="2"/>
              <w:jc w:val="center"/>
              <w:rPr>
                <w:sz w:val="18"/>
              </w:rPr>
            </w:pPr>
            <w:r>
              <w:rPr>
                <w:sz w:val="18"/>
              </w:rPr>
              <w:t>—</w:t>
            </w:r>
          </w:p>
        </w:tc>
        <w:tc>
          <w:tcPr>
            <w:tcW w:w="879" w:type="dxa"/>
          </w:tcPr>
          <w:p>
            <w:pPr>
              <w:pStyle w:val="TableParagraph"/>
              <w:spacing w:before="36"/>
              <w:ind w:left="262"/>
              <w:rPr>
                <w:rFonts w:ascii="Times New Roman" w:hAnsi="Times New Roman"/>
                <w:sz w:val="18"/>
              </w:rPr>
            </w:pPr>
            <w:r>
              <w:rPr>
                <w:sz w:val="18"/>
              </w:rPr>
              <w:t>±</w:t>
            </w:r>
            <w:r>
              <w:rPr>
                <w:rFonts w:ascii="Times New Roman" w:hAnsi="Times New Roman"/>
                <w:sz w:val="18"/>
              </w:rPr>
              <w:t>25</w:t>
            </w:r>
          </w:p>
        </w:tc>
        <w:tc>
          <w:tcPr>
            <w:tcW w:w="1729" w:type="dxa"/>
          </w:tcPr>
          <w:p>
            <w:pPr>
              <w:pStyle w:val="TableParagraph"/>
              <w:rPr>
                <w:rFonts w:ascii="Times New Roman"/>
                <w:sz w:val="16"/>
              </w:rPr>
            </w:pPr>
          </w:p>
        </w:tc>
      </w:tr>
      <w:tr>
        <w:trPr>
          <w:trHeight w:val="350" w:hRule="atLeast"/>
        </w:trPr>
        <w:tc>
          <w:tcPr>
            <w:tcW w:w="828" w:type="dxa"/>
            <w:vMerge/>
            <w:tcBorders>
              <w:top w:val="nil"/>
            </w:tcBorders>
          </w:tcPr>
          <w:p>
            <w:pPr>
              <w:rPr>
                <w:sz w:val="2"/>
                <w:szCs w:val="2"/>
              </w:rPr>
            </w:pPr>
          </w:p>
        </w:tc>
        <w:tc>
          <w:tcPr>
            <w:tcW w:w="3284" w:type="dxa"/>
            <w:gridSpan w:val="3"/>
          </w:tcPr>
          <w:p>
            <w:pPr>
              <w:pStyle w:val="TableParagraph"/>
              <w:spacing w:before="44"/>
              <w:ind w:left="384"/>
              <w:rPr>
                <w:sz w:val="18"/>
              </w:rPr>
            </w:pPr>
            <w:r>
              <w:rPr>
                <w:sz w:val="18"/>
              </w:rPr>
              <w:t>老化后断裂伸长率变化率不超过</w:t>
            </w:r>
          </w:p>
        </w:tc>
        <w:tc>
          <w:tcPr>
            <w:tcW w:w="1218" w:type="dxa"/>
          </w:tcPr>
          <w:p>
            <w:pPr>
              <w:pStyle w:val="TableParagraph"/>
              <w:spacing w:before="56"/>
              <w:ind w:left="16"/>
              <w:jc w:val="center"/>
              <w:rPr>
                <w:rFonts w:ascii="Times New Roman"/>
                <w:sz w:val="18"/>
              </w:rPr>
            </w:pPr>
            <w:r>
              <w:rPr>
                <w:rFonts w:ascii="Times New Roman"/>
                <w:w w:val="99"/>
                <w:sz w:val="18"/>
              </w:rPr>
              <w:t>%</w:t>
            </w:r>
          </w:p>
        </w:tc>
        <w:tc>
          <w:tcPr>
            <w:tcW w:w="879" w:type="dxa"/>
          </w:tcPr>
          <w:p>
            <w:pPr>
              <w:pStyle w:val="TableParagraph"/>
              <w:spacing w:before="44"/>
              <w:ind w:right="2"/>
              <w:jc w:val="center"/>
              <w:rPr>
                <w:sz w:val="18"/>
              </w:rPr>
            </w:pPr>
            <w:r>
              <w:rPr>
                <w:sz w:val="18"/>
              </w:rPr>
              <w:t>—</w:t>
            </w:r>
          </w:p>
        </w:tc>
        <w:tc>
          <w:tcPr>
            <w:tcW w:w="879" w:type="dxa"/>
          </w:tcPr>
          <w:p>
            <w:pPr>
              <w:pStyle w:val="TableParagraph"/>
              <w:spacing w:before="44"/>
              <w:ind w:left="262"/>
              <w:rPr>
                <w:rFonts w:ascii="Times New Roman" w:hAnsi="Times New Roman"/>
                <w:sz w:val="18"/>
              </w:rPr>
            </w:pPr>
            <w:r>
              <w:rPr>
                <w:sz w:val="18"/>
              </w:rPr>
              <w:t>±</w:t>
            </w:r>
            <w:r>
              <w:rPr>
                <w:rFonts w:ascii="Times New Roman" w:hAnsi="Times New Roman"/>
                <w:sz w:val="18"/>
              </w:rPr>
              <w:t>25</w:t>
            </w:r>
          </w:p>
        </w:tc>
        <w:tc>
          <w:tcPr>
            <w:tcW w:w="1729" w:type="dxa"/>
          </w:tcPr>
          <w:p>
            <w:pPr>
              <w:pStyle w:val="TableParagraph"/>
              <w:rPr>
                <w:rFonts w:ascii="Times New Roman"/>
                <w:sz w:val="16"/>
              </w:rPr>
            </w:pPr>
          </w:p>
        </w:tc>
      </w:tr>
    </w:tbl>
    <w:p>
      <w:pPr>
        <w:spacing w:after="0"/>
        <w:rPr>
          <w:rFonts w:ascii="Times New Roman"/>
          <w:sz w:val="16"/>
        </w:rPr>
        <w:sectPr>
          <w:pgSz w:w="11910" w:h="16870"/>
          <w:pgMar w:top="1580" w:bottom="280" w:left="1260" w:right="860"/>
        </w:sectPr>
      </w:pPr>
    </w:p>
    <w:tbl>
      <w:tblPr>
        <w:tblW w:w="0" w:type="auto"/>
        <w:jc w:val="left"/>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3285"/>
        <w:gridCol w:w="1218"/>
        <w:gridCol w:w="879"/>
        <w:gridCol w:w="879"/>
        <w:gridCol w:w="1729"/>
      </w:tblGrid>
      <w:tr>
        <w:trPr>
          <w:trHeight w:val="357" w:hRule="atLeast"/>
        </w:trPr>
        <w:tc>
          <w:tcPr>
            <w:tcW w:w="8818" w:type="dxa"/>
            <w:gridSpan w:val="6"/>
          </w:tcPr>
          <w:p>
            <w:pPr>
              <w:pStyle w:val="TableParagraph"/>
              <w:spacing w:before="58"/>
              <w:ind w:left="3664" w:right="3664"/>
              <w:jc w:val="center"/>
              <w:rPr>
                <w:sz w:val="18"/>
              </w:rPr>
            </w:pPr>
            <w:r>
              <w:rPr>
                <w:sz w:val="18"/>
              </w:rPr>
              <w:t>电缆结构技术参数</w:t>
            </w:r>
          </w:p>
        </w:tc>
      </w:tr>
      <w:tr>
        <w:trPr>
          <w:trHeight w:val="342" w:hRule="atLeast"/>
        </w:trPr>
        <w:tc>
          <w:tcPr>
            <w:tcW w:w="828" w:type="dxa"/>
            <w:vMerge w:val="restart"/>
          </w:tcPr>
          <w:p>
            <w:pPr>
              <w:pStyle w:val="TableParagraph"/>
              <w:rPr>
                <w:rFonts w:ascii="Times New Roman"/>
                <w:sz w:val="18"/>
              </w:rPr>
            </w:pPr>
          </w:p>
        </w:tc>
        <w:tc>
          <w:tcPr>
            <w:tcW w:w="3285" w:type="dxa"/>
          </w:tcPr>
          <w:p>
            <w:pPr>
              <w:pStyle w:val="TableParagraph"/>
              <w:spacing w:before="36"/>
              <w:ind w:left="90" w:right="77"/>
              <w:jc w:val="center"/>
              <w:rPr>
                <w:sz w:val="18"/>
              </w:rPr>
            </w:pPr>
            <w:r>
              <w:rPr>
                <w:sz w:val="18"/>
              </w:rPr>
              <w:t>电缆段老化后抗张强度变化率不超过</w:t>
            </w:r>
          </w:p>
        </w:tc>
        <w:tc>
          <w:tcPr>
            <w:tcW w:w="1218" w:type="dxa"/>
          </w:tcPr>
          <w:p>
            <w:pPr>
              <w:pStyle w:val="TableParagraph"/>
              <w:spacing w:before="48"/>
              <w:ind w:left="14"/>
              <w:jc w:val="center"/>
              <w:rPr>
                <w:rFonts w:ascii="Times New Roman"/>
                <w:sz w:val="18"/>
              </w:rPr>
            </w:pPr>
            <w:r>
              <w:rPr>
                <w:rFonts w:ascii="Times New Roman"/>
                <w:w w:val="99"/>
                <w:sz w:val="18"/>
              </w:rPr>
              <w:t>%</w:t>
            </w:r>
          </w:p>
        </w:tc>
        <w:tc>
          <w:tcPr>
            <w:tcW w:w="879" w:type="dxa"/>
          </w:tcPr>
          <w:p>
            <w:pPr>
              <w:pStyle w:val="TableParagraph"/>
              <w:spacing w:before="36"/>
              <w:ind w:right="4"/>
              <w:jc w:val="center"/>
              <w:rPr>
                <w:sz w:val="18"/>
              </w:rPr>
            </w:pPr>
            <w:r>
              <w:rPr>
                <w:sz w:val="18"/>
              </w:rPr>
              <w:t>—</w:t>
            </w:r>
          </w:p>
        </w:tc>
        <w:tc>
          <w:tcPr>
            <w:tcW w:w="879" w:type="dxa"/>
          </w:tcPr>
          <w:p>
            <w:pPr>
              <w:pStyle w:val="TableParagraph"/>
              <w:spacing w:before="36"/>
              <w:ind w:left="95" w:right="88"/>
              <w:jc w:val="center"/>
              <w:rPr>
                <w:rFonts w:ascii="Times New Roman" w:hAnsi="Times New Roman"/>
                <w:sz w:val="18"/>
              </w:rPr>
            </w:pPr>
            <w:r>
              <w:rPr>
                <w:sz w:val="18"/>
              </w:rPr>
              <w:t>±</w:t>
            </w:r>
            <w:r>
              <w:rPr>
                <w:rFonts w:ascii="Times New Roman" w:hAnsi="Times New Roman"/>
                <w:sz w:val="18"/>
              </w:rPr>
              <w:t>25</w:t>
            </w:r>
          </w:p>
        </w:tc>
        <w:tc>
          <w:tcPr>
            <w:tcW w:w="1729" w:type="dxa"/>
          </w:tcPr>
          <w:p>
            <w:pPr>
              <w:pStyle w:val="TableParagraph"/>
              <w:rPr>
                <w:rFonts w:ascii="Times New Roman"/>
                <w:sz w:val="18"/>
              </w:rPr>
            </w:pPr>
          </w:p>
        </w:tc>
      </w:tr>
      <w:tr>
        <w:trPr>
          <w:trHeight w:val="342" w:hRule="atLeast"/>
        </w:trPr>
        <w:tc>
          <w:tcPr>
            <w:tcW w:w="828" w:type="dxa"/>
            <w:vMerge/>
            <w:tcBorders>
              <w:top w:val="nil"/>
            </w:tcBorders>
          </w:tcPr>
          <w:p>
            <w:pPr>
              <w:rPr>
                <w:sz w:val="2"/>
                <w:szCs w:val="2"/>
              </w:rPr>
            </w:pPr>
          </w:p>
        </w:tc>
        <w:tc>
          <w:tcPr>
            <w:tcW w:w="3285" w:type="dxa"/>
          </w:tcPr>
          <w:p>
            <w:pPr>
              <w:pStyle w:val="TableParagraph"/>
              <w:spacing w:before="36"/>
              <w:ind w:left="90" w:right="84"/>
              <w:jc w:val="center"/>
              <w:rPr>
                <w:sz w:val="18"/>
              </w:rPr>
            </w:pPr>
            <w:r>
              <w:rPr>
                <w:sz w:val="18"/>
              </w:rPr>
              <w:t>电缆段老化后断裂伸长率变化率不超过</w:t>
            </w:r>
          </w:p>
        </w:tc>
        <w:tc>
          <w:tcPr>
            <w:tcW w:w="1218" w:type="dxa"/>
          </w:tcPr>
          <w:p>
            <w:pPr>
              <w:pStyle w:val="TableParagraph"/>
              <w:spacing w:before="48"/>
              <w:ind w:left="14"/>
              <w:jc w:val="center"/>
              <w:rPr>
                <w:rFonts w:ascii="Times New Roman"/>
                <w:sz w:val="18"/>
              </w:rPr>
            </w:pPr>
            <w:r>
              <w:rPr>
                <w:rFonts w:ascii="Times New Roman"/>
                <w:w w:val="99"/>
                <w:sz w:val="18"/>
              </w:rPr>
              <w:t>%</w:t>
            </w:r>
          </w:p>
        </w:tc>
        <w:tc>
          <w:tcPr>
            <w:tcW w:w="879" w:type="dxa"/>
          </w:tcPr>
          <w:p>
            <w:pPr>
              <w:pStyle w:val="TableParagraph"/>
              <w:spacing w:before="36"/>
              <w:ind w:right="4"/>
              <w:jc w:val="center"/>
              <w:rPr>
                <w:sz w:val="18"/>
              </w:rPr>
            </w:pPr>
            <w:r>
              <w:rPr>
                <w:sz w:val="18"/>
              </w:rPr>
              <w:t>—</w:t>
            </w:r>
          </w:p>
        </w:tc>
        <w:tc>
          <w:tcPr>
            <w:tcW w:w="879" w:type="dxa"/>
          </w:tcPr>
          <w:p>
            <w:pPr>
              <w:pStyle w:val="TableParagraph"/>
              <w:spacing w:before="36"/>
              <w:ind w:left="95" w:right="88"/>
              <w:jc w:val="center"/>
              <w:rPr>
                <w:rFonts w:ascii="Times New Roman" w:hAnsi="Times New Roman"/>
                <w:sz w:val="18"/>
              </w:rPr>
            </w:pPr>
            <w:r>
              <w:rPr>
                <w:sz w:val="18"/>
              </w:rPr>
              <w:t>±</w:t>
            </w:r>
            <w:r>
              <w:rPr>
                <w:rFonts w:ascii="Times New Roman" w:hAnsi="Times New Roman"/>
                <w:sz w:val="18"/>
              </w:rPr>
              <w:t>25</w:t>
            </w:r>
          </w:p>
        </w:tc>
        <w:tc>
          <w:tcPr>
            <w:tcW w:w="1729" w:type="dxa"/>
          </w:tcPr>
          <w:p>
            <w:pPr>
              <w:pStyle w:val="TableParagraph"/>
              <w:rPr>
                <w:rFonts w:ascii="Times New Roman"/>
                <w:sz w:val="18"/>
              </w:rPr>
            </w:pPr>
          </w:p>
        </w:tc>
      </w:tr>
      <w:tr>
        <w:trPr>
          <w:trHeight w:val="336" w:hRule="atLeast"/>
        </w:trPr>
        <w:tc>
          <w:tcPr>
            <w:tcW w:w="828" w:type="dxa"/>
            <w:vMerge/>
            <w:tcBorders>
              <w:top w:val="nil"/>
            </w:tcBorders>
          </w:tcPr>
          <w:p>
            <w:pPr>
              <w:rPr>
                <w:sz w:val="2"/>
                <w:szCs w:val="2"/>
              </w:rPr>
            </w:pPr>
          </w:p>
        </w:tc>
        <w:tc>
          <w:tcPr>
            <w:tcW w:w="3285" w:type="dxa"/>
          </w:tcPr>
          <w:p>
            <w:pPr>
              <w:pStyle w:val="TableParagraph"/>
              <w:spacing w:before="37"/>
              <w:ind w:left="90" w:right="76"/>
              <w:jc w:val="center"/>
              <w:rPr>
                <w:sz w:val="18"/>
              </w:rPr>
            </w:pPr>
            <w:r>
              <w:rPr>
                <w:sz w:val="18"/>
              </w:rPr>
              <w:t>高温压力试验，压痕深度不大于</w:t>
            </w:r>
          </w:p>
        </w:tc>
        <w:tc>
          <w:tcPr>
            <w:tcW w:w="1218" w:type="dxa"/>
          </w:tcPr>
          <w:p>
            <w:pPr>
              <w:pStyle w:val="TableParagraph"/>
              <w:spacing w:before="49"/>
              <w:ind w:left="14"/>
              <w:jc w:val="center"/>
              <w:rPr>
                <w:rFonts w:ascii="Times New Roman"/>
                <w:sz w:val="18"/>
              </w:rPr>
            </w:pPr>
            <w:r>
              <w:rPr>
                <w:rFonts w:ascii="Times New Roman"/>
                <w:w w:val="99"/>
                <w:sz w:val="18"/>
              </w:rPr>
              <w:t>%</w:t>
            </w:r>
          </w:p>
        </w:tc>
        <w:tc>
          <w:tcPr>
            <w:tcW w:w="879" w:type="dxa"/>
          </w:tcPr>
          <w:p>
            <w:pPr>
              <w:pStyle w:val="TableParagraph"/>
              <w:spacing w:before="49"/>
              <w:ind w:left="91" w:right="103"/>
              <w:jc w:val="center"/>
              <w:rPr>
                <w:rFonts w:ascii="Times New Roman"/>
                <w:sz w:val="18"/>
              </w:rPr>
            </w:pPr>
            <w:r>
              <w:rPr>
                <w:rFonts w:ascii="Times New Roman"/>
                <w:sz w:val="18"/>
              </w:rPr>
              <w:t>50</w:t>
            </w:r>
          </w:p>
        </w:tc>
        <w:tc>
          <w:tcPr>
            <w:tcW w:w="879" w:type="dxa"/>
          </w:tcPr>
          <w:p>
            <w:pPr>
              <w:pStyle w:val="TableParagraph"/>
              <w:spacing w:before="49"/>
              <w:ind w:left="95" w:right="95"/>
              <w:jc w:val="center"/>
              <w:rPr>
                <w:rFonts w:ascii="Times New Roman"/>
                <w:sz w:val="18"/>
              </w:rPr>
            </w:pPr>
            <w:r>
              <w:rPr>
                <w:rFonts w:ascii="Times New Roman"/>
                <w:sz w:val="18"/>
              </w:rPr>
              <w:t>50</w:t>
            </w:r>
          </w:p>
        </w:tc>
        <w:tc>
          <w:tcPr>
            <w:tcW w:w="1729" w:type="dxa"/>
          </w:tcPr>
          <w:p>
            <w:pPr>
              <w:pStyle w:val="TableParagraph"/>
              <w:rPr>
                <w:rFonts w:ascii="Times New Roman"/>
                <w:sz w:val="18"/>
              </w:rPr>
            </w:pPr>
          </w:p>
        </w:tc>
      </w:tr>
      <w:tr>
        <w:trPr>
          <w:trHeight w:val="342" w:hRule="atLeast"/>
        </w:trPr>
        <w:tc>
          <w:tcPr>
            <w:tcW w:w="828" w:type="dxa"/>
            <w:vMerge/>
            <w:tcBorders>
              <w:top w:val="nil"/>
            </w:tcBorders>
          </w:tcPr>
          <w:p>
            <w:pPr>
              <w:rPr>
                <w:sz w:val="2"/>
                <w:szCs w:val="2"/>
              </w:rPr>
            </w:pPr>
          </w:p>
        </w:tc>
        <w:tc>
          <w:tcPr>
            <w:tcW w:w="3285" w:type="dxa"/>
          </w:tcPr>
          <w:p>
            <w:pPr>
              <w:pStyle w:val="TableParagraph"/>
              <w:spacing w:before="44"/>
              <w:ind w:left="90" w:right="82"/>
              <w:jc w:val="center"/>
              <w:rPr>
                <w:sz w:val="18"/>
              </w:rPr>
            </w:pPr>
            <w:r>
              <w:rPr>
                <w:sz w:val="18"/>
              </w:rPr>
              <w:t>热冲击试验</w:t>
            </w:r>
          </w:p>
        </w:tc>
        <w:tc>
          <w:tcPr>
            <w:tcW w:w="1218" w:type="dxa"/>
          </w:tcPr>
          <w:p>
            <w:pPr>
              <w:pStyle w:val="TableParagraph"/>
              <w:rPr>
                <w:rFonts w:ascii="Times New Roman"/>
                <w:sz w:val="18"/>
              </w:rPr>
            </w:pPr>
          </w:p>
        </w:tc>
        <w:tc>
          <w:tcPr>
            <w:tcW w:w="879" w:type="dxa"/>
          </w:tcPr>
          <w:p>
            <w:pPr>
              <w:pStyle w:val="TableParagraph"/>
              <w:spacing w:before="44"/>
              <w:ind w:right="4"/>
              <w:jc w:val="center"/>
              <w:rPr>
                <w:sz w:val="18"/>
              </w:rPr>
            </w:pPr>
            <w:r>
              <w:rPr>
                <w:sz w:val="18"/>
              </w:rPr>
              <w:t>—</w:t>
            </w:r>
          </w:p>
        </w:tc>
        <w:tc>
          <w:tcPr>
            <w:tcW w:w="879" w:type="dxa"/>
          </w:tcPr>
          <w:p>
            <w:pPr>
              <w:pStyle w:val="TableParagraph"/>
              <w:spacing w:before="44"/>
              <w:ind w:left="95" w:right="88"/>
              <w:jc w:val="center"/>
              <w:rPr>
                <w:sz w:val="18"/>
              </w:rPr>
            </w:pPr>
            <w:r>
              <w:rPr>
                <w:sz w:val="18"/>
              </w:rPr>
              <w:t>不开裂</w:t>
            </w:r>
          </w:p>
        </w:tc>
        <w:tc>
          <w:tcPr>
            <w:tcW w:w="1729" w:type="dxa"/>
          </w:tcPr>
          <w:p>
            <w:pPr>
              <w:pStyle w:val="TableParagraph"/>
              <w:rPr>
                <w:rFonts w:ascii="Times New Roman"/>
                <w:sz w:val="18"/>
              </w:rPr>
            </w:pPr>
          </w:p>
        </w:tc>
      </w:tr>
      <w:tr>
        <w:trPr>
          <w:trHeight w:val="342" w:hRule="atLeast"/>
        </w:trPr>
        <w:tc>
          <w:tcPr>
            <w:tcW w:w="828" w:type="dxa"/>
            <w:vMerge/>
            <w:tcBorders>
              <w:top w:val="nil"/>
            </w:tcBorders>
          </w:tcPr>
          <w:p>
            <w:pPr>
              <w:rPr>
                <w:sz w:val="2"/>
                <w:szCs w:val="2"/>
              </w:rPr>
            </w:pPr>
          </w:p>
        </w:tc>
        <w:tc>
          <w:tcPr>
            <w:tcW w:w="3285" w:type="dxa"/>
          </w:tcPr>
          <w:p>
            <w:pPr>
              <w:pStyle w:val="TableParagraph"/>
              <w:spacing w:before="43"/>
              <w:ind w:left="90" w:right="75"/>
              <w:jc w:val="center"/>
              <w:rPr>
                <w:sz w:val="18"/>
              </w:rPr>
            </w:pPr>
            <w:r>
              <w:rPr>
                <w:sz w:val="18"/>
              </w:rPr>
              <w:t>低温冲击试验</w:t>
            </w:r>
          </w:p>
        </w:tc>
        <w:tc>
          <w:tcPr>
            <w:tcW w:w="1218" w:type="dxa"/>
          </w:tcPr>
          <w:p>
            <w:pPr>
              <w:pStyle w:val="TableParagraph"/>
              <w:rPr>
                <w:rFonts w:ascii="Times New Roman"/>
                <w:sz w:val="18"/>
              </w:rPr>
            </w:pPr>
          </w:p>
        </w:tc>
        <w:tc>
          <w:tcPr>
            <w:tcW w:w="879" w:type="dxa"/>
          </w:tcPr>
          <w:p>
            <w:pPr>
              <w:pStyle w:val="TableParagraph"/>
              <w:spacing w:before="43"/>
              <w:ind w:right="4"/>
              <w:jc w:val="center"/>
              <w:rPr>
                <w:sz w:val="18"/>
              </w:rPr>
            </w:pPr>
            <w:r>
              <w:rPr>
                <w:sz w:val="18"/>
              </w:rPr>
              <w:t>—</w:t>
            </w:r>
          </w:p>
        </w:tc>
        <w:tc>
          <w:tcPr>
            <w:tcW w:w="879" w:type="dxa"/>
          </w:tcPr>
          <w:p>
            <w:pPr>
              <w:pStyle w:val="TableParagraph"/>
              <w:spacing w:before="43"/>
              <w:ind w:left="95" w:right="88"/>
              <w:jc w:val="center"/>
              <w:rPr>
                <w:sz w:val="18"/>
              </w:rPr>
            </w:pPr>
            <w:r>
              <w:rPr>
                <w:sz w:val="18"/>
              </w:rPr>
              <w:t>不开裂</w:t>
            </w:r>
          </w:p>
        </w:tc>
        <w:tc>
          <w:tcPr>
            <w:tcW w:w="1729" w:type="dxa"/>
          </w:tcPr>
          <w:p>
            <w:pPr>
              <w:pStyle w:val="TableParagraph"/>
              <w:rPr>
                <w:rFonts w:ascii="Times New Roman"/>
                <w:sz w:val="18"/>
              </w:rPr>
            </w:pPr>
          </w:p>
        </w:tc>
      </w:tr>
      <w:tr>
        <w:trPr>
          <w:trHeight w:val="343" w:hRule="atLeast"/>
        </w:trPr>
        <w:tc>
          <w:tcPr>
            <w:tcW w:w="828" w:type="dxa"/>
            <w:vMerge/>
            <w:tcBorders>
              <w:top w:val="nil"/>
            </w:tcBorders>
          </w:tcPr>
          <w:p>
            <w:pPr>
              <w:rPr>
                <w:sz w:val="2"/>
                <w:szCs w:val="2"/>
              </w:rPr>
            </w:pPr>
          </w:p>
        </w:tc>
        <w:tc>
          <w:tcPr>
            <w:tcW w:w="3285" w:type="dxa"/>
          </w:tcPr>
          <w:p>
            <w:pPr>
              <w:pStyle w:val="TableParagraph"/>
              <w:spacing w:before="37"/>
              <w:ind w:left="90" w:right="83"/>
              <w:jc w:val="center"/>
              <w:rPr>
                <w:sz w:val="18"/>
              </w:rPr>
            </w:pPr>
            <w:r>
              <w:rPr>
                <w:sz w:val="18"/>
              </w:rPr>
              <w:t>低温拉伸，断裂伸长率不小于</w:t>
            </w:r>
          </w:p>
        </w:tc>
        <w:tc>
          <w:tcPr>
            <w:tcW w:w="1218" w:type="dxa"/>
          </w:tcPr>
          <w:p>
            <w:pPr>
              <w:pStyle w:val="TableParagraph"/>
              <w:spacing w:before="49"/>
              <w:ind w:left="14"/>
              <w:jc w:val="center"/>
              <w:rPr>
                <w:rFonts w:ascii="Times New Roman"/>
                <w:sz w:val="18"/>
              </w:rPr>
            </w:pPr>
            <w:r>
              <w:rPr>
                <w:rFonts w:ascii="Times New Roman"/>
                <w:w w:val="99"/>
                <w:sz w:val="18"/>
              </w:rPr>
              <w:t>%</w:t>
            </w:r>
          </w:p>
        </w:tc>
        <w:tc>
          <w:tcPr>
            <w:tcW w:w="879" w:type="dxa"/>
          </w:tcPr>
          <w:p>
            <w:pPr>
              <w:pStyle w:val="TableParagraph"/>
              <w:spacing w:before="37"/>
              <w:ind w:right="4"/>
              <w:jc w:val="center"/>
              <w:rPr>
                <w:sz w:val="18"/>
              </w:rPr>
            </w:pPr>
            <w:r>
              <w:rPr>
                <w:sz w:val="18"/>
              </w:rPr>
              <w:t>—</w:t>
            </w:r>
          </w:p>
        </w:tc>
        <w:tc>
          <w:tcPr>
            <w:tcW w:w="879" w:type="dxa"/>
          </w:tcPr>
          <w:p>
            <w:pPr>
              <w:pStyle w:val="TableParagraph"/>
              <w:spacing w:before="49"/>
              <w:ind w:left="95" w:right="95"/>
              <w:jc w:val="center"/>
              <w:rPr>
                <w:rFonts w:ascii="Times New Roman"/>
                <w:sz w:val="18"/>
              </w:rPr>
            </w:pPr>
            <w:r>
              <w:rPr>
                <w:rFonts w:ascii="Times New Roman"/>
                <w:sz w:val="18"/>
              </w:rPr>
              <w:t>20</w:t>
            </w:r>
          </w:p>
        </w:tc>
        <w:tc>
          <w:tcPr>
            <w:tcW w:w="1729" w:type="dxa"/>
          </w:tcPr>
          <w:p>
            <w:pPr>
              <w:pStyle w:val="TableParagraph"/>
              <w:rPr>
                <w:rFonts w:ascii="Times New Roman"/>
                <w:sz w:val="18"/>
              </w:rPr>
            </w:pPr>
          </w:p>
        </w:tc>
      </w:tr>
      <w:tr>
        <w:trPr>
          <w:trHeight w:val="342" w:hRule="atLeast"/>
        </w:trPr>
        <w:tc>
          <w:tcPr>
            <w:tcW w:w="828" w:type="dxa"/>
            <w:vMerge/>
            <w:tcBorders>
              <w:top w:val="nil"/>
            </w:tcBorders>
          </w:tcPr>
          <w:p>
            <w:pPr>
              <w:rPr>
                <w:sz w:val="2"/>
                <w:szCs w:val="2"/>
              </w:rPr>
            </w:pPr>
          </w:p>
        </w:tc>
        <w:tc>
          <w:tcPr>
            <w:tcW w:w="3285" w:type="dxa"/>
          </w:tcPr>
          <w:p>
            <w:pPr>
              <w:pStyle w:val="TableParagraph"/>
              <w:spacing w:before="36"/>
              <w:ind w:left="90" w:right="76"/>
              <w:jc w:val="center"/>
              <w:rPr>
                <w:sz w:val="18"/>
              </w:rPr>
            </w:pPr>
            <w:r>
              <w:rPr>
                <w:sz w:val="18"/>
              </w:rPr>
              <w:t>热失重，最大允许失重</w:t>
            </w:r>
          </w:p>
        </w:tc>
        <w:tc>
          <w:tcPr>
            <w:tcW w:w="1218" w:type="dxa"/>
          </w:tcPr>
          <w:p>
            <w:pPr>
              <w:pStyle w:val="TableParagraph"/>
              <w:spacing w:before="48"/>
              <w:ind w:left="264" w:right="253"/>
              <w:jc w:val="center"/>
              <w:rPr>
                <w:rFonts w:ascii="Times New Roman"/>
                <w:sz w:val="18"/>
              </w:rPr>
            </w:pPr>
            <w:r>
              <w:rPr>
                <w:rFonts w:ascii="Times New Roman"/>
                <w:sz w:val="18"/>
              </w:rPr>
              <w:t>mg/cm</w:t>
            </w:r>
            <w:r>
              <w:rPr>
                <w:rFonts w:ascii="Times New Roman"/>
                <w:sz w:val="18"/>
                <w:vertAlign w:val="superscript"/>
              </w:rPr>
              <w:t>2</w:t>
            </w:r>
          </w:p>
        </w:tc>
        <w:tc>
          <w:tcPr>
            <w:tcW w:w="879" w:type="dxa"/>
          </w:tcPr>
          <w:p>
            <w:pPr>
              <w:pStyle w:val="TableParagraph"/>
              <w:spacing w:before="36"/>
              <w:ind w:right="4"/>
              <w:jc w:val="center"/>
              <w:rPr>
                <w:sz w:val="18"/>
              </w:rPr>
            </w:pPr>
            <w:r>
              <w:rPr>
                <w:sz w:val="18"/>
              </w:rPr>
              <w:t>—</w:t>
            </w:r>
          </w:p>
        </w:tc>
        <w:tc>
          <w:tcPr>
            <w:tcW w:w="879" w:type="dxa"/>
          </w:tcPr>
          <w:p>
            <w:pPr>
              <w:pStyle w:val="TableParagraph"/>
              <w:spacing w:before="48"/>
              <w:ind w:left="95" w:right="92"/>
              <w:jc w:val="center"/>
              <w:rPr>
                <w:rFonts w:ascii="Times New Roman"/>
                <w:sz w:val="18"/>
              </w:rPr>
            </w:pPr>
            <w:r>
              <w:rPr>
                <w:rFonts w:ascii="Times New Roman"/>
                <w:sz w:val="18"/>
              </w:rPr>
              <w:t>1.5</w:t>
            </w:r>
          </w:p>
        </w:tc>
        <w:tc>
          <w:tcPr>
            <w:tcW w:w="1729" w:type="dxa"/>
          </w:tcPr>
          <w:p>
            <w:pPr>
              <w:pStyle w:val="TableParagraph"/>
              <w:rPr>
                <w:rFonts w:ascii="Times New Roman"/>
                <w:sz w:val="18"/>
              </w:rPr>
            </w:pPr>
          </w:p>
        </w:tc>
      </w:tr>
      <w:tr>
        <w:trPr>
          <w:trHeight w:val="335" w:hRule="atLeast"/>
        </w:trPr>
        <w:tc>
          <w:tcPr>
            <w:tcW w:w="828" w:type="dxa"/>
            <w:vMerge/>
            <w:tcBorders>
              <w:top w:val="nil"/>
            </w:tcBorders>
          </w:tcPr>
          <w:p>
            <w:pPr>
              <w:rPr>
                <w:sz w:val="2"/>
                <w:szCs w:val="2"/>
              </w:rPr>
            </w:pPr>
          </w:p>
        </w:tc>
        <w:tc>
          <w:tcPr>
            <w:tcW w:w="3285" w:type="dxa"/>
          </w:tcPr>
          <w:p>
            <w:pPr>
              <w:pStyle w:val="TableParagraph"/>
              <w:spacing w:before="36"/>
              <w:ind w:left="90" w:right="75"/>
              <w:jc w:val="center"/>
              <w:rPr>
                <w:sz w:val="18"/>
              </w:rPr>
            </w:pPr>
            <w:r>
              <w:rPr>
                <w:sz w:val="18"/>
              </w:rPr>
              <w:t>炭黑含量</w:t>
            </w:r>
          </w:p>
        </w:tc>
        <w:tc>
          <w:tcPr>
            <w:tcW w:w="1218" w:type="dxa"/>
          </w:tcPr>
          <w:p>
            <w:pPr>
              <w:pStyle w:val="TableParagraph"/>
              <w:spacing w:before="48"/>
              <w:ind w:left="14"/>
              <w:jc w:val="center"/>
              <w:rPr>
                <w:rFonts w:ascii="Times New Roman"/>
                <w:sz w:val="18"/>
              </w:rPr>
            </w:pPr>
            <w:r>
              <w:rPr>
                <w:rFonts w:ascii="Times New Roman"/>
                <w:w w:val="99"/>
                <w:sz w:val="18"/>
              </w:rPr>
              <w:t>%</w:t>
            </w:r>
          </w:p>
        </w:tc>
        <w:tc>
          <w:tcPr>
            <w:tcW w:w="879" w:type="dxa"/>
          </w:tcPr>
          <w:p>
            <w:pPr>
              <w:pStyle w:val="TableParagraph"/>
              <w:spacing w:before="36"/>
              <w:ind w:left="95" w:right="103"/>
              <w:jc w:val="center"/>
              <w:rPr>
                <w:rFonts w:ascii="Times New Roman" w:eastAsia="Times New Roman"/>
                <w:sz w:val="18"/>
              </w:rPr>
            </w:pPr>
            <w:r>
              <w:rPr>
                <w:rFonts w:ascii="Times New Roman" w:eastAsia="Times New Roman"/>
                <w:sz w:val="18"/>
              </w:rPr>
              <w:t>2.0</w:t>
            </w:r>
            <w:r>
              <w:rPr>
                <w:sz w:val="18"/>
              </w:rPr>
              <w:t>～</w:t>
            </w:r>
            <w:r>
              <w:rPr>
                <w:rFonts w:ascii="Times New Roman" w:eastAsia="Times New Roman"/>
                <w:sz w:val="18"/>
              </w:rPr>
              <w:t>3.0</w:t>
            </w:r>
          </w:p>
        </w:tc>
        <w:tc>
          <w:tcPr>
            <w:tcW w:w="879" w:type="dxa"/>
          </w:tcPr>
          <w:p>
            <w:pPr>
              <w:pStyle w:val="TableParagraph"/>
              <w:spacing w:before="36"/>
              <w:ind w:left="7"/>
              <w:jc w:val="center"/>
              <w:rPr>
                <w:sz w:val="18"/>
              </w:rPr>
            </w:pPr>
            <w:r>
              <w:rPr>
                <w:sz w:val="18"/>
              </w:rPr>
              <w:t>—</w:t>
            </w:r>
          </w:p>
        </w:tc>
        <w:tc>
          <w:tcPr>
            <w:tcW w:w="1729" w:type="dxa"/>
          </w:tcPr>
          <w:p>
            <w:pPr>
              <w:pStyle w:val="TableParagraph"/>
              <w:rPr>
                <w:rFonts w:ascii="Times New Roman"/>
                <w:sz w:val="18"/>
              </w:rPr>
            </w:pPr>
          </w:p>
        </w:tc>
      </w:tr>
      <w:tr>
        <w:trPr>
          <w:trHeight w:val="350" w:hRule="atLeast"/>
        </w:trPr>
        <w:tc>
          <w:tcPr>
            <w:tcW w:w="828" w:type="dxa"/>
          </w:tcPr>
          <w:p>
            <w:pPr>
              <w:pStyle w:val="TableParagraph"/>
              <w:spacing w:before="44"/>
              <w:ind w:left="146"/>
              <w:rPr>
                <w:sz w:val="18"/>
              </w:rPr>
            </w:pPr>
            <w:r>
              <w:rPr>
                <w:sz w:val="18"/>
              </w:rPr>
              <w:t>剥离力</w:t>
            </w:r>
          </w:p>
        </w:tc>
        <w:tc>
          <w:tcPr>
            <w:tcW w:w="3285" w:type="dxa"/>
          </w:tcPr>
          <w:p>
            <w:pPr>
              <w:pStyle w:val="TableParagraph"/>
              <w:spacing w:before="44"/>
              <w:ind w:left="90" w:right="83"/>
              <w:jc w:val="center"/>
              <w:rPr>
                <w:sz w:val="18"/>
              </w:rPr>
            </w:pPr>
            <w:r>
              <w:rPr>
                <w:sz w:val="18"/>
              </w:rPr>
              <w:t>绝缘屏蔽剥离力</w:t>
            </w:r>
          </w:p>
        </w:tc>
        <w:tc>
          <w:tcPr>
            <w:tcW w:w="1218" w:type="dxa"/>
          </w:tcPr>
          <w:p>
            <w:pPr>
              <w:pStyle w:val="TableParagraph"/>
              <w:spacing w:before="55"/>
              <w:ind w:left="8"/>
              <w:jc w:val="center"/>
              <w:rPr>
                <w:rFonts w:ascii="Times New Roman"/>
                <w:sz w:val="18"/>
              </w:rPr>
            </w:pPr>
            <w:r>
              <w:rPr>
                <w:rFonts w:ascii="Times New Roman"/>
                <w:w w:val="99"/>
                <w:sz w:val="18"/>
              </w:rPr>
              <w:t>N</w:t>
            </w:r>
          </w:p>
        </w:tc>
        <w:tc>
          <w:tcPr>
            <w:tcW w:w="1758" w:type="dxa"/>
            <w:gridSpan w:val="2"/>
          </w:tcPr>
          <w:p>
            <w:pPr>
              <w:pStyle w:val="TableParagraph"/>
              <w:spacing w:before="44"/>
              <w:ind w:left="184" w:right="188"/>
              <w:jc w:val="center"/>
              <w:rPr>
                <w:rFonts w:ascii="Times New Roman" w:eastAsia="Times New Roman"/>
                <w:sz w:val="18"/>
              </w:rPr>
            </w:pPr>
            <w:r>
              <w:rPr>
                <w:rFonts w:ascii="Times New Roman" w:eastAsia="Times New Roman"/>
                <w:sz w:val="18"/>
              </w:rPr>
              <w:t>8</w:t>
            </w:r>
            <w:r>
              <w:rPr>
                <w:sz w:val="18"/>
              </w:rPr>
              <w:t>～</w:t>
            </w:r>
            <w:r>
              <w:rPr>
                <w:rFonts w:ascii="Times New Roman" w:eastAsia="Times New Roman"/>
                <w:sz w:val="18"/>
              </w:rPr>
              <w:t>45</w:t>
            </w:r>
          </w:p>
        </w:tc>
        <w:tc>
          <w:tcPr>
            <w:tcW w:w="1729" w:type="dxa"/>
          </w:tcPr>
          <w:p>
            <w:pPr>
              <w:pStyle w:val="TableParagraph"/>
              <w:rPr>
                <w:rFonts w:ascii="Times New Roman"/>
                <w:sz w:val="18"/>
              </w:rPr>
            </w:pPr>
          </w:p>
        </w:tc>
      </w:tr>
    </w:tbl>
    <w:p>
      <w:pPr>
        <w:pStyle w:val="ListParagraph"/>
        <w:numPr>
          <w:ilvl w:val="0"/>
          <w:numId w:val="40"/>
        </w:numPr>
        <w:tabs>
          <w:tab w:pos="555" w:val="left" w:leader="none"/>
          <w:tab w:pos="556" w:val="left" w:leader="none"/>
        </w:tabs>
        <w:spacing w:line="364" w:lineRule="exact" w:before="0" w:after="0"/>
        <w:ind w:left="555" w:right="0" w:hanging="331"/>
        <w:jc w:val="left"/>
        <w:rPr>
          <w:sz w:val="21"/>
        </w:rPr>
      </w:pPr>
      <w:bookmarkStart w:name="4　使用环境条件表" w:id="75"/>
      <w:bookmarkEnd w:id="75"/>
      <w:r>
        <w:rPr/>
      </w:r>
      <w:bookmarkStart w:name="4　使用环境条件表" w:id="76"/>
      <w:bookmarkEnd w:id="76"/>
      <w:r>
        <w:rPr>
          <w:sz w:val="21"/>
        </w:rPr>
        <w:t>使用环境条件表</w:t>
      </w:r>
    </w:p>
    <w:p>
      <w:pPr>
        <w:pStyle w:val="BodyText"/>
        <w:rPr>
          <w:sz w:val="20"/>
        </w:rPr>
      </w:pPr>
    </w:p>
    <w:p>
      <w:pPr>
        <w:pStyle w:val="BodyText"/>
        <w:spacing w:before="2"/>
        <w:rPr>
          <w:sz w:val="14"/>
        </w:rPr>
      </w:pPr>
    </w:p>
    <w:p>
      <w:pPr>
        <w:pStyle w:val="BodyText"/>
        <w:tabs>
          <w:tab w:pos="590" w:val="left" w:leader="none"/>
        </w:tabs>
        <w:spacing w:before="47"/>
        <w:ind w:right="138"/>
        <w:jc w:val="center"/>
      </w:pPr>
      <w:r>
        <w:rPr/>
        <w:t>表</w:t>
      </w:r>
      <w:r>
        <w:rPr>
          <w:spacing w:val="-49"/>
        </w:rPr>
        <w:t> </w:t>
      </w:r>
      <w:r>
        <w:rPr>
          <w:rFonts w:ascii="Microsoft YaHei" w:eastAsia="Microsoft YaHei" w:hint="eastAsia"/>
        </w:rPr>
        <w:t>3</w:t>
        <w:tab/>
      </w:r>
      <w:r>
        <w:rPr>
          <w:spacing w:val="26"/>
        </w:rPr>
        <w:t>使</w:t>
      </w:r>
      <w:r>
        <w:rPr>
          <w:spacing w:val="35"/>
        </w:rPr>
        <w:t>用</w:t>
      </w:r>
      <w:r>
        <w:rPr>
          <w:spacing w:val="26"/>
        </w:rPr>
        <w:t>环境</w:t>
      </w:r>
      <w:r>
        <w:rPr>
          <w:spacing w:val="35"/>
        </w:rPr>
        <w:t>条</w:t>
      </w:r>
      <w:r>
        <w:rPr>
          <w:spacing w:val="30"/>
        </w:rPr>
        <w:t>件</w:t>
      </w:r>
      <w:r>
        <w:rPr/>
        <w:t>表</w:t>
      </w:r>
    </w:p>
    <w:p>
      <w:pPr>
        <w:pStyle w:val="BodyText"/>
        <w:spacing w:before="10"/>
        <w:rPr>
          <w:sz w:val="8"/>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39"/>
        <w:gridCol w:w="3530"/>
        <w:gridCol w:w="4284"/>
      </w:tblGrid>
      <w:tr>
        <w:trPr>
          <w:trHeight w:val="358" w:hRule="atLeast"/>
        </w:trPr>
        <w:tc>
          <w:tcPr>
            <w:tcW w:w="5169" w:type="dxa"/>
            <w:gridSpan w:val="2"/>
            <w:tcBorders>
              <w:bottom w:val="single" w:sz="4" w:space="0" w:color="000000"/>
              <w:right w:val="single" w:sz="4" w:space="0" w:color="000000"/>
            </w:tcBorders>
          </w:tcPr>
          <w:p>
            <w:pPr>
              <w:pStyle w:val="TableParagraph"/>
              <w:spacing w:before="64"/>
              <w:ind w:left="2333" w:right="2333"/>
              <w:jc w:val="center"/>
              <w:rPr>
                <w:sz w:val="18"/>
              </w:rPr>
            </w:pPr>
            <w:r>
              <w:rPr>
                <w:sz w:val="18"/>
              </w:rPr>
              <w:t>名 称</w:t>
            </w:r>
          </w:p>
        </w:tc>
        <w:tc>
          <w:tcPr>
            <w:tcW w:w="4284" w:type="dxa"/>
            <w:tcBorders>
              <w:left w:val="single" w:sz="4" w:space="0" w:color="000000"/>
              <w:bottom w:val="single" w:sz="4" w:space="0" w:color="000000"/>
            </w:tcBorders>
          </w:tcPr>
          <w:p>
            <w:pPr>
              <w:pStyle w:val="TableParagraph"/>
              <w:spacing w:before="64"/>
              <w:ind w:left="1755" w:right="1755"/>
              <w:jc w:val="center"/>
              <w:rPr>
                <w:sz w:val="18"/>
              </w:rPr>
            </w:pPr>
            <w:r>
              <w:rPr>
                <w:sz w:val="18"/>
              </w:rPr>
              <w:t>参 数 值</w:t>
            </w:r>
          </w:p>
        </w:tc>
      </w:tr>
      <w:tr>
        <w:trPr>
          <w:trHeight w:val="350" w:hRule="atLeast"/>
        </w:trPr>
        <w:tc>
          <w:tcPr>
            <w:tcW w:w="5169" w:type="dxa"/>
            <w:gridSpan w:val="2"/>
            <w:tcBorders>
              <w:top w:val="single" w:sz="4" w:space="0" w:color="000000"/>
              <w:bottom w:val="single" w:sz="4" w:space="0" w:color="000000"/>
              <w:right w:val="single" w:sz="4" w:space="0" w:color="000000"/>
            </w:tcBorders>
          </w:tcPr>
          <w:p>
            <w:pPr>
              <w:pStyle w:val="TableParagraph"/>
              <w:spacing w:before="56"/>
              <w:ind w:left="287"/>
              <w:rPr>
                <w:sz w:val="18"/>
              </w:rPr>
            </w:pPr>
            <w:r>
              <w:rPr>
                <w:sz w:val="18"/>
              </w:rPr>
              <w:t>海拔高度（</w:t>
            </w:r>
            <w:r>
              <w:rPr>
                <w:rFonts w:ascii="Times New Roman" w:eastAsia="Times New Roman"/>
                <w:sz w:val="18"/>
              </w:rPr>
              <w:t>m</w:t>
            </w:r>
            <w:r>
              <w:rPr>
                <w:sz w:val="18"/>
              </w:rPr>
              <w:t>）</w:t>
            </w:r>
          </w:p>
        </w:tc>
        <w:tc>
          <w:tcPr>
            <w:tcW w:w="4284" w:type="dxa"/>
            <w:tcBorders>
              <w:top w:val="single" w:sz="4" w:space="0" w:color="000000"/>
              <w:left w:val="single" w:sz="4" w:space="0" w:color="000000"/>
              <w:bottom w:val="single" w:sz="4" w:space="0" w:color="000000"/>
            </w:tcBorders>
          </w:tcPr>
          <w:p>
            <w:pPr>
              <w:pStyle w:val="TableParagraph"/>
              <w:spacing w:before="56"/>
              <w:ind w:left="294"/>
              <w:rPr>
                <w:rFonts w:ascii="Times New Roman" w:hAnsi="Times New Roman"/>
                <w:sz w:val="18"/>
              </w:rPr>
            </w:pPr>
            <w:r>
              <w:rPr>
                <w:sz w:val="18"/>
              </w:rPr>
              <w:t>≤</w:t>
            </w:r>
            <w:r>
              <w:rPr>
                <w:rFonts w:ascii="Times New Roman" w:hAnsi="Times New Roman"/>
                <w:sz w:val="18"/>
              </w:rPr>
              <w:t>1000</w:t>
            </w:r>
          </w:p>
        </w:tc>
      </w:tr>
      <w:tr>
        <w:trPr>
          <w:trHeight w:val="357" w:hRule="atLeast"/>
        </w:trPr>
        <w:tc>
          <w:tcPr>
            <w:tcW w:w="5169" w:type="dxa"/>
            <w:gridSpan w:val="2"/>
            <w:tcBorders>
              <w:top w:val="single" w:sz="4" w:space="0" w:color="000000"/>
              <w:bottom w:val="single" w:sz="4" w:space="0" w:color="000000"/>
              <w:right w:val="single" w:sz="4" w:space="0" w:color="000000"/>
            </w:tcBorders>
          </w:tcPr>
          <w:p>
            <w:pPr>
              <w:pStyle w:val="TableParagraph"/>
              <w:spacing w:before="64"/>
              <w:ind w:left="287"/>
              <w:rPr>
                <w:sz w:val="18"/>
              </w:rPr>
            </w:pPr>
            <w:r>
              <w:rPr>
                <w:sz w:val="18"/>
              </w:rPr>
              <w:t>最高环境温度（℃）</w:t>
            </w:r>
          </w:p>
        </w:tc>
        <w:tc>
          <w:tcPr>
            <w:tcW w:w="4284" w:type="dxa"/>
            <w:tcBorders>
              <w:top w:val="single" w:sz="4" w:space="0" w:color="000000"/>
              <w:left w:val="single" w:sz="4" w:space="0" w:color="000000"/>
              <w:bottom w:val="single" w:sz="4" w:space="0" w:color="000000"/>
            </w:tcBorders>
          </w:tcPr>
          <w:p>
            <w:pPr>
              <w:pStyle w:val="TableParagraph"/>
              <w:spacing w:before="68"/>
              <w:ind w:left="294"/>
              <w:rPr>
                <w:rFonts w:ascii="Times New Roman"/>
                <w:sz w:val="18"/>
              </w:rPr>
            </w:pPr>
            <w:r>
              <w:rPr>
                <w:rFonts w:ascii="Times New Roman"/>
                <w:sz w:val="18"/>
              </w:rPr>
              <w:t>+40</w:t>
            </w:r>
          </w:p>
        </w:tc>
      </w:tr>
      <w:tr>
        <w:trPr>
          <w:trHeight w:val="350" w:hRule="atLeast"/>
        </w:trPr>
        <w:tc>
          <w:tcPr>
            <w:tcW w:w="5169" w:type="dxa"/>
            <w:gridSpan w:val="2"/>
            <w:tcBorders>
              <w:top w:val="single" w:sz="4" w:space="0" w:color="000000"/>
              <w:bottom w:val="single" w:sz="4" w:space="0" w:color="000000"/>
              <w:right w:val="single" w:sz="4" w:space="0" w:color="000000"/>
            </w:tcBorders>
          </w:tcPr>
          <w:p>
            <w:pPr>
              <w:pStyle w:val="TableParagraph"/>
              <w:spacing w:before="56"/>
              <w:ind w:left="287"/>
              <w:rPr>
                <w:sz w:val="18"/>
              </w:rPr>
            </w:pPr>
            <w:r>
              <w:rPr>
                <w:sz w:val="18"/>
              </w:rPr>
              <w:t>最低环境温度（℃）</w:t>
            </w:r>
          </w:p>
        </w:tc>
        <w:tc>
          <w:tcPr>
            <w:tcW w:w="4284" w:type="dxa"/>
            <w:tcBorders>
              <w:top w:val="single" w:sz="4" w:space="0" w:color="000000"/>
              <w:left w:val="single" w:sz="4" w:space="0" w:color="000000"/>
              <w:bottom w:val="single" w:sz="4" w:space="0" w:color="000000"/>
            </w:tcBorders>
          </w:tcPr>
          <w:p>
            <w:pPr>
              <w:pStyle w:val="TableParagraph"/>
              <w:spacing w:before="68"/>
              <w:ind w:left="294"/>
              <w:rPr>
                <w:rFonts w:ascii="Times New Roman"/>
                <w:sz w:val="18"/>
              </w:rPr>
            </w:pPr>
            <w:r>
              <w:rPr>
                <w:rFonts w:ascii="Times New Roman"/>
                <w:sz w:val="18"/>
              </w:rPr>
              <w:t>-40</w:t>
            </w:r>
          </w:p>
        </w:tc>
      </w:tr>
      <w:tr>
        <w:trPr>
          <w:trHeight w:val="357" w:hRule="atLeast"/>
        </w:trPr>
        <w:tc>
          <w:tcPr>
            <w:tcW w:w="5169" w:type="dxa"/>
            <w:gridSpan w:val="2"/>
            <w:tcBorders>
              <w:top w:val="single" w:sz="4" w:space="0" w:color="000000"/>
              <w:bottom w:val="single" w:sz="4" w:space="0" w:color="000000"/>
              <w:right w:val="single" w:sz="4" w:space="0" w:color="000000"/>
            </w:tcBorders>
          </w:tcPr>
          <w:p>
            <w:pPr>
              <w:pStyle w:val="TableParagraph"/>
              <w:spacing w:before="63"/>
              <w:ind w:left="287"/>
              <w:rPr>
                <w:sz w:val="18"/>
              </w:rPr>
            </w:pPr>
            <w:r>
              <w:rPr>
                <w:sz w:val="18"/>
              </w:rPr>
              <w:t>土壤最高环境温度（℃）</w:t>
            </w:r>
          </w:p>
        </w:tc>
        <w:tc>
          <w:tcPr>
            <w:tcW w:w="4284" w:type="dxa"/>
            <w:tcBorders>
              <w:top w:val="single" w:sz="4" w:space="0" w:color="000000"/>
              <w:left w:val="single" w:sz="4" w:space="0" w:color="000000"/>
              <w:bottom w:val="single" w:sz="4" w:space="0" w:color="000000"/>
            </w:tcBorders>
          </w:tcPr>
          <w:p>
            <w:pPr>
              <w:pStyle w:val="TableParagraph"/>
              <w:spacing w:before="68"/>
              <w:ind w:left="294"/>
              <w:rPr>
                <w:rFonts w:ascii="Times New Roman"/>
                <w:sz w:val="18"/>
              </w:rPr>
            </w:pPr>
            <w:r>
              <w:rPr>
                <w:rFonts w:ascii="Times New Roman"/>
                <w:sz w:val="18"/>
              </w:rPr>
              <w:t>+35</w:t>
            </w:r>
          </w:p>
        </w:tc>
      </w:tr>
      <w:tr>
        <w:trPr>
          <w:trHeight w:val="350" w:hRule="atLeast"/>
        </w:trPr>
        <w:tc>
          <w:tcPr>
            <w:tcW w:w="5169" w:type="dxa"/>
            <w:gridSpan w:val="2"/>
            <w:tcBorders>
              <w:top w:val="single" w:sz="4" w:space="0" w:color="000000"/>
              <w:bottom w:val="single" w:sz="4" w:space="0" w:color="000000"/>
              <w:right w:val="single" w:sz="4" w:space="0" w:color="000000"/>
            </w:tcBorders>
          </w:tcPr>
          <w:p>
            <w:pPr>
              <w:pStyle w:val="TableParagraph"/>
              <w:spacing w:before="56"/>
              <w:ind w:left="287"/>
              <w:rPr>
                <w:sz w:val="18"/>
              </w:rPr>
            </w:pPr>
            <w:r>
              <w:rPr>
                <w:sz w:val="18"/>
              </w:rPr>
              <w:t>土壤最低环境温度（℃）</w:t>
            </w:r>
          </w:p>
        </w:tc>
        <w:tc>
          <w:tcPr>
            <w:tcW w:w="4284" w:type="dxa"/>
            <w:tcBorders>
              <w:top w:val="single" w:sz="4" w:space="0" w:color="000000"/>
              <w:left w:val="single" w:sz="4" w:space="0" w:color="000000"/>
              <w:bottom w:val="single" w:sz="4" w:space="0" w:color="000000"/>
            </w:tcBorders>
          </w:tcPr>
          <w:p>
            <w:pPr>
              <w:pStyle w:val="TableParagraph"/>
              <w:spacing w:before="68"/>
              <w:ind w:left="294"/>
              <w:rPr>
                <w:rFonts w:ascii="Times New Roman"/>
                <w:sz w:val="18"/>
              </w:rPr>
            </w:pPr>
            <w:r>
              <w:rPr>
                <w:rFonts w:ascii="Times New Roman"/>
                <w:sz w:val="18"/>
              </w:rPr>
              <w:t>-20</w:t>
            </w:r>
          </w:p>
        </w:tc>
      </w:tr>
      <w:tr>
        <w:trPr>
          <w:trHeight w:val="357" w:hRule="atLeast"/>
        </w:trPr>
        <w:tc>
          <w:tcPr>
            <w:tcW w:w="5169" w:type="dxa"/>
            <w:gridSpan w:val="2"/>
            <w:tcBorders>
              <w:top w:val="single" w:sz="4" w:space="0" w:color="000000"/>
              <w:bottom w:val="single" w:sz="4" w:space="0" w:color="000000"/>
              <w:right w:val="single" w:sz="4" w:space="0" w:color="000000"/>
            </w:tcBorders>
          </w:tcPr>
          <w:p>
            <w:pPr>
              <w:pStyle w:val="TableParagraph"/>
              <w:spacing w:before="63"/>
              <w:ind w:left="287"/>
              <w:rPr>
                <w:sz w:val="18"/>
              </w:rPr>
            </w:pPr>
            <w:r>
              <w:rPr>
                <w:sz w:val="18"/>
              </w:rPr>
              <w:t>日照强度（</w:t>
            </w:r>
            <w:r>
              <w:rPr>
                <w:rFonts w:ascii="Times New Roman" w:eastAsia="Times New Roman"/>
                <w:sz w:val="18"/>
              </w:rPr>
              <w:t>W/cm</w:t>
            </w:r>
            <w:r>
              <w:rPr>
                <w:rFonts w:ascii="Times New Roman" w:eastAsia="Times New Roman"/>
                <w:sz w:val="18"/>
                <w:vertAlign w:val="superscript"/>
              </w:rPr>
              <w:t>2</w:t>
            </w:r>
            <w:r>
              <w:rPr>
                <w:sz w:val="18"/>
                <w:vertAlign w:val="baseline"/>
              </w:rPr>
              <w:t>）</w:t>
            </w:r>
          </w:p>
        </w:tc>
        <w:tc>
          <w:tcPr>
            <w:tcW w:w="4284" w:type="dxa"/>
            <w:tcBorders>
              <w:top w:val="single" w:sz="4" w:space="0" w:color="000000"/>
              <w:left w:val="single" w:sz="4" w:space="0" w:color="000000"/>
              <w:bottom w:val="single" w:sz="4" w:space="0" w:color="000000"/>
            </w:tcBorders>
          </w:tcPr>
          <w:p>
            <w:pPr>
              <w:pStyle w:val="TableParagraph"/>
              <w:spacing w:before="68"/>
              <w:ind w:left="294"/>
              <w:rPr>
                <w:rFonts w:ascii="Times New Roman"/>
                <w:sz w:val="18"/>
              </w:rPr>
            </w:pPr>
            <w:r>
              <w:rPr>
                <w:rFonts w:ascii="Times New Roman"/>
                <w:sz w:val="18"/>
              </w:rPr>
              <w:t>0.1</w:t>
            </w:r>
          </w:p>
        </w:tc>
      </w:tr>
      <w:tr>
        <w:trPr>
          <w:trHeight w:val="350" w:hRule="atLeast"/>
        </w:trPr>
        <w:tc>
          <w:tcPr>
            <w:tcW w:w="1639" w:type="dxa"/>
            <w:vMerge w:val="restart"/>
            <w:tcBorders>
              <w:top w:val="single" w:sz="4" w:space="0" w:color="000000"/>
              <w:bottom w:val="single" w:sz="4" w:space="0" w:color="000000"/>
              <w:right w:val="single" w:sz="4" w:space="0" w:color="000000"/>
            </w:tcBorders>
          </w:tcPr>
          <w:p>
            <w:pPr>
              <w:pStyle w:val="TableParagraph"/>
              <w:spacing w:before="5"/>
              <w:rPr>
                <w:sz w:val="18"/>
              </w:rPr>
            </w:pPr>
          </w:p>
          <w:p>
            <w:pPr>
              <w:pStyle w:val="TableParagraph"/>
              <w:ind w:left="287"/>
              <w:rPr>
                <w:sz w:val="18"/>
              </w:rPr>
            </w:pPr>
            <w:r>
              <w:rPr>
                <w:sz w:val="18"/>
              </w:rPr>
              <w:t>湿</w:t>
            </w:r>
          </w:p>
        </w:tc>
        <w:tc>
          <w:tcPr>
            <w:tcW w:w="3530" w:type="dxa"/>
            <w:tcBorders>
              <w:top w:val="single" w:sz="4" w:space="0" w:color="000000"/>
              <w:left w:val="single" w:sz="4" w:space="0" w:color="000000"/>
              <w:bottom w:val="single" w:sz="4" w:space="0" w:color="000000"/>
              <w:right w:val="single" w:sz="4" w:space="0" w:color="000000"/>
            </w:tcBorders>
          </w:tcPr>
          <w:p>
            <w:pPr>
              <w:pStyle w:val="TableParagraph"/>
              <w:spacing w:before="56"/>
              <w:ind w:left="106"/>
              <w:rPr>
                <w:sz w:val="18"/>
              </w:rPr>
            </w:pPr>
            <w:r>
              <w:rPr>
                <w:sz w:val="18"/>
              </w:rPr>
              <w:t>日相对湿度平均值（％）</w:t>
            </w:r>
          </w:p>
        </w:tc>
        <w:tc>
          <w:tcPr>
            <w:tcW w:w="4284" w:type="dxa"/>
            <w:tcBorders>
              <w:top w:val="single" w:sz="4" w:space="0" w:color="000000"/>
              <w:left w:val="single" w:sz="4" w:space="0" w:color="000000"/>
              <w:bottom w:val="single" w:sz="4" w:space="0" w:color="000000"/>
            </w:tcBorders>
          </w:tcPr>
          <w:p>
            <w:pPr>
              <w:pStyle w:val="TableParagraph"/>
              <w:spacing w:before="56"/>
              <w:ind w:left="294"/>
              <w:rPr>
                <w:rFonts w:ascii="Times New Roman" w:hAnsi="Times New Roman"/>
                <w:sz w:val="18"/>
              </w:rPr>
            </w:pPr>
            <w:r>
              <w:rPr>
                <w:sz w:val="18"/>
              </w:rPr>
              <w:t>≤</w:t>
            </w:r>
            <w:r>
              <w:rPr>
                <w:rFonts w:ascii="Times New Roman" w:hAnsi="Times New Roman"/>
                <w:sz w:val="18"/>
              </w:rPr>
              <w:t>95</w:t>
            </w:r>
          </w:p>
        </w:tc>
      </w:tr>
      <w:tr>
        <w:trPr>
          <w:trHeight w:val="357" w:hRule="atLeast"/>
        </w:trPr>
        <w:tc>
          <w:tcPr>
            <w:tcW w:w="1639" w:type="dxa"/>
            <w:vMerge/>
            <w:tcBorders>
              <w:top w:val="nil"/>
              <w:bottom w:val="single" w:sz="4" w:space="0" w:color="000000"/>
              <w:right w:val="single" w:sz="4" w:space="0" w:color="000000"/>
            </w:tcBorders>
          </w:tcPr>
          <w:p>
            <w:pPr>
              <w:rPr>
                <w:sz w:val="2"/>
                <w:szCs w:val="2"/>
              </w:rPr>
            </w:pPr>
          </w:p>
        </w:tc>
        <w:tc>
          <w:tcPr>
            <w:tcW w:w="3530" w:type="dxa"/>
            <w:tcBorders>
              <w:top w:val="single" w:sz="4" w:space="0" w:color="000000"/>
              <w:left w:val="single" w:sz="4" w:space="0" w:color="000000"/>
              <w:bottom w:val="single" w:sz="4" w:space="0" w:color="000000"/>
              <w:right w:val="single" w:sz="4" w:space="0" w:color="000000"/>
            </w:tcBorders>
          </w:tcPr>
          <w:p>
            <w:pPr>
              <w:pStyle w:val="TableParagraph"/>
              <w:spacing w:before="56"/>
              <w:ind w:left="106"/>
              <w:rPr>
                <w:sz w:val="18"/>
              </w:rPr>
            </w:pPr>
            <w:r>
              <w:rPr>
                <w:sz w:val="18"/>
              </w:rPr>
              <w:t>月相对湿度平均值（％）</w:t>
            </w:r>
          </w:p>
        </w:tc>
        <w:tc>
          <w:tcPr>
            <w:tcW w:w="4284" w:type="dxa"/>
            <w:tcBorders>
              <w:top w:val="single" w:sz="4" w:space="0" w:color="000000"/>
              <w:left w:val="single" w:sz="4" w:space="0" w:color="000000"/>
              <w:bottom w:val="single" w:sz="4" w:space="0" w:color="000000"/>
            </w:tcBorders>
          </w:tcPr>
          <w:p>
            <w:pPr>
              <w:pStyle w:val="TableParagraph"/>
              <w:spacing w:before="56"/>
              <w:ind w:left="294"/>
              <w:rPr>
                <w:rFonts w:ascii="Times New Roman" w:hAnsi="Times New Roman"/>
                <w:sz w:val="18"/>
              </w:rPr>
            </w:pPr>
            <w:r>
              <w:rPr>
                <w:sz w:val="18"/>
              </w:rPr>
              <w:t>≤</w:t>
            </w:r>
            <w:r>
              <w:rPr>
                <w:rFonts w:ascii="Times New Roman" w:hAnsi="Times New Roman"/>
                <w:sz w:val="18"/>
              </w:rPr>
              <w:t>90</w:t>
            </w:r>
          </w:p>
        </w:tc>
      </w:tr>
      <w:tr>
        <w:trPr>
          <w:trHeight w:val="350" w:hRule="atLeast"/>
        </w:trPr>
        <w:tc>
          <w:tcPr>
            <w:tcW w:w="5169" w:type="dxa"/>
            <w:gridSpan w:val="2"/>
            <w:tcBorders>
              <w:top w:val="single" w:sz="4" w:space="0" w:color="000000"/>
              <w:bottom w:val="single" w:sz="4" w:space="0" w:color="000000"/>
              <w:right w:val="single" w:sz="4" w:space="0" w:color="000000"/>
            </w:tcBorders>
          </w:tcPr>
          <w:p>
            <w:pPr>
              <w:pStyle w:val="TableParagraph"/>
              <w:spacing w:before="56"/>
              <w:ind w:left="287"/>
              <w:rPr>
                <w:rFonts w:ascii="Times New Roman" w:eastAsia="Times New Roman"/>
                <w:sz w:val="18"/>
              </w:rPr>
            </w:pPr>
            <w:r>
              <w:rPr>
                <w:sz w:val="18"/>
              </w:rPr>
              <w:t>最大风速（户外</w:t>
            </w:r>
            <w:r>
              <w:rPr>
                <w:spacing w:val="-87"/>
                <w:sz w:val="18"/>
              </w:rPr>
              <w:t>）</w:t>
            </w:r>
            <w:r>
              <w:rPr>
                <w:spacing w:val="0"/>
                <w:sz w:val="18"/>
              </w:rPr>
              <w:t>（</w:t>
            </w:r>
            <w:r>
              <w:rPr>
                <w:rFonts w:ascii="Times New Roman" w:eastAsia="Times New Roman"/>
                <w:spacing w:val="2"/>
                <w:sz w:val="18"/>
              </w:rPr>
              <w:t>m</w:t>
            </w:r>
            <w:r>
              <w:rPr>
                <w:rFonts w:ascii="Times New Roman" w:eastAsia="Times New Roman"/>
                <w:w w:val="99"/>
                <w:sz w:val="18"/>
              </w:rPr>
              <w:t>/</w:t>
            </w:r>
            <w:r>
              <w:rPr>
                <w:rFonts w:ascii="Times New Roman" w:eastAsia="Times New Roman"/>
                <w:spacing w:val="1"/>
                <w:w w:val="99"/>
                <w:sz w:val="18"/>
              </w:rPr>
              <w:t>s</w:t>
            </w:r>
            <w:r>
              <w:rPr>
                <w:sz w:val="18"/>
              </w:rPr>
              <w:t>）</w:t>
            </w:r>
            <w:r>
              <w:rPr>
                <w:rFonts w:ascii="Times New Roman" w:eastAsia="Times New Roman"/>
                <w:spacing w:val="-7"/>
                <w:sz w:val="18"/>
              </w:rPr>
              <w:t>/</w:t>
            </w:r>
            <w:r>
              <w:rPr>
                <w:rFonts w:ascii="Times New Roman" w:eastAsia="Times New Roman"/>
                <w:w w:val="99"/>
                <w:sz w:val="18"/>
              </w:rPr>
              <w:t>P</w:t>
            </w:r>
            <w:r>
              <w:rPr>
                <w:rFonts w:ascii="Times New Roman" w:eastAsia="Times New Roman"/>
                <w:sz w:val="18"/>
              </w:rPr>
              <w:t>a</w:t>
            </w:r>
          </w:p>
        </w:tc>
        <w:tc>
          <w:tcPr>
            <w:tcW w:w="4284" w:type="dxa"/>
            <w:tcBorders>
              <w:top w:val="single" w:sz="4" w:space="0" w:color="000000"/>
              <w:left w:val="single" w:sz="4" w:space="0" w:color="000000"/>
              <w:bottom w:val="single" w:sz="4" w:space="0" w:color="000000"/>
            </w:tcBorders>
          </w:tcPr>
          <w:p>
            <w:pPr>
              <w:pStyle w:val="TableParagraph"/>
              <w:spacing w:before="68"/>
              <w:ind w:left="294"/>
              <w:rPr>
                <w:rFonts w:ascii="Times New Roman"/>
                <w:sz w:val="18"/>
              </w:rPr>
            </w:pPr>
            <w:r>
              <w:rPr>
                <w:rFonts w:ascii="Times New Roman"/>
                <w:sz w:val="18"/>
              </w:rPr>
              <w:t>35/700</w:t>
            </w:r>
          </w:p>
        </w:tc>
      </w:tr>
      <w:tr>
        <w:trPr>
          <w:trHeight w:val="589" w:hRule="atLeast"/>
        </w:trPr>
        <w:tc>
          <w:tcPr>
            <w:tcW w:w="5169" w:type="dxa"/>
            <w:gridSpan w:val="2"/>
            <w:tcBorders>
              <w:top w:val="single" w:sz="4" w:space="0" w:color="000000"/>
              <w:right w:val="single" w:sz="4" w:space="0" w:color="000000"/>
            </w:tcBorders>
          </w:tcPr>
          <w:p>
            <w:pPr>
              <w:pStyle w:val="TableParagraph"/>
              <w:spacing w:line="247" w:lineRule="auto" w:before="49"/>
              <w:ind w:left="107" w:right="88" w:firstLine="180"/>
              <w:rPr>
                <w:sz w:val="18"/>
              </w:rPr>
            </w:pPr>
            <w:r>
              <w:rPr>
                <w:sz w:val="18"/>
              </w:rPr>
              <w:t>电缆敷设方式（多种方式并存时，选择载流量最小的一种方式）</w:t>
            </w:r>
          </w:p>
        </w:tc>
        <w:tc>
          <w:tcPr>
            <w:tcW w:w="4284" w:type="dxa"/>
            <w:tcBorders>
              <w:top w:val="single" w:sz="4" w:space="0" w:color="000000"/>
              <w:left w:val="single" w:sz="4" w:space="0" w:color="000000"/>
            </w:tcBorders>
          </w:tcPr>
          <w:p>
            <w:pPr>
              <w:pStyle w:val="TableParagraph"/>
              <w:spacing w:before="12"/>
              <w:rPr>
                <w:sz w:val="13"/>
              </w:rPr>
            </w:pPr>
          </w:p>
          <w:p>
            <w:pPr>
              <w:pStyle w:val="TableParagraph"/>
              <w:ind w:left="294"/>
              <w:rPr>
                <w:sz w:val="18"/>
              </w:rPr>
            </w:pPr>
            <w:r>
              <w:rPr>
                <w:sz w:val="18"/>
              </w:rPr>
              <w:t>直埋、排管、电缆沟、隧道、空气</w:t>
            </w:r>
          </w:p>
        </w:tc>
      </w:tr>
    </w:tbl>
    <w:p>
      <w:pPr>
        <w:pStyle w:val="ListParagraph"/>
        <w:numPr>
          <w:ilvl w:val="0"/>
          <w:numId w:val="40"/>
        </w:numPr>
        <w:tabs>
          <w:tab w:pos="555" w:val="left" w:leader="none"/>
          <w:tab w:pos="556" w:val="left" w:leader="none"/>
        </w:tabs>
        <w:spacing w:line="240" w:lineRule="auto" w:before="227" w:after="0"/>
        <w:ind w:left="555" w:right="0" w:hanging="331"/>
        <w:jc w:val="left"/>
        <w:rPr>
          <w:sz w:val="21"/>
        </w:rPr>
      </w:pPr>
      <w:bookmarkStart w:name="5　试验" w:id="77"/>
      <w:bookmarkEnd w:id="77"/>
      <w:r>
        <w:rPr/>
      </w:r>
      <w:bookmarkStart w:name="_bookmark8" w:id="78"/>
      <w:bookmarkEnd w:id="78"/>
      <w:r>
        <w:rPr/>
      </w:r>
      <w:bookmarkStart w:name="_bookmark8" w:id="79"/>
      <w:bookmarkEnd w:id="79"/>
      <w:r>
        <w:rPr>
          <w:sz w:val="21"/>
        </w:rPr>
        <w:t>试验</w:t>
      </w:r>
    </w:p>
    <w:p>
      <w:pPr>
        <w:pStyle w:val="BodyText"/>
        <w:spacing w:before="10"/>
        <w:rPr>
          <w:sz w:val="31"/>
        </w:rPr>
      </w:pPr>
    </w:p>
    <w:p>
      <w:pPr>
        <w:pStyle w:val="ListParagraph"/>
        <w:numPr>
          <w:ilvl w:val="1"/>
          <w:numId w:val="40"/>
        </w:numPr>
        <w:tabs>
          <w:tab w:pos="757" w:val="left" w:leader="none"/>
          <w:tab w:pos="758" w:val="left" w:leader="none"/>
        </w:tabs>
        <w:spacing w:line="240" w:lineRule="auto" w:before="0" w:after="0"/>
        <w:ind w:left="757" w:right="0" w:hanging="533"/>
        <w:jc w:val="left"/>
        <w:rPr>
          <w:sz w:val="21"/>
        </w:rPr>
      </w:pPr>
      <w:bookmarkStart w:name="5.1　试验条件" w:id="80"/>
      <w:bookmarkEnd w:id="80"/>
      <w:r>
        <w:rPr/>
      </w:r>
      <w:bookmarkStart w:name="5.1　试验条件" w:id="81"/>
      <w:bookmarkEnd w:id="81"/>
      <w:r>
        <w:rPr>
          <w:sz w:val="21"/>
        </w:rPr>
        <w:t>试验条件</w:t>
      </w:r>
    </w:p>
    <w:p>
      <w:pPr>
        <w:pStyle w:val="ListParagraph"/>
        <w:numPr>
          <w:ilvl w:val="2"/>
          <w:numId w:val="40"/>
        </w:numPr>
        <w:tabs>
          <w:tab w:pos="1023" w:val="left" w:leader="none"/>
          <w:tab w:pos="1024" w:val="left" w:leader="none"/>
        </w:tabs>
        <w:spacing w:line="276" w:lineRule="auto" w:before="33" w:after="0"/>
        <w:ind w:left="224" w:right="341" w:firstLine="0"/>
        <w:jc w:val="left"/>
        <w:rPr>
          <w:sz w:val="21"/>
        </w:rPr>
      </w:pPr>
      <w:r>
        <w:rPr>
          <w:sz w:val="21"/>
        </w:rPr>
        <w:t>1</w:t>
        <w:tab/>
      </w:r>
      <w:r>
        <w:rPr>
          <w:spacing w:val="5"/>
          <w:sz w:val="21"/>
        </w:rPr>
        <w:t>除非另有规定，电压试验的环境温度为</w:t>
      </w:r>
      <w:r>
        <w:rPr>
          <w:sz w:val="21"/>
        </w:rPr>
        <w:t>（20±15）</w:t>
      </w:r>
      <w:r>
        <w:rPr>
          <w:spacing w:val="2"/>
          <w:sz w:val="21"/>
        </w:rPr>
        <w:t>℃，其他项目试验的环境温度为</w:t>
      </w:r>
      <w:r>
        <w:rPr>
          <w:spacing w:val="5"/>
          <w:sz w:val="21"/>
        </w:rPr>
        <w:t>（20</w:t>
      </w:r>
      <w:r>
        <w:rPr>
          <w:spacing w:val="1"/>
          <w:sz w:val="21"/>
        </w:rPr>
        <w:t>± </w:t>
      </w:r>
      <w:r>
        <w:rPr>
          <w:spacing w:val="-14"/>
          <w:sz w:val="21"/>
        </w:rPr>
        <w:t>5）</w:t>
      </w:r>
      <w:r>
        <w:rPr>
          <w:spacing w:val="-7"/>
          <w:sz w:val="21"/>
        </w:rPr>
        <w:t>℃。</w:t>
      </w:r>
    </w:p>
    <w:p>
      <w:pPr>
        <w:pStyle w:val="ListParagraph"/>
        <w:numPr>
          <w:ilvl w:val="2"/>
          <w:numId w:val="40"/>
        </w:numPr>
        <w:tabs>
          <w:tab w:pos="1002" w:val="left" w:leader="none"/>
          <w:tab w:pos="1003" w:val="left" w:leader="none"/>
        </w:tabs>
        <w:spacing w:line="263" w:lineRule="exact" w:before="0" w:after="0"/>
        <w:ind w:left="1002" w:right="0" w:hanging="778"/>
        <w:jc w:val="left"/>
        <w:rPr>
          <w:sz w:val="21"/>
        </w:rPr>
      </w:pPr>
      <w:r>
        <w:rPr>
          <w:sz w:val="21"/>
        </w:rPr>
        <w:t>2</w:t>
        <w:tab/>
      </w:r>
      <w:r>
        <w:rPr>
          <w:spacing w:val="-5"/>
          <w:sz w:val="21"/>
        </w:rPr>
        <w:t>交流电压试验的频率为 </w:t>
      </w:r>
      <w:r>
        <w:rPr>
          <w:sz w:val="21"/>
        </w:rPr>
        <w:t>49Hz～60Hz，电压波形基本上应是正弦波形。</w:t>
      </w:r>
    </w:p>
    <w:p>
      <w:pPr>
        <w:pStyle w:val="ListParagraph"/>
        <w:numPr>
          <w:ilvl w:val="2"/>
          <w:numId w:val="40"/>
        </w:numPr>
        <w:tabs>
          <w:tab w:pos="1002" w:val="left" w:leader="none"/>
          <w:tab w:pos="1003" w:val="left" w:leader="none"/>
        </w:tabs>
        <w:spacing w:line="240" w:lineRule="auto" w:before="41" w:after="0"/>
        <w:ind w:left="1002" w:right="0" w:hanging="778"/>
        <w:jc w:val="left"/>
        <w:rPr>
          <w:sz w:val="21"/>
        </w:rPr>
      </w:pPr>
      <w:r>
        <w:rPr>
          <w:sz w:val="21"/>
        </w:rPr>
        <w:t>3</w:t>
        <w:tab/>
      </w:r>
      <w:r>
        <w:rPr>
          <w:spacing w:val="-4"/>
          <w:sz w:val="21"/>
        </w:rPr>
        <w:t>冲击电压试验波形规定波前时间为 </w:t>
      </w:r>
      <w:r>
        <w:rPr>
          <w:sz w:val="21"/>
        </w:rPr>
        <w:t>1µs～5µs</w:t>
      </w:r>
      <w:r>
        <w:rPr>
          <w:spacing w:val="-7"/>
          <w:sz w:val="21"/>
        </w:rPr>
        <w:t>，半峰值时间为 </w:t>
      </w:r>
      <w:r>
        <w:rPr>
          <w:sz w:val="21"/>
        </w:rPr>
        <w:t>40µs～60µs。</w:t>
      </w:r>
    </w:p>
    <w:p>
      <w:pPr>
        <w:pStyle w:val="ListParagraph"/>
        <w:numPr>
          <w:ilvl w:val="1"/>
          <w:numId w:val="42"/>
        </w:numPr>
        <w:tabs>
          <w:tab w:pos="757" w:val="left" w:leader="none"/>
          <w:tab w:pos="758" w:val="left" w:leader="none"/>
        </w:tabs>
        <w:spacing w:line="240" w:lineRule="auto" w:before="40" w:after="0"/>
        <w:ind w:left="757" w:right="0" w:hanging="533"/>
        <w:jc w:val="left"/>
        <w:rPr>
          <w:sz w:val="21"/>
        </w:rPr>
      </w:pPr>
      <w:bookmarkStart w:name="5.2　例行试验" w:id="82"/>
      <w:bookmarkEnd w:id="82"/>
      <w:r>
        <w:rPr/>
      </w:r>
      <w:bookmarkStart w:name="5.2　例行试验" w:id="83"/>
      <w:bookmarkEnd w:id="83"/>
      <w:r>
        <w:rPr>
          <w:sz w:val="21"/>
        </w:rPr>
        <w:t>例行试验</w:t>
      </w:r>
    </w:p>
    <w:p>
      <w:pPr>
        <w:pStyle w:val="BodyText"/>
        <w:spacing w:before="41"/>
        <w:ind w:left="641"/>
      </w:pPr>
      <w:r>
        <w:rPr/>
        <w:t>例行试验通常应在每一个电缆制造长度长进行。标准规定的例行试验为：</w:t>
      </w:r>
    </w:p>
    <w:p>
      <w:pPr>
        <w:pStyle w:val="ListParagraph"/>
        <w:numPr>
          <w:ilvl w:val="2"/>
          <w:numId w:val="42"/>
        </w:numPr>
        <w:tabs>
          <w:tab w:pos="1665" w:val="left" w:leader="none"/>
          <w:tab w:pos="1666" w:val="left" w:leader="none"/>
        </w:tabs>
        <w:spacing w:line="240" w:lineRule="auto" w:before="34" w:after="0"/>
        <w:ind w:left="1665" w:right="0" w:hanging="1024"/>
        <w:jc w:val="left"/>
        <w:rPr>
          <w:sz w:val="21"/>
        </w:rPr>
      </w:pPr>
      <w:r>
        <w:rPr>
          <w:w w:val="95"/>
          <w:sz w:val="21"/>
        </w:rPr>
        <w:t>导体电阻测量；</w:t>
      </w:r>
    </w:p>
    <w:p>
      <w:pPr>
        <w:pStyle w:val="ListParagraph"/>
        <w:numPr>
          <w:ilvl w:val="2"/>
          <w:numId w:val="42"/>
        </w:numPr>
        <w:tabs>
          <w:tab w:pos="1665" w:val="left" w:leader="none"/>
          <w:tab w:pos="1666" w:val="left" w:leader="none"/>
        </w:tabs>
        <w:spacing w:line="240" w:lineRule="auto" w:before="40" w:after="0"/>
        <w:ind w:left="1665" w:right="0" w:hanging="1024"/>
        <w:jc w:val="left"/>
        <w:rPr>
          <w:sz w:val="21"/>
        </w:rPr>
      </w:pPr>
      <w:r>
        <w:rPr>
          <w:w w:val="95"/>
          <w:sz w:val="21"/>
        </w:rPr>
        <w:t>局部放电试验；</w:t>
      </w:r>
    </w:p>
    <w:p>
      <w:pPr>
        <w:pStyle w:val="ListParagraph"/>
        <w:numPr>
          <w:ilvl w:val="2"/>
          <w:numId w:val="42"/>
        </w:numPr>
        <w:tabs>
          <w:tab w:pos="1665" w:val="left" w:leader="none"/>
          <w:tab w:pos="1666" w:val="left" w:leader="none"/>
        </w:tabs>
        <w:spacing w:line="240" w:lineRule="auto" w:before="34" w:after="0"/>
        <w:ind w:left="1665" w:right="0" w:hanging="1024"/>
        <w:jc w:val="left"/>
        <w:rPr>
          <w:sz w:val="21"/>
        </w:rPr>
      </w:pPr>
      <w:r>
        <w:rPr>
          <w:sz w:val="21"/>
        </w:rPr>
        <w:t>工频交流电压试验。</w:t>
      </w:r>
    </w:p>
    <w:p>
      <w:pPr>
        <w:pStyle w:val="ListParagraph"/>
        <w:numPr>
          <w:ilvl w:val="2"/>
          <w:numId w:val="43"/>
        </w:numPr>
        <w:tabs>
          <w:tab w:pos="966" w:val="left" w:leader="none"/>
          <w:tab w:pos="967" w:val="left" w:leader="none"/>
        </w:tabs>
        <w:spacing w:line="240" w:lineRule="auto" w:before="47" w:after="0"/>
        <w:ind w:left="966" w:right="0" w:hanging="742"/>
        <w:jc w:val="left"/>
        <w:rPr>
          <w:sz w:val="21"/>
        </w:rPr>
      </w:pPr>
      <w:bookmarkStart w:name="5.2.1　导体电阻" w:id="84"/>
      <w:bookmarkEnd w:id="84"/>
      <w:r>
        <w:rPr/>
      </w:r>
      <w:bookmarkStart w:name="5.2.1　导体电阻" w:id="85"/>
      <w:bookmarkEnd w:id="85"/>
      <w:r>
        <w:rPr>
          <w:sz w:val="21"/>
        </w:rPr>
        <w:t>导体电阻</w:t>
      </w:r>
    </w:p>
    <w:p>
      <w:pPr>
        <w:pStyle w:val="BodyText"/>
        <w:spacing w:before="34"/>
        <w:ind w:left="641"/>
      </w:pPr>
      <w:r>
        <w:rPr/>
        <w:t>应对每一根电缆长度所有导体进行测量。成品电缆或从成品电缆上取下的试样，应在保持适当</w:t>
      </w:r>
    </w:p>
    <w:p>
      <w:pPr>
        <w:spacing w:after="0"/>
        <w:sectPr>
          <w:pgSz w:w="11910" w:h="16870"/>
          <w:pgMar w:top="1580" w:bottom="280" w:left="1260" w:right="860"/>
        </w:sectPr>
      </w:pPr>
    </w:p>
    <w:p>
      <w:pPr>
        <w:pStyle w:val="BodyText"/>
        <w:spacing w:before="50"/>
        <w:ind w:left="224"/>
      </w:pPr>
      <w:r>
        <w:rPr/>
        <w:t>温度的试验室内至少存放 </w:t>
      </w:r>
      <w:r>
        <w:rPr>
          <w:rFonts w:ascii="Times New Roman" w:eastAsia="Times New Roman"/>
        </w:rPr>
        <w:t>12h </w:t>
      </w:r>
      <w:r>
        <w:rPr/>
        <w:t>后测量。电阻测量值应按 </w:t>
      </w:r>
      <w:r>
        <w:rPr>
          <w:rFonts w:ascii="Times New Roman" w:eastAsia="Times New Roman"/>
        </w:rPr>
        <w:t>GB/T 3956 </w:t>
      </w:r>
      <w:r>
        <w:rPr/>
        <w:t>规定的公式和系数校正到 </w:t>
      </w:r>
      <w:r>
        <w:rPr>
          <w:rFonts w:ascii="Times New Roman" w:eastAsia="Times New Roman"/>
        </w:rPr>
        <w:t>20 </w:t>
      </w:r>
      <w:r>
        <w:rPr/>
        <w:t>下的</w:t>
      </w:r>
    </w:p>
    <w:p>
      <w:pPr>
        <w:pStyle w:val="BodyText"/>
        <w:spacing w:before="40"/>
        <w:ind w:left="224"/>
      </w:pPr>
      <w:r>
        <w:rPr>
          <w:rFonts w:ascii="Times New Roman" w:eastAsia="Times New Roman"/>
        </w:rPr>
        <w:t>1km </w:t>
      </w:r>
      <w:r>
        <w:rPr/>
        <w:t>长度的数值。每一根导体 </w:t>
      </w:r>
      <w:r>
        <w:rPr>
          <w:rFonts w:ascii="Times New Roman" w:eastAsia="Times New Roman"/>
        </w:rPr>
        <w:t>20 </w:t>
      </w:r>
      <w:r>
        <w:rPr/>
        <w:t>根时的直流电阻应不超过 </w:t>
      </w:r>
      <w:r>
        <w:rPr>
          <w:rFonts w:ascii="Times New Roman" w:eastAsia="Times New Roman"/>
        </w:rPr>
        <w:t>GB/T 3956 </w:t>
      </w:r>
      <w:r>
        <w:rPr/>
        <w:t>规定的相应的最大值。</w:t>
      </w:r>
    </w:p>
    <w:p>
      <w:pPr>
        <w:pStyle w:val="ListParagraph"/>
        <w:numPr>
          <w:ilvl w:val="2"/>
          <w:numId w:val="43"/>
        </w:numPr>
        <w:tabs>
          <w:tab w:pos="966" w:val="left" w:leader="none"/>
          <w:tab w:pos="967" w:val="left" w:leader="none"/>
        </w:tabs>
        <w:spacing w:line="240" w:lineRule="auto" w:before="41" w:after="0"/>
        <w:ind w:left="966" w:right="0" w:hanging="742"/>
        <w:jc w:val="left"/>
        <w:rPr>
          <w:sz w:val="21"/>
        </w:rPr>
      </w:pPr>
      <w:bookmarkStart w:name="5.2.2　局部放电" w:id="86"/>
      <w:bookmarkEnd w:id="86"/>
      <w:r>
        <w:rPr/>
      </w:r>
      <w:bookmarkStart w:name="5.2.2　局部放电" w:id="87"/>
      <w:bookmarkEnd w:id="87"/>
      <w:r>
        <w:rPr>
          <w:sz w:val="21"/>
        </w:rPr>
        <w:t>局部放电</w:t>
      </w:r>
    </w:p>
    <w:p>
      <w:pPr>
        <w:pStyle w:val="BodyText"/>
        <w:spacing w:line="273" w:lineRule="auto" w:before="41"/>
        <w:ind w:left="224" w:right="341" w:firstLine="417"/>
        <w:jc w:val="both"/>
      </w:pPr>
      <w:r>
        <w:rPr>
          <w:spacing w:val="-19"/>
        </w:rPr>
        <w:t>应按 </w:t>
      </w:r>
      <w:r>
        <w:rPr>
          <w:rFonts w:ascii="Times New Roman" w:eastAsia="Times New Roman"/>
        </w:rPr>
        <w:t>GB/T 3048.12 </w:t>
      </w:r>
      <w:r>
        <w:rPr>
          <w:spacing w:val="-4"/>
        </w:rPr>
        <w:t>进行局部放电试验，试验灵敏度应为 </w:t>
      </w:r>
      <w:r>
        <w:rPr>
          <w:rFonts w:ascii="Times New Roman" w:eastAsia="Times New Roman"/>
        </w:rPr>
        <w:t>10pC </w:t>
      </w:r>
      <w:r>
        <w:rPr/>
        <w:t>或更优。三芯电缆的所有绝缘线芯</w:t>
      </w:r>
      <w:r>
        <w:rPr>
          <w:spacing w:val="-1"/>
        </w:rPr>
        <w:t>都应试验，电压施加于每一根导体和金属屏蔽之间。试验电压应逐渐升高到 </w:t>
      </w:r>
      <w:r>
        <w:rPr>
          <w:rFonts w:ascii="Times New Roman" w:eastAsia="Times New Roman"/>
        </w:rPr>
        <w:t>2</w:t>
      </w:r>
      <w:r>
        <w:rPr>
          <w:rFonts w:ascii="Times New Roman" w:eastAsia="Times New Roman"/>
          <w:i/>
        </w:rPr>
        <w:t>U</w:t>
      </w:r>
      <w:r>
        <w:rPr>
          <w:rFonts w:ascii="Times New Roman" w:eastAsia="Times New Roman"/>
          <w:vertAlign w:val="subscript"/>
        </w:rPr>
        <w:t>0</w:t>
      </w:r>
      <w:r>
        <w:rPr>
          <w:rFonts w:ascii="Times New Roman" w:eastAsia="Times New Roman"/>
          <w:vertAlign w:val="baseline"/>
        </w:rPr>
        <w:t> </w:t>
      </w:r>
      <w:r>
        <w:rPr>
          <w:spacing w:val="-8"/>
          <w:vertAlign w:val="baseline"/>
        </w:rPr>
        <w:t>并保持 </w:t>
      </w:r>
      <w:r>
        <w:rPr>
          <w:rFonts w:ascii="Times New Roman" w:eastAsia="Times New Roman"/>
          <w:vertAlign w:val="baseline"/>
        </w:rPr>
        <w:t>10s</w:t>
      </w:r>
      <w:r>
        <w:rPr>
          <w:vertAlign w:val="baseline"/>
        </w:rPr>
        <w:t>，然后缓</w:t>
      </w:r>
      <w:r>
        <w:rPr>
          <w:spacing w:val="-16"/>
          <w:vertAlign w:val="baseline"/>
        </w:rPr>
        <w:t>慢降到 </w:t>
      </w:r>
      <w:r>
        <w:rPr>
          <w:rFonts w:ascii="Times New Roman" w:eastAsia="Times New Roman"/>
          <w:vertAlign w:val="baseline"/>
        </w:rPr>
        <w:t>1.73</w:t>
      </w:r>
      <w:r>
        <w:rPr>
          <w:rFonts w:ascii="Times New Roman" w:eastAsia="Times New Roman"/>
          <w:i/>
          <w:vertAlign w:val="baseline"/>
        </w:rPr>
        <w:t>U</w:t>
      </w:r>
      <w:r>
        <w:rPr>
          <w:rFonts w:ascii="Times New Roman" w:eastAsia="Times New Roman"/>
          <w:vertAlign w:val="subscript"/>
        </w:rPr>
        <w:t>0</w:t>
      </w:r>
      <w:r>
        <w:rPr>
          <w:spacing w:val="-19"/>
          <w:vertAlign w:val="baseline"/>
        </w:rPr>
        <w:t>。在 </w:t>
      </w:r>
      <w:r>
        <w:rPr>
          <w:rFonts w:ascii="Times New Roman" w:eastAsia="Times New Roman"/>
          <w:vertAlign w:val="baseline"/>
        </w:rPr>
        <w:t>1.73</w:t>
      </w:r>
      <w:r>
        <w:rPr>
          <w:rFonts w:ascii="Times New Roman" w:eastAsia="Times New Roman"/>
          <w:i/>
          <w:vertAlign w:val="baseline"/>
        </w:rPr>
        <w:t>U</w:t>
      </w:r>
      <w:r>
        <w:rPr>
          <w:rFonts w:ascii="Times New Roman" w:eastAsia="Times New Roman"/>
          <w:vertAlign w:val="subscript"/>
        </w:rPr>
        <w:t>0</w:t>
      </w:r>
      <w:r>
        <w:rPr>
          <w:rFonts w:ascii="Times New Roman" w:eastAsia="Times New Roman"/>
          <w:vertAlign w:val="baseline"/>
        </w:rPr>
        <w:t> </w:t>
      </w:r>
      <w:r>
        <w:rPr>
          <w:vertAlign w:val="baseline"/>
        </w:rPr>
        <w:t>下，应无任何由被试电缆产生的超过声明试验灵敏度的可检测到的放电。</w:t>
      </w:r>
    </w:p>
    <w:p>
      <w:pPr>
        <w:pStyle w:val="ListParagraph"/>
        <w:numPr>
          <w:ilvl w:val="2"/>
          <w:numId w:val="43"/>
        </w:numPr>
        <w:tabs>
          <w:tab w:pos="901" w:val="left" w:leader="none"/>
          <w:tab w:pos="902" w:val="left" w:leader="none"/>
        </w:tabs>
        <w:spacing w:line="317" w:lineRule="exact" w:before="0" w:after="0"/>
        <w:ind w:left="901" w:right="0" w:hanging="677"/>
        <w:jc w:val="left"/>
        <w:rPr>
          <w:rFonts w:ascii="Microsoft YaHei" w:eastAsia="Microsoft YaHei" w:hint="eastAsia"/>
          <w:sz w:val="21"/>
        </w:rPr>
      </w:pPr>
      <w:bookmarkStart w:name="5.2.3　工频交流电压试验" w:id="88"/>
      <w:bookmarkEnd w:id="88"/>
      <w:r>
        <w:rPr/>
      </w:r>
      <w:bookmarkStart w:name="5.2.3　工频交流电压试验" w:id="89"/>
      <w:bookmarkEnd w:id="89"/>
      <w:r>
        <w:rPr>
          <w:sz w:val="21"/>
        </w:rPr>
        <w:t>工频交流电压试验</w:t>
      </w:r>
    </w:p>
    <w:p>
      <w:pPr>
        <w:pStyle w:val="BodyText"/>
        <w:spacing w:line="271" w:lineRule="auto"/>
        <w:ind w:left="224" w:right="55" w:firstLine="417"/>
      </w:pPr>
      <w:r>
        <w:rPr/>
        <w:t>工频试验电压应为 </w:t>
      </w:r>
      <w:r>
        <w:rPr>
          <w:rFonts w:ascii="Times New Roman" w:eastAsia="Times New Roman"/>
        </w:rPr>
        <w:t>3.5</w:t>
      </w:r>
      <w:r>
        <w:rPr>
          <w:rFonts w:ascii="Times New Roman" w:eastAsia="Times New Roman"/>
          <w:i/>
        </w:rPr>
        <w:t>U</w:t>
      </w:r>
      <w:r>
        <w:rPr>
          <w:rFonts w:ascii="Times New Roman" w:eastAsia="Times New Roman"/>
          <w:vertAlign w:val="subscript"/>
        </w:rPr>
        <w:t>0</w:t>
      </w:r>
      <w:r>
        <w:rPr>
          <w:vertAlign w:val="baseline"/>
        </w:rPr>
        <w:t>，单相试验电压值为 </w:t>
      </w:r>
      <w:r>
        <w:rPr>
          <w:rFonts w:ascii="Times New Roman" w:eastAsia="Times New Roman"/>
          <w:vertAlign w:val="baseline"/>
        </w:rPr>
        <w:t>30.5kV</w:t>
      </w:r>
      <w:r>
        <w:rPr>
          <w:vertAlign w:val="baseline"/>
        </w:rPr>
        <w:t>，要求绝缘应无击穿。对分相金属屏蔽的的三芯电缆，应在每一根导体与金属屏蔽层之间施加电压，持续 </w:t>
      </w:r>
      <w:r>
        <w:rPr>
          <w:rFonts w:ascii="Times New Roman" w:eastAsia="Times New Roman"/>
          <w:vertAlign w:val="baseline"/>
        </w:rPr>
        <w:t>5min</w:t>
      </w:r>
      <w:r>
        <w:rPr>
          <w:vertAlign w:val="baseline"/>
        </w:rPr>
        <w:t>。对不分相金属屏蔽的三芯电缆， 应依次在每一根绝缘导体对其他所有导体及统包金属屏蔽层之间施加试验电压，持续 </w:t>
      </w:r>
      <w:r>
        <w:rPr>
          <w:rFonts w:ascii="Times New Roman" w:eastAsia="Times New Roman"/>
          <w:vertAlign w:val="baseline"/>
        </w:rPr>
        <w:t>5min</w:t>
      </w:r>
      <w:r>
        <w:rPr>
          <w:vertAlign w:val="baseline"/>
        </w:rPr>
        <w:t>。三芯电缆也可采用三相变压器，一次完成试验。</w:t>
      </w:r>
    </w:p>
    <w:p>
      <w:pPr>
        <w:pStyle w:val="ListParagraph"/>
        <w:numPr>
          <w:ilvl w:val="1"/>
          <w:numId w:val="44"/>
        </w:numPr>
        <w:tabs>
          <w:tab w:pos="757" w:val="left" w:leader="none"/>
          <w:tab w:pos="758" w:val="left" w:leader="none"/>
        </w:tabs>
        <w:spacing w:line="240" w:lineRule="auto" w:before="10" w:after="0"/>
        <w:ind w:left="757" w:right="0" w:hanging="533"/>
        <w:jc w:val="left"/>
        <w:rPr>
          <w:sz w:val="21"/>
        </w:rPr>
      </w:pPr>
      <w:bookmarkStart w:name="5.3　抽样试验" w:id="90"/>
      <w:bookmarkEnd w:id="90"/>
      <w:r>
        <w:rPr/>
      </w:r>
      <w:bookmarkStart w:name="5.3　抽样试验" w:id="91"/>
      <w:bookmarkEnd w:id="91"/>
      <w:r>
        <w:rPr>
          <w:sz w:val="21"/>
        </w:rPr>
        <w:t>抽样试验</w:t>
      </w:r>
    </w:p>
    <w:p>
      <w:pPr>
        <w:pStyle w:val="BodyText"/>
        <w:spacing w:before="33"/>
        <w:ind w:left="641"/>
      </w:pPr>
      <w:r>
        <w:rPr/>
        <w:t>抽样试验一般包括但不限于以下试验：</w:t>
      </w:r>
    </w:p>
    <w:p>
      <w:pPr>
        <w:pStyle w:val="ListParagraph"/>
        <w:numPr>
          <w:ilvl w:val="2"/>
          <w:numId w:val="44"/>
        </w:numPr>
        <w:tabs>
          <w:tab w:pos="1665" w:val="left" w:leader="none"/>
          <w:tab w:pos="1666" w:val="left" w:leader="none"/>
        </w:tabs>
        <w:spacing w:line="240" w:lineRule="auto" w:before="34" w:after="0"/>
        <w:ind w:left="1665" w:right="0" w:hanging="1024"/>
        <w:jc w:val="left"/>
        <w:rPr>
          <w:sz w:val="21"/>
        </w:rPr>
      </w:pPr>
      <w:r>
        <w:rPr>
          <w:w w:val="95"/>
          <w:sz w:val="21"/>
        </w:rPr>
        <w:t>导体检查；</w:t>
      </w:r>
    </w:p>
    <w:p>
      <w:pPr>
        <w:pStyle w:val="ListParagraph"/>
        <w:numPr>
          <w:ilvl w:val="2"/>
          <w:numId w:val="44"/>
        </w:numPr>
        <w:tabs>
          <w:tab w:pos="1665" w:val="left" w:leader="none"/>
          <w:tab w:pos="1666" w:val="left" w:leader="none"/>
        </w:tabs>
        <w:spacing w:line="240" w:lineRule="auto" w:before="41" w:after="0"/>
        <w:ind w:left="1665" w:right="0" w:hanging="1024"/>
        <w:jc w:val="left"/>
        <w:rPr>
          <w:sz w:val="21"/>
        </w:rPr>
      </w:pPr>
      <w:r>
        <w:rPr>
          <w:w w:val="95"/>
          <w:sz w:val="21"/>
        </w:rPr>
        <w:t>尺寸检查；</w:t>
      </w:r>
    </w:p>
    <w:p>
      <w:pPr>
        <w:pStyle w:val="ListParagraph"/>
        <w:numPr>
          <w:ilvl w:val="2"/>
          <w:numId w:val="44"/>
        </w:numPr>
        <w:tabs>
          <w:tab w:pos="1665" w:val="left" w:leader="none"/>
          <w:tab w:pos="1666" w:val="left" w:leader="none"/>
        </w:tabs>
        <w:spacing w:line="240" w:lineRule="auto" w:before="33" w:after="0"/>
        <w:ind w:left="1665" w:right="0" w:hanging="1024"/>
        <w:jc w:val="left"/>
        <w:rPr>
          <w:sz w:val="21"/>
        </w:rPr>
      </w:pPr>
      <w:r>
        <w:rPr>
          <w:w w:val="95"/>
          <w:sz w:val="21"/>
        </w:rPr>
        <w:t>电压试验；</w:t>
      </w:r>
    </w:p>
    <w:p>
      <w:pPr>
        <w:pStyle w:val="ListParagraph"/>
        <w:numPr>
          <w:ilvl w:val="2"/>
          <w:numId w:val="44"/>
        </w:numPr>
        <w:tabs>
          <w:tab w:pos="1665" w:val="left" w:leader="none"/>
          <w:tab w:pos="1666" w:val="left" w:leader="none"/>
        </w:tabs>
        <w:spacing w:line="240" w:lineRule="auto" w:before="41" w:after="0"/>
        <w:ind w:left="1665" w:right="0" w:hanging="1024"/>
        <w:jc w:val="left"/>
        <w:rPr>
          <w:sz w:val="21"/>
        </w:rPr>
      </w:pPr>
      <w:r>
        <w:rPr>
          <w:rFonts w:ascii="Times New Roman" w:eastAsia="Times New Roman"/>
          <w:sz w:val="21"/>
        </w:rPr>
        <w:t>XLPE</w:t>
      </w:r>
      <w:r>
        <w:rPr>
          <w:rFonts w:ascii="Times New Roman" w:eastAsia="Times New Roman"/>
          <w:spacing w:val="-9"/>
          <w:sz w:val="21"/>
        </w:rPr>
        <w:t> </w:t>
      </w:r>
      <w:r>
        <w:rPr>
          <w:sz w:val="21"/>
        </w:rPr>
        <w:t>绝缘热延伸试验；</w:t>
      </w:r>
    </w:p>
    <w:p>
      <w:pPr>
        <w:pStyle w:val="ListParagraph"/>
        <w:numPr>
          <w:ilvl w:val="2"/>
          <w:numId w:val="44"/>
        </w:numPr>
        <w:tabs>
          <w:tab w:pos="1665" w:val="left" w:leader="none"/>
          <w:tab w:pos="1666" w:val="left" w:leader="none"/>
        </w:tabs>
        <w:spacing w:line="240" w:lineRule="auto" w:before="33" w:after="0"/>
        <w:ind w:left="1665" w:right="0" w:hanging="1024"/>
        <w:jc w:val="left"/>
        <w:rPr>
          <w:sz w:val="21"/>
        </w:rPr>
      </w:pPr>
      <w:r>
        <w:rPr>
          <w:sz w:val="21"/>
        </w:rPr>
        <w:t>绝缘屏蔽剥离试验。</w:t>
      </w:r>
    </w:p>
    <w:p>
      <w:pPr>
        <w:pStyle w:val="BodyText"/>
        <w:spacing w:before="41"/>
        <w:ind w:left="641"/>
      </w:pPr>
      <w:r>
        <w:rPr/>
        <w:t>抽样试验的频度和试验要求应符合 </w:t>
      </w:r>
      <w:r>
        <w:rPr>
          <w:rFonts w:ascii="Times New Roman" w:eastAsia="Times New Roman"/>
        </w:rPr>
        <w:t>GB/T 12706.2 </w:t>
      </w:r>
      <w:r>
        <w:rPr/>
        <w:t>的要求。</w:t>
      </w:r>
    </w:p>
    <w:p>
      <w:pPr>
        <w:pStyle w:val="ListParagraph"/>
        <w:numPr>
          <w:ilvl w:val="1"/>
          <w:numId w:val="44"/>
        </w:numPr>
        <w:tabs>
          <w:tab w:pos="757" w:val="left" w:leader="none"/>
          <w:tab w:pos="758" w:val="left" w:leader="none"/>
        </w:tabs>
        <w:spacing w:line="240" w:lineRule="auto" w:before="41" w:after="0"/>
        <w:ind w:left="757" w:right="0" w:hanging="533"/>
        <w:jc w:val="left"/>
        <w:rPr>
          <w:sz w:val="21"/>
        </w:rPr>
      </w:pPr>
      <w:bookmarkStart w:name="5.4　型式试验" w:id="92"/>
      <w:bookmarkEnd w:id="92"/>
      <w:r>
        <w:rPr/>
      </w:r>
      <w:bookmarkStart w:name="5.4　型式试验" w:id="93"/>
      <w:bookmarkEnd w:id="93"/>
      <w:r>
        <w:rPr>
          <w:sz w:val="21"/>
        </w:rPr>
        <w:t>型式试验</w:t>
      </w:r>
    </w:p>
    <w:p>
      <w:pPr>
        <w:pStyle w:val="BodyText"/>
        <w:spacing w:line="268" w:lineRule="auto" w:before="40"/>
        <w:ind w:left="224" w:right="334" w:firstLine="417"/>
      </w:pPr>
      <w:r>
        <w:rPr>
          <w:w w:val="95"/>
        </w:rPr>
        <w:t>具有特定电压和导体截面的一种型式的电缆通过了型式试验后，对于具有其他导体截面和</w:t>
      </w:r>
      <w:r>
        <w:rPr>
          <w:rFonts w:ascii="Times New Roman" w:eastAsia="Times New Roman"/>
          <w:w w:val="95"/>
        </w:rPr>
        <w:t>/</w:t>
      </w:r>
      <w:r>
        <w:rPr>
          <w:w w:val="95"/>
        </w:rPr>
        <w:t>或额   </w:t>
      </w:r>
      <w:r>
        <w:rPr/>
        <w:t>定电压的电缆型式批准依然有效，但应满足下列三个条件：</w:t>
      </w:r>
    </w:p>
    <w:p>
      <w:pPr>
        <w:pStyle w:val="ListParagraph"/>
        <w:numPr>
          <w:ilvl w:val="0"/>
          <w:numId w:val="45"/>
        </w:numPr>
        <w:tabs>
          <w:tab w:pos="1665" w:val="left" w:leader="none"/>
          <w:tab w:pos="1666" w:val="left" w:leader="none"/>
        </w:tabs>
        <w:spacing w:line="240" w:lineRule="auto" w:before="10" w:after="0"/>
        <w:ind w:left="1665" w:right="0" w:hanging="1024"/>
        <w:jc w:val="left"/>
        <w:rPr>
          <w:sz w:val="21"/>
        </w:rPr>
      </w:pPr>
      <w:r>
        <w:rPr>
          <w:sz w:val="21"/>
        </w:rPr>
        <w:t>绝缘和半导电屏蔽材料以及所采用的制造工艺相同；</w:t>
      </w:r>
    </w:p>
    <w:p>
      <w:pPr>
        <w:pStyle w:val="ListParagraph"/>
        <w:numPr>
          <w:ilvl w:val="0"/>
          <w:numId w:val="45"/>
        </w:numPr>
        <w:tabs>
          <w:tab w:pos="1665" w:val="left" w:leader="none"/>
          <w:tab w:pos="1666" w:val="left" w:leader="none"/>
        </w:tabs>
        <w:spacing w:line="240" w:lineRule="auto" w:before="33" w:after="0"/>
        <w:ind w:left="1665" w:right="0" w:hanging="1024"/>
        <w:jc w:val="left"/>
        <w:rPr>
          <w:sz w:val="21"/>
        </w:rPr>
      </w:pPr>
      <w:r>
        <w:rPr>
          <w:sz w:val="21"/>
        </w:rPr>
        <w:t>导体截面积不大于已试电缆；</w:t>
      </w:r>
    </w:p>
    <w:p>
      <w:pPr>
        <w:pStyle w:val="ListParagraph"/>
        <w:numPr>
          <w:ilvl w:val="0"/>
          <w:numId w:val="45"/>
        </w:numPr>
        <w:tabs>
          <w:tab w:pos="1665" w:val="left" w:leader="none"/>
          <w:tab w:pos="1666" w:val="left" w:leader="none"/>
        </w:tabs>
        <w:spacing w:line="240" w:lineRule="auto" w:before="41" w:after="0"/>
        <w:ind w:left="1665" w:right="0" w:hanging="1024"/>
        <w:jc w:val="left"/>
        <w:rPr>
          <w:sz w:val="21"/>
        </w:rPr>
      </w:pPr>
      <w:r>
        <w:rPr>
          <w:sz w:val="21"/>
        </w:rPr>
        <w:t>额定电压不高于已试电缆。</w:t>
      </w:r>
    </w:p>
    <w:p>
      <w:pPr>
        <w:pStyle w:val="BodyText"/>
        <w:spacing w:before="34"/>
        <w:ind w:left="641"/>
      </w:pPr>
      <w:r>
        <w:rPr/>
        <w:t>型式试验顺序及试验要求应符合 </w:t>
      </w:r>
      <w:r>
        <w:rPr>
          <w:rFonts w:ascii="Times New Roman" w:eastAsia="Times New Roman"/>
        </w:rPr>
        <w:t>GB/T 12706.2 </w:t>
      </w:r>
      <w:r>
        <w:rPr/>
        <w:t>的要求。</w:t>
      </w:r>
    </w:p>
    <w:p>
      <w:pPr>
        <w:pStyle w:val="ListParagraph"/>
        <w:numPr>
          <w:ilvl w:val="1"/>
          <w:numId w:val="44"/>
        </w:numPr>
        <w:tabs>
          <w:tab w:pos="757" w:val="left" w:leader="none"/>
          <w:tab w:pos="758" w:val="left" w:leader="none"/>
        </w:tabs>
        <w:spacing w:line="240" w:lineRule="auto" w:before="47" w:after="0"/>
        <w:ind w:left="757" w:right="0" w:hanging="533"/>
        <w:jc w:val="left"/>
        <w:rPr>
          <w:sz w:val="21"/>
        </w:rPr>
      </w:pPr>
      <w:bookmarkStart w:name="5.5　安装后的电气试验" w:id="94"/>
      <w:bookmarkEnd w:id="94"/>
      <w:r>
        <w:rPr/>
      </w:r>
      <w:bookmarkStart w:name="5.5　安装后的电气试验" w:id="95"/>
      <w:bookmarkEnd w:id="95"/>
      <w:r>
        <w:rPr>
          <w:sz w:val="21"/>
        </w:rPr>
        <w:t>安装后的电气试验</w:t>
      </w:r>
    </w:p>
    <w:p>
      <w:pPr>
        <w:pStyle w:val="ListParagraph"/>
        <w:numPr>
          <w:ilvl w:val="2"/>
          <w:numId w:val="46"/>
        </w:numPr>
        <w:tabs>
          <w:tab w:pos="808" w:val="left" w:leader="none"/>
        </w:tabs>
        <w:spacing w:line="240" w:lineRule="auto" w:before="41" w:after="0"/>
        <w:ind w:left="807" w:right="0" w:hanging="583"/>
        <w:jc w:val="left"/>
        <w:rPr>
          <w:sz w:val="21"/>
        </w:rPr>
      </w:pPr>
      <w:bookmarkStart w:name="5.5.1主绝缘交流电压试验" w:id="96"/>
      <w:bookmarkEnd w:id="96"/>
      <w:r>
        <w:rPr/>
      </w:r>
      <w:bookmarkStart w:name="5.5.1主绝缘交流电压试验" w:id="97"/>
      <w:bookmarkEnd w:id="97"/>
      <w:r>
        <w:rPr>
          <w:sz w:val="21"/>
        </w:rPr>
        <w:t>主绝缘交流电压试验</w:t>
      </w:r>
    </w:p>
    <w:p>
      <w:pPr>
        <w:pStyle w:val="BodyText"/>
        <w:spacing w:before="33"/>
        <w:ind w:left="641"/>
      </w:pPr>
      <w:r>
        <w:rPr/>
        <w:t>在导体和金属屏蔽间施加 </w:t>
      </w:r>
      <w:r>
        <w:rPr>
          <w:rFonts w:ascii="Times New Roman" w:eastAsia="Times New Roman"/>
        </w:rPr>
        <w:t>20Hz</w:t>
      </w:r>
      <w:r>
        <w:rPr/>
        <w:t>～</w:t>
      </w:r>
      <w:r>
        <w:rPr>
          <w:rFonts w:ascii="Times New Roman" w:eastAsia="Times New Roman"/>
        </w:rPr>
        <w:t>300Hz </w:t>
      </w:r>
      <w:r>
        <w:rPr/>
        <w:t>交流电压， </w:t>
      </w:r>
      <w:r>
        <w:rPr>
          <w:rFonts w:ascii="Times New Roman" w:eastAsia="Times New Roman"/>
        </w:rPr>
        <w:t>2.5U</w:t>
      </w:r>
      <w:r>
        <w:rPr>
          <w:rFonts w:ascii="Times New Roman" w:eastAsia="Times New Roman"/>
          <w:vertAlign w:val="subscript"/>
        </w:rPr>
        <w:t>0</w:t>
      </w:r>
      <w:r>
        <w:rPr>
          <w:rFonts w:ascii="Times New Roman" w:eastAsia="Times New Roman"/>
          <w:vertAlign w:val="baseline"/>
        </w:rPr>
        <w:t>/5min</w:t>
      </w:r>
      <w:r>
        <w:rPr>
          <w:vertAlign w:val="baseline"/>
        </w:rPr>
        <w:t>，</w:t>
      </w:r>
      <w:r>
        <w:rPr>
          <w:rFonts w:ascii="Times New Roman" w:eastAsia="Times New Roman"/>
          <w:vertAlign w:val="baseline"/>
        </w:rPr>
        <w:t>2U</w:t>
      </w:r>
      <w:r>
        <w:rPr>
          <w:rFonts w:ascii="Times New Roman" w:eastAsia="Times New Roman"/>
          <w:vertAlign w:val="subscript"/>
        </w:rPr>
        <w:t>0</w:t>
      </w:r>
      <w:r>
        <w:rPr>
          <w:rFonts w:ascii="Times New Roman" w:eastAsia="Times New Roman"/>
          <w:vertAlign w:val="baseline"/>
        </w:rPr>
        <w:t>/60min</w:t>
      </w:r>
      <w:r>
        <w:rPr>
          <w:vertAlign w:val="baseline"/>
        </w:rPr>
        <w:t>，绝缘不击穿。</w:t>
      </w:r>
    </w:p>
    <w:p>
      <w:pPr>
        <w:pStyle w:val="ListParagraph"/>
        <w:numPr>
          <w:ilvl w:val="2"/>
          <w:numId w:val="46"/>
        </w:numPr>
        <w:tabs>
          <w:tab w:pos="808" w:val="left" w:leader="none"/>
        </w:tabs>
        <w:spacing w:line="240" w:lineRule="auto" w:before="48" w:after="0"/>
        <w:ind w:left="807" w:right="0" w:hanging="583"/>
        <w:jc w:val="left"/>
        <w:rPr>
          <w:sz w:val="21"/>
        </w:rPr>
      </w:pPr>
      <w:bookmarkStart w:name="5.5.2外护套直流耐压试验" w:id="98"/>
      <w:bookmarkEnd w:id="98"/>
      <w:r>
        <w:rPr/>
      </w:r>
      <w:bookmarkStart w:name="5.5.2外护套直流耐压试验" w:id="99"/>
      <w:bookmarkEnd w:id="99"/>
      <w:r>
        <w:rPr>
          <w:sz w:val="21"/>
        </w:rPr>
        <w:t>外护套直流耐压试验</w:t>
      </w:r>
    </w:p>
    <w:p>
      <w:pPr>
        <w:pStyle w:val="BodyText"/>
        <w:spacing w:line="276" w:lineRule="auto" w:before="34"/>
        <w:ind w:left="224" w:right="342" w:firstLine="417"/>
      </w:pPr>
      <w:r>
        <w:rPr/>
        <w:t>在电缆的每相金属套（如铠装层）或金属屏蔽与接地之间施加直流电压 </w:t>
      </w:r>
      <w:r>
        <w:rPr>
          <w:rFonts w:ascii="Times New Roman" w:eastAsia="Times New Roman"/>
        </w:rPr>
        <w:t>10kV</w:t>
      </w:r>
      <w:r>
        <w:rPr/>
        <w:t>、</w:t>
      </w:r>
      <w:r>
        <w:rPr>
          <w:rFonts w:ascii="Times New Roman" w:eastAsia="Times New Roman"/>
        </w:rPr>
        <w:t>1min</w:t>
      </w:r>
      <w:r>
        <w:rPr/>
        <w:t>，护套不击穿。</w:t>
      </w:r>
    </w:p>
    <w:p>
      <w:pPr>
        <w:pStyle w:val="ListParagraph"/>
        <w:numPr>
          <w:ilvl w:val="1"/>
          <w:numId w:val="46"/>
        </w:numPr>
        <w:tabs>
          <w:tab w:pos="757" w:val="left" w:leader="none"/>
          <w:tab w:pos="758" w:val="left" w:leader="none"/>
        </w:tabs>
        <w:spacing w:line="240" w:lineRule="auto" w:before="0" w:after="0"/>
        <w:ind w:left="757" w:right="0" w:hanging="533"/>
        <w:jc w:val="left"/>
        <w:rPr>
          <w:sz w:val="21"/>
        </w:rPr>
      </w:pPr>
      <w:bookmarkStart w:name="5.6　印刷标志耐擦试验" w:id="100"/>
      <w:bookmarkEnd w:id="100"/>
      <w:r>
        <w:rPr/>
      </w:r>
      <w:bookmarkStart w:name="5.6　印刷标志耐擦试验" w:id="101"/>
      <w:bookmarkEnd w:id="101"/>
      <w:r>
        <w:rPr>
          <w:sz w:val="21"/>
        </w:rPr>
        <w:t>印刷标志耐擦试验</w:t>
      </w:r>
    </w:p>
    <w:p>
      <w:pPr>
        <w:pStyle w:val="BodyText"/>
        <w:spacing w:line="268" w:lineRule="auto" w:before="41"/>
        <w:ind w:left="224" w:right="337" w:firstLine="417"/>
      </w:pPr>
      <w:r>
        <w:rPr/>
        <w:t>成品表面应连续凸印或喷印印刷厂名、型号、电压、导体截面、制造年份和计米长度标志，标志应字迹清楚、容易辨认、耐擦，达到 </w:t>
      </w:r>
      <w:r>
        <w:rPr>
          <w:rFonts w:ascii="Times New Roman" w:eastAsia="Times New Roman"/>
        </w:rPr>
        <w:t>GB/T 6995 </w:t>
      </w:r>
      <w:r>
        <w:rPr/>
        <w:t>标准。</w:t>
      </w:r>
    </w:p>
    <w:p>
      <w:pPr>
        <w:pStyle w:val="ListParagraph"/>
        <w:numPr>
          <w:ilvl w:val="1"/>
          <w:numId w:val="46"/>
        </w:numPr>
        <w:tabs>
          <w:tab w:pos="757" w:val="left" w:leader="none"/>
          <w:tab w:pos="758" w:val="left" w:leader="none"/>
        </w:tabs>
        <w:spacing w:line="240" w:lineRule="auto" w:before="17" w:after="0"/>
        <w:ind w:left="757" w:right="0" w:hanging="533"/>
        <w:jc w:val="left"/>
        <w:rPr>
          <w:sz w:val="21"/>
        </w:rPr>
      </w:pPr>
      <w:bookmarkStart w:name="5.7　在目的地的检查" w:id="102"/>
      <w:bookmarkEnd w:id="102"/>
      <w:r>
        <w:rPr/>
      </w:r>
      <w:bookmarkStart w:name="5.7　在目的地的检查" w:id="103"/>
      <w:bookmarkEnd w:id="103"/>
      <w:r>
        <w:rPr>
          <w:sz w:val="21"/>
        </w:rPr>
        <w:t>在目的地的检查</w:t>
      </w:r>
    </w:p>
    <w:p>
      <w:pPr>
        <w:pStyle w:val="ListParagraph"/>
        <w:numPr>
          <w:ilvl w:val="2"/>
          <w:numId w:val="46"/>
        </w:numPr>
        <w:tabs>
          <w:tab w:pos="966" w:val="left" w:leader="none"/>
          <w:tab w:pos="967" w:val="left" w:leader="none"/>
        </w:tabs>
        <w:spacing w:line="276" w:lineRule="auto" w:before="41" w:after="0"/>
        <w:ind w:left="224" w:right="351" w:firstLine="0"/>
        <w:jc w:val="left"/>
        <w:rPr>
          <w:sz w:val="21"/>
        </w:rPr>
      </w:pPr>
      <w:bookmarkStart w:name="5.7.1　在货物到达目的地以后，买卖双方在目的地按提货单对所收到的货物的数量进" w:id="104"/>
      <w:bookmarkEnd w:id="104"/>
      <w:r>
        <w:rPr/>
      </w:r>
      <w:bookmarkStart w:name="5.7.1　在货物到达目的地以后，买卖双方在目的地按提货单对所收到的货物的数量进" w:id="105"/>
      <w:bookmarkEnd w:id="105"/>
      <w:r>
        <w:rPr>
          <w:w w:val="95"/>
          <w:sz w:val="21"/>
        </w:rPr>
        <w:t>在货物到达目的地以后，买卖双方在目的地按提货单对所收到的货物的数量进行核对，并检</w:t>
      </w:r>
      <w:r>
        <w:rPr>
          <w:w w:val="95"/>
          <w:sz w:val="21"/>
        </w:rPr>
        <w:t>  </w:t>
      </w:r>
      <w:r>
        <w:rPr>
          <w:sz w:val="21"/>
        </w:rPr>
        <w:t>查由于装运和卸货时货物的外伤情况。</w:t>
      </w:r>
    </w:p>
    <w:p>
      <w:pPr>
        <w:pStyle w:val="ListParagraph"/>
        <w:numPr>
          <w:ilvl w:val="2"/>
          <w:numId w:val="46"/>
        </w:numPr>
        <w:tabs>
          <w:tab w:pos="966" w:val="left" w:leader="none"/>
          <w:tab w:pos="967" w:val="left" w:leader="none"/>
        </w:tabs>
        <w:spacing w:line="259" w:lineRule="exact" w:before="7" w:after="0"/>
        <w:ind w:left="224" w:right="0" w:firstLine="0"/>
        <w:jc w:val="left"/>
        <w:rPr>
          <w:sz w:val="21"/>
        </w:rPr>
      </w:pPr>
      <w:bookmarkStart w:name="5.7.2　若货物的数量和外观情况与合同不符，则卖方应按买方的要求，免费为买方改" w:id="106"/>
      <w:bookmarkEnd w:id="106"/>
      <w:r>
        <w:rPr/>
      </w:r>
      <w:bookmarkStart w:name="5.7.2　若货物的数量和外观情况与合同不符，则卖方应按买方的要求，免费为买方改" w:id="107"/>
      <w:bookmarkEnd w:id="107"/>
      <w:r>
        <w:rPr>
          <w:sz w:val="21"/>
        </w:rPr>
        <w:t>若货物的数量和外观情况与合同不符，则卖方应按买方的要求，免费为买方改正或替换货物。</w:t>
      </w:r>
    </w:p>
    <w:p>
      <w:pPr>
        <w:pStyle w:val="ListParagraph"/>
        <w:numPr>
          <w:ilvl w:val="0"/>
          <w:numId w:val="46"/>
        </w:numPr>
        <w:tabs>
          <w:tab w:pos="555" w:val="left" w:leader="none"/>
          <w:tab w:pos="556" w:val="left" w:leader="none"/>
        </w:tabs>
        <w:spacing w:line="377" w:lineRule="exact" w:before="0" w:after="0"/>
        <w:ind w:left="555" w:right="0" w:hanging="331"/>
        <w:jc w:val="left"/>
        <w:rPr>
          <w:rFonts w:ascii="Microsoft YaHei" w:eastAsia="Microsoft YaHei" w:hint="eastAsia"/>
          <w:sz w:val="21"/>
        </w:rPr>
      </w:pPr>
      <w:bookmarkStart w:name="6　产品标志、包装、运输和保管" w:id="108"/>
      <w:bookmarkEnd w:id="108"/>
      <w:r>
        <w:rPr/>
      </w:r>
      <w:bookmarkStart w:name="_bookmark9" w:id="109"/>
      <w:bookmarkEnd w:id="109"/>
      <w:r>
        <w:rPr/>
      </w:r>
      <w:bookmarkStart w:name="_bookmark9" w:id="110"/>
      <w:bookmarkEnd w:id="110"/>
      <w:r>
        <w:rPr>
          <w:sz w:val="21"/>
        </w:rPr>
        <w:t>产品标志、包装、运输和保管</w:t>
      </w:r>
    </w:p>
    <w:p>
      <w:pPr>
        <w:pStyle w:val="BodyText"/>
        <w:spacing w:before="1"/>
        <w:rPr>
          <w:sz w:val="27"/>
        </w:rPr>
      </w:pPr>
    </w:p>
    <w:p>
      <w:pPr>
        <w:pStyle w:val="ListParagraph"/>
        <w:numPr>
          <w:ilvl w:val="1"/>
          <w:numId w:val="47"/>
        </w:numPr>
        <w:tabs>
          <w:tab w:pos="750" w:val="left" w:leader="none"/>
          <w:tab w:pos="751" w:val="left" w:leader="none"/>
        </w:tabs>
        <w:spacing w:line="228" w:lineRule="auto" w:before="0" w:after="0"/>
        <w:ind w:left="224" w:right="351" w:firstLine="0"/>
        <w:jc w:val="left"/>
        <w:rPr>
          <w:sz w:val="21"/>
        </w:rPr>
      </w:pPr>
      <w:r>
        <w:rPr>
          <w:rFonts w:ascii="Microsoft YaHei" w:eastAsia="Microsoft YaHei" w:hint="eastAsia"/>
          <w:sz w:val="21"/>
        </w:rPr>
        <w:t>1</w:t>
        <w:tab/>
      </w:r>
      <w:r>
        <w:rPr>
          <w:sz w:val="21"/>
        </w:rPr>
        <w:t>成品电缆的护套表面上应有制造厂名、产品型号、额定电压、每米打字和制造年、月的连续标志，标志应字迹清楚，清晰耐磨。</w:t>
      </w:r>
    </w:p>
    <w:p>
      <w:pPr>
        <w:pStyle w:val="ListParagraph"/>
        <w:numPr>
          <w:ilvl w:val="1"/>
          <w:numId w:val="47"/>
        </w:numPr>
        <w:tabs>
          <w:tab w:pos="742" w:val="left" w:leader="none"/>
          <w:tab w:pos="743" w:val="left" w:leader="none"/>
        </w:tabs>
        <w:spacing w:line="228" w:lineRule="auto" w:before="0" w:after="0"/>
        <w:ind w:left="224" w:right="338" w:firstLine="0"/>
        <w:jc w:val="left"/>
        <w:rPr>
          <w:sz w:val="21"/>
        </w:rPr>
      </w:pPr>
      <w:r>
        <w:rPr>
          <w:rFonts w:ascii="Microsoft YaHei" w:eastAsia="Microsoft YaHei" w:hint="eastAsia"/>
          <w:sz w:val="21"/>
        </w:rPr>
        <w:t>2</w:t>
        <w:tab/>
      </w:r>
      <w:r>
        <w:rPr>
          <w:sz w:val="21"/>
        </w:rPr>
        <w:t>除非另有规定，电缆应卷绕在符合 </w:t>
      </w:r>
      <w:r>
        <w:rPr>
          <w:rFonts w:ascii="Times New Roman" w:eastAsia="Times New Roman"/>
          <w:sz w:val="21"/>
        </w:rPr>
        <w:t>JB/T</w:t>
      </w:r>
      <w:r>
        <w:rPr>
          <w:rFonts w:ascii="Times New Roman" w:eastAsia="Times New Roman"/>
          <w:spacing w:val="20"/>
          <w:sz w:val="21"/>
        </w:rPr>
        <w:t> </w:t>
      </w:r>
      <w:r>
        <w:rPr>
          <w:rFonts w:ascii="Times New Roman" w:eastAsia="Times New Roman"/>
          <w:sz w:val="21"/>
        </w:rPr>
        <w:t>8137</w:t>
      </w:r>
      <w:r>
        <w:rPr>
          <w:rFonts w:ascii="Times New Roman" w:eastAsia="Times New Roman"/>
          <w:spacing w:val="21"/>
          <w:sz w:val="21"/>
        </w:rPr>
        <w:t> </w:t>
      </w:r>
      <w:r>
        <w:rPr>
          <w:sz w:val="21"/>
        </w:rPr>
        <w:t>的电缆盘上交货，每个电缆盘上只能卷绕一根电缆。电缆的两端应采用防潮帽密封并牢靠地固定在电缆盘上。</w:t>
      </w:r>
    </w:p>
    <w:p>
      <w:pPr>
        <w:spacing w:after="0" w:line="228" w:lineRule="auto"/>
        <w:jc w:val="left"/>
        <w:rPr>
          <w:sz w:val="21"/>
        </w:rPr>
        <w:sectPr>
          <w:pgSz w:w="11910" w:h="16870"/>
          <w:pgMar w:top="1560" w:bottom="280" w:left="1260" w:right="860"/>
        </w:sectPr>
      </w:pPr>
    </w:p>
    <w:p>
      <w:pPr>
        <w:pStyle w:val="ListParagraph"/>
        <w:numPr>
          <w:ilvl w:val="1"/>
          <w:numId w:val="47"/>
        </w:numPr>
        <w:tabs>
          <w:tab w:pos="751" w:val="left" w:leader="none"/>
        </w:tabs>
        <w:spacing w:line="252" w:lineRule="auto" w:before="23" w:after="0"/>
        <w:ind w:left="224" w:right="317" w:firstLine="0"/>
        <w:jc w:val="both"/>
        <w:rPr>
          <w:sz w:val="21"/>
        </w:rPr>
      </w:pPr>
      <w:r>
        <w:rPr>
          <w:rFonts w:ascii="Microsoft YaHei" w:eastAsia="Microsoft YaHei" w:hint="eastAsia"/>
          <w:sz w:val="21"/>
        </w:rPr>
        <w:t>3</w:t>
      </w:r>
      <w:r>
        <w:rPr>
          <w:rFonts w:ascii="Microsoft YaHei" w:eastAsia="Microsoft YaHei" w:hint="eastAsia"/>
          <w:spacing w:val="2"/>
          <w:sz w:val="21"/>
        </w:rPr>
        <w:t>  </w:t>
      </w:r>
      <w:r>
        <w:rPr>
          <w:sz w:val="21"/>
        </w:rPr>
        <w:t>在每盘电缆的外侧端应装有经采购方认可的敷设电缆时牵引用的拉眼或牵引螺栓。拉眼或牵引螺栓与电缆导体的连接，应能满足敷设电缆时的牵引方式和牵引该长度的电缆所需的机械强度。对机械强度的要求应由买方与卖方协商确定。</w:t>
      </w:r>
    </w:p>
    <w:p>
      <w:pPr>
        <w:pStyle w:val="ListParagraph"/>
        <w:numPr>
          <w:ilvl w:val="1"/>
          <w:numId w:val="47"/>
        </w:numPr>
        <w:tabs>
          <w:tab w:pos="750" w:val="left" w:leader="none"/>
          <w:tab w:pos="751" w:val="left" w:leader="none"/>
        </w:tabs>
        <w:spacing w:line="329" w:lineRule="exact" w:before="0" w:after="0"/>
        <w:ind w:left="224" w:right="0" w:firstLine="0"/>
        <w:jc w:val="left"/>
        <w:rPr>
          <w:sz w:val="21"/>
        </w:rPr>
      </w:pPr>
      <w:r>
        <w:rPr>
          <w:rFonts w:ascii="Microsoft YaHei" w:eastAsia="Microsoft YaHei" w:hint="eastAsia"/>
          <w:sz w:val="21"/>
        </w:rPr>
        <w:t>4</w:t>
        <w:tab/>
      </w:r>
      <w:r>
        <w:rPr>
          <w:sz w:val="21"/>
        </w:rPr>
        <w:t>电缆盘的结构应牢固，筒体部分应采用钢结构。电缆卷绕在电缆盘上后，用护板保护，护板可</w:t>
      </w:r>
    </w:p>
    <w:p>
      <w:pPr>
        <w:pStyle w:val="BodyText"/>
        <w:spacing w:line="273" w:lineRule="auto"/>
        <w:ind w:left="224" w:right="317"/>
        <w:jc w:val="both"/>
      </w:pPr>
      <w:r>
        <w:rPr>
          <w:w w:val="95"/>
        </w:rPr>
        <w:t>以用木板或钢板。如采用木护板，在其外表面还应用金属带扎紧，并在护板之下的电缆盘最外层电   </w:t>
      </w:r>
      <w:r>
        <w:rPr/>
        <w:t>缆表面上覆盖一层硬纸或其他具有类似功能的材料，以防碎石或煤渣等坚硬物体掉落在每匝电缆之间，在运输或搬运过程中损伤电缆外护套；如用钢板，则宜采用轧边或螺栓与电缆盘固定，而不应采用焊接固定。</w:t>
      </w:r>
    </w:p>
    <w:p>
      <w:pPr>
        <w:pStyle w:val="ListParagraph"/>
        <w:numPr>
          <w:ilvl w:val="1"/>
          <w:numId w:val="47"/>
        </w:numPr>
        <w:tabs>
          <w:tab w:pos="751" w:val="left" w:leader="none"/>
        </w:tabs>
        <w:spacing w:line="312" w:lineRule="exact" w:before="0" w:after="0"/>
        <w:ind w:left="224" w:right="0" w:firstLine="0"/>
        <w:jc w:val="both"/>
        <w:rPr>
          <w:sz w:val="21"/>
        </w:rPr>
      </w:pPr>
      <w:r>
        <w:rPr>
          <w:rFonts w:ascii="Microsoft YaHei" w:eastAsia="Microsoft YaHei" w:hint="eastAsia"/>
          <w:sz w:val="21"/>
        </w:rPr>
        <w:t>5</w:t>
      </w:r>
      <w:r>
        <w:rPr>
          <w:rFonts w:ascii="Microsoft YaHei" w:eastAsia="Microsoft YaHei" w:hint="eastAsia"/>
          <w:spacing w:val="56"/>
          <w:sz w:val="21"/>
        </w:rPr>
        <w:t> </w:t>
      </w:r>
      <w:r>
        <w:rPr>
          <w:sz w:val="21"/>
        </w:rPr>
        <w:t>在运输电缆时，卖方应采取防止电缆盘滚动的措施，例如将电缆盘放在托盘上。卖方应对由于</w:t>
      </w:r>
    </w:p>
    <w:p>
      <w:pPr>
        <w:pStyle w:val="BodyText"/>
        <w:spacing w:line="247" w:lineRule="exact"/>
        <w:ind w:left="224"/>
        <w:jc w:val="both"/>
      </w:pPr>
      <w:r>
        <w:rPr/>
        <w:t>未将电缆或电缆盘正确地扣紧、密封、包装和固定而造成的电缆损伤负责。</w:t>
      </w:r>
    </w:p>
    <w:p>
      <w:pPr>
        <w:pStyle w:val="ListParagraph"/>
        <w:numPr>
          <w:ilvl w:val="1"/>
          <w:numId w:val="47"/>
        </w:numPr>
        <w:tabs>
          <w:tab w:pos="743" w:val="left" w:leader="none"/>
        </w:tabs>
        <w:spacing w:line="332" w:lineRule="exact" w:before="0" w:after="0"/>
        <w:ind w:left="743" w:right="0" w:hanging="519"/>
        <w:jc w:val="both"/>
        <w:rPr>
          <w:sz w:val="21"/>
        </w:rPr>
      </w:pPr>
      <w:r>
        <w:rPr>
          <w:rFonts w:ascii="Microsoft YaHei" w:eastAsia="Microsoft YaHei" w:hint="eastAsia"/>
          <w:sz w:val="21"/>
        </w:rPr>
        <w:t>6</w:t>
      </w:r>
      <w:r>
        <w:rPr>
          <w:rFonts w:ascii="Microsoft YaHei" w:eastAsia="Microsoft YaHei" w:hint="eastAsia"/>
          <w:spacing w:val="18"/>
          <w:sz w:val="21"/>
        </w:rPr>
        <w:t> </w:t>
      </w:r>
      <w:r>
        <w:rPr>
          <w:sz w:val="21"/>
        </w:rPr>
        <w:t>电缆盘在装卸时应采用专门的吊装工具以避免损坏电缆。</w:t>
      </w:r>
    </w:p>
    <w:p>
      <w:pPr>
        <w:pStyle w:val="ListParagraph"/>
        <w:numPr>
          <w:ilvl w:val="1"/>
          <w:numId w:val="47"/>
        </w:numPr>
        <w:tabs>
          <w:tab w:pos="743" w:val="left" w:leader="none"/>
        </w:tabs>
        <w:spacing w:line="340" w:lineRule="exact" w:before="0" w:after="0"/>
        <w:ind w:left="743" w:right="0" w:hanging="519"/>
        <w:jc w:val="both"/>
        <w:rPr>
          <w:sz w:val="21"/>
        </w:rPr>
      </w:pPr>
      <w:r>
        <w:rPr>
          <w:rFonts w:ascii="Microsoft YaHei" w:eastAsia="Microsoft YaHei" w:hint="eastAsia"/>
          <w:sz w:val="21"/>
        </w:rPr>
        <w:t>7</w:t>
      </w:r>
      <w:r>
        <w:rPr>
          <w:rFonts w:ascii="Microsoft YaHei" w:eastAsia="Microsoft YaHei" w:hint="eastAsia"/>
          <w:spacing w:val="20"/>
          <w:sz w:val="21"/>
        </w:rPr>
        <w:t> </w:t>
      </w:r>
      <w:r>
        <w:rPr>
          <w:sz w:val="21"/>
        </w:rPr>
        <w:t>在电缆盘上应有下列文字和符合标志：</w:t>
      </w:r>
    </w:p>
    <w:p>
      <w:pPr>
        <w:pStyle w:val="ListParagraph"/>
        <w:numPr>
          <w:ilvl w:val="2"/>
          <w:numId w:val="47"/>
        </w:numPr>
        <w:tabs>
          <w:tab w:pos="1665" w:val="left" w:leader="none"/>
          <w:tab w:pos="1666" w:val="left" w:leader="none"/>
        </w:tabs>
        <w:spacing w:line="260" w:lineRule="exact" w:before="0" w:after="0"/>
        <w:ind w:left="447" w:right="0" w:firstLine="194"/>
        <w:jc w:val="left"/>
        <w:rPr>
          <w:sz w:val="21"/>
        </w:rPr>
      </w:pPr>
      <w:r>
        <w:rPr>
          <w:sz w:val="21"/>
        </w:rPr>
        <w:t>合同号、电缆盘号；</w:t>
      </w:r>
    </w:p>
    <w:p>
      <w:pPr>
        <w:pStyle w:val="ListParagraph"/>
        <w:numPr>
          <w:ilvl w:val="2"/>
          <w:numId w:val="47"/>
        </w:numPr>
        <w:tabs>
          <w:tab w:pos="1665" w:val="left" w:leader="none"/>
          <w:tab w:pos="1666" w:val="left" w:leader="none"/>
        </w:tabs>
        <w:spacing w:line="240" w:lineRule="auto" w:before="32" w:after="0"/>
        <w:ind w:left="447" w:right="0" w:firstLine="194"/>
        <w:jc w:val="left"/>
        <w:rPr>
          <w:sz w:val="21"/>
        </w:rPr>
      </w:pPr>
      <w:r>
        <w:rPr>
          <w:sz w:val="21"/>
        </w:rPr>
        <w:t>收货单位；</w:t>
      </w:r>
    </w:p>
    <w:p>
      <w:pPr>
        <w:pStyle w:val="ListParagraph"/>
        <w:numPr>
          <w:ilvl w:val="2"/>
          <w:numId w:val="47"/>
        </w:numPr>
        <w:tabs>
          <w:tab w:pos="1665" w:val="left" w:leader="none"/>
          <w:tab w:pos="1666" w:val="left" w:leader="none"/>
        </w:tabs>
        <w:spacing w:line="240" w:lineRule="auto" w:before="33" w:after="0"/>
        <w:ind w:left="447" w:right="0" w:firstLine="194"/>
        <w:jc w:val="left"/>
        <w:rPr>
          <w:sz w:val="21"/>
        </w:rPr>
      </w:pPr>
      <w:r>
        <w:rPr>
          <w:sz w:val="21"/>
        </w:rPr>
        <w:t>目的口岸或到站；</w:t>
      </w:r>
    </w:p>
    <w:p>
      <w:pPr>
        <w:pStyle w:val="ListParagraph"/>
        <w:numPr>
          <w:ilvl w:val="2"/>
          <w:numId w:val="47"/>
        </w:numPr>
        <w:tabs>
          <w:tab w:pos="1665" w:val="left" w:leader="none"/>
          <w:tab w:pos="1666" w:val="left" w:leader="none"/>
        </w:tabs>
        <w:spacing w:line="240" w:lineRule="auto" w:before="41" w:after="0"/>
        <w:ind w:left="447" w:right="0" w:firstLine="194"/>
        <w:jc w:val="left"/>
        <w:rPr>
          <w:sz w:val="21"/>
        </w:rPr>
      </w:pPr>
      <w:r>
        <w:rPr>
          <w:sz w:val="21"/>
        </w:rPr>
        <w:t>产品名称和型号规格；</w:t>
      </w:r>
    </w:p>
    <w:p>
      <w:pPr>
        <w:pStyle w:val="ListParagraph"/>
        <w:numPr>
          <w:ilvl w:val="2"/>
          <w:numId w:val="47"/>
        </w:numPr>
        <w:tabs>
          <w:tab w:pos="1665" w:val="left" w:leader="none"/>
          <w:tab w:pos="1666" w:val="left" w:leader="none"/>
        </w:tabs>
        <w:spacing w:line="240" w:lineRule="auto" w:before="33" w:after="0"/>
        <w:ind w:left="447" w:right="0" w:firstLine="194"/>
        <w:jc w:val="left"/>
        <w:rPr>
          <w:sz w:val="21"/>
        </w:rPr>
      </w:pPr>
      <w:r>
        <w:rPr>
          <w:sz w:val="21"/>
        </w:rPr>
        <w:t>电缆的额定电压；</w:t>
      </w:r>
    </w:p>
    <w:p>
      <w:pPr>
        <w:pStyle w:val="ListParagraph"/>
        <w:numPr>
          <w:ilvl w:val="2"/>
          <w:numId w:val="47"/>
        </w:numPr>
        <w:tabs>
          <w:tab w:pos="945" w:val="left" w:leader="none"/>
        </w:tabs>
        <w:spacing w:line="240" w:lineRule="auto" w:before="5" w:after="0"/>
        <w:ind w:left="944" w:right="0" w:hanging="303"/>
        <w:jc w:val="left"/>
        <w:rPr>
          <w:sz w:val="21"/>
        </w:rPr>
      </w:pPr>
      <w:r>
        <w:rPr>
          <w:sz w:val="21"/>
        </w:rPr>
        <w:t>电缆长度；</w:t>
      </w:r>
    </w:p>
    <w:p>
      <w:pPr>
        <w:pStyle w:val="ListParagraph"/>
        <w:numPr>
          <w:ilvl w:val="2"/>
          <w:numId w:val="47"/>
        </w:numPr>
        <w:tabs>
          <w:tab w:pos="945" w:val="left" w:leader="none"/>
        </w:tabs>
        <w:spacing w:line="244" w:lineRule="auto" w:before="5" w:after="0"/>
        <w:ind w:left="447" w:right="4617" w:firstLine="0"/>
        <w:jc w:val="left"/>
        <w:rPr>
          <w:sz w:val="21"/>
        </w:rPr>
      </w:pPr>
      <w:r>
        <w:rPr>
          <w:w w:val="95"/>
          <w:sz w:val="21"/>
        </w:rPr>
        <w:t>表示搬运电缆盘正确滚动方向的箭头和起吊点</w:t>
      </w:r>
      <w:r>
        <w:rPr>
          <w:sz w:val="21"/>
        </w:rPr>
        <w:t>的符号。</w:t>
      </w:r>
    </w:p>
    <w:sectPr>
      <w:pgSz w:w="11910" w:h="16870"/>
      <w:pgMar w:top="1520" w:bottom="280" w:left="12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imSun">
    <w:altName w:val="SimSun"/>
    <w:charset w:val="0"/>
    <w:family w:val="auto"/>
    <w:pitch w:val="variable"/>
  </w:font>
  <w:font w:name="Microsoft YaHei">
    <w:altName w:val="Microsoft YaHei"/>
    <w:charset w:val="0"/>
    <w:family w:val="swiss"/>
    <w:pitch w:val="variable"/>
  </w:font>
  <w:font w:name="Wingdings">
    <w:altName w:val="Wingdings"/>
    <w:charset w:val="2"/>
    <w:family w:val="auto"/>
    <w:pitch w:val="variable"/>
  </w:font>
  <w:font w:name="Microsoft JhengHei">
    <w:altName w:val="Microsoft JhengHei"/>
    <w:charset w:val="0"/>
    <w:family w:val="swiss"/>
    <w:pitch w:val="variable"/>
  </w:font>
  <w:font w:name="PMingLiU">
    <w:altName w:val="PMingLiU"/>
    <w:charset w:val="0"/>
    <w:family w:val="roman"/>
    <w:pitch w:val="variable"/>
  </w:font>
  <w:font w:name="Symbol">
    <w:altName w:val="Symbol"/>
    <w:charset w:val="2"/>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
    <w:multiLevelType w:val="hybridMultilevel"/>
    <w:lvl w:ilvl="0">
      <w:start w:val="6"/>
      <w:numFmt w:val="decimal"/>
      <w:lvlText w:val="%1"/>
      <w:lvlJc w:val="left"/>
      <w:pPr>
        <w:ind w:left="224" w:hanging="527"/>
        <w:jc w:val="left"/>
      </w:pPr>
      <w:rPr>
        <w:rFonts w:hint="default"/>
        <w:lang w:val="zh-cn" w:eastAsia="zh-cn" w:bidi="zh-cn"/>
      </w:rPr>
    </w:lvl>
    <w:lvl w:ilvl="1">
      <w:start w:val="1"/>
      <w:numFmt w:val="decimal"/>
      <w:lvlText w:val="%1.%2"/>
      <w:lvlJc w:val="left"/>
      <w:pPr>
        <w:ind w:left="224" w:hanging="527"/>
        <w:jc w:val="left"/>
      </w:pPr>
      <w:rPr>
        <w:rFonts w:hint="default" w:ascii="Microsoft YaHei" w:hAnsi="Microsoft YaHei" w:eastAsia="Microsoft YaHei" w:cs="Microsoft YaHei"/>
        <w:spacing w:val="-41"/>
        <w:w w:val="94"/>
        <w:sz w:val="21"/>
        <w:szCs w:val="21"/>
        <w:lang w:val="zh-cn" w:eastAsia="zh-cn" w:bidi="zh-cn"/>
      </w:rPr>
    </w:lvl>
    <w:lvl w:ilvl="2">
      <w:start w:val="1"/>
      <w:numFmt w:val="lowerLetter"/>
      <w:lvlText w:val="%3）"/>
      <w:lvlJc w:val="left"/>
      <w:pPr>
        <w:ind w:left="447" w:hanging="1024"/>
        <w:jc w:val="right"/>
      </w:pPr>
      <w:rPr>
        <w:rFonts w:hint="default" w:ascii="Times New Roman" w:hAnsi="Times New Roman" w:eastAsia="Times New Roman" w:cs="Times New Roman"/>
        <w:spacing w:val="-6"/>
        <w:w w:val="99"/>
        <w:sz w:val="21"/>
        <w:szCs w:val="21"/>
        <w:lang w:val="zh-cn" w:eastAsia="zh-cn" w:bidi="zh-cn"/>
      </w:rPr>
    </w:lvl>
    <w:lvl w:ilvl="3">
      <w:start w:val="0"/>
      <w:numFmt w:val="bullet"/>
      <w:lvlText w:val="•"/>
      <w:lvlJc w:val="left"/>
      <w:pPr>
        <w:ind w:left="2517" w:hanging="1024"/>
      </w:pPr>
      <w:rPr>
        <w:rFonts w:hint="default"/>
        <w:lang w:val="zh-cn" w:eastAsia="zh-cn" w:bidi="zh-cn"/>
      </w:rPr>
    </w:lvl>
    <w:lvl w:ilvl="4">
      <w:start w:val="0"/>
      <w:numFmt w:val="bullet"/>
      <w:lvlText w:val="•"/>
      <w:lvlJc w:val="left"/>
      <w:pPr>
        <w:ind w:left="3556" w:hanging="1024"/>
      </w:pPr>
      <w:rPr>
        <w:rFonts w:hint="default"/>
        <w:lang w:val="zh-cn" w:eastAsia="zh-cn" w:bidi="zh-cn"/>
      </w:rPr>
    </w:lvl>
    <w:lvl w:ilvl="5">
      <w:start w:val="0"/>
      <w:numFmt w:val="bullet"/>
      <w:lvlText w:val="•"/>
      <w:lvlJc w:val="left"/>
      <w:pPr>
        <w:ind w:left="4595" w:hanging="1024"/>
      </w:pPr>
      <w:rPr>
        <w:rFonts w:hint="default"/>
        <w:lang w:val="zh-cn" w:eastAsia="zh-cn" w:bidi="zh-cn"/>
      </w:rPr>
    </w:lvl>
    <w:lvl w:ilvl="6">
      <w:start w:val="0"/>
      <w:numFmt w:val="bullet"/>
      <w:lvlText w:val="•"/>
      <w:lvlJc w:val="left"/>
      <w:pPr>
        <w:ind w:left="5633" w:hanging="1024"/>
      </w:pPr>
      <w:rPr>
        <w:rFonts w:hint="default"/>
        <w:lang w:val="zh-cn" w:eastAsia="zh-cn" w:bidi="zh-cn"/>
      </w:rPr>
    </w:lvl>
    <w:lvl w:ilvl="7">
      <w:start w:val="0"/>
      <w:numFmt w:val="bullet"/>
      <w:lvlText w:val="•"/>
      <w:lvlJc w:val="left"/>
      <w:pPr>
        <w:ind w:left="6672" w:hanging="1024"/>
      </w:pPr>
      <w:rPr>
        <w:rFonts w:hint="default"/>
        <w:lang w:val="zh-cn" w:eastAsia="zh-cn" w:bidi="zh-cn"/>
      </w:rPr>
    </w:lvl>
    <w:lvl w:ilvl="8">
      <w:start w:val="0"/>
      <w:numFmt w:val="bullet"/>
      <w:lvlText w:val="•"/>
      <w:lvlJc w:val="left"/>
      <w:pPr>
        <w:ind w:left="7711" w:hanging="1024"/>
      </w:pPr>
      <w:rPr>
        <w:rFonts w:hint="default"/>
        <w:lang w:val="zh-cn" w:eastAsia="zh-cn" w:bidi="zh-cn"/>
      </w:rPr>
    </w:lvl>
  </w:abstractNum>
  <w:abstractNum w:abstractNumId="45">
    <w:multiLevelType w:val="hybridMultilevel"/>
    <w:lvl w:ilvl="0">
      <w:start w:val="5"/>
      <w:numFmt w:val="decimal"/>
      <w:lvlText w:val="%1"/>
      <w:lvlJc w:val="left"/>
      <w:pPr>
        <w:ind w:left="807" w:hanging="584"/>
        <w:jc w:val="left"/>
      </w:pPr>
      <w:rPr>
        <w:rFonts w:hint="default"/>
        <w:lang w:val="zh-cn" w:eastAsia="zh-cn" w:bidi="zh-cn"/>
      </w:rPr>
    </w:lvl>
    <w:lvl w:ilvl="1">
      <w:start w:val="5"/>
      <w:numFmt w:val="decimal"/>
      <w:lvlText w:val="%1.%2"/>
      <w:lvlJc w:val="left"/>
      <w:pPr>
        <w:ind w:left="807" w:hanging="584"/>
        <w:jc w:val="left"/>
      </w:pPr>
      <w:rPr>
        <w:rFonts w:hint="default"/>
        <w:lang w:val="zh-cn" w:eastAsia="zh-cn" w:bidi="zh-cn"/>
      </w:rPr>
    </w:lvl>
    <w:lvl w:ilvl="2">
      <w:start w:val="1"/>
      <w:numFmt w:val="decimal"/>
      <w:lvlText w:val="%1.%2.%3"/>
      <w:lvlJc w:val="left"/>
      <w:pPr>
        <w:ind w:left="807" w:hanging="584"/>
        <w:jc w:val="left"/>
      </w:pPr>
      <w:rPr>
        <w:rFonts w:hint="default" w:ascii="SimSun" w:hAnsi="SimSun" w:eastAsia="SimSun" w:cs="SimSun"/>
        <w:spacing w:val="-4"/>
        <w:w w:val="99"/>
        <w:sz w:val="21"/>
        <w:szCs w:val="21"/>
        <w:lang w:val="zh-cn" w:eastAsia="zh-cn" w:bidi="zh-cn"/>
      </w:rPr>
    </w:lvl>
    <w:lvl w:ilvl="3">
      <w:start w:val="0"/>
      <w:numFmt w:val="bullet"/>
      <w:lvlText w:val="•"/>
      <w:lvlJc w:val="left"/>
      <w:pPr>
        <w:ind w:left="2797" w:hanging="584"/>
      </w:pPr>
      <w:rPr>
        <w:rFonts w:hint="default"/>
        <w:lang w:val="zh-cn" w:eastAsia="zh-cn" w:bidi="zh-cn"/>
      </w:rPr>
    </w:lvl>
    <w:lvl w:ilvl="4">
      <w:start w:val="0"/>
      <w:numFmt w:val="bullet"/>
      <w:lvlText w:val="•"/>
      <w:lvlJc w:val="left"/>
      <w:pPr>
        <w:ind w:left="3796" w:hanging="584"/>
      </w:pPr>
      <w:rPr>
        <w:rFonts w:hint="default"/>
        <w:lang w:val="zh-cn" w:eastAsia="zh-cn" w:bidi="zh-cn"/>
      </w:rPr>
    </w:lvl>
    <w:lvl w:ilvl="5">
      <w:start w:val="0"/>
      <w:numFmt w:val="bullet"/>
      <w:lvlText w:val="•"/>
      <w:lvlJc w:val="left"/>
      <w:pPr>
        <w:ind w:left="4795" w:hanging="584"/>
      </w:pPr>
      <w:rPr>
        <w:rFonts w:hint="default"/>
        <w:lang w:val="zh-cn" w:eastAsia="zh-cn" w:bidi="zh-cn"/>
      </w:rPr>
    </w:lvl>
    <w:lvl w:ilvl="6">
      <w:start w:val="0"/>
      <w:numFmt w:val="bullet"/>
      <w:lvlText w:val="•"/>
      <w:lvlJc w:val="left"/>
      <w:pPr>
        <w:ind w:left="5793" w:hanging="584"/>
      </w:pPr>
      <w:rPr>
        <w:rFonts w:hint="default"/>
        <w:lang w:val="zh-cn" w:eastAsia="zh-cn" w:bidi="zh-cn"/>
      </w:rPr>
    </w:lvl>
    <w:lvl w:ilvl="7">
      <w:start w:val="0"/>
      <w:numFmt w:val="bullet"/>
      <w:lvlText w:val="•"/>
      <w:lvlJc w:val="left"/>
      <w:pPr>
        <w:ind w:left="6792" w:hanging="584"/>
      </w:pPr>
      <w:rPr>
        <w:rFonts w:hint="default"/>
        <w:lang w:val="zh-cn" w:eastAsia="zh-cn" w:bidi="zh-cn"/>
      </w:rPr>
    </w:lvl>
    <w:lvl w:ilvl="8">
      <w:start w:val="0"/>
      <w:numFmt w:val="bullet"/>
      <w:lvlText w:val="•"/>
      <w:lvlJc w:val="left"/>
      <w:pPr>
        <w:ind w:left="7791" w:hanging="584"/>
      </w:pPr>
      <w:rPr>
        <w:rFonts w:hint="default"/>
        <w:lang w:val="zh-cn" w:eastAsia="zh-cn" w:bidi="zh-cn"/>
      </w:rPr>
    </w:lvl>
  </w:abstractNum>
  <w:abstractNum w:abstractNumId="44">
    <w:multiLevelType w:val="hybridMultilevel"/>
    <w:lvl w:ilvl="0">
      <w:start w:val="1"/>
      <w:numFmt w:val="lowerLetter"/>
      <w:lvlText w:val="%1）"/>
      <w:lvlJc w:val="left"/>
      <w:pPr>
        <w:ind w:left="1665" w:hanging="1024"/>
        <w:jc w:val="left"/>
      </w:pPr>
      <w:rPr>
        <w:rFonts w:hint="default" w:ascii="Times New Roman" w:hAnsi="Times New Roman" w:eastAsia="Times New Roman" w:cs="Times New Roman"/>
        <w:spacing w:val="-6"/>
        <w:w w:val="99"/>
        <w:sz w:val="21"/>
        <w:szCs w:val="21"/>
        <w:lang w:val="zh-cn" w:eastAsia="zh-cn" w:bidi="zh-cn"/>
      </w:rPr>
    </w:lvl>
    <w:lvl w:ilvl="1">
      <w:start w:val="0"/>
      <w:numFmt w:val="bullet"/>
      <w:lvlText w:val="•"/>
      <w:lvlJc w:val="left"/>
      <w:pPr>
        <w:ind w:left="2472" w:hanging="1024"/>
      </w:pPr>
      <w:rPr>
        <w:rFonts w:hint="default"/>
        <w:lang w:val="zh-cn" w:eastAsia="zh-cn" w:bidi="zh-cn"/>
      </w:rPr>
    </w:lvl>
    <w:lvl w:ilvl="2">
      <w:start w:val="0"/>
      <w:numFmt w:val="bullet"/>
      <w:lvlText w:val="•"/>
      <w:lvlJc w:val="left"/>
      <w:pPr>
        <w:ind w:left="3285" w:hanging="1024"/>
      </w:pPr>
      <w:rPr>
        <w:rFonts w:hint="default"/>
        <w:lang w:val="zh-cn" w:eastAsia="zh-cn" w:bidi="zh-cn"/>
      </w:rPr>
    </w:lvl>
    <w:lvl w:ilvl="3">
      <w:start w:val="0"/>
      <w:numFmt w:val="bullet"/>
      <w:lvlText w:val="•"/>
      <w:lvlJc w:val="left"/>
      <w:pPr>
        <w:ind w:left="4098" w:hanging="1024"/>
      </w:pPr>
      <w:rPr>
        <w:rFonts w:hint="default"/>
        <w:lang w:val="zh-cn" w:eastAsia="zh-cn" w:bidi="zh-cn"/>
      </w:rPr>
    </w:lvl>
    <w:lvl w:ilvl="4">
      <w:start w:val="0"/>
      <w:numFmt w:val="bullet"/>
      <w:lvlText w:val="•"/>
      <w:lvlJc w:val="left"/>
      <w:pPr>
        <w:ind w:left="4911" w:hanging="1024"/>
      </w:pPr>
      <w:rPr>
        <w:rFonts w:hint="default"/>
        <w:lang w:val="zh-cn" w:eastAsia="zh-cn" w:bidi="zh-cn"/>
      </w:rPr>
    </w:lvl>
    <w:lvl w:ilvl="5">
      <w:start w:val="0"/>
      <w:numFmt w:val="bullet"/>
      <w:lvlText w:val="•"/>
      <w:lvlJc w:val="left"/>
      <w:pPr>
        <w:ind w:left="5724" w:hanging="1024"/>
      </w:pPr>
      <w:rPr>
        <w:rFonts w:hint="default"/>
        <w:lang w:val="zh-cn" w:eastAsia="zh-cn" w:bidi="zh-cn"/>
      </w:rPr>
    </w:lvl>
    <w:lvl w:ilvl="6">
      <w:start w:val="0"/>
      <w:numFmt w:val="bullet"/>
      <w:lvlText w:val="•"/>
      <w:lvlJc w:val="left"/>
      <w:pPr>
        <w:ind w:left="6537" w:hanging="1024"/>
      </w:pPr>
      <w:rPr>
        <w:rFonts w:hint="default"/>
        <w:lang w:val="zh-cn" w:eastAsia="zh-cn" w:bidi="zh-cn"/>
      </w:rPr>
    </w:lvl>
    <w:lvl w:ilvl="7">
      <w:start w:val="0"/>
      <w:numFmt w:val="bullet"/>
      <w:lvlText w:val="•"/>
      <w:lvlJc w:val="left"/>
      <w:pPr>
        <w:ind w:left="7350" w:hanging="1024"/>
      </w:pPr>
      <w:rPr>
        <w:rFonts w:hint="default"/>
        <w:lang w:val="zh-cn" w:eastAsia="zh-cn" w:bidi="zh-cn"/>
      </w:rPr>
    </w:lvl>
    <w:lvl w:ilvl="8">
      <w:start w:val="0"/>
      <w:numFmt w:val="bullet"/>
      <w:lvlText w:val="•"/>
      <w:lvlJc w:val="left"/>
      <w:pPr>
        <w:ind w:left="8163" w:hanging="1024"/>
      </w:pPr>
      <w:rPr>
        <w:rFonts w:hint="default"/>
        <w:lang w:val="zh-cn" w:eastAsia="zh-cn" w:bidi="zh-cn"/>
      </w:rPr>
    </w:lvl>
  </w:abstractNum>
  <w:abstractNum w:abstractNumId="43">
    <w:multiLevelType w:val="hybridMultilevel"/>
    <w:lvl w:ilvl="0">
      <w:start w:val="5"/>
      <w:numFmt w:val="decimal"/>
      <w:lvlText w:val="%1"/>
      <w:lvlJc w:val="left"/>
      <w:pPr>
        <w:ind w:left="757" w:hanging="534"/>
        <w:jc w:val="left"/>
      </w:pPr>
      <w:rPr>
        <w:rFonts w:hint="default"/>
        <w:lang w:val="zh-cn" w:eastAsia="zh-cn" w:bidi="zh-cn"/>
      </w:rPr>
    </w:lvl>
    <w:lvl w:ilvl="1">
      <w:start w:val="3"/>
      <w:numFmt w:val="decimal"/>
      <w:lvlText w:val="%1.%2"/>
      <w:lvlJc w:val="left"/>
      <w:pPr>
        <w:ind w:left="757" w:hanging="534"/>
        <w:jc w:val="left"/>
      </w:pPr>
      <w:rPr>
        <w:rFonts w:hint="default" w:ascii="SimSun" w:hAnsi="SimSun" w:eastAsia="SimSun" w:cs="SimSun"/>
        <w:spacing w:val="0"/>
        <w:w w:val="99"/>
        <w:sz w:val="21"/>
        <w:szCs w:val="21"/>
        <w:lang w:val="zh-cn" w:eastAsia="zh-cn" w:bidi="zh-cn"/>
      </w:rPr>
    </w:lvl>
    <w:lvl w:ilvl="2">
      <w:start w:val="1"/>
      <w:numFmt w:val="lowerLetter"/>
      <w:lvlText w:val="%3）"/>
      <w:lvlJc w:val="left"/>
      <w:pPr>
        <w:ind w:left="1665" w:hanging="1024"/>
        <w:jc w:val="left"/>
      </w:pPr>
      <w:rPr>
        <w:rFonts w:hint="default" w:ascii="Times New Roman" w:hAnsi="Times New Roman" w:eastAsia="Times New Roman" w:cs="Times New Roman"/>
        <w:spacing w:val="-6"/>
        <w:w w:val="99"/>
        <w:sz w:val="21"/>
        <w:szCs w:val="21"/>
        <w:lang w:val="zh-cn" w:eastAsia="zh-cn" w:bidi="zh-cn"/>
      </w:rPr>
    </w:lvl>
    <w:lvl w:ilvl="3">
      <w:start w:val="0"/>
      <w:numFmt w:val="bullet"/>
      <w:lvlText w:val="•"/>
      <w:lvlJc w:val="left"/>
      <w:pPr>
        <w:ind w:left="3466" w:hanging="1024"/>
      </w:pPr>
      <w:rPr>
        <w:rFonts w:hint="default"/>
        <w:lang w:val="zh-cn" w:eastAsia="zh-cn" w:bidi="zh-cn"/>
      </w:rPr>
    </w:lvl>
    <w:lvl w:ilvl="4">
      <w:start w:val="0"/>
      <w:numFmt w:val="bullet"/>
      <w:lvlText w:val="•"/>
      <w:lvlJc w:val="left"/>
      <w:pPr>
        <w:ind w:left="4369" w:hanging="1024"/>
      </w:pPr>
      <w:rPr>
        <w:rFonts w:hint="default"/>
        <w:lang w:val="zh-cn" w:eastAsia="zh-cn" w:bidi="zh-cn"/>
      </w:rPr>
    </w:lvl>
    <w:lvl w:ilvl="5">
      <w:start w:val="0"/>
      <w:numFmt w:val="bullet"/>
      <w:lvlText w:val="•"/>
      <w:lvlJc w:val="left"/>
      <w:pPr>
        <w:ind w:left="5272" w:hanging="1024"/>
      </w:pPr>
      <w:rPr>
        <w:rFonts w:hint="default"/>
        <w:lang w:val="zh-cn" w:eastAsia="zh-cn" w:bidi="zh-cn"/>
      </w:rPr>
    </w:lvl>
    <w:lvl w:ilvl="6">
      <w:start w:val="0"/>
      <w:numFmt w:val="bullet"/>
      <w:lvlText w:val="•"/>
      <w:lvlJc w:val="left"/>
      <w:pPr>
        <w:ind w:left="6176" w:hanging="1024"/>
      </w:pPr>
      <w:rPr>
        <w:rFonts w:hint="default"/>
        <w:lang w:val="zh-cn" w:eastAsia="zh-cn" w:bidi="zh-cn"/>
      </w:rPr>
    </w:lvl>
    <w:lvl w:ilvl="7">
      <w:start w:val="0"/>
      <w:numFmt w:val="bullet"/>
      <w:lvlText w:val="•"/>
      <w:lvlJc w:val="left"/>
      <w:pPr>
        <w:ind w:left="7079" w:hanging="1024"/>
      </w:pPr>
      <w:rPr>
        <w:rFonts w:hint="default"/>
        <w:lang w:val="zh-cn" w:eastAsia="zh-cn" w:bidi="zh-cn"/>
      </w:rPr>
    </w:lvl>
    <w:lvl w:ilvl="8">
      <w:start w:val="0"/>
      <w:numFmt w:val="bullet"/>
      <w:lvlText w:val="•"/>
      <w:lvlJc w:val="left"/>
      <w:pPr>
        <w:ind w:left="7982" w:hanging="1024"/>
      </w:pPr>
      <w:rPr>
        <w:rFonts w:hint="default"/>
        <w:lang w:val="zh-cn" w:eastAsia="zh-cn" w:bidi="zh-cn"/>
      </w:rPr>
    </w:lvl>
  </w:abstractNum>
  <w:abstractNum w:abstractNumId="42">
    <w:multiLevelType w:val="hybridMultilevel"/>
    <w:lvl w:ilvl="0">
      <w:start w:val="5"/>
      <w:numFmt w:val="decimal"/>
      <w:lvlText w:val="%1"/>
      <w:lvlJc w:val="left"/>
      <w:pPr>
        <w:ind w:left="966" w:hanging="743"/>
        <w:jc w:val="left"/>
      </w:pPr>
      <w:rPr>
        <w:rFonts w:hint="default"/>
        <w:lang w:val="zh-cn" w:eastAsia="zh-cn" w:bidi="zh-cn"/>
      </w:rPr>
    </w:lvl>
    <w:lvl w:ilvl="1">
      <w:start w:val="2"/>
      <w:numFmt w:val="decimal"/>
      <w:lvlText w:val="%1.%2"/>
      <w:lvlJc w:val="left"/>
      <w:pPr>
        <w:ind w:left="966" w:hanging="743"/>
        <w:jc w:val="left"/>
      </w:pPr>
      <w:rPr>
        <w:rFonts w:hint="default"/>
        <w:lang w:val="zh-cn" w:eastAsia="zh-cn" w:bidi="zh-cn"/>
      </w:rPr>
    </w:lvl>
    <w:lvl w:ilvl="2">
      <w:start w:val="1"/>
      <w:numFmt w:val="decimal"/>
      <w:lvlText w:val="%1.%2.%3"/>
      <w:lvlJc w:val="left"/>
      <w:pPr>
        <w:ind w:left="966" w:hanging="743"/>
        <w:jc w:val="left"/>
      </w:pPr>
      <w:rPr>
        <w:rFonts w:hint="default"/>
        <w:spacing w:val="-4"/>
        <w:w w:val="99"/>
        <w:lang w:val="zh-cn" w:eastAsia="zh-cn" w:bidi="zh-cn"/>
      </w:rPr>
    </w:lvl>
    <w:lvl w:ilvl="3">
      <w:start w:val="0"/>
      <w:numFmt w:val="bullet"/>
      <w:lvlText w:val="•"/>
      <w:lvlJc w:val="left"/>
      <w:pPr>
        <w:ind w:left="3608" w:hanging="743"/>
      </w:pPr>
      <w:rPr>
        <w:rFonts w:hint="default"/>
        <w:lang w:val="zh-cn" w:eastAsia="zh-cn" w:bidi="zh-cn"/>
      </w:rPr>
    </w:lvl>
    <w:lvl w:ilvl="4">
      <w:start w:val="0"/>
      <w:numFmt w:val="bullet"/>
      <w:lvlText w:val="•"/>
      <w:lvlJc w:val="left"/>
      <w:pPr>
        <w:ind w:left="4491" w:hanging="743"/>
      </w:pPr>
      <w:rPr>
        <w:rFonts w:hint="default"/>
        <w:lang w:val="zh-cn" w:eastAsia="zh-cn" w:bidi="zh-cn"/>
      </w:rPr>
    </w:lvl>
    <w:lvl w:ilvl="5">
      <w:start w:val="0"/>
      <w:numFmt w:val="bullet"/>
      <w:lvlText w:val="•"/>
      <w:lvlJc w:val="left"/>
      <w:pPr>
        <w:ind w:left="5374" w:hanging="743"/>
      </w:pPr>
      <w:rPr>
        <w:rFonts w:hint="default"/>
        <w:lang w:val="zh-cn" w:eastAsia="zh-cn" w:bidi="zh-cn"/>
      </w:rPr>
    </w:lvl>
    <w:lvl w:ilvl="6">
      <w:start w:val="0"/>
      <w:numFmt w:val="bullet"/>
      <w:lvlText w:val="•"/>
      <w:lvlJc w:val="left"/>
      <w:pPr>
        <w:ind w:left="6257" w:hanging="743"/>
      </w:pPr>
      <w:rPr>
        <w:rFonts w:hint="default"/>
        <w:lang w:val="zh-cn" w:eastAsia="zh-cn" w:bidi="zh-cn"/>
      </w:rPr>
    </w:lvl>
    <w:lvl w:ilvl="7">
      <w:start w:val="0"/>
      <w:numFmt w:val="bullet"/>
      <w:lvlText w:val="•"/>
      <w:lvlJc w:val="left"/>
      <w:pPr>
        <w:ind w:left="7140" w:hanging="743"/>
      </w:pPr>
      <w:rPr>
        <w:rFonts w:hint="default"/>
        <w:lang w:val="zh-cn" w:eastAsia="zh-cn" w:bidi="zh-cn"/>
      </w:rPr>
    </w:lvl>
    <w:lvl w:ilvl="8">
      <w:start w:val="0"/>
      <w:numFmt w:val="bullet"/>
      <w:lvlText w:val="•"/>
      <w:lvlJc w:val="left"/>
      <w:pPr>
        <w:ind w:left="8023" w:hanging="743"/>
      </w:pPr>
      <w:rPr>
        <w:rFonts w:hint="default"/>
        <w:lang w:val="zh-cn" w:eastAsia="zh-cn" w:bidi="zh-cn"/>
      </w:rPr>
    </w:lvl>
  </w:abstractNum>
  <w:abstractNum w:abstractNumId="41">
    <w:multiLevelType w:val="hybridMultilevel"/>
    <w:lvl w:ilvl="0">
      <w:start w:val="5"/>
      <w:numFmt w:val="decimal"/>
      <w:lvlText w:val="%1"/>
      <w:lvlJc w:val="left"/>
      <w:pPr>
        <w:ind w:left="757" w:hanging="534"/>
        <w:jc w:val="left"/>
      </w:pPr>
      <w:rPr>
        <w:rFonts w:hint="default"/>
        <w:lang w:val="zh-cn" w:eastAsia="zh-cn" w:bidi="zh-cn"/>
      </w:rPr>
    </w:lvl>
    <w:lvl w:ilvl="1">
      <w:start w:val="2"/>
      <w:numFmt w:val="decimal"/>
      <w:lvlText w:val="%1.%2"/>
      <w:lvlJc w:val="left"/>
      <w:pPr>
        <w:ind w:left="757" w:hanging="534"/>
        <w:jc w:val="left"/>
      </w:pPr>
      <w:rPr>
        <w:rFonts w:hint="default" w:ascii="SimSun" w:hAnsi="SimSun" w:eastAsia="SimSun" w:cs="SimSun"/>
        <w:spacing w:val="0"/>
        <w:w w:val="99"/>
        <w:sz w:val="21"/>
        <w:szCs w:val="21"/>
        <w:lang w:val="zh-cn" w:eastAsia="zh-cn" w:bidi="zh-cn"/>
      </w:rPr>
    </w:lvl>
    <w:lvl w:ilvl="2">
      <w:start w:val="1"/>
      <w:numFmt w:val="lowerLetter"/>
      <w:lvlText w:val="%3）"/>
      <w:lvlJc w:val="left"/>
      <w:pPr>
        <w:ind w:left="1665" w:hanging="1024"/>
        <w:jc w:val="left"/>
      </w:pPr>
      <w:rPr>
        <w:rFonts w:hint="default" w:ascii="Times New Roman" w:hAnsi="Times New Roman" w:eastAsia="Times New Roman" w:cs="Times New Roman"/>
        <w:spacing w:val="-6"/>
        <w:w w:val="99"/>
        <w:sz w:val="21"/>
        <w:szCs w:val="21"/>
        <w:lang w:val="zh-cn" w:eastAsia="zh-cn" w:bidi="zh-cn"/>
      </w:rPr>
    </w:lvl>
    <w:lvl w:ilvl="3">
      <w:start w:val="0"/>
      <w:numFmt w:val="bullet"/>
      <w:lvlText w:val="•"/>
      <w:lvlJc w:val="left"/>
      <w:pPr>
        <w:ind w:left="3466" w:hanging="1024"/>
      </w:pPr>
      <w:rPr>
        <w:rFonts w:hint="default"/>
        <w:lang w:val="zh-cn" w:eastAsia="zh-cn" w:bidi="zh-cn"/>
      </w:rPr>
    </w:lvl>
    <w:lvl w:ilvl="4">
      <w:start w:val="0"/>
      <w:numFmt w:val="bullet"/>
      <w:lvlText w:val="•"/>
      <w:lvlJc w:val="left"/>
      <w:pPr>
        <w:ind w:left="4369" w:hanging="1024"/>
      </w:pPr>
      <w:rPr>
        <w:rFonts w:hint="default"/>
        <w:lang w:val="zh-cn" w:eastAsia="zh-cn" w:bidi="zh-cn"/>
      </w:rPr>
    </w:lvl>
    <w:lvl w:ilvl="5">
      <w:start w:val="0"/>
      <w:numFmt w:val="bullet"/>
      <w:lvlText w:val="•"/>
      <w:lvlJc w:val="left"/>
      <w:pPr>
        <w:ind w:left="5272" w:hanging="1024"/>
      </w:pPr>
      <w:rPr>
        <w:rFonts w:hint="default"/>
        <w:lang w:val="zh-cn" w:eastAsia="zh-cn" w:bidi="zh-cn"/>
      </w:rPr>
    </w:lvl>
    <w:lvl w:ilvl="6">
      <w:start w:val="0"/>
      <w:numFmt w:val="bullet"/>
      <w:lvlText w:val="•"/>
      <w:lvlJc w:val="left"/>
      <w:pPr>
        <w:ind w:left="6176" w:hanging="1024"/>
      </w:pPr>
      <w:rPr>
        <w:rFonts w:hint="default"/>
        <w:lang w:val="zh-cn" w:eastAsia="zh-cn" w:bidi="zh-cn"/>
      </w:rPr>
    </w:lvl>
    <w:lvl w:ilvl="7">
      <w:start w:val="0"/>
      <w:numFmt w:val="bullet"/>
      <w:lvlText w:val="•"/>
      <w:lvlJc w:val="left"/>
      <w:pPr>
        <w:ind w:left="7079" w:hanging="1024"/>
      </w:pPr>
      <w:rPr>
        <w:rFonts w:hint="default"/>
        <w:lang w:val="zh-cn" w:eastAsia="zh-cn" w:bidi="zh-cn"/>
      </w:rPr>
    </w:lvl>
    <w:lvl w:ilvl="8">
      <w:start w:val="0"/>
      <w:numFmt w:val="bullet"/>
      <w:lvlText w:val="•"/>
      <w:lvlJc w:val="left"/>
      <w:pPr>
        <w:ind w:left="7982" w:hanging="1024"/>
      </w:pPr>
      <w:rPr>
        <w:rFonts w:hint="default"/>
        <w:lang w:val="zh-cn" w:eastAsia="zh-cn" w:bidi="zh-cn"/>
      </w:rPr>
    </w:lvl>
  </w:abstractNum>
  <w:abstractNum w:abstractNumId="40">
    <w:multiLevelType w:val="hybridMultilevel"/>
    <w:lvl w:ilvl="0">
      <w:start w:val="2"/>
      <w:numFmt w:val="decimal"/>
      <w:lvlText w:val="%1"/>
      <w:lvlJc w:val="left"/>
      <w:pPr>
        <w:ind w:left="966" w:hanging="743"/>
        <w:jc w:val="left"/>
      </w:pPr>
      <w:rPr>
        <w:rFonts w:hint="default"/>
        <w:lang w:val="zh-cn" w:eastAsia="zh-cn" w:bidi="zh-cn"/>
      </w:rPr>
    </w:lvl>
    <w:lvl w:ilvl="1">
      <w:start w:val="1"/>
      <w:numFmt w:val="decimal"/>
      <w:lvlText w:val="%1.%2"/>
      <w:lvlJc w:val="left"/>
      <w:pPr>
        <w:ind w:left="966" w:hanging="743"/>
        <w:jc w:val="left"/>
      </w:pPr>
      <w:rPr>
        <w:rFonts w:hint="default"/>
        <w:lang w:val="zh-cn" w:eastAsia="zh-cn" w:bidi="zh-cn"/>
      </w:rPr>
    </w:lvl>
    <w:lvl w:ilvl="2">
      <w:start w:val="7"/>
      <w:numFmt w:val="decimal"/>
      <w:lvlText w:val="%1.%2.%3"/>
      <w:lvlJc w:val="left"/>
      <w:pPr>
        <w:ind w:left="966" w:hanging="743"/>
        <w:jc w:val="left"/>
      </w:pPr>
      <w:rPr>
        <w:rFonts w:hint="default" w:ascii="SimSun" w:hAnsi="SimSun" w:eastAsia="SimSun" w:cs="SimSun"/>
        <w:spacing w:val="-4"/>
        <w:w w:val="99"/>
        <w:sz w:val="21"/>
        <w:szCs w:val="21"/>
        <w:lang w:val="zh-cn" w:eastAsia="zh-cn" w:bidi="zh-cn"/>
      </w:rPr>
    </w:lvl>
    <w:lvl w:ilvl="3">
      <w:start w:val="0"/>
      <w:numFmt w:val="bullet"/>
      <w:lvlText w:val="•"/>
      <w:lvlJc w:val="left"/>
      <w:pPr>
        <w:ind w:left="3608" w:hanging="743"/>
      </w:pPr>
      <w:rPr>
        <w:rFonts w:hint="default"/>
        <w:lang w:val="zh-cn" w:eastAsia="zh-cn" w:bidi="zh-cn"/>
      </w:rPr>
    </w:lvl>
    <w:lvl w:ilvl="4">
      <w:start w:val="0"/>
      <w:numFmt w:val="bullet"/>
      <w:lvlText w:val="•"/>
      <w:lvlJc w:val="left"/>
      <w:pPr>
        <w:ind w:left="4491" w:hanging="743"/>
      </w:pPr>
      <w:rPr>
        <w:rFonts w:hint="default"/>
        <w:lang w:val="zh-cn" w:eastAsia="zh-cn" w:bidi="zh-cn"/>
      </w:rPr>
    </w:lvl>
    <w:lvl w:ilvl="5">
      <w:start w:val="0"/>
      <w:numFmt w:val="bullet"/>
      <w:lvlText w:val="•"/>
      <w:lvlJc w:val="left"/>
      <w:pPr>
        <w:ind w:left="5374" w:hanging="743"/>
      </w:pPr>
      <w:rPr>
        <w:rFonts w:hint="default"/>
        <w:lang w:val="zh-cn" w:eastAsia="zh-cn" w:bidi="zh-cn"/>
      </w:rPr>
    </w:lvl>
    <w:lvl w:ilvl="6">
      <w:start w:val="0"/>
      <w:numFmt w:val="bullet"/>
      <w:lvlText w:val="•"/>
      <w:lvlJc w:val="left"/>
      <w:pPr>
        <w:ind w:left="6257" w:hanging="743"/>
      </w:pPr>
      <w:rPr>
        <w:rFonts w:hint="default"/>
        <w:lang w:val="zh-cn" w:eastAsia="zh-cn" w:bidi="zh-cn"/>
      </w:rPr>
    </w:lvl>
    <w:lvl w:ilvl="7">
      <w:start w:val="0"/>
      <w:numFmt w:val="bullet"/>
      <w:lvlText w:val="•"/>
      <w:lvlJc w:val="left"/>
      <w:pPr>
        <w:ind w:left="7140" w:hanging="743"/>
      </w:pPr>
      <w:rPr>
        <w:rFonts w:hint="default"/>
        <w:lang w:val="zh-cn" w:eastAsia="zh-cn" w:bidi="zh-cn"/>
      </w:rPr>
    </w:lvl>
    <w:lvl w:ilvl="8">
      <w:start w:val="0"/>
      <w:numFmt w:val="bullet"/>
      <w:lvlText w:val="•"/>
      <w:lvlJc w:val="left"/>
      <w:pPr>
        <w:ind w:left="8023" w:hanging="743"/>
      </w:pPr>
      <w:rPr>
        <w:rFonts w:hint="default"/>
        <w:lang w:val="zh-cn" w:eastAsia="zh-cn" w:bidi="zh-cn"/>
      </w:rPr>
    </w:lvl>
  </w:abstractNum>
  <w:abstractNum w:abstractNumId="39">
    <w:multiLevelType w:val="hybridMultilevel"/>
    <w:lvl w:ilvl="0">
      <w:start w:val="1"/>
      <w:numFmt w:val="decimal"/>
      <w:lvlText w:val="%1"/>
      <w:lvlJc w:val="left"/>
      <w:pPr>
        <w:ind w:left="555" w:hanging="332"/>
        <w:jc w:val="left"/>
      </w:pPr>
      <w:rPr>
        <w:rFonts w:hint="default" w:ascii="Microsoft YaHei" w:hAnsi="Microsoft YaHei" w:eastAsia="Microsoft YaHei" w:cs="Microsoft YaHei"/>
        <w:w w:val="94"/>
        <w:sz w:val="21"/>
        <w:szCs w:val="21"/>
        <w:lang w:val="zh-cn" w:eastAsia="zh-cn" w:bidi="zh-cn"/>
      </w:rPr>
    </w:lvl>
    <w:lvl w:ilvl="1">
      <w:start w:val="1"/>
      <w:numFmt w:val="decimal"/>
      <w:lvlText w:val="%1.%2"/>
      <w:lvlJc w:val="left"/>
      <w:pPr>
        <w:ind w:left="757" w:hanging="534"/>
        <w:jc w:val="left"/>
      </w:pPr>
      <w:rPr>
        <w:rFonts w:hint="default" w:ascii="SimSun" w:hAnsi="SimSun" w:eastAsia="SimSun" w:cs="SimSun"/>
        <w:spacing w:val="0"/>
        <w:w w:val="99"/>
        <w:sz w:val="21"/>
        <w:szCs w:val="21"/>
        <w:lang w:val="zh-cn" w:eastAsia="zh-cn" w:bidi="zh-cn"/>
      </w:rPr>
    </w:lvl>
    <w:lvl w:ilvl="2">
      <w:start w:val="1"/>
      <w:numFmt w:val="decimal"/>
      <w:lvlText w:val="%1.%2.%3"/>
      <w:lvlJc w:val="left"/>
      <w:pPr>
        <w:ind w:left="966" w:hanging="743"/>
        <w:jc w:val="left"/>
      </w:pPr>
      <w:rPr>
        <w:rFonts w:hint="default" w:ascii="SimSun" w:hAnsi="SimSun" w:eastAsia="SimSun" w:cs="SimSun"/>
        <w:spacing w:val="-4"/>
        <w:w w:val="99"/>
        <w:sz w:val="21"/>
        <w:szCs w:val="21"/>
        <w:lang w:val="zh-cn" w:eastAsia="zh-cn" w:bidi="zh-cn"/>
      </w:rPr>
    </w:lvl>
    <w:lvl w:ilvl="3">
      <w:start w:val="1"/>
      <w:numFmt w:val="decimal"/>
      <w:lvlText w:val="%1.%2.%3.%4"/>
      <w:lvlJc w:val="left"/>
      <w:pPr>
        <w:ind w:left="224" w:hanging="1002"/>
        <w:jc w:val="left"/>
      </w:pPr>
      <w:rPr>
        <w:rFonts w:hint="default" w:ascii="SimSun" w:hAnsi="SimSun" w:eastAsia="SimSun" w:cs="SimSun"/>
        <w:spacing w:val="-80"/>
        <w:w w:val="99"/>
        <w:sz w:val="21"/>
        <w:szCs w:val="21"/>
        <w:lang w:val="zh-cn" w:eastAsia="zh-cn" w:bidi="zh-cn"/>
      </w:rPr>
    </w:lvl>
    <w:lvl w:ilvl="4">
      <w:start w:val="0"/>
      <w:numFmt w:val="bullet"/>
      <w:lvlText w:val="•"/>
      <w:lvlJc w:val="left"/>
      <w:pPr>
        <w:ind w:left="2221" w:hanging="1002"/>
      </w:pPr>
      <w:rPr>
        <w:rFonts w:hint="default"/>
        <w:lang w:val="zh-cn" w:eastAsia="zh-cn" w:bidi="zh-cn"/>
      </w:rPr>
    </w:lvl>
    <w:lvl w:ilvl="5">
      <w:start w:val="0"/>
      <w:numFmt w:val="bullet"/>
      <w:lvlText w:val="•"/>
      <w:lvlJc w:val="left"/>
      <w:pPr>
        <w:ind w:left="3482" w:hanging="1002"/>
      </w:pPr>
      <w:rPr>
        <w:rFonts w:hint="default"/>
        <w:lang w:val="zh-cn" w:eastAsia="zh-cn" w:bidi="zh-cn"/>
      </w:rPr>
    </w:lvl>
    <w:lvl w:ilvl="6">
      <w:start w:val="0"/>
      <w:numFmt w:val="bullet"/>
      <w:lvlText w:val="•"/>
      <w:lvlJc w:val="left"/>
      <w:pPr>
        <w:ind w:left="4743" w:hanging="1002"/>
      </w:pPr>
      <w:rPr>
        <w:rFonts w:hint="default"/>
        <w:lang w:val="zh-cn" w:eastAsia="zh-cn" w:bidi="zh-cn"/>
      </w:rPr>
    </w:lvl>
    <w:lvl w:ilvl="7">
      <w:start w:val="0"/>
      <w:numFmt w:val="bullet"/>
      <w:lvlText w:val="•"/>
      <w:lvlJc w:val="left"/>
      <w:pPr>
        <w:ind w:left="6005" w:hanging="1002"/>
      </w:pPr>
      <w:rPr>
        <w:rFonts w:hint="default"/>
        <w:lang w:val="zh-cn" w:eastAsia="zh-cn" w:bidi="zh-cn"/>
      </w:rPr>
    </w:lvl>
    <w:lvl w:ilvl="8">
      <w:start w:val="0"/>
      <w:numFmt w:val="bullet"/>
      <w:lvlText w:val="•"/>
      <w:lvlJc w:val="left"/>
      <w:pPr>
        <w:ind w:left="7266" w:hanging="1002"/>
      </w:pPr>
      <w:rPr>
        <w:rFonts w:hint="default"/>
        <w:lang w:val="zh-cn" w:eastAsia="zh-cn" w:bidi="zh-cn"/>
      </w:rPr>
    </w:lvl>
  </w:abstractNum>
  <w:abstractNum w:abstractNumId="38">
    <w:multiLevelType w:val="hybridMultilevel"/>
    <w:lvl w:ilvl="0">
      <w:start w:val="1"/>
      <w:numFmt w:val="decimal"/>
      <w:lvlText w:val="%1"/>
      <w:lvlJc w:val="left"/>
      <w:pPr>
        <w:ind w:left="751" w:hanging="311"/>
        <w:jc w:val="left"/>
      </w:pPr>
      <w:rPr>
        <w:rFonts w:hint="default"/>
        <w:w w:val="99"/>
        <w:u w:val="single" w:color="0000FF"/>
        <w:lang w:val="zh-cn" w:eastAsia="zh-cn" w:bidi="zh-cn"/>
      </w:rPr>
    </w:lvl>
    <w:lvl w:ilvl="1">
      <w:start w:val="0"/>
      <w:numFmt w:val="bullet"/>
      <w:lvlText w:val="•"/>
      <w:lvlJc w:val="left"/>
      <w:pPr>
        <w:ind w:left="1602" w:hanging="311"/>
      </w:pPr>
      <w:rPr>
        <w:rFonts w:hint="default"/>
        <w:lang w:val="zh-cn" w:eastAsia="zh-cn" w:bidi="zh-cn"/>
      </w:rPr>
    </w:lvl>
    <w:lvl w:ilvl="2">
      <w:start w:val="0"/>
      <w:numFmt w:val="bullet"/>
      <w:lvlText w:val="•"/>
      <w:lvlJc w:val="left"/>
      <w:pPr>
        <w:ind w:left="2445" w:hanging="311"/>
      </w:pPr>
      <w:rPr>
        <w:rFonts w:hint="default"/>
        <w:lang w:val="zh-cn" w:eastAsia="zh-cn" w:bidi="zh-cn"/>
      </w:rPr>
    </w:lvl>
    <w:lvl w:ilvl="3">
      <w:start w:val="0"/>
      <w:numFmt w:val="bullet"/>
      <w:lvlText w:val="•"/>
      <w:lvlJc w:val="left"/>
      <w:pPr>
        <w:ind w:left="3288" w:hanging="311"/>
      </w:pPr>
      <w:rPr>
        <w:rFonts w:hint="default"/>
        <w:lang w:val="zh-cn" w:eastAsia="zh-cn" w:bidi="zh-cn"/>
      </w:rPr>
    </w:lvl>
    <w:lvl w:ilvl="4">
      <w:start w:val="0"/>
      <w:numFmt w:val="bullet"/>
      <w:lvlText w:val="•"/>
      <w:lvlJc w:val="left"/>
      <w:pPr>
        <w:ind w:left="4131" w:hanging="311"/>
      </w:pPr>
      <w:rPr>
        <w:rFonts w:hint="default"/>
        <w:lang w:val="zh-cn" w:eastAsia="zh-cn" w:bidi="zh-cn"/>
      </w:rPr>
    </w:lvl>
    <w:lvl w:ilvl="5">
      <w:start w:val="0"/>
      <w:numFmt w:val="bullet"/>
      <w:lvlText w:val="•"/>
      <w:lvlJc w:val="left"/>
      <w:pPr>
        <w:ind w:left="4974" w:hanging="311"/>
      </w:pPr>
      <w:rPr>
        <w:rFonts w:hint="default"/>
        <w:lang w:val="zh-cn" w:eastAsia="zh-cn" w:bidi="zh-cn"/>
      </w:rPr>
    </w:lvl>
    <w:lvl w:ilvl="6">
      <w:start w:val="0"/>
      <w:numFmt w:val="bullet"/>
      <w:lvlText w:val="•"/>
      <w:lvlJc w:val="left"/>
      <w:pPr>
        <w:ind w:left="5817" w:hanging="311"/>
      </w:pPr>
      <w:rPr>
        <w:rFonts w:hint="default"/>
        <w:lang w:val="zh-cn" w:eastAsia="zh-cn" w:bidi="zh-cn"/>
      </w:rPr>
    </w:lvl>
    <w:lvl w:ilvl="7">
      <w:start w:val="0"/>
      <w:numFmt w:val="bullet"/>
      <w:lvlText w:val="•"/>
      <w:lvlJc w:val="left"/>
      <w:pPr>
        <w:ind w:left="6660" w:hanging="311"/>
      </w:pPr>
      <w:rPr>
        <w:rFonts w:hint="default"/>
        <w:lang w:val="zh-cn" w:eastAsia="zh-cn" w:bidi="zh-cn"/>
      </w:rPr>
    </w:lvl>
    <w:lvl w:ilvl="8">
      <w:start w:val="0"/>
      <w:numFmt w:val="bullet"/>
      <w:lvlText w:val="•"/>
      <w:lvlJc w:val="left"/>
      <w:pPr>
        <w:ind w:left="7503" w:hanging="311"/>
      </w:pPr>
      <w:rPr>
        <w:rFonts w:hint="default"/>
        <w:lang w:val="zh-cn" w:eastAsia="zh-cn" w:bidi="zh-cn"/>
      </w:rPr>
    </w:lvl>
  </w:abstractNum>
  <w:abstractNum w:abstractNumId="37">
    <w:multiLevelType w:val="hybridMultilevel"/>
    <w:lvl w:ilvl="0">
      <w:start w:val="5"/>
      <w:numFmt w:val="decimal"/>
      <w:lvlText w:val="%1"/>
      <w:lvlJc w:val="left"/>
      <w:pPr>
        <w:ind w:left="440" w:hanging="390"/>
        <w:jc w:val="left"/>
      </w:pPr>
      <w:rPr>
        <w:rFonts w:hint="default"/>
        <w:lang w:val="zh-cn" w:eastAsia="zh-cn" w:bidi="zh-cn"/>
      </w:rPr>
    </w:lvl>
    <w:lvl w:ilvl="1">
      <w:start w:val="1"/>
      <w:numFmt w:val="decimal"/>
      <w:lvlText w:val="%1.%2"/>
      <w:lvlJc w:val="left"/>
      <w:pPr>
        <w:ind w:left="440" w:hanging="390"/>
        <w:jc w:val="left"/>
      </w:pPr>
      <w:rPr>
        <w:rFonts w:hint="default" w:ascii="SimSun" w:hAnsi="SimSun" w:eastAsia="SimSun" w:cs="SimSun"/>
        <w:spacing w:val="-4"/>
        <w:w w:val="101"/>
        <w:sz w:val="22"/>
        <w:szCs w:val="22"/>
        <w:lang w:val="zh-cn" w:eastAsia="zh-cn" w:bidi="zh-cn"/>
      </w:rPr>
    </w:lvl>
    <w:lvl w:ilvl="2">
      <w:start w:val="0"/>
      <w:numFmt w:val="bullet"/>
      <w:lvlText w:val="•"/>
      <w:lvlJc w:val="left"/>
      <w:pPr>
        <w:ind w:left="2189" w:hanging="390"/>
      </w:pPr>
      <w:rPr>
        <w:rFonts w:hint="default"/>
        <w:lang w:val="zh-cn" w:eastAsia="zh-cn" w:bidi="zh-cn"/>
      </w:rPr>
    </w:lvl>
    <w:lvl w:ilvl="3">
      <w:start w:val="0"/>
      <w:numFmt w:val="bullet"/>
      <w:lvlText w:val="•"/>
      <w:lvlJc w:val="left"/>
      <w:pPr>
        <w:ind w:left="3064" w:hanging="390"/>
      </w:pPr>
      <w:rPr>
        <w:rFonts w:hint="default"/>
        <w:lang w:val="zh-cn" w:eastAsia="zh-cn" w:bidi="zh-cn"/>
      </w:rPr>
    </w:lvl>
    <w:lvl w:ilvl="4">
      <w:start w:val="0"/>
      <w:numFmt w:val="bullet"/>
      <w:lvlText w:val="•"/>
      <w:lvlJc w:val="left"/>
      <w:pPr>
        <w:ind w:left="3939" w:hanging="390"/>
      </w:pPr>
      <w:rPr>
        <w:rFonts w:hint="default"/>
        <w:lang w:val="zh-cn" w:eastAsia="zh-cn" w:bidi="zh-cn"/>
      </w:rPr>
    </w:lvl>
    <w:lvl w:ilvl="5">
      <w:start w:val="0"/>
      <w:numFmt w:val="bullet"/>
      <w:lvlText w:val="•"/>
      <w:lvlJc w:val="left"/>
      <w:pPr>
        <w:ind w:left="4814" w:hanging="390"/>
      </w:pPr>
      <w:rPr>
        <w:rFonts w:hint="default"/>
        <w:lang w:val="zh-cn" w:eastAsia="zh-cn" w:bidi="zh-cn"/>
      </w:rPr>
    </w:lvl>
    <w:lvl w:ilvl="6">
      <w:start w:val="0"/>
      <w:numFmt w:val="bullet"/>
      <w:lvlText w:val="•"/>
      <w:lvlJc w:val="left"/>
      <w:pPr>
        <w:ind w:left="5689" w:hanging="390"/>
      </w:pPr>
      <w:rPr>
        <w:rFonts w:hint="default"/>
        <w:lang w:val="zh-cn" w:eastAsia="zh-cn" w:bidi="zh-cn"/>
      </w:rPr>
    </w:lvl>
    <w:lvl w:ilvl="7">
      <w:start w:val="0"/>
      <w:numFmt w:val="bullet"/>
      <w:lvlText w:val="•"/>
      <w:lvlJc w:val="left"/>
      <w:pPr>
        <w:ind w:left="6564" w:hanging="390"/>
      </w:pPr>
      <w:rPr>
        <w:rFonts w:hint="default"/>
        <w:lang w:val="zh-cn" w:eastAsia="zh-cn" w:bidi="zh-cn"/>
      </w:rPr>
    </w:lvl>
    <w:lvl w:ilvl="8">
      <w:start w:val="0"/>
      <w:numFmt w:val="bullet"/>
      <w:lvlText w:val="•"/>
      <w:lvlJc w:val="left"/>
      <w:pPr>
        <w:ind w:left="7439" w:hanging="390"/>
      </w:pPr>
      <w:rPr>
        <w:rFonts w:hint="default"/>
        <w:lang w:val="zh-cn" w:eastAsia="zh-cn" w:bidi="zh-cn"/>
      </w:rPr>
    </w:lvl>
  </w:abstractNum>
  <w:abstractNum w:abstractNumId="36">
    <w:multiLevelType w:val="hybridMultilevel"/>
    <w:lvl w:ilvl="0">
      <w:start w:val="4"/>
      <w:numFmt w:val="decimal"/>
      <w:lvlText w:val="%1"/>
      <w:lvlJc w:val="left"/>
      <w:pPr>
        <w:ind w:left="974" w:hanging="534"/>
        <w:jc w:val="left"/>
      </w:pPr>
      <w:rPr>
        <w:rFonts w:hint="default"/>
        <w:lang w:val="zh-cn" w:eastAsia="zh-cn" w:bidi="zh-cn"/>
      </w:rPr>
    </w:lvl>
    <w:lvl w:ilvl="1">
      <w:start w:val="3"/>
      <w:numFmt w:val="decimal"/>
      <w:lvlText w:val="%1.%2"/>
      <w:lvlJc w:val="left"/>
      <w:pPr>
        <w:ind w:left="974" w:hanging="534"/>
        <w:jc w:val="left"/>
      </w:pPr>
      <w:rPr>
        <w:rFonts w:hint="default"/>
        <w:lang w:val="zh-cn" w:eastAsia="zh-cn" w:bidi="zh-cn"/>
      </w:rPr>
    </w:lvl>
    <w:lvl w:ilvl="2">
      <w:start w:val="5"/>
      <w:numFmt w:val="decimal"/>
      <w:lvlText w:val="%1.%2.%3"/>
      <w:lvlJc w:val="left"/>
      <w:pPr>
        <w:ind w:left="440" w:hanging="534"/>
        <w:jc w:val="left"/>
      </w:pPr>
      <w:rPr>
        <w:rFonts w:hint="default" w:ascii="SimSun" w:hAnsi="SimSun" w:eastAsia="SimSun" w:cs="SimSun"/>
        <w:spacing w:val="-4"/>
        <w:w w:val="99"/>
        <w:sz w:val="19"/>
        <w:szCs w:val="19"/>
        <w:lang w:val="zh-cn" w:eastAsia="zh-cn" w:bidi="zh-cn"/>
      </w:rPr>
    </w:lvl>
    <w:lvl w:ilvl="3">
      <w:start w:val="0"/>
      <w:numFmt w:val="bullet"/>
      <w:lvlText w:val="•"/>
      <w:lvlJc w:val="left"/>
      <w:pPr>
        <w:ind w:left="2804" w:hanging="534"/>
      </w:pPr>
      <w:rPr>
        <w:rFonts w:hint="default"/>
        <w:lang w:val="zh-cn" w:eastAsia="zh-cn" w:bidi="zh-cn"/>
      </w:rPr>
    </w:lvl>
    <w:lvl w:ilvl="4">
      <w:start w:val="0"/>
      <w:numFmt w:val="bullet"/>
      <w:lvlText w:val="•"/>
      <w:lvlJc w:val="left"/>
      <w:pPr>
        <w:ind w:left="3716" w:hanging="534"/>
      </w:pPr>
      <w:rPr>
        <w:rFonts w:hint="default"/>
        <w:lang w:val="zh-cn" w:eastAsia="zh-cn" w:bidi="zh-cn"/>
      </w:rPr>
    </w:lvl>
    <w:lvl w:ilvl="5">
      <w:start w:val="0"/>
      <w:numFmt w:val="bullet"/>
      <w:lvlText w:val="•"/>
      <w:lvlJc w:val="left"/>
      <w:pPr>
        <w:ind w:left="4628" w:hanging="534"/>
      </w:pPr>
      <w:rPr>
        <w:rFonts w:hint="default"/>
        <w:lang w:val="zh-cn" w:eastAsia="zh-cn" w:bidi="zh-cn"/>
      </w:rPr>
    </w:lvl>
    <w:lvl w:ilvl="6">
      <w:start w:val="0"/>
      <w:numFmt w:val="bullet"/>
      <w:lvlText w:val="•"/>
      <w:lvlJc w:val="left"/>
      <w:pPr>
        <w:ind w:left="5540" w:hanging="534"/>
      </w:pPr>
      <w:rPr>
        <w:rFonts w:hint="default"/>
        <w:lang w:val="zh-cn" w:eastAsia="zh-cn" w:bidi="zh-cn"/>
      </w:rPr>
    </w:lvl>
    <w:lvl w:ilvl="7">
      <w:start w:val="0"/>
      <w:numFmt w:val="bullet"/>
      <w:lvlText w:val="•"/>
      <w:lvlJc w:val="left"/>
      <w:pPr>
        <w:ind w:left="6452" w:hanging="534"/>
      </w:pPr>
      <w:rPr>
        <w:rFonts w:hint="default"/>
        <w:lang w:val="zh-cn" w:eastAsia="zh-cn" w:bidi="zh-cn"/>
      </w:rPr>
    </w:lvl>
    <w:lvl w:ilvl="8">
      <w:start w:val="0"/>
      <w:numFmt w:val="bullet"/>
      <w:lvlText w:val="•"/>
      <w:lvlJc w:val="left"/>
      <w:pPr>
        <w:ind w:left="7364" w:hanging="534"/>
      </w:pPr>
      <w:rPr>
        <w:rFonts w:hint="default"/>
        <w:lang w:val="zh-cn" w:eastAsia="zh-cn" w:bidi="zh-cn"/>
      </w:rPr>
    </w:lvl>
  </w:abstractNum>
  <w:abstractNum w:abstractNumId="35">
    <w:multiLevelType w:val="hybridMultilevel"/>
    <w:lvl w:ilvl="0">
      <w:start w:val="4"/>
      <w:numFmt w:val="decimal"/>
      <w:lvlText w:val="%1"/>
      <w:lvlJc w:val="left"/>
      <w:pPr>
        <w:ind w:left="866" w:hanging="426"/>
        <w:jc w:val="right"/>
      </w:pPr>
      <w:rPr>
        <w:rFonts w:hint="default"/>
        <w:lang w:val="zh-cn" w:eastAsia="zh-cn" w:bidi="zh-cn"/>
      </w:rPr>
    </w:lvl>
    <w:lvl w:ilvl="1">
      <w:start w:val="3"/>
      <w:numFmt w:val="decimal"/>
      <w:lvlText w:val="%1.%2"/>
      <w:lvlJc w:val="left"/>
      <w:pPr>
        <w:ind w:left="866" w:hanging="426"/>
        <w:jc w:val="left"/>
      </w:pPr>
      <w:rPr>
        <w:rFonts w:hint="default" w:ascii="SimSun" w:hAnsi="SimSun" w:eastAsia="SimSun" w:cs="SimSun"/>
        <w:spacing w:val="0"/>
        <w:w w:val="99"/>
        <w:sz w:val="21"/>
        <w:szCs w:val="21"/>
        <w:lang w:val="zh-cn" w:eastAsia="zh-cn" w:bidi="zh-cn"/>
      </w:rPr>
    </w:lvl>
    <w:lvl w:ilvl="2">
      <w:start w:val="1"/>
      <w:numFmt w:val="decimal"/>
      <w:lvlText w:val="%1.%2.%3"/>
      <w:lvlJc w:val="left"/>
      <w:pPr>
        <w:ind w:left="974" w:hanging="534"/>
        <w:jc w:val="left"/>
      </w:pPr>
      <w:rPr>
        <w:rFonts w:hint="default" w:ascii="SimSun" w:hAnsi="SimSun" w:eastAsia="SimSun" w:cs="SimSun"/>
        <w:spacing w:val="-4"/>
        <w:w w:val="99"/>
        <w:sz w:val="19"/>
        <w:szCs w:val="19"/>
        <w:lang w:val="zh-cn" w:eastAsia="zh-cn" w:bidi="zh-cn"/>
      </w:rPr>
    </w:lvl>
    <w:lvl w:ilvl="3">
      <w:start w:val="0"/>
      <w:numFmt w:val="bullet"/>
      <w:lvlText w:val="•"/>
      <w:lvlJc w:val="left"/>
      <w:pPr>
        <w:ind w:left="2804" w:hanging="534"/>
      </w:pPr>
      <w:rPr>
        <w:rFonts w:hint="default"/>
        <w:lang w:val="zh-cn" w:eastAsia="zh-cn" w:bidi="zh-cn"/>
      </w:rPr>
    </w:lvl>
    <w:lvl w:ilvl="4">
      <w:start w:val="0"/>
      <w:numFmt w:val="bullet"/>
      <w:lvlText w:val="•"/>
      <w:lvlJc w:val="left"/>
      <w:pPr>
        <w:ind w:left="3716" w:hanging="534"/>
      </w:pPr>
      <w:rPr>
        <w:rFonts w:hint="default"/>
        <w:lang w:val="zh-cn" w:eastAsia="zh-cn" w:bidi="zh-cn"/>
      </w:rPr>
    </w:lvl>
    <w:lvl w:ilvl="5">
      <w:start w:val="0"/>
      <w:numFmt w:val="bullet"/>
      <w:lvlText w:val="•"/>
      <w:lvlJc w:val="left"/>
      <w:pPr>
        <w:ind w:left="4628" w:hanging="534"/>
      </w:pPr>
      <w:rPr>
        <w:rFonts w:hint="default"/>
        <w:lang w:val="zh-cn" w:eastAsia="zh-cn" w:bidi="zh-cn"/>
      </w:rPr>
    </w:lvl>
    <w:lvl w:ilvl="6">
      <w:start w:val="0"/>
      <w:numFmt w:val="bullet"/>
      <w:lvlText w:val="•"/>
      <w:lvlJc w:val="left"/>
      <w:pPr>
        <w:ind w:left="5540" w:hanging="534"/>
      </w:pPr>
      <w:rPr>
        <w:rFonts w:hint="default"/>
        <w:lang w:val="zh-cn" w:eastAsia="zh-cn" w:bidi="zh-cn"/>
      </w:rPr>
    </w:lvl>
    <w:lvl w:ilvl="7">
      <w:start w:val="0"/>
      <w:numFmt w:val="bullet"/>
      <w:lvlText w:val="•"/>
      <w:lvlJc w:val="left"/>
      <w:pPr>
        <w:ind w:left="6452" w:hanging="534"/>
      </w:pPr>
      <w:rPr>
        <w:rFonts w:hint="default"/>
        <w:lang w:val="zh-cn" w:eastAsia="zh-cn" w:bidi="zh-cn"/>
      </w:rPr>
    </w:lvl>
    <w:lvl w:ilvl="8">
      <w:start w:val="0"/>
      <w:numFmt w:val="bullet"/>
      <w:lvlText w:val="•"/>
      <w:lvlJc w:val="left"/>
      <w:pPr>
        <w:ind w:left="7364" w:hanging="534"/>
      </w:pPr>
      <w:rPr>
        <w:rFonts w:hint="default"/>
        <w:lang w:val="zh-cn" w:eastAsia="zh-cn" w:bidi="zh-cn"/>
      </w:rPr>
    </w:lvl>
  </w:abstractNum>
  <w:abstractNum w:abstractNumId="34">
    <w:multiLevelType w:val="hybridMultilevel"/>
    <w:lvl w:ilvl="0">
      <w:start w:val="2"/>
      <w:numFmt w:val="decimal"/>
      <w:lvlText w:val="%1"/>
      <w:lvlJc w:val="left"/>
      <w:pPr>
        <w:ind w:left="1075" w:hanging="635"/>
        <w:jc w:val="left"/>
      </w:pPr>
      <w:rPr>
        <w:rFonts w:hint="default"/>
        <w:lang w:val="zh-cn" w:eastAsia="zh-cn" w:bidi="zh-cn"/>
      </w:rPr>
    </w:lvl>
    <w:lvl w:ilvl="1">
      <w:start w:val="7"/>
      <w:numFmt w:val="decimal"/>
      <w:lvlText w:val="%1.%2"/>
      <w:lvlJc w:val="left"/>
      <w:pPr>
        <w:ind w:left="1075" w:hanging="635"/>
        <w:jc w:val="left"/>
      </w:pPr>
      <w:rPr>
        <w:rFonts w:hint="default"/>
        <w:lang w:val="zh-cn" w:eastAsia="zh-cn" w:bidi="zh-cn"/>
      </w:rPr>
    </w:lvl>
    <w:lvl w:ilvl="2">
      <w:start w:val="4"/>
      <w:numFmt w:val="decimal"/>
      <w:lvlText w:val="%1.%2.%3"/>
      <w:lvlJc w:val="left"/>
      <w:pPr>
        <w:ind w:left="1075" w:hanging="635"/>
        <w:jc w:val="left"/>
      </w:pPr>
      <w:rPr>
        <w:rFonts w:hint="default" w:ascii="SimSun" w:hAnsi="SimSun" w:eastAsia="SimSun" w:cs="SimSun"/>
        <w:spacing w:val="-4"/>
        <w:w w:val="99"/>
        <w:sz w:val="21"/>
        <w:szCs w:val="21"/>
        <w:lang w:val="zh-cn" w:eastAsia="zh-cn" w:bidi="zh-cn"/>
      </w:rPr>
    </w:lvl>
    <w:lvl w:ilvl="3">
      <w:start w:val="0"/>
      <w:numFmt w:val="bullet"/>
      <w:lvlText w:val="•"/>
      <w:lvlJc w:val="left"/>
      <w:pPr>
        <w:ind w:left="3512" w:hanging="635"/>
      </w:pPr>
      <w:rPr>
        <w:rFonts w:hint="default"/>
        <w:lang w:val="zh-cn" w:eastAsia="zh-cn" w:bidi="zh-cn"/>
      </w:rPr>
    </w:lvl>
    <w:lvl w:ilvl="4">
      <w:start w:val="0"/>
      <w:numFmt w:val="bullet"/>
      <w:lvlText w:val="•"/>
      <w:lvlJc w:val="left"/>
      <w:pPr>
        <w:ind w:left="4323" w:hanging="635"/>
      </w:pPr>
      <w:rPr>
        <w:rFonts w:hint="default"/>
        <w:lang w:val="zh-cn" w:eastAsia="zh-cn" w:bidi="zh-cn"/>
      </w:rPr>
    </w:lvl>
    <w:lvl w:ilvl="5">
      <w:start w:val="0"/>
      <w:numFmt w:val="bullet"/>
      <w:lvlText w:val="•"/>
      <w:lvlJc w:val="left"/>
      <w:pPr>
        <w:ind w:left="5134" w:hanging="635"/>
      </w:pPr>
      <w:rPr>
        <w:rFonts w:hint="default"/>
        <w:lang w:val="zh-cn" w:eastAsia="zh-cn" w:bidi="zh-cn"/>
      </w:rPr>
    </w:lvl>
    <w:lvl w:ilvl="6">
      <w:start w:val="0"/>
      <w:numFmt w:val="bullet"/>
      <w:lvlText w:val="•"/>
      <w:lvlJc w:val="left"/>
      <w:pPr>
        <w:ind w:left="5945" w:hanging="635"/>
      </w:pPr>
      <w:rPr>
        <w:rFonts w:hint="default"/>
        <w:lang w:val="zh-cn" w:eastAsia="zh-cn" w:bidi="zh-cn"/>
      </w:rPr>
    </w:lvl>
    <w:lvl w:ilvl="7">
      <w:start w:val="0"/>
      <w:numFmt w:val="bullet"/>
      <w:lvlText w:val="•"/>
      <w:lvlJc w:val="left"/>
      <w:pPr>
        <w:ind w:left="6756" w:hanging="635"/>
      </w:pPr>
      <w:rPr>
        <w:rFonts w:hint="default"/>
        <w:lang w:val="zh-cn" w:eastAsia="zh-cn" w:bidi="zh-cn"/>
      </w:rPr>
    </w:lvl>
    <w:lvl w:ilvl="8">
      <w:start w:val="0"/>
      <w:numFmt w:val="bullet"/>
      <w:lvlText w:val="•"/>
      <w:lvlJc w:val="left"/>
      <w:pPr>
        <w:ind w:left="7567" w:hanging="635"/>
      </w:pPr>
      <w:rPr>
        <w:rFonts w:hint="default"/>
        <w:lang w:val="zh-cn" w:eastAsia="zh-cn" w:bidi="zh-cn"/>
      </w:rPr>
    </w:lvl>
  </w:abstractNum>
  <w:abstractNum w:abstractNumId="33">
    <w:multiLevelType w:val="hybridMultilevel"/>
    <w:lvl w:ilvl="0">
      <w:start w:val="2"/>
      <w:numFmt w:val="decimal"/>
      <w:lvlText w:val="%1"/>
      <w:lvlJc w:val="left"/>
      <w:pPr>
        <w:ind w:left="1075" w:hanging="635"/>
        <w:jc w:val="left"/>
      </w:pPr>
      <w:rPr>
        <w:rFonts w:hint="default"/>
        <w:lang w:val="zh-cn" w:eastAsia="zh-cn" w:bidi="zh-cn"/>
      </w:rPr>
    </w:lvl>
    <w:lvl w:ilvl="1">
      <w:start w:val="7"/>
      <w:numFmt w:val="decimal"/>
      <w:lvlText w:val="%1.%2"/>
      <w:lvlJc w:val="left"/>
      <w:pPr>
        <w:ind w:left="1075" w:hanging="635"/>
        <w:jc w:val="left"/>
      </w:pPr>
      <w:rPr>
        <w:rFonts w:hint="default"/>
        <w:lang w:val="zh-cn" w:eastAsia="zh-cn" w:bidi="zh-cn"/>
      </w:rPr>
    </w:lvl>
    <w:lvl w:ilvl="2">
      <w:start w:val="3"/>
      <w:numFmt w:val="decimal"/>
      <w:lvlText w:val="%1.%2.%3"/>
      <w:lvlJc w:val="left"/>
      <w:pPr>
        <w:ind w:left="1075" w:hanging="635"/>
        <w:jc w:val="left"/>
      </w:pPr>
      <w:rPr>
        <w:rFonts w:hint="default" w:ascii="SimSun" w:hAnsi="SimSun" w:eastAsia="SimSun" w:cs="SimSun"/>
        <w:spacing w:val="-4"/>
        <w:w w:val="99"/>
        <w:sz w:val="21"/>
        <w:szCs w:val="21"/>
        <w:lang w:val="zh-cn" w:eastAsia="zh-cn" w:bidi="zh-cn"/>
      </w:rPr>
    </w:lvl>
    <w:lvl w:ilvl="3">
      <w:start w:val="1"/>
      <w:numFmt w:val="decimal"/>
      <w:lvlText w:val="%1.%2.%3.%4"/>
      <w:lvlJc w:val="left"/>
      <w:pPr>
        <w:ind w:left="440" w:hanging="851"/>
        <w:jc w:val="left"/>
      </w:pPr>
      <w:rPr>
        <w:rFonts w:hint="default" w:ascii="SimSun" w:hAnsi="SimSun" w:eastAsia="SimSun" w:cs="SimSun"/>
        <w:spacing w:val="-4"/>
        <w:w w:val="99"/>
        <w:sz w:val="21"/>
        <w:szCs w:val="21"/>
        <w:lang w:val="zh-cn" w:eastAsia="zh-cn" w:bidi="zh-cn"/>
      </w:rPr>
    </w:lvl>
    <w:lvl w:ilvl="4">
      <w:start w:val="0"/>
      <w:numFmt w:val="bullet"/>
      <w:lvlText w:val="•"/>
      <w:lvlJc w:val="left"/>
      <w:pPr>
        <w:ind w:left="3782" w:hanging="851"/>
      </w:pPr>
      <w:rPr>
        <w:rFonts w:hint="default"/>
        <w:lang w:val="zh-cn" w:eastAsia="zh-cn" w:bidi="zh-cn"/>
      </w:rPr>
    </w:lvl>
    <w:lvl w:ilvl="5">
      <w:start w:val="0"/>
      <w:numFmt w:val="bullet"/>
      <w:lvlText w:val="•"/>
      <w:lvlJc w:val="left"/>
      <w:pPr>
        <w:ind w:left="4683" w:hanging="851"/>
      </w:pPr>
      <w:rPr>
        <w:rFonts w:hint="default"/>
        <w:lang w:val="zh-cn" w:eastAsia="zh-cn" w:bidi="zh-cn"/>
      </w:rPr>
    </w:lvl>
    <w:lvl w:ilvl="6">
      <w:start w:val="0"/>
      <w:numFmt w:val="bullet"/>
      <w:lvlText w:val="•"/>
      <w:lvlJc w:val="left"/>
      <w:pPr>
        <w:ind w:left="5584" w:hanging="851"/>
      </w:pPr>
      <w:rPr>
        <w:rFonts w:hint="default"/>
        <w:lang w:val="zh-cn" w:eastAsia="zh-cn" w:bidi="zh-cn"/>
      </w:rPr>
    </w:lvl>
    <w:lvl w:ilvl="7">
      <w:start w:val="0"/>
      <w:numFmt w:val="bullet"/>
      <w:lvlText w:val="•"/>
      <w:lvlJc w:val="left"/>
      <w:pPr>
        <w:ind w:left="6485" w:hanging="851"/>
      </w:pPr>
      <w:rPr>
        <w:rFonts w:hint="default"/>
        <w:lang w:val="zh-cn" w:eastAsia="zh-cn" w:bidi="zh-cn"/>
      </w:rPr>
    </w:lvl>
    <w:lvl w:ilvl="8">
      <w:start w:val="0"/>
      <w:numFmt w:val="bullet"/>
      <w:lvlText w:val="•"/>
      <w:lvlJc w:val="left"/>
      <w:pPr>
        <w:ind w:left="7386" w:hanging="851"/>
      </w:pPr>
      <w:rPr>
        <w:rFonts w:hint="default"/>
        <w:lang w:val="zh-cn" w:eastAsia="zh-cn" w:bidi="zh-cn"/>
      </w:rPr>
    </w:lvl>
  </w:abstractNum>
  <w:abstractNum w:abstractNumId="32">
    <w:multiLevelType w:val="hybridMultilevel"/>
    <w:lvl w:ilvl="0">
      <w:start w:val="2"/>
      <w:numFmt w:val="decimal"/>
      <w:lvlText w:val="%1"/>
      <w:lvlJc w:val="left"/>
      <w:pPr>
        <w:ind w:left="1075" w:hanging="635"/>
        <w:jc w:val="left"/>
      </w:pPr>
      <w:rPr>
        <w:rFonts w:hint="default"/>
        <w:lang w:val="zh-cn" w:eastAsia="zh-cn" w:bidi="zh-cn"/>
      </w:rPr>
    </w:lvl>
    <w:lvl w:ilvl="1">
      <w:start w:val="7"/>
      <w:numFmt w:val="decimal"/>
      <w:lvlText w:val="%1.%2"/>
      <w:lvlJc w:val="left"/>
      <w:pPr>
        <w:ind w:left="1075" w:hanging="635"/>
        <w:jc w:val="left"/>
      </w:pPr>
      <w:rPr>
        <w:rFonts w:hint="default"/>
        <w:lang w:val="zh-cn" w:eastAsia="zh-cn" w:bidi="zh-cn"/>
      </w:rPr>
    </w:lvl>
    <w:lvl w:ilvl="2">
      <w:start w:val="2"/>
      <w:numFmt w:val="decimal"/>
      <w:lvlText w:val="%1.%2.%3"/>
      <w:lvlJc w:val="left"/>
      <w:pPr>
        <w:ind w:left="1075" w:hanging="635"/>
        <w:jc w:val="left"/>
      </w:pPr>
      <w:rPr>
        <w:rFonts w:hint="default" w:ascii="SimSun" w:hAnsi="SimSun" w:eastAsia="SimSun" w:cs="SimSun"/>
        <w:spacing w:val="-4"/>
        <w:w w:val="99"/>
        <w:sz w:val="21"/>
        <w:szCs w:val="21"/>
        <w:lang w:val="zh-cn" w:eastAsia="zh-cn" w:bidi="zh-cn"/>
      </w:rPr>
    </w:lvl>
    <w:lvl w:ilvl="3">
      <w:start w:val="1"/>
      <w:numFmt w:val="decimal"/>
      <w:lvlText w:val="%1.%2.%3.%4"/>
      <w:lvlJc w:val="left"/>
      <w:pPr>
        <w:ind w:left="440" w:hanging="851"/>
        <w:jc w:val="left"/>
      </w:pPr>
      <w:rPr>
        <w:rFonts w:hint="default" w:ascii="SimSun" w:hAnsi="SimSun" w:eastAsia="SimSun" w:cs="SimSun"/>
        <w:spacing w:val="-4"/>
        <w:w w:val="99"/>
        <w:sz w:val="21"/>
        <w:szCs w:val="21"/>
        <w:lang w:val="zh-cn" w:eastAsia="zh-cn" w:bidi="zh-cn"/>
      </w:rPr>
    </w:lvl>
    <w:lvl w:ilvl="4">
      <w:start w:val="0"/>
      <w:numFmt w:val="bullet"/>
      <w:lvlText w:val="•"/>
      <w:lvlJc w:val="left"/>
      <w:pPr>
        <w:ind w:left="3782" w:hanging="851"/>
      </w:pPr>
      <w:rPr>
        <w:rFonts w:hint="default"/>
        <w:lang w:val="zh-cn" w:eastAsia="zh-cn" w:bidi="zh-cn"/>
      </w:rPr>
    </w:lvl>
    <w:lvl w:ilvl="5">
      <w:start w:val="0"/>
      <w:numFmt w:val="bullet"/>
      <w:lvlText w:val="•"/>
      <w:lvlJc w:val="left"/>
      <w:pPr>
        <w:ind w:left="4683" w:hanging="851"/>
      </w:pPr>
      <w:rPr>
        <w:rFonts w:hint="default"/>
        <w:lang w:val="zh-cn" w:eastAsia="zh-cn" w:bidi="zh-cn"/>
      </w:rPr>
    </w:lvl>
    <w:lvl w:ilvl="6">
      <w:start w:val="0"/>
      <w:numFmt w:val="bullet"/>
      <w:lvlText w:val="•"/>
      <w:lvlJc w:val="left"/>
      <w:pPr>
        <w:ind w:left="5584" w:hanging="851"/>
      </w:pPr>
      <w:rPr>
        <w:rFonts w:hint="default"/>
        <w:lang w:val="zh-cn" w:eastAsia="zh-cn" w:bidi="zh-cn"/>
      </w:rPr>
    </w:lvl>
    <w:lvl w:ilvl="7">
      <w:start w:val="0"/>
      <w:numFmt w:val="bullet"/>
      <w:lvlText w:val="•"/>
      <w:lvlJc w:val="left"/>
      <w:pPr>
        <w:ind w:left="6485" w:hanging="851"/>
      </w:pPr>
      <w:rPr>
        <w:rFonts w:hint="default"/>
        <w:lang w:val="zh-cn" w:eastAsia="zh-cn" w:bidi="zh-cn"/>
      </w:rPr>
    </w:lvl>
    <w:lvl w:ilvl="8">
      <w:start w:val="0"/>
      <w:numFmt w:val="bullet"/>
      <w:lvlText w:val="•"/>
      <w:lvlJc w:val="left"/>
      <w:pPr>
        <w:ind w:left="7386" w:hanging="851"/>
      </w:pPr>
      <w:rPr>
        <w:rFonts w:hint="default"/>
        <w:lang w:val="zh-cn" w:eastAsia="zh-cn" w:bidi="zh-cn"/>
      </w:rPr>
    </w:lvl>
  </w:abstractNum>
  <w:abstractNum w:abstractNumId="31">
    <w:multiLevelType w:val="hybridMultilevel"/>
    <w:lvl w:ilvl="0">
      <w:start w:val="1"/>
      <w:numFmt w:val="decimal"/>
      <w:lvlText w:val="%1"/>
      <w:lvlJc w:val="left"/>
      <w:pPr>
        <w:ind w:left="671" w:hanging="231"/>
        <w:jc w:val="left"/>
      </w:pPr>
      <w:rPr>
        <w:rFonts w:hint="default" w:ascii="Microsoft YaHei" w:hAnsi="Microsoft YaHei" w:eastAsia="Microsoft YaHei" w:cs="Microsoft YaHei"/>
        <w:w w:val="94"/>
        <w:sz w:val="21"/>
        <w:szCs w:val="21"/>
        <w:lang w:val="zh-cn" w:eastAsia="zh-cn" w:bidi="zh-cn"/>
      </w:rPr>
    </w:lvl>
    <w:lvl w:ilvl="1">
      <w:start w:val="1"/>
      <w:numFmt w:val="decimal"/>
      <w:lvlText w:val="%1.%2"/>
      <w:lvlJc w:val="left"/>
      <w:pPr>
        <w:ind w:left="866" w:hanging="426"/>
        <w:jc w:val="left"/>
      </w:pPr>
      <w:rPr>
        <w:rFonts w:hint="default" w:ascii="SimSun" w:hAnsi="SimSun" w:eastAsia="SimSun" w:cs="SimSun"/>
        <w:spacing w:val="0"/>
        <w:w w:val="99"/>
        <w:sz w:val="21"/>
        <w:szCs w:val="21"/>
        <w:lang w:val="zh-cn" w:eastAsia="zh-cn" w:bidi="zh-cn"/>
      </w:rPr>
    </w:lvl>
    <w:lvl w:ilvl="2">
      <w:start w:val="1"/>
      <w:numFmt w:val="decimal"/>
      <w:lvlText w:val="%1.%2.%3"/>
      <w:lvlJc w:val="left"/>
      <w:pPr>
        <w:ind w:left="1075" w:hanging="635"/>
        <w:jc w:val="left"/>
      </w:pPr>
      <w:rPr>
        <w:rFonts w:hint="default" w:ascii="SimSun" w:hAnsi="SimSun" w:eastAsia="SimSun" w:cs="SimSun"/>
        <w:spacing w:val="-4"/>
        <w:w w:val="99"/>
        <w:sz w:val="21"/>
        <w:szCs w:val="21"/>
        <w:lang w:val="zh-cn" w:eastAsia="zh-cn" w:bidi="zh-cn"/>
      </w:rPr>
    </w:lvl>
    <w:lvl w:ilvl="3">
      <w:start w:val="1"/>
      <w:numFmt w:val="decimal"/>
      <w:lvlText w:val="%1.%2.%3.%4"/>
      <w:lvlJc w:val="left"/>
      <w:pPr>
        <w:ind w:left="440" w:hanging="851"/>
        <w:jc w:val="left"/>
      </w:pPr>
      <w:rPr>
        <w:rFonts w:hint="default" w:ascii="SimSun" w:hAnsi="SimSun" w:eastAsia="SimSun" w:cs="SimSun"/>
        <w:spacing w:val="-4"/>
        <w:w w:val="99"/>
        <w:sz w:val="21"/>
        <w:szCs w:val="21"/>
        <w:lang w:val="zh-cn" w:eastAsia="zh-cn" w:bidi="zh-cn"/>
      </w:rPr>
    </w:lvl>
    <w:lvl w:ilvl="4">
      <w:start w:val="0"/>
      <w:numFmt w:val="bullet"/>
      <w:lvlText w:val="•"/>
      <w:lvlJc w:val="left"/>
      <w:pPr>
        <w:ind w:left="2238" w:hanging="851"/>
      </w:pPr>
      <w:rPr>
        <w:rFonts w:hint="default"/>
        <w:lang w:val="zh-cn" w:eastAsia="zh-cn" w:bidi="zh-cn"/>
      </w:rPr>
    </w:lvl>
    <w:lvl w:ilvl="5">
      <w:start w:val="0"/>
      <w:numFmt w:val="bullet"/>
      <w:lvlText w:val="•"/>
      <w:lvlJc w:val="left"/>
      <w:pPr>
        <w:ind w:left="3396" w:hanging="851"/>
      </w:pPr>
      <w:rPr>
        <w:rFonts w:hint="default"/>
        <w:lang w:val="zh-cn" w:eastAsia="zh-cn" w:bidi="zh-cn"/>
      </w:rPr>
    </w:lvl>
    <w:lvl w:ilvl="6">
      <w:start w:val="0"/>
      <w:numFmt w:val="bullet"/>
      <w:lvlText w:val="•"/>
      <w:lvlJc w:val="left"/>
      <w:pPr>
        <w:ind w:left="4555" w:hanging="851"/>
      </w:pPr>
      <w:rPr>
        <w:rFonts w:hint="default"/>
        <w:lang w:val="zh-cn" w:eastAsia="zh-cn" w:bidi="zh-cn"/>
      </w:rPr>
    </w:lvl>
    <w:lvl w:ilvl="7">
      <w:start w:val="0"/>
      <w:numFmt w:val="bullet"/>
      <w:lvlText w:val="•"/>
      <w:lvlJc w:val="left"/>
      <w:pPr>
        <w:ind w:left="5713" w:hanging="851"/>
      </w:pPr>
      <w:rPr>
        <w:rFonts w:hint="default"/>
        <w:lang w:val="zh-cn" w:eastAsia="zh-cn" w:bidi="zh-cn"/>
      </w:rPr>
    </w:lvl>
    <w:lvl w:ilvl="8">
      <w:start w:val="0"/>
      <w:numFmt w:val="bullet"/>
      <w:lvlText w:val="•"/>
      <w:lvlJc w:val="left"/>
      <w:pPr>
        <w:ind w:left="6872" w:hanging="851"/>
      </w:pPr>
      <w:rPr>
        <w:rFonts w:hint="default"/>
        <w:lang w:val="zh-cn" w:eastAsia="zh-cn" w:bidi="zh-cn"/>
      </w:rPr>
    </w:lvl>
  </w:abstractNum>
  <w:abstractNum w:abstractNumId="30">
    <w:multiLevelType w:val="hybridMultilevel"/>
    <w:lvl w:ilvl="0">
      <w:start w:val="1"/>
      <w:numFmt w:val="decimal"/>
      <w:lvlText w:val="%1"/>
      <w:lvlJc w:val="left"/>
      <w:pPr>
        <w:ind w:left="765" w:hanging="325"/>
        <w:jc w:val="left"/>
      </w:pPr>
      <w:rPr>
        <w:rFonts w:hint="default"/>
        <w:w w:val="99"/>
        <w:u w:val="single" w:color="0000FF"/>
        <w:lang w:val="zh-cn" w:eastAsia="zh-cn" w:bidi="zh-cn"/>
      </w:rPr>
    </w:lvl>
    <w:lvl w:ilvl="1">
      <w:start w:val="0"/>
      <w:numFmt w:val="bullet"/>
      <w:lvlText w:val="•"/>
      <w:lvlJc w:val="left"/>
      <w:pPr>
        <w:ind w:left="1602" w:hanging="325"/>
      </w:pPr>
      <w:rPr>
        <w:rFonts w:hint="default"/>
        <w:lang w:val="zh-cn" w:eastAsia="zh-cn" w:bidi="zh-cn"/>
      </w:rPr>
    </w:lvl>
    <w:lvl w:ilvl="2">
      <w:start w:val="0"/>
      <w:numFmt w:val="bullet"/>
      <w:lvlText w:val="•"/>
      <w:lvlJc w:val="left"/>
      <w:pPr>
        <w:ind w:left="2445" w:hanging="325"/>
      </w:pPr>
      <w:rPr>
        <w:rFonts w:hint="default"/>
        <w:lang w:val="zh-cn" w:eastAsia="zh-cn" w:bidi="zh-cn"/>
      </w:rPr>
    </w:lvl>
    <w:lvl w:ilvl="3">
      <w:start w:val="0"/>
      <w:numFmt w:val="bullet"/>
      <w:lvlText w:val="•"/>
      <w:lvlJc w:val="left"/>
      <w:pPr>
        <w:ind w:left="3288" w:hanging="325"/>
      </w:pPr>
      <w:rPr>
        <w:rFonts w:hint="default"/>
        <w:lang w:val="zh-cn" w:eastAsia="zh-cn" w:bidi="zh-cn"/>
      </w:rPr>
    </w:lvl>
    <w:lvl w:ilvl="4">
      <w:start w:val="0"/>
      <w:numFmt w:val="bullet"/>
      <w:lvlText w:val="•"/>
      <w:lvlJc w:val="left"/>
      <w:pPr>
        <w:ind w:left="4131" w:hanging="325"/>
      </w:pPr>
      <w:rPr>
        <w:rFonts w:hint="default"/>
        <w:lang w:val="zh-cn" w:eastAsia="zh-cn" w:bidi="zh-cn"/>
      </w:rPr>
    </w:lvl>
    <w:lvl w:ilvl="5">
      <w:start w:val="0"/>
      <w:numFmt w:val="bullet"/>
      <w:lvlText w:val="•"/>
      <w:lvlJc w:val="left"/>
      <w:pPr>
        <w:ind w:left="4974" w:hanging="325"/>
      </w:pPr>
      <w:rPr>
        <w:rFonts w:hint="default"/>
        <w:lang w:val="zh-cn" w:eastAsia="zh-cn" w:bidi="zh-cn"/>
      </w:rPr>
    </w:lvl>
    <w:lvl w:ilvl="6">
      <w:start w:val="0"/>
      <w:numFmt w:val="bullet"/>
      <w:lvlText w:val="•"/>
      <w:lvlJc w:val="left"/>
      <w:pPr>
        <w:ind w:left="5817" w:hanging="325"/>
      </w:pPr>
      <w:rPr>
        <w:rFonts w:hint="default"/>
        <w:lang w:val="zh-cn" w:eastAsia="zh-cn" w:bidi="zh-cn"/>
      </w:rPr>
    </w:lvl>
    <w:lvl w:ilvl="7">
      <w:start w:val="0"/>
      <w:numFmt w:val="bullet"/>
      <w:lvlText w:val="•"/>
      <w:lvlJc w:val="left"/>
      <w:pPr>
        <w:ind w:left="6660" w:hanging="325"/>
      </w:pPr>
      <w:rPr>
        <w:rFonts w:hint="default"/>
        <w:lang w:val="zh-cn" w:eastAsia="zh-cn" w:bidi="zh-cn"/>
      </w:rPr>
    </w:lvl>
    <w:lvl w:ilvl="8">
      <w:start w:val="0"/>
      <w:numFmt w:val="bullet"/>
      <w:lvlText w:val="•"/>
      <w:lvlJc w:val="left"/>
      <w:pPr>
        <w:ind w:left="7503" w:hanging="325"/>
      </w:pPr>
      <w:rPr>
        <w:rFonts w:hint="default"/>
        <w:lang w:val="zh-cn" w:eastAsia="zh-cn" w:bidi="zh-cn"/>
      </w:rPr>
    </w:lvl>
  </w:abstractNum>
  <w:abstractNum w:abstractNumId="29">
    <w:multiLevelType w:val="hybridMultilevel"/>
    <w:lvl w:ilvl="0">
      <w:start w:val="1"/>
      <w:numFmt w:val="decimal"/>
      <w:lvlText w:val="%1"/>
      <w:lvlJc w:val="left"/>
      <w:pPr>
        <w:ind w:left="820" w:hanging="368"/>
        <w:jc w:val="left"/>
      </w:pPr>
      <w:rPr>
        <w:rFonts w:hint="default"/>
        <w:lang w:val="zh-cn" w:eastAsia="zh-cn" w:bidi="zh-cn"/>
      </w:rPr>
    </w:lvl>
    <w:lvl w:ilvl="1">
      <w:start w:val="1"/>
      <w:numFmt w:val="decimal"/>
      <w:lvlText w:val="%1.%2"/>
      <w:lvlJc w:val="left"/>
      <w:pPr>
        <w:ind w:left="820" w:hanging="368"/>
        <w:jc w:val="left"/>
      </w:pPr>
      <w:rPr>
        <w:rFonts w:hint="default" w:ascii="SimSun" w:hAnsi="SimSun" w:eastAsia="SimSun" w:cs="SimSun"/>
        <w:spacing w:val="2"/>
        <w:w w:val="103"/>
        <w:sz w:val="21"/>
        <w:szCs w:val="21"/>
        <w:lang w:val="zh-cn" w:eastAsia="zh-cn" w:bidi="zh-cn"/>
      </w:rPr>
    </w:lvl>
    <w:lvl w:ilvl="2">
      <w:start w:val="0"/>
      <w:numFmt w:val="bullet"/>
      <w:lvlText w:val="•"/>
      <w:lvlJc w:val="left"/>
      <w:pPr>
        <w:ind w:left="2733" w:hanging="368"/>
      </w:pPr>
      <w:rPr>
        <w:rFonts w:hint="default"/>
        <w:lang w:val="zh-cn" w:eastAsia="zh-cn" w:bidi="zh-cn"/>
      </w:rPr>
    </w:lvl>
    <w:lvl w:ilvl="3">
      <w:start w:val="0"/>
      <w:numFmt w:val="bullet"/>
      <w:lvlText w:val="•"/>
      <w:lvlJc w:val="left"/>
      <w:pPr>
        <w:ind w:left="3690" w:hanging="368"/>
      </w:pPr>
      <w:rPr>
        <w:rFonts w:hint="default"/>
        <w:lang w:val="zh-cn" w:eastAsia="zh-cn" w:bidi="zh-cn"/>
      </w:rPr>
    </w:lvl>
    <w:lvl w:ilvl="4">
      <w:start w:val="0"/>
      <w:numFmt w:val="bullet"/>
      <w:lvlText w:val="•"/>
      <w:lvlJc w:val="left"/>
      <w:pPr>
        <w:ind w:left="4647" w:hanging="368"/>
      </w:pPr>
      <w:rPr>
        <w:rFonts w:hint="default"/>
        <w:lang w:val="zh-cn" w:eastAsia="zh-cn" w:bidi="zh-cn"/>
      </w:rPr>
    </w:lvl>
    <w:lvl w:ilvl="5">
      <w:start w:val="0"/>
      <w:numFmt w:val="bullet"/>
      <w:lvlText w:val="•"/>
      <w:lvlJc w:val="left"/>
      <w:pPr>
        <w:ind w:left="5604" w:hanging="368"/>
      </w:pPr>
      <w:rPr>
        <w:rFonts w:hint="default"/>
        <w:lang w:val="zh-cn" w:eastAsia="zh-cn" w:bidi="zh-cn"/>
      </w:rPr>
    </w:lvl>
    <w:lvl w:ilvl="6">
      <w:start w:val="0"/>
      <w:numFmt w:val="bullet"/>
      <w:lvlText w:val="•"/>
      <w:lvlJc w:val="left"/>
      <w:pPr>
        <w:ind w:left="6561" w:hanging="368"/>
      </w:pPr>
      <w:rPr>
        <w:rFonts w:hint="default"/>
        <w:lang w:val="zh-cn" w:eastAsia="zh-cn" w:bidi="zh-cn"/>
      </w:rPr>
    </w:lvl>
    <w:lvl w:ilvl="7">
      <w:start w:val="0"/>
      <w:numFmt w:val="bullet"/>
      <w:lvlText w:val="•"/>
      <w:lvlJc w:val="left"/>
      <w:pPr>
        <w:ind w:left="7518" w:hanging="368"/>
      </w:pPr>
      <w:rPr>
        <w:rFonts w:hint="default"/>
        <w:lang w:val="zh-cn" w:eastAsia="zh-cn" w:bidi="zh-cn"/>
      </w:rPr>
    </w:lvl>
    <w:lvl w:ilvl="8">
      <w:start w:val="0"/>
      <w:numFmt w:val="bullet"/>
      <w:lvlText w:val="•"/>
      <w:lvlJc w:val="left"/>
      <w:pPr>
        <w:ind w:left="8475" w:hanging="368"/>
      </w:pPr>
      <w:rPr>
        <w:rFonts w:hint="default"/>
        <w:lang w:val="zh-cn" w:eastAsia="zh-cn" w:bidi="zh-cn"/>
      </w:rPr>
    </w:lvl>
  </w:abstractNum>
  <w:abstractNum w:abstractNumId="28">
    <w:multiLevelType w:val="hybridMultilevel"/>
    <w:lvl w:ilvl="0">
      <w:start w:val="1"/>
      <w:numFmt w:val="decimal"/>
      <w:lvlText w:val="%1"/>
      <w:lvlJc w:val="left"/>
      <w:pPr>
        <w:ind w:left="992" w:hanging="641"/>
        <w:jc w:val="left"/>
      </w:pPr>
      <w:rPr>
        <w:rFonts w:hint="default"/>
        <w:lang w:val="zh-cn" w:eastAsia="zh-cn" w:bidi="zh-cn"/>
      </w:rPr>
    </w:lvl>
    <w:lvl w:ilvl="1">
      <w:start w:val="13"/>
      <w:numFmt w:val="decimal"/>
      <w:lvlText w:val="%1.%2"/>
      <w:lvlJc w:val="left"/>
      <w:pPr>
        <w:ind w:left="992" w:hanging="641"/>
        <w:jc w:val="left"/>
      </w:pPr>
      <w:rPr>
        <w:rFonts w:hint="default" w:ascii="SimSun" w:hAnsi="SimSun" w:eastAsia="SimSun" w:cs="SimSun"/>
        <w:spacing w:val="-4"/>
        <w:w w:val="100"/>
        <w:sz w:val="28"/>
        <w:szCs w:val="28"/>
        <w:lang w:val="zh-cn" w:eastAsia="zh-cn" w:bidi="zh-cn"/>
      </w:rPr>
    </w:lvl>
    <w:lvl w:ilvl="2">
      <w:start w:val="0"/>
      <w:numFmt w:val="bullet"/>
      <w:lvlText w:val="•"/>
      <w:lvlJc w:val="left"/>
      <w:pPr>
        <w:ind w:left="2877" w:hanging="641"/>
      </w:pPr>
      <w:rPr>
        <w:rFonts w:hint="default"/>
        <w:lang w:val="zh-cn" w:eastAsia="zh-cn" w:bidi="zh-cn"/>
      </w:rPr>
    </w:lvl>
    <w:lvl w:ilvl="3">
      <w:start w:val="0"/>
      <w:numFmt w:val="bullet"/>
      <w:lvlText w:val="•"/>
      <w:lvlJc w:val="left"/>
      <w:pPr>
        <w:ind w:left="3816" w:hanging="641"/>
      </w:pPr>
      <w:rPr>
        <w:rFonts w:hint="default"/>
        <w:lang w:val="zh-cn" w:eastAsia="zh-cn" w:bidi="zh-cn"/>
      </w:rPr>
    </w:lvl>
    <w:lvl w:ilvl="4">
      <w:start w:val="0"/>
      <w:numFmt w:val="bullet"/>
      <w:lvlText w:val="•"/>
      <w:lvlJc w:val="left"/>
      <w:pPr>
        <w:ind w:left="4755" w:hanging="641"/>
      </w:pPr>
      <w:rPr>
        <w:rFonts w:hint="default"/>
        <w:lang w:val="zh-cn" w:eastAsia="zh-cn" w:bidi="zh-cn"/>
      </w:rPr>
    </w:lvl>
    <w:lvl w:ilvl="5">
      <w:start w:val="0"/>
      <w:numFmt w:val="bullet"/>
      <w:lvlText w:val="•"/>
      <w:lvlJc w:val="left"/>
      <w:pPr>
        <w:ind w:left="5694" w:hanging="641"/>
      </w:pPr>
      <w:rPr>
        <w:rFonts w:hint="default"/>
        <w:lang w:val="zh-cn" w:eastAsia="zh-cn" w:bidi="zh-cn"/>
      </w:rPr>
    </w:lvl>
    <w:lvl w:ilvl="6">
      <w:start w:val="0"/>
      <w:numFmt w:val="bullet"/>
      <w:lvlText w:val="•"/>
      <w:lvlJc w:val="left"/>
      <w:pPr>
        <w:ind w:left="6633" w:hanging="641"/>
      </w:pPr>
      <w:rPr>
        <w:rFonts w:hint="default"/>
        <w:lang w:val="zh-cn" w:eastAsia="zh-cn" w:bidi="zh-cn"/>
      </w:rPr>
    </w:lvl>
    <w:lvl w:ilvl="7">
      <w:start w:val="0"/>
      <w:numFmt w:val="bullet"/>
      <w:lvlText w:val="•"/>
      <w:lvlJc w:val="left"/>
      <w:pPr>
        <w:ind w:left="7572" w:hanging="641"/>
      </w:pPr>
      <w:rPr>
        <w:rFonts w:hint="default"/>
        <w:lang w:val="zh-cn" w:eastAsia="zh-cn" w:bidi="zh-cn"/>
      </w:rPr>
    </w:lvl>
    <w:lvl w:ilvl="8">
      <w:start w:val="0"/>
      <w:numFmt w:val="bullet"/>
      <w:lvlText w:val="•"/>
      <w:lvlJc w:val="left"/>
      <w:pPr>
        <w:ind w:left="8511" w:hanging="641"/>
      </w:pPr>
      <w:rPr>
        <w:rFonts w:hint="default"/>
        <w:lang w:val="zh-cn" w:eastAsia="zh-cn" w:bidi="zh-cn"/>
      </w:rPr>
    </w:lvl>
  </w:abstractNum>
  <w:abstractNum w:abstractNumId="27">
    <w:multiLevelType w:val="hybridMultilevel"/>
    <w:lvl w:ilvl="0">
      <w:start w:val="1"/>
      <w:numFmt w:val="decimal"/>
      <w:lvlText w:val="%1"/>
      <w:lvlJc w:val="left"/>
      <w:pPr>
        <w:ind w:left="1137" w:hanging="786"/>
        <w:jc w:val="left"/>
      </w:pPr>
      <w:rPr>
        <w:rFonts w:hint="default"/>
        <w:lang w:val="zh-cn" w:eastAsia="zh-cn" w:bidi="zh-cn"/>
      </w:rPr>
    </w:lvl>
    <w:lvl w:ilvl="1">
      <w:start w:val="11"/>
      <w:numFmt w:val="decimal"/>
      <w:lvlText w:val="%1.%2"/>
      <w:lvlJc w:val="left"/>
      <w:pPr>
        <w:ind w:left="1137" w:hanging="786"/>
        <w:jc w:val="left"/>
      </w:pPr>
      <w:rPr>
        <w:rFonts w:hint="default"/>
        <w:lang w:val="zh-cn" w:eastAsia="zh-cn" w:bidi="zh-cn"/>
      </w:rPr>
    </w:lvl>
    <w:lvl w:ilvl="2">
      <w:start w:val="1"/>
      <w:numFmt w:val="decimal"/>
      <w:lvlText w:val="%1.%2.%3"/>
      <w:lvlJc w:val="left"/>
      <w:pPr>
        <w:ind w:left="1137" w:hanging="786"/>
        <w:jc w:val="left"/>
      </w:pPr>
      <w:rPr>
        <w:rFonts w:hint="default" w:ascii="SimSun" w:hAnsi="SimSun" w:eastAsia="SimSun" w:cs="SimSun"/>
        <w:spacing w:val="-4"/>
        <w:w w:val="103"/>
        <w:sz w:val="23"/>
        <w:szCs w:val="23"/>
        <w:lang w:val="zh-cn" w:eastAsia="zh-cn" w:bidi="zh-cn"/>
      </w:rPr>
    </w:lvl>
    <w:lvl w:ilvl="3">
      <w:start w:val="0"/>
      <w:numFmt w:val="bullet"/>
      <w:lvlText w:val="•"/>
      <w:lvlJc w:val="left"/>
      <w:pPr>
        <w:ind w:left="3914" w:hanging="786"/>
      </w:pPr>
      <w:rPr>
        <w:rFonts w:hint="default"/>
        <w:lang w:val="zh-cn" w:eastAsia="zh-cn" w:bidi="zh-cn"/>
      </w:rPr>
    </w:lvl>
    <w:lvl w:ilvl="4">
      <w:start w:val="0"/>
      <w:numFmt w:val="bullet"/>
      <w:lvlText w:val="•"/>
      <w:lvlJc w:val="left"/>
      <w:pPr>
        <w:ind w:left="4839" w:hanging="786"/>
      </w:pPr>
      <w:rPr>
        <w:rFonts w:hint="default"/>
        <w:lang w:val="zh-cn" w:eastAsia="zh-cn" w:bidi="zh-cn"/>
      </w:rPr>
    </w:lvl>
    <w:lvl w:ilvl="5">
      <w:start w:val="0"/>
      <w:numFmt w:val="bullet"/>
      <w:lvlText w:val="•"/>
      <w:lvlJc w:val="left"/>
      <w:pPr>
        <w:ind w:left="5764" w:hanging="786"/>
      </w:pPr>
      <w:rPr>
        <w:rFonts w:hint="default"/>
        <w:lang w:val="zh-cn" w:eastAsia="zh-cn" w:bidi="zh-cn"/>
      </w:rPr>
    </w:lvl>
    <w:lvl w:ilvl="6">
      <w:start w:val="0"/>
      <w:numFmt w:val="bullet"/>
      <w:lvlText w:val="•"/>
      <w:lvlJc w:val="left"/>
      <w:pPr>
        <w:ind w:left="6689" w:hanging="786"/>
      </w:pPr>
      <w:rPr>
        <w:rFonts w:hint="default"/>
        <w:lang w:val="zh-cn" w:eastAsia="zh-cn" w:bidi="zh-cn"/>
      </w:rPr>
    </w:lvl>
    <w:lvl w:ilvl="7">
      <w:start w:val="0"/>
      <w:numFmt w:val="bullet"/>
      <w:lvlText w:val="•"/>
      <w:lvlJc w:val="left"/>
      <w:pPr>
        <w:ind w:left="7614" w:hanging="786"/>
      </w:pPr>
      <w:rPr>
        <w:rFonts w:hint="default"/>
        <w:lang w:val="zh-cn" w:eastAsia="zh-cn" w:bidi="zh-cn"/>
      </w:rPr>
    </w:lvl>
    <w:lvl w:ilvl="8">
      <w:start w:val="0"/>
      <w:numFmt w:val="bullet"/>
      <w:lvlText w:val="•"/>
      <w:lvlJc w:val="left"/>
      <w:pPr>
        <w:ind w:left="8539" w:hanging="786"/>
      </w:pPr>
      <w:rPr>
        <w:rFonts w:hint="default"/>
        <w:lang w:val="zh-cn" w:eastAsia="zh-cn" w:bidi="zh-cn"/>
      </w:rPr>
    </w:lvl>
  </w:abstractNum>
  <w:abstractNum w:abstractNumId="26">
    <w:multiLevelType w:val="hybridMultilevel"/>
    <w:lvl w:ilvl="0">
      <w:start w:val="1"/>
      <w:numFmt w:val="decimal"/>
      <w:lvlText w:val="%1"/>
      <w:lvlJc w:val="left"/>
      <w:pPr>
        <w:ind w:left="352" w:hanging="786"/>
        <w:jc w:val="left"/>
      </w:pPr>
      <w:rPr>
        <w:rFonts w:hint="default"/>
        <w:lang w:val="zh-cn" w:eastAsia="zh-cn" w:bidi="zh-cn"/>
      </w:rPr>
    </w:lvl>
    <w:lvl w:ilvl="1">
      <w:start w:val="10"/>
      <w:numFmt w:val="decimal"/>
      <w:lvlText w:val="%1.%2"/>
      <w:lvlJc w:val="left"/>
      <w:pPr>
        <w:ind w:left="352" w:hanging="786"/>
        <w:jc w:val="left"/>
      </w:pPr>
      <w:rPr>
        <w:rFonts w:hint="default"/>
        <w:lang w:val="zh-cn" w:eastAsia="zh-cn" w:bidi="zh-cn"/>
      </w:rPr>
    </w:lvl>
    <w:lvl w:ilvl="2">
      <w:start w:val="1"/>
      <w:numFmt w:val="decimal"/>
      <w:lvlText w:val="%1.%2.%3"/>
      <w:lvlJc w:val="left"/>
      <w:pPr>
        <w:ind w:left="352" w:hanging="786"/>
        <w:jc w:val="left"/>
      </w:pPr>
      <w:rPr>
        <w:rFonts w:hint="default" w:ascii="SimSun" w:hAnsi="SimSun" w:eastAsia="SimSun" w:cs="SimSun"/>
        <w:spacing w:val="-4"/>
        <w:w w:val="103"/>
        <w:sz w:val="23"/>
        <w:szCs w:val="23"/>
        <w:lang w:val="zh-cn" w:eastAsia="zh-cn" w:bidi="zh-cn"/>
      </w:rPr>
    </w:lvl>
    <w:lvl w:ilvl="3">
      <w:start w:val="0"/>
      <w:numFmt w:val="bullet"/>
      <w:lvlText w:val="•"/>
      <w:lvlJc w:val="left"/>
      <w:pPr>
        <w:ind w:left="3368" w:hanging="786"/>
      </w:pPr>
      <w:rPr>
        <w:rFonts w:hint="default"/>
        <w:lang w:val="zh-cn" w:eastAsia="zh-cn" w:bidi="zh-cn"/>
      </w:rPr>
    </w:lvl>
    <w:lvl w:ilvl="4">
      <w:start w:val="0"/>
      <w:numFmt w:val="bullet"/>
      <w:lvlText w:val="•"/>
      <w:lvlJc w:val="left"/>
      <w:pPr>
        <w:ind w:left="4371" w:hanging="786"/>
      </w:pPr>
      <w:rPr>
        <w:rFonts w:hint="default"/>
        <w:lang w:val="zh-cn" w:eastAsia="zh-cn" w:bidi="zh-cn"/>
      </w:rPr>
    </w:lvl>
    <w:lvl w:ilvl="5">
      <w:start w:val="0"/>
      <w:numFmt w:val="bullet"/>
      <w:lvlText w:val="•"/>
      <w:lvlJc w:val="left"/>
      <w:pPr>
        <w:ind w:left="5374" w:hanging="786"/>
      </w:pPr>
      <w:rPr>
        <w:rFonts w:hint="default"/>
        <w:lang w:val="zh-cn" w:eastAsia="zh-cn" w:bidi="zh-cn"/>
      </w:rPr>
    </w:lvl>
    <w:lvl w:ilvl="6">
      <w:start w:val="0"/>
      <w:numFmt w:val="bullet"/>
      <w:lvlText w:val="•"/>
      <w:lvlJc w:val="left"/>
      <w:pPr>
        <w:ind w:left="6377" w:hanging="786"/>
      </w:pPr>
      <w:rPr>
        <w:rFonts w:hint="default"/>
        <w:lang w:val="zh-cn" w:eastAsia="zh-cn" w:bidi="zh-cn"/>
      </w:rPr>
    </w:lvl>
    <w:lvl w:ilvl="7">
      <w:start w:val="0"/>
      <w:numFmt w:val="bullet"/>
      <w:lvlText w:val="•"/>
      <w:lvlJc w:val="left"/>
      <w:pPr>
        <w:ind w:left="7380" w:hanging="786"/>
      </w:pPr>
      <w:rPr>
        <w:rFonts w:hint="default"/>
        <w:lang w:val="zh-cn" w:eastAsia="zh-cn" w:bidi="zh-cn"/>
      </w:rPr>
    </w:lvl>
    <w:lvl w:ilvl="8">
      <w:start w:val="0"/>
      <w:numFmt w:val="bullet"/>
      <w:lvlText w:val="•"/>
      <w:lvlJc w:val="left"/>
      <w:pPr>
        <w:ind w:left="8383" w:hanging="786"/>
      </w:pPr>
      <w:rPr>
        <w:rFonts w:hint="default"/>
        <w:lang w:val="zh-cn" w:eastAsia="zh-cn" w:bidi="zh-cn"/>
      </w:rPr>
    </w:lvl>
  </w:abstractNum>
  <w:abstractNum w:abstractNumId="25">
    <w:multiLevelType w:val="hybridMultilevel"/>
    <w:lvl w:ilvl="0">
      <w:start w:val="1"/>
      <w:numFmt w:val="decimal"/>
      <w:lvlText w:val="%1"/>
      <w:lvlJc w:val="left"/>
      <w:pPr>
        <w:ind w:left="848" w:hanging="497"/>
        <w:jc w:val="left"/>
      </w:pPr>
      <w:rPr>
        <w:rFonts w:hint="default"/>
        <w:lang w:val="zh-cn" w:eastAsia="zh-cn" w:bidi="zh-cn"/>
      </w:rPr>
    </w:lvl>
    <w:lvl w:ilvl="1">
      <w:start w:val="9"/>
      <w:numFmt w:val="decimal"/>
      <w:lvlText w:val="%1.%2"/>
      <w:lvlJc w:val="left"/>
      <w:pPr>
        <w:ind w:left="848" w:hanging="497"/>
        <w:jc w:val="left"/>
      </w:pPr>
      <w:rPr>
        <w:rFonts w:hint="default" w:ascii="SimSun" w:hAnsi="SimSun" w:eastAsia="SimSun" w:cs="SimSun"/>
        <w:spacing w:val="-4"/>
        <w:w w:val="100"/>
        <w:sz w:val="28"/>
        <w:szCs w:val="28"/>
        <w:lang w:val="zh-cn" w:eastAsia="zh-cn" w:bidi="zh-cn"/>
      </w:rPr>
    </w:lvl>
    <w:lvl w:ilvl="2">
      <w:start w:val="1"/>
      <w:numFmt w:val="decimal"/>
      <w:lvlText w:val="%1.%2.%3"/>
      <w:lvlJc w:val="left"/>
      <w:pPr>
        <w:ind w:left="352" w:hanging="728"/>
        <w:jc w:val="left"/>
      </w:pPr>
      <w:rPr>
        <w:rFonts w:hint="default" w:ascii="SimSun" w:hAnsi="SimSun" w:eastAsia="SimSun" w:cs="SimSun"/>
        <w:spacing w:val="-4"/>
        <w:w w:val="103"/>
        <w:sz w:val="23"/>
        <w:szCs w:val="23"/>
        <w:lang w:val="zh-cn" w:eastAsia="zh-cn" w:bidi="zh-cn"/>
      </w:rPr>
    </w:lvl>
    <w:lvl w:ilvl="3">
      <w:start w:val="0"/>
      <w:numFmt w:val="bullet"/>
      <w:lvlText w:val="•"/>
      <w:lvlJc w:val="left"/>
      <w:pPr>
        <w:ind w:left="2961" w:hanging="728"/>
      </w:pPr>
      <w:rPr>
        <w:rFonts w:hint="default"/>
        <w:lang w:val="zh-cn" w:eastAsia="zh-cn" w:bidi="zh-cn"/>
      </w:rPr>
    </w:lvl>
    <w:lvl w:ilvl="4">
      <w:start w:val="0"/>
      <w:numFmt w:val="bullet"/>
      <w:lvlText w:val="•"/>
      <w:lvlJc w:val="left"/>
      <w:pPr>
        <w:ind w:left="4022" w:hanging="728"/>
      </w:pPr>
      <w:rPr>
        <w:rFonts w:hint="default"/>
        <w:lang w:val="zh-cn" w:eastAsia="zh-cn" w:bidi="zh-cn"/>
      </w:rPr>
    </w:lvl>
    <w:lvl w:ilvl="5">
      <w:start w:val="0"/>
      <w:numFmt w:val="bullet"/>
      <w:lvlText w:val="•"/>
      <w:lvlJc w:val="left"/>
      <w:pPr>
        <w:ind w:left="5083" w:hanging="728"/>
      </w:pPr>
      <w:rPr>
        <w:rFonts w:hint="default"/>
        <w:lang w:val="zh-cn" w:eastAsia="zh-cn" w:bidi="zh-cn"/>
      </w:rPr>
    </w:lvl>
    <w:lvl w:ilvl="6">
      <w:start w:val="0"/>
      <w:numFmt w:val="bullet"/>
      <w:lvlText w:val="•"/>
      <w:lvlJc w:val="left"/>
      <w:pPr>
        <w:ind w:left="6144" w:hanging="728"/>
      </w:pPr>
      <w:rPr>
        <w:rFonts w:hint="default"/>
        <w:lang w:val="zh-cn" w:eastAsia="zh-cn" w:bidi="zh-cn"/>
      </w:rPr>
    </w:lvl>
    <w:lvl w:ilvl="7">
      <w:start w:val="0"/>
      <w:numFmt w:val="bullet"/>
      <w:lvlText w:val="•"/>
      <w:lvlJc w:val="left"/>
      <w:pPr>
        <w:ind w:left="7205" w:hanging="728"/>
      </w:pPr>
      <w:rPr>
        <w:rFonts w:hint="default"/>
        <w:lang w:val="zh-cn" w:eastAsia="zh-cn" w:bidi="zh-cn"/>
      </w:rPr>
    </w:lvl>
    <w:lvl w:ilvl="8">
      <w:start w:val="0"/>
      <w:numFmt w:val="bullet"/>
      <w:lvlText w:val="•"/>
      <w:lvlJc w:val="left"/>
      <w:pPr>
        <w:ind w:left="8266" w:hanging="728"/>
      </w:pPr>
      <w:rPr>
        <w:rFonts w:hint="default"/>
        <w:lang w:val="zh-cn" w:eastAsia="zh-cn" w:bidi="zh-cn"/>
      </w:rPr>
    </w:lvl>
  </w:abstractNum>
  <w:abstractNum w:abstractNumId="24">
    <w:multiLevelType w:val="hybridMultilevel"/>
    <w:lvl w:ilvl="0">
      <w:start w:val="1"/>
      <w:numFmt w:val="decimal"/>
      <w:lvlText w:val="%1"/>
      <w:lvlJc w:val="left"/>
      <w:pPr>
        <w:ind w:left="848" w:hanging="497"/>
        <w:jc w:val="left"/>
      </w:pPr>
      <w:rPr>
        <w:rFonts w:hint="default"/>
        <w:lang w:val="zh-cn" w:eastAsia="zh-cn" w:bidi="zh-cn"/>
      </w:rPr>
    </w:lvl>
    <w:lvl w:ilvl="1">
      <w:start w:val="7"/>
      <w:numFmt w:val="decimal"/>
      <w:lvlText w:val="%1.%2"/>
      <w:lvlJc w:val="left"/>
      <w:pPr>
        <w:ind w:left="848" w:hanging="497"/>
        <w:jc w:val="left"/>
      </w:pPr>
      <w:rPr>
        <w:rFonts w:hint="default" w:ascii="SimSun" w:hAnsi="SimSun" w:eastAsia="SimSun" w:cs="SimSun"/>
        <w:spacing w:val="-4"/>
        <w:w w:val="100"/>
        <w:sz w:val="28"/>
        <w:szCs w:val="28"/>
        <w:lang w:val="zh-cn" w:eastAsia="zh-cn" w:bidi="zh-cn"/>
      </w:rPr>
    </w:lvl>
    <w:lvl w:ilvl="2">
      <w:start w:val="1"/>
      <w:numFmt w:val="decimal"/>
      <w:lvlText w:val="%1.%2.%3"/>
      <w:lvlJc w:val="left"/>
      <w:pPr>
        <w:ind w:left="352" w:hanging="670"/>
        <w:jc w:val="left"/>
      </w:pPr>
      <w:rPr>
        <w:rFonts w:hint="default" w:ascii="SimSun" w:hAnsi="SimSun" w:eastAsia="SimSun" w:cs="SimSun"/>
        <w:spacing w:val="0"/>
        <w:w w:val="103"/>
        <w:sz w:val="23"/>
        <w:szCs w:val="23"/>
        <w:lang w:val="zh-cn" w:eastAsia="zh-cn" w:bidi="zh-cn"/>
      </w:rPr>
    </w:lvl>
    <w:lvl w:ilvl="3">
      <w:start w:val="0"/>
      <w:numFmt w:val="bullet"/>
      <w:lvlText w:val="•"/>
      <w:lvlJc w:val="left"/>
      <w:pPr>
        <w:ind w:left="2961" w:hanging="670"/>
      </w:pPr>
      <w:rPr>
        <w:rFonts w:hint="default"/>
        <w:lang w:val="zh-cn" w:eastAsia="zh-cn" w:bidi="zh-cn"/>
      </w:rPr>
    </w:lvl>
    <w:lvl w:ilvl="4">
      <w:start w:val="0"/>
      <w:numFmt w:val="bullet"/>
      <w:lvlText w:val="•"/>
      <w:lvlJc w:val="left"/>
      <w:pPr>
        <w:ind w:left="4022" w:hanging="670"/>
      </w:pPr>
      <w:rPr>
        <w:rFonts w:hint="default"/>
        <w:lang w:val="zh-cn" w:eastAsia="zh-cn" w:bidi="zh-cn"/>
      </w:rPr>
    </w:lvl>
    <w:lvl w:ilvl="5">
      <w:start w:val="0"/>
      <w:numFmt w:val="bullet"/>
      <w:lvlText w:val="•"/>
      <w:lvlJc w:val="left"/>
      <w:pPr>
        <w:ind w:left="5083" w:hanging="670"/>
      </w:pPr>
      <w:rPr>
        <w:rFonts w:hint="default"/>
        <w:lang w:val="zh-cn" w:eastAsia="zh-cn" w:bidi="zh-cn"/>
      </w:rPr>
    </w:lvl>
    <w:lvl w:ilvl="6">
      <w:start w:val="0"/>
      <w:numFmt w:val="bullet"/>
      <w:lvlText w:val="•"/>
      <w:lvlJc w:val="left"/>
      <w:pPr>
        <w:ind w:left="6144" w:hanging="670"/>
      </w:pPr>
      <w:rPr>
        <w:rFonts w:hint="default"/>
        <w:lang w:val="zh-cn" w:eastAsia="zh-cn" w:bidi="zh-cn"/>
      </w:rPr>
    </w:lvl>
    <w:lvl w:ilvl="7">
      <w:start w:val="0"/>
      <w:numFmt w:val="bullet"/>
      <w:lvlText w:val="•"/>
      <w:lvlJc w:val="left"/>
      <w:pPr>
        <w:ind w:left="7205" w:hanging="670"/>
      </w:pPr>
      <w:rPr>
        <w:rFonts w:hint="default"/>
        <w:lang w:val="zh-cn" w:eastAsia="zh-cn" w:bidi="zh-cn"/>
      </w:rPr>
    </w:lvl>
    <w:lvl w:ilvl="8">
      <w:start w:val="0"/>
      <w:numFmt w:val="bullet"/>
      <w:lvlText w:val="•"/>
      <w:lvlJc w:val="left"/>
      <w:pPr>
        <w:ind w:left="8266" w:hanging="670"/>
      </w:pPr>
      <w:rPr>
        <w:rFonts w:hint="default"/>
        <w:lang w:val="zh-cn" w:eastAsia="zh-cn" w:bidi="zh-cn"/>
      </w:rPr>
    </w:lvl>
  </w:abstractNum>
  <w:abstractNum w:abstractNumId="23">
    <w:multiLevelType w:val="hybridMultilevel"/>
    <w:lvl w:ilvl="0">
      <w:start w:val="1"/>
      <w:numFmt w:val="decimal"/>
      <w:lvlText w:val="%1"/>
      <w:lvlJc w:val="left"/>
      <w:pPr>
        <w:ind w:left="913" w:hanging="562"/>
        <w:jc w:val="left"/>
      </w:pPr>
      <w:rPr>
        <w:rFonts w:hint="default"/>
        <w:lang w:val="zh-cn" w:eastAsia="zh-cn" w:bidi="zh-cn"/>
      </w:rPr>
    </w:lvl>
    <w:lvl w:ilvl="1">
      <w:start w:val="6"/>
      <w:numFmt w:val="decimal"/>
      <w:lvlText w:val="%1.%2"/>
      <w:lvlJc w:val="left"/>
      <w:pPr>
        <w:ind w:left="913" w:hanging="562"/>
        <w:jc w:val="left"/>
      </w:pPr>
      <w:rPr>
        <w:rFonts w:hint="default" w:ascii="SimSun" w:hAnsi="SimSun" w:eastAsia="SimSun" w:cs="SimSun"/>
        <w:w w:val="102"/>
        <w:sz w:val="31"/>
        <w:szCs w:val="31"/>
        <w:lang w:val="zh-cn" w:eastAsia="zh-cn" w:bidi="zh-cn"/>
      </w:rPr>
    </w:lvl>
    <w:lvl w:ilvl="2">
      <w:start w:val="1"/>
      <w:numFmt w:val="decimal"/>
      <w:lvlText w:val="%1.%2.%3"/>
      <w:lvlJc w:val="left"/>
      <w:pPr>
        <w:ind w:left="352" w:hanging="670"/>
        <w:jc w:val="left"/>
      </w:pPr>
      <w:rPr>
        <w:rFonts w:hint="default"/>
        <w:spacing w:val="0"/>
        <w:w w:val="103"/>
        <w:lang w:val="zh-cn" w:eastAsia="zh-cn" w:bidi="zh-cn"/>
      </w:rPr>
    </w:lvl>
    <w:lvl w:ilvl="3">
      <w:start w:val="0"/>
      <w:numFmt w:val="bullet"/>
      <w:lvlText w:val="•"/>
      <w:lvlJc w:val="left"/>
      <w:pPr>
        <w:ind w:left="3024" w:hanging="670"/>
      </w:pPr>
      <w:rPr>
        <w:rFonts w:hint="default"/>
        <w:lang w:val="zh-cn" w:eastAsia="zh-cn" w:bidi="zh-cn"/>
      </w:rPr>
    </w:lvl>
    <w:lvl w:ilvl="4">
      <w:start w:val="0"/>
      <w:numFmt w:val="bullet"/>
      <w:lvlText w:val="•"/>
      <w:lvlJc w:val="left"/>
      <w:pPr>
        <w:ind w:left="4076" w:hanging="670"/>
      </w:pPr>
      <w:rPr>
        <w:rFonts w:hint="default"/>
        <w:lang w:val="zh-cn" w:eastAsia="zh-cn" w:bidi="zh-cn"/>
      </w:rPr>
    </w:lvl>
    <w:lvl w:ilvl="5">
      <w:start w:val="0"/>
      <w:numFmt w:val="bullet"/>
      <w:lvlText w:val="•"/>
      <w:lvlJc w:val="left"/>
      <w:pPr>
        <w:ind w:left="5128" w:hanging="670"/>
      </w:pPr>
      <w:rPr>
        <w:rFonts w:hint="default"/>
        <w:lang w:val="zh-cn" w:eastAsia="zh-cn" w:bidi="zh-cn"/>
      </w:rPr>
    </w:lvl>
    <w:lvl w:ilvl="6">
      <w:start w:val="0"/>
      <w:numFmt w:val="bullet"/>
      <w:lvlText w:val="•"/>
      <w:lvlJc w:val="left"/>
      <w:pPr>
        <w:ind w:left="6180" w:hanging="670"/>
      </w:pPr>
      <w:rPr>
        <w:rFonts w:hint="default"/>
        <w:lang w:val="zh-cn" w:eastAsia="zh-cn" w:bidi="zh-cn"/>
      </w:rPr>
    </w:lvl>
    <w:lvl w:ilvl="7">
      <w:start w:val="0"/>
      <w:numFmt w:val="bullet"/>
      <w:lvlText w:val="•"/>
      <w:lvlJc w:val="left"/>
      <w:pPr>
        <w:ind w:left="7232" w:hanging="670"/>
      </w:pPr>
      <w:rPr>
        <w:rFonts w:hint="default"/>
        <w:lang w:val="zh-cn" w:eastAsia="zh-cn" w:bidi="zh-cn"/>
      </w:rPr>
    </w:lvl>
    <w:lvl w:ilvl="8">
      <w:start w:val="0"/>
      <w:numFmt w:val="bullet"/>
      <w:lvlText w:val="•"/>
      <w:lvlJc w:val="left"/>
      <w:pPr>
        <w:ind w:left="8284" w:hanging="670"/>
      </w:pPr>
      <w:rPr>
        <w:rFonts w:hint="default"/>
        <w:lang w:val="zh-cn" w:eastAsia="zh-cn" w:bidi="zh-cn"/>
      </w:rPr>
    </w:lvl>
  </w:abstractNum>
  <w:abstractNum w:abstractNumId="22">
    <w:multiLevelType w:val="hybridMultilevel"/>
    <w:lvl w:ilvl="0">
      <w:start w:val="1"/>
      <w:numFmt w:val="decimal"/>
      <w:lvlText w:val="%1"/>
      <w:lvlJc w:val="left"/>
      <w:pPr>
        <w:ind w:left="352" w:hanging="670"/>
        <w:jc w:val="left"/>
      </w:pPr>
      <w:rPr>
        <w:rFonts w:hint="default"/>
        <w:lang w:val="zh-cn" w:eastAsia="zh-cn" w:bidi="zh-cn"/>
      </w:rPr>
    </w:lvl>
    <w:lvl w:ilvl="1">
      <w:start w:val="5"/>
      <w:numFmt w:val="decimal"/>
      <w:lvlText w:val="%1.%2"/>
      <w:lvlJc w:val="left"/>
      <w:pPr>
        <w:ind w:left="352" w:hanging="670"/>
        <w:jc w:val="left"/>
      </w:pPr>
      <w:rPr>
        <w:rFonts w:hint="default"/>
        <w:lang w:val="zh-cn" w:eastAsia="zh-cn" w:bidi="zh-cn"/>
      </w:rPr>
    </w:lvl>
    <w:lvl w:ilvl="2">
      <w:start w:val="8"/>
      <w:numFmt w:val="decimal"/>
      <w:lvlText w:val="%1.%2.%3"/>
      <w:lvlJc w:val="left"/>
      <w:pPr>
        <w:ind w:left="352" w:hanging="670"/>
        <w:jc w:val="left"/>
      </w:pPr>
      <w:rPr>
        <w:rFonts w:hint="default" w:ascii="SimSun" w:hAnsi="SimSun" w:eastAsia="SimSun" w:cs="SimSun"/>
        <w:spacing w:val="0"/>
        <w:w w:val="103"/>
        <w:sz w:val="23"/>
        <w:szCs w:val="23"/>
        <w:lang w:val="zh-cn" w:eastAsia="zh-cn" w:bidi="zh-cn"/>
      </w:rPr>
    </w:lvl>
    <w:lvl w:ilvl="3">
      <w:start w:val="0"/>
      <w:numFmt w:val="bullet"/>
      <w:lvlText w:val="•"/>
      <w:lvlJc w:val="left"/>
      <w:pPr>
        <w:ind w:left="3368" w:hanging="670"/>
      </w:pPr>
      <w:rPr>
        <w:rFonts w:hint="default"/>
        <w:lang w:val="zh-cn" w:eastAsia="zh-cn" w:bidi="zh-cn"/>
      </w:rPr>
    </w:lvl>
    <w:lvl w:ilvl="4">
      <w:start w:val="0"/>
      <w:numFmt w:val="bullet"/>
      <w:lvlText w:val="•"/>
      <w:lvlJc w:val="left"/>
      <w:pPr>
        <w:ind w:left="4371" w:hanging="670"/>
      </w:pPr>
      <w:rPr>
        <w:rFonts w:hint="default"/>
        <w:lang w:val="zh-cn" w:eastAsia="zh-cn" w:bidi="zh-cn"/>
      </w:rPr>
    </w:lvl>
    <w:lvl w:ilvl="5">
      <w:start w:val="0"/>
      <w:numFmt w:val="bullet"/>
      <w:lvlText w:val="•"/>
      <w:lvlJc w:val="left"/>
      <w:pPr>
        <w:ind w:left="5374" w:hanging="670"/>
      </w:pPr>
      <w:rPr>
        <w:rFonts w:hint="default"/>
        <w:lang w:val="zh-cn" w:eastAsia="zh-cn" w:bidi="zh-cn"/>
      </w:rPr>
    </w:lvl>
    <w:lvl w:ilvl="6">
      <w:start w:val="0"/>
      <w:numFmt w:val="bullet"/>
      <w:lvlText w:val="•"/>
      <w:lvlJc w:val="left"/>
      <w:pPr>
        <w:ind w:left="6377" w:hanging="670"/>
      </w:pPr>
      <w:rPr>
        <w:rFonts w:hint="default"/>
        <w:lang w:val="zh-cn" w:eastAsia="zh-cn" w:bidi="zh-cn"/>
      </w:rPr>
    </w:lvl>
    <w:lvl w:ilvl="7">
      <w:start w:val="0"/>
      <w:numFmt w:val="bullet"/>
      <w:lvlText w:val="•"/>
      <w:lvlJc w:val="left"/>
      <w:pPr>
        <w:ind w:left="7380" w:hanging="670"/>
      </w:pPr>
      <w:rPr>
        <w:rFonts w:hint="default"/>
        <w:lang w:val="zh-cn" w:eastAsia="zh-cn" w:bidi="zh-cn"/>
      </w:rPr>
    </w:lvl>
    <w:lvl w:ilvl="8">
      <w:start w:val="0"/>
      <w:numFmt w:val="bullet"/>
      <w:lvlText w:val="•"/>
      <w:lvlJc w:val="left"/>
      <w:pPr>
        <w:ind w:left="8383" w:hanging="670"/>
      </w:pPr>
      <w:rPr>
        <w:rFonts w:hint="default"/>
        <w:lang w:val="zh-cn" w:eastAsia="zh-cn" w:bidi="zh-cn"/>
      </w:rPr>
    </w:lvl>
  </w:abstractNum>
  <w:abstractNum w:abstractNumId="21">
    <w:multiLevelType w:val="hybridMultilevel"/>
    <w:lvl w:ilvl="0">
      <w:start w:val="1"/>
      <w:numFmt w:val="decimal"/>
      <w:lvlText w:val="%1"/>
      <w:lvlJc w:val="left"/>
      <w:pPr>
        <w:ind w:left="848" w:hanging="497"/>
        <w:jc w:val="left"/>
      </w:pPr>
      <w:rPr>
        <w:rFonts w:hint="default"/>
        <w:lang w:val="zh-cn" w:eastAsia="zh-cn" w:bidi="zh-cn"/>
      </w:rPr>
    </w:lvl>
    <w:lvl w:ilvl="1">
      <w:start w:val="1"/>
      <w:numFmt w:val="decimal"/>
      <w:lvlText w:val="%1.%2"/>
      <w:lvlJc w:val="left"/>
      <w:pPr>
        <w:ind w:left="848" w:hanging="497"/>
        <w:jc w:val="left"/>
      </w:pPr>
      <w:rPr>
        <w:rFonts w:hint="default" w:ascii="SimSun" w:hAnsi="SimSun" w:eastAsia="SimSun" w:cs="SimSun"/>
        <w:spacing w:val="-4"/>
        <w:w w:val="100"/>
        <w:sz w:val="28"/>
        <w:szCs w:val="28"/>
        <w:lang w:val="zh-cn" w:eastAsia="zh-cn" w:bidi="zh-cn"/>
      </w:rPr>
    </w:lvl>
    <w:lvl w:ilvl="2">
      <w:start w:val="1"/>
      <w:numFmt w:val="decimal"/>
      <w:lvlText w:val="%1.%2.%3"/>
      <w:lvlJc w:val="left"/>
      <w:pPr>
        <w:ind w:left="1021" w:hanging="670"/>
        <w:jc w:val="left"/>
      </w:pPr>
      <w:rPr>
        <w:rFonts w:hint="default" w:ascii="SimSun" w:hAnsi="SimSun" w:eastAsia="SimSun" w:cs="SimSun"/>
        <w:spacing w:val="0"/>
        <w:w w:val="103"/>
        <w:sz w:val="23"/>
        <w:szCs w:val="23"/>
        <w:lang w:val="zh-cn" w:eastAsia="zh-cn" w:bidi="zh-cn"/>
      </w:rPr>
    </w:lvl>
    <w:lvl w:ilvl="3">
      <w:start w:val="1"/>
      <w:numFmt w:val="decimal"/>
      <w:lvlText w:val="%1.%2.%3.%4"/>
      <w:lvlJc w:val="left"/>
      <w:pPr>
        <w:ind w:left="352" w:hanging="908"/>
        <w:jc w:val="right"/>
      </w:pPr>
      <w:rPr>
        <w:rFonts w:hint="default" w:ascii="SimSun" w:hAnsi="SimSun" w:eastAsia="SimSun" w:cs="SimSun"/>
        <w:spacing w:val="-4"/>
        <w:w w:val="103"/>
        <w:sz w:val="23"/>
        <w:szCs w:val="23"/>
        <w:lang w:val="zh-cn" w:eastAsia="zh-cn" w:bidi="zh-cn"/>
      </w:rPr>
    </w:lvl>
    <w:lvl w:ilvl="4">
      <w:start w:val="0"/>
      <w:numFmt w:val="bullet"/>
      <w:lvlText w:val="•"/>
      <w:lvlJc w:val="left"/>
      <w:pPr>
        <w:ind w:left="3362" w:hanging="908"/>
      </w:pPr>
      <w:rPr>
        <w:rFonts w:hint="default"/>
        <w:lang w:val="zh-cn" w:eastAsia="zh-cn" w:bidi="zh-cn"/>
      </w:rPr>
    </w:lvl>
    <w:lvl w:ilvl="5">
      <w:start w:val="0"/>
      <w:numFmt w:val="bullet"/>
      <w:lvlText w:val="•"/>
      <w:lvlJc w:val="left"/>
      <w:pPr>
        <w:ind w:left="4533" w:hanging="908"/>
      </w:pPr>
      <w:rPr>
        <w:rFonts w:hint="default"/>
        <w:lang w:val="zh-cn" w:eastAsia="zh-cn" w:bidi="zh-cn"/>
      </w:rPr>
    </w:lvl>
    <w:lvl w:ilvl="6">
      <w:start w:val="0"/>
      <w:numFmt w:val="bullet"/>
      <w:lvlText w:val="•"/>
      <w:lvlJc w:val="left"/>
      <w:pPr>
        <w:ind w:left="5704" w:hanging="908"/>
      </w:pPr>
      <w:rPr>
        <w:rFonts w:hint="default"/>
        <w:lang w:val="zh-cn" w:eastAsia="zh-cn" w:bidi="zh-cn"/>
      </w:rPr>
    </w:lvl>
    <w:lvl w:ilvl="7">
      <w:start w:val="0"/>
      <w:numFmt w:val="bullet"/>
      <w:lvlText w:val="•"/>
      <w:lvlJc w:val="left"/>
      <w:pPr>
        <w:ind w:left="6875" w:hanging="908"/>
      </w:pPr>
      <w:rPr>
        <w:rFonts w:hint="default"/>
        <w:lang w:val="zh-cn" w:eastAsia="zh-cn" w:bidi="zh-cn"/>
      </w:rPr>
    </w:lvl>
    <w:lvl w:ilvl="8">
      <w:start w:val="0"/>
      <w:numFmt w:val="bullet"/>
      <w:lvlText w:val="•"/>
      <w:lvlJc w:val="left"/>
      <w:pPr>
        <w:ind w:left="8046" w:hanging="908"/>
      </w:pPr>
      <w:rPr>
        <w:rFonts w:hint="default"/>
        <w:lang w:val="zh-cn" w:eastAsia="zh-cn" w:bidi="zh-cn"/>
      </w:rPr>
    </w:lvl>
  </w:abstractNum>
  <w:abstractNum w:abstractNumId="20">
    <w:multiLevelType w:val="hybridMultilevel"/>
    <w:lvl w:ilvl="0">
      <w:start w:val="18"/>
      <w:numFmt w:val="decimal"/>
      <w:lvlText w:val="%1"/>
      <w:lvlJc w:val="left"/>
      <w:pPr>
        <w:ind w:left="827" w:hanging="476"/>
        <w:jc w:val="left"/>
      </w:pPr>
      <w:rPr>
        <w:rFonts w:hint="default"/>
        <w:lang w:val="zh-cn" w:eastAsia="zh-cn" w:bidi="zh-cn"/>
      </w:rPr>
    </w:lvl>
    <w:lvl w:ilvl="1">
      <w:start w:val="1"/>
      <w:numFmt w:val="decimal"/>
      <w:lvlText w:val="%1.%2"/>
      <w:lvlJc w:val="left"/>
      <w:pPr>
        <w:ind w:left="827" w:hanging="476"/>
        <w:jc w:val="right"/>
      </w:pPr>
      <w:rPr>
        <w:rFonts w:hint="default" w:ascii="SimSun" w:hAnsi="SimSun" w:eastAsia="SimSun" w:cs="SimSun"/>
        <w:spacing w:val="0"/>
        <w:w w:val="99"/>
        <w:sz w:val="21"/>
        <w:szCs w:val="21"/>
        <w:lang w:val="zh-cn" w:eastAsia="zh-cn" w:bidi="zh-cn"/>
      </w:rPr>
    </w:lvl>
    <w:lvl w:ilvl="2">
      <w:start w:val="0"/>
      <w:numFmt w:val="bullet"/>
      <w:lvlText w:val="•"/>
      <w:lvlJc w:val="left"/>
      <w:pPr>
        <w:ind w:left="2733" w:hanging="476"/>
      </w:pPr>
      <w:rPr>
        <w:rFonts w:hint="default"/>
        <w:lang w:val="zh-cn" w:eastAsia="zh-cn" w:bidi="zh-cn"/>
      </w:rPr>
    </w:lvl>
    <w:lvl w:ilvl="3">
      <w:start w:val="0"/>
      <w:numFmt w:val="bullet"/>
      <w:lvlText w:val="•"/>
      <w:lvlJc w:val="left"/>
      <w:pPr>
        <w:ind w:left="3690" w:hanging="476"/>
      </w:pPr>
      <w:rPr>
        <w:rFonts w:hint="default"/>
        <w:lang w:val="zh-cn" w:eastAsia="zh-cn" w:bidi="zh-cn"/>
      </w:rPr>
    </w:lvl>
    <w:lvl w:ilvl="4">
      <w:start w:val="0"/>
      <w:numFmt w:val="bullet"/>
      <w:lvlText w:val="•"/>
      <w:lvlJc w:val="left"/>
      <w:pPr>
        <w:ind w:left="4647" w:hanging="476"/>
      </w:pPr>
      <w:rPr>
        <w:rFonts w:hint="default"/>
        <w:lang w:val="zh-cn" w:eastAsia="zh-cn" w:bidi="zh-cn"/>
      </w:rPr>
    </w:lvl>
    <w:lvl w:ilvl="5">
      <w:start w:val="0"/>
      <w:numFmt w:val="bullet"/>
      <w:lvlText w:val="•"/>
      <w:lvlJc w:val="left"/>
      <w:pPr>
        <w:ind w:left="5604" w:hanging="476"/>
      </w:pPr>
      <w:rPr>
        <w:rFonts w:hint="default"/>
        <w:lang w:val="zh-cn" w:eastAsia="zh-cn" w:bidi="zh-cn"/>
      </w:rPr>
    </w:lvl>
    <w:lvl w:ilvl="6">
      <w:start w:val="0"/>
      <w:numFmt w:val="bullet"/>
      <w:lvlText w:val="•"/>
      <w:lvlJc w:val="left"/>
      <w:pPr>
        <w:ind w:left="6561" w:hanging="476"/>
      </w:pPr>
      <w:rPr>
        <w:rFonts w:hint="default"/>
        <w:lang w:val="zh-cn" w:eastAsia="zh-cn" w:bidi="zh-cn"/>
      </w:rPr>
    </w:lvl>
    <w:lvl w:ilvl="7">
      <w:start w:val="0"/>
      <w:numFmt w:val="bullet"/>
      <w:lvlText w:val="•"/>
      <w:lvlJc w:val="left"/>
      <w:pPr>
        <w:ind w:left="7518" w:hanging="476"/>
      </w:pPr>
      <w:rPr>
        <w:rFonts w:hint="default"/>
        <w:lang w:val="zh-cn" w:eastAsia="zh-cn" w:bidi="zh-cn"/>
      </w:rPr>
    </w:lvl>
    <w:lvl w:ilvl="8">
      <w:start w:val="0"/>
      <w:numFmt w:val="bullet"/>
      <w:lvlText w:val="•"/>
      <w:lvlJc w:val="left"/>
      <w:pPr>
        <w:ind w:left="8475" w:hanging="476"/>
      </w:pPr>
      <w:rPr>
        <w:rFonts w:hint="default"/>
        <w:lang w:val="zh-cn" w:eastAsia="zh-cn" w:bidi="zh-cn"/>
      </w:rPr>
    </w:lvl>
  </w:abstractNum>
  <w:abstractNum w:abstractNumId="19">
    <w:multiLevelType w:val="hybridMultilevel"/>
    <w:lvl w:ilvl="0">
      <w:start w:val="17"/>
      <w:numFmt w:val="decimal"/>
      <w:lvlText w:val="%1"/>
      <w:lvlJc w:val="left"/>
      <w:pPr>
        <w:ind w:left="352" w:hanging="476"/>
        <w:jc w:val="left"/>
      </w:pPr>
      <w:rPr>
        <w:rFonts w:hint="default"/>
        <w:lang w:val="zh-cn" w:eastAsia="zh-cn" w:bidi="zh-cn"/>
      </w:rPr>
    </w:lvl>
    <w:lvl w:ilvl="1">
      <w:start w:val="1"/>
      <w:numFmt w:val="decimal"/>
      <w:lvlText w:val="%1.%2"/>
      <w:lvlJc w:val="left"/>
      <w:pPr>
        <w:ind w:left="352" w:hanging="476"/>
        <w:jc w:val="right"/>
      </w:pPr>
      <w:rPr>
        <w:rFonts w:hint="default" w:ascii="SimSun" w:hAnsi="SimSun" w:eastAsia="SimSun" w:cs="SimSun"/>
        <w:spacing w:val="0"/>
        <w:w w:val="99"/>
        <w:sz w:val="21"/>
        <w:szCs w:val="21"/>
        <w:lang w:val="zh-cn" w:eastAsia="zh-cn" w:bidi="zh-cn"/>
      </w:rPr>
    </w:lvl>
    <w:lvl w:ilvl="2">
      <w:start w:val="0"/>
      <w:numFmt w:val="bullet"/>
      <w:lvlText w:val="•"/>
      <w:lvlJc w:val="left"/>
      <w:pPr>
        <w:ind w:left="2365" w:hanging="476"/>
      </w:pPr>
      <w:rPr>
        <w:rFonts w:hint="default"/>
        <w:lang w:val="zh-cn" w:eastAsia="zh-cn" w:bidi="zh-cn"/>
      </w:rPr>
    </w:lvl>
    <w:lvl w:ilvl="3">
      <w:start w:val="0"/>
      <w:numFmt w:val="bullet"/>
      <w:lvlText w:val="•"/>
      <w:lvlJc w:val="left"/>
      <w:pPr>
        <w:ind w:left="3368" w:hanging="476"/>
      </w:pPr>
      <w:rPr>
        <w:rFonts w:hint="default"/>
        <w:lang w:val="zh-cn" w:eastAsia="zh-cn" w:bidi="zh-cn"/>
      </w:rPr>
    </w:lvl>
    <w:lvl w:ilvl="4">
      <w:start w:val="0"/>
      <w:numFmt w:val="bullet"/>
      <w:lvlText w:val="•"/>
      <w:lvlJc w:val="left"/>
      <w:pPr>
        <w:ind w:left="4371" w:hanging="476"/>
      </w:pPr>
      <w:rPr>
        <w:rFonts w:hint="default"/>
        <w:lang w:val="zh-cn" w:eastAsia="zh-cn" w:bidi="zh-cn"/>
      </w:rPr>
    </w:lvl>
    <w:lvl w:ilvl="5">
      <w:start w:val="0"/>
      <w:numFmt w:val="bullet"/>
      <w:lvlText w:val="•"/>
      <w:lvlJc w:val="left"/>
      <w:pPr>
        <w:ind w:left="5374" w:hanging="476"/>
      </w:pPr>
      <w:rPr>
        <w:rFonts w:hint="default"/>
        <w:lang w:val="zh-cn" w:eastAsia="zh-cn" w:bidi="zh-cn"/>
      </w:rPr>
    </w:lvl>
    <w:lvl w:ilvl="6">
      <w:start w:val="0"/>
      <w:numFmt w:val="bullet"/>
      <w:lvlText w:val="•"/>
      <w:lvlJc w:val="left"/>
      <w:pPr>
        <w:ind w:left="6377" w:hanging="476"/>
      </w:pPr>
      <w:rPr>
        <w:rFonts w:hint="default"/>
        <w:lang w:val="zh-cn" w:eastAsia="zh-cn" w:bidi="zh-cn"/>
      </w:rPr>
    </w:lvl>
    <w:lvl w:ilvl="7">
      <w:start w:val="0"/>
      <w:numFmt w:val="bullet"/>
      <w:lvlText w:val="•"/>
      <w:lvlJc w:val="left"/>
      <w:pPr>
        <w:ind w:left="7380" w:hanging="476"/>
      </w:pPr>
      <w:rPr>
        <w:rFonts w:hint="default"/>
        <w:lang w:val="zh-cn" w:eastAsia="zh-cn" w:bidi="zh-cn"/>
      </w:rPr>
    </w:lvl>
    <w:lvl w:ilvl="8">
      <w:start w:val="0"/>
      <w:numFmt w:val="bullet"/>
      <w:lvlText w:val="•"/>
      <w:lvlJc w:val="left"/>
      <w:pPr>
        <w:ind w:left="8383" w:hanging="476"/>
      </w:pPr>
      <w:rPr>
        <w:rFonts w:hint="default"/>
        <w:lang w:val="zh-cn" w:eastAsia="zh-cn" w:bidi="zh-cn"/>
      </w:rPr>
    </w:lvl>
  </w:abstractNum>
  <w:abstractNum w:abstractNumId="18">
    <w:multiLevelType w:val="hybridMultilevel"/>
    <w:lvl w:ilvl="0">
      <w:start w:val="16"/>
      <w:numFmt w:val="decimal"/>
      <w:lvlText w:val="%1"/>
      <w:lvlJc w:val="left"/>
      <w:pPr>
        <w:ind w:left="827" w:hanging="476"/>
        <w:jc w:val="left"/>
      </w:pPr>
      <w:rPr>
        <w:rFonts w:hint="default"/>
        <w:lang w:val="zh-cn" w:eastAsia="zh-cn" w:bidi="zh-cn"/>
      </w:rPr>
    </w:lvl>
    <w:lvl w:ilvl="1">
      <w:start w:val="1"/>
      <w:numFmt w:val="decimal"/>
      <w:lvlText w:val="%1.%2"/>
      <w:lvlJc w:val="left"/>
      <w:pPr>
        <w:ind w:left="827" w:hanging="476"/>
        <w:jc w:val="right"/>
      </w:pPr>
      <w:rPr>
        <w:rFonts w:hint="default" w:ascii="SimSun" w:hAnsi="SimSun" w:eastAsia="SimSun" w:cs="SimSun"/>
        <w:spacing w:val="0"/>
        <w:w w:val="99"/>
        <w:sz w:val="21"/>
        <w:szCs w:val="21"/>
        <w:lang w:val="zh-cn" w:eastAsia="zh-cn" w:bidi="zh-cn"/>
      </w:rPr>
    </w:lvl>
    <w:lvl w:ilvl="2">
      <w:start w:val="0"/>
      <w:numFmt w:val="bullet"/>
      <w:lvlText w:val="•"/>
      <w:lvlJc w:val="left"/>
      <w:pPr>
        <w:ind w:left="2733" w:hanging="476"/>
      </w:pPr>
      <w:rPr>
        <w:rFonts w:hint="default"/>
        <w:lang w:val="zh-cn" w:eastAsia="zh-cn" w:bidi="zh-cn"/>
      </w:rPr>
    </w:lvl>
    <w:lvl w:ilvl="3">
      <w:start w:val="0"/>
      <w:numFmt w:val="bullet"/>
      <w:lvlText w:val="•"/>
      <w:lvlJc w:val="left"/>
      <w:pPr>
        <w:ind w:left="3690" w:hanging="476"/>
      </w:pPr>
      <w:rPr>
        <w:rFonts w:hint="default"/>
        <w:lang w:val="zh-cn" w:eastAsia="zh-cn" w:bidi="zh-cn"/>
      </w:rPr>
    </w:lvl>
    <w:lvl w:ilvl="4">
      <w:start w:val="0"/>
      <w:numFmt w:val="bullet"/>
      <w:lvlText w:val="•"/>
      <w:lvlJc w:val="left"/>
      <w:pPr>
        <w:ind w:left="4647" w:hanging="476"/>
      </w:pPr>
      <w:rPr>
        <w:rFonts w:hint="default"/>
        <w:lang w:val="zh-cn" w:eastAsia="zh-cn" w:bidi="zh-cn"/>
      </w:rPr>
    </w:lvl>
    <w:lvl w:ilvl="5">
      <w:start w:val="0"/>
      <w:numFmt w:val="bullet"/>
      <w:lvlText w:val="•"/>
      <w:lvlJc w:val="left"/>
      <w:pPr>
        <w:ind w:left="5604" w:hanging="476"/>
      </w:pPr>
      <w:rPr>
        <w:rFonts w:hint="default"/>
        <w:lang w:val="zh-cn" w:eastAsia="zh-cn" w:bidi="zh-cn"/>
      </w:rPr>
    </w:lvl>
    <w:lvl w:ilvl="6">
      <w:start w:val="0"/>
      <w:numFmt w:val="bullet"/>
      <w:lvlText w:val="•"/>
      <w:lvlJc w:val="left"/>
      <w:pPr>
        <w:ind w:left="6561" w:hanging="476"/>
      </w:pPr>
      <w:rPr>
        <w:rFonts w:hint="default"/>
        <w:lang w:val="zh-cn" w:eastAsia="zh-cn" w:bidi="zh-cn"/>
      </w:rPr>
    </w:lvl>
    <w:lvl w:ilvl="7">
      <w:start w:val="0"/>
      <w:numFmt w:val="bullet"/>
      <w:lvlText w:val="•"/>
      <w:lvlJc w:val="left"/>
      <w:pPr>
        <w:ind w:left="7518" w:hanging="476"/>
      </w:pPr>
      <w:rPr>
        <w:rFonts w:hint="default"/>
        <w:lang w:val="zh-cn" w:eastAsia="zh-cn" w:bidi="zh-cn"/>
      </w:rPr>
    </w:lvl>
    <w:lvl w:ilvl="8">
      <w:start w:val="0"/>
      <w:numFmt w:val="bullet"/>
      <w:lvlText w:val="•"/>
      <w:lvlJc w:val="left"/>
      <w:pPr>
        <w:ind w:left="8475" w:hanging="476"/>
      </w:pPr>
      <w:rPr>
        <w:rFonts w:hint="default"/>
        <w:lang w:val="zh-cn" w:eastAsia="zh-cn" w:bidi="zh-cn"/>
      </w:rPr>
    </w:lvl>
  </w:abstractNum>
  <w:abstractNum w:abstractNumId="17">
    <w:multiLevelType w:val="hybridMultilevel"/>
    <w:lvl w:ilvl="0">
      <w:start w:val="1"/>
      <w:numFmt w:val="decimal"/>
      <w:lvlText w:val="%1"/>
      <w:lvlJc w:val="left"/>
      <w:pPr>
        <w:ind w:left="395" w:hanging="216"/>
        <w:jc w:val="left"/>
      </w:pPr>
      <w:rPr>
        <w:rFonts w:hint="default" w:ascii="SimSun" w:hAnsi="SimSun" w:eastAsia="SimSun" w:cs="SimSun"/>
        <w:w w:val="99"/>
        <w:sz w:val="21"/>
        <w:szCs w:val="21"/>
        <w:lang w:val="zh-cn" w:eastAsia="zh-cn" w:bidi="zh-cn"/>
      </w:rPr>
    </w:lvl>
    <w:lvl w:ilvl="1">
      <w:start w:val="0"/>
      <w:numFmt w:val="bullet"/>
      <w:lvlText w:val="•"/>
      <w:lvlJc w:val="left"/>
      <w:pPr>
        <w:ind w:left="1398" w:hanging="216"/>
      </w:pPr>
      <w:rPr>
        <w:rFonts w:hint="default"/>
        <w:lang w:val="zh-cn" w:eastAsia="zh-cn" w:bidi="zh-cn"/>
      </w:rPr>
    </w:lvl>
    <w:lvl w:ilvl="2">
      <w:start w:val="0"/>
      <w:numFmt w:val="bullet"/>
      <w:lvlText w:val="•"/>
      <w:lvlJc w:val="left"/>
      <w:pPr>
        <w:ind w:left="2397" w:hanging="216"/>
      </w:pPr>
      <w:rPr>
        <w:rFonts w:hint="default"/>
        <w:lang w:val="zh-cn" w:eastAsia="zh-cn" w:bidi="zh-cn"/>
      </w:rPr>
    </w:lvl>
    <w:lvl w:ilvl="3">
      <w:start w:val="0"/>
      <w:numFmt w:val="bullet"/>
      <w:lvlText w:val="•"/>
      <w:lvlJc w:val="left"/>
      <w:pPr>
        <w:ind w:left="3396" w:hanging="216"/>
      </w:pPr>
      <w:rPr>
        <w:rFonts w:hint="default"/>
        <w:lang w:val="zh-cn" w:eastAsia="zh-cn" w:bidi="zh-cn"/>
      </w:rPr>
    </w:lvl>
    <w:lvl w:ilvl="4">
      <w:start w:val="0"/>
      <w:numFmt w:val="bullet"/>
      <w:lvlText w:val="•"/>
      <w:lvlJc w:val="left"/>
      <w:pPr>
        <w:ind w:left="4395" w:hanging="216"/>
      </w:pPr>
      <w:rPr>
        <w:rFonts w:hint="default"/>
        <w:lang w:val="zh-cn" w:eastAsia="zh-cn" w:bidi="zh-cn"/>
      </w:rPr>
    </w:lvl>
    <w:lvl w:ilvl="5">
      <w:start w:val="0"/>
      <w:numFmt w:val="bullet"/>
      <w:lvlText w:val="•"/>
      <w:lvlJc w:val="left"/>
      <w:pPr>
        <w:ind w:left="5394" w:hanging="216"/>
      </w:pPr>
      <w:rPr>
        <w:rFonts w:hint="default"/>
        <w:lang w:val="zh-cn" w:eastAsia="zh-cn" w:bidi="zh-cn"/>
      </w:rPr>
    </w:lvl>
    <w:lvl w:ilvl="6">
      <w:start w:val="0"/>
      <w:numFmt w:val="bullet"/>
      <w:lvlText w:val="•"/>
      <w:lvlJc w:val="left"/>
      <w:pPr>
        <w:ind w:left="6393" w:hanging="216"/>
      </w:pPr>
      <w:rPr>
        <w:rFonts w:hint="default"/>
        <w:lang w:val="zh-cn" w:eastAsia="zh-cn" w:bidi="zh-cn"/>
      </w:rPr>
    </w:lvl>
    <w:lvl w:ilvl="7">
      <w:start w:val="0"/>
      <w:numFmt w:val="bullet"/>
      <w:lvlText w:val="•"/>
      <w:lvlJc w:val="left"/>
      <w:pPr>
        <w:ind w:left="7392" w:hanging="216"/>
      </w:pPr>
      <w:rPr>
        <w:rFonts w:hint="default"/>
        <w:lang w:val="zh-cn" w:eastAsia="zh-cn" w:bidi="zh-cn"/>
      </w:rPr>
    </w:lvl>
    <w:lvl w:ilvl="8">
      <w:start w:val="0"/>
      <w:numFmt w:val="bullet"/>
      <w:lvlText w:val="•"/>
      <w:lvlJc w:val="left"/>
      <w:pPr>
        <w:ind w:left="8391" w:hanging="216"/>
      </w:pPr>
      <w:rPr>
        <w:rFonts w:hint="default"/>
        <w:lang w:val="zh-cn" w:eastAsia="zh-cn" w:bidi="zh-cn"/>
      </w:rPr>
    </w:lvl>
  </w:abstractNum>
  <w:abstractNum w:abstractNumId="16">
    <w:multiLevelType w:val="hybridMultilevel"/>
    <w:lvl w:ilvl="0">
      <w:start w:val="14"/>
      <w:numFmt w:val="decimal"/>
      <w:lvlText w:val="%1"/>
      <w:lvlJc w:val="left"/>
      <w:pPr>
        <w:ind w:left="250" w:hanging="476"/>
        <w:jc w:val="left"/>
      </w:pPr>
      <w:rPr>
        <w:rFonts w:hint="default"/>
        <w:lang w:val="zh-cn" w:eastAsia="zh-cn" w:bidi="zh-cn"/>
      </w:rPr>
    </w:lvl>
    <w:lvl w:ilvl="1">
      <w:start w:val="1"/>
      <w:numFmt w:val="decimal"/>
      <w:lvlText w:val="%1.%2"/>
      <w:lvlJc w:val="left"/>
      <w:pPr>
        <w:ind w:left="250" w:hanging="476"/>
        <w:jc w:val="left"/>
      </w:pPr>
      <w:rPr>
        <w:rFonts w:hint="default" w:ascii="SimSun" w:hAnsi="SimSun" w:eastAsia="SimSun" w:cs="SimSun"/>
        <w:spacing w:val="0"/>
        <w:w w:val="99"/>
        <w:sz w:val="21"/>
        <w:szCs w:val="21"/>
        <w:lang w:val="zh-cn" w:eastAsia="zh-cn" w:bidi="zh-cn"/>
      </w:rPr>
    </w:lvl>
    <w:lvl w:ilvl="2">
      <w:start w:val="0"/>
      <w:numFmt w:val="bullet"/>
      <w:lvlText w:val="•"/>
      <w:lvlJc w:val="left"/>
      <w:pPr>
        <w:ind w:left="2285" w:hanging="476"/>
      </w:pPr>
      <w:rPr>
        <w:rFonts w:hint="default"/>
        <w:lang w:val="zh-cn" w:eastAsia="zh-cn" w:bidi="zh-cn"/>
      </w:rPr>
    </w:lvl>
    <w:lvl w:ilvl="3">
      <w:start w:val="0"/>
      <w:numFmt w:val="bullet"/>
      <w:lvlText w:val="•"/>
      <w:lvlJc w:val="left"/>
      <w:pPr>
        <w:ind w:left="3298" w:hanging="476"/>
      </w:pPr>
      <w:rPr>
        <w:rFonts w:hint="default"/>
        <w:lang w:val="zh-cn" w:eastAsia="zh-cn" w:bidi="zh-cn"/>
      </w:rPr>
    </w:lvl>
    <w:lvl w:ilvl="4">
      <w:start w:val="0"/>
      <w:numFmt w:val="bullet"/>
      <w:lvlText w:val="•"/>
      <w:lvlJc w:val="left"/>
      <w:pPr>
        <w:ind w:left="4311" w:hanging="476"/>
      </w:pPr>
      <w:rPr>
        <w:rFonts w:hint="default"/>
        <w:lang w:val="zh-cn" w:eastAsia="zh-cn" w:bidi="zh-cn"/>
      </w:rPr>
    </w:lvl>
    <w:lvl w:ilvl="5">
      <w:start w:val="0"/>
      <w:numFmt w:val="bullet"/>
      <w:lvlText w:val="•"/>
      <w:lvlJc w:val="left"/>
      <w:pPr>
        <w:ind w:left="5324" w:hanging="476"/>
      </w:pPr>
      <w:rPr>
        <w:rFonts w:hint="default"/>
        <w:lang w:val="zh-cn" w:eastAsia="zh-cn" w:bidi="zh-cn"/>
      </w:rPr>
    </w:lvl>
    <w:lvl w:ilvl="6">
      <w:start w:val="0"/>
      <w:numFmt w:val="bullet"/>
      <w:lvlText w:val="•"/>
      <w:lvlJc w:val="left"/>
      <w:pPr>
        <w:ind w:left="6337" w:hanging="476"/>
      </w:pPr>
      <w:rPr>
        <w:rFonts w:hint="default"/>
        <w:lang w:val="zh-cn" w:eastAsia="zh-cn" w:bidi="zh-cn"/>
      </w:rPr>
    </w:lvl>
    <w:lvl w:ilvl="7">
      <w:start w:val="0"/>
      <w:numFmt w:val="bullet"/>
      <w:lvlText w:val="•"/>
      <w:lvlJc w:val="left"/>
      <w:pPr>
        <w:ind w:left="7350" w:hanging="476"/>
      </w:pPr>
      <w:rPr>
        <w:rFonts w:hint="default"/>
        <w:lang w:val="zh-cn" w:eastAsia="zh-cn" w:bidi="zh-cn"/>
      </w:rPr>
    </w:lvl>
    <w:lvl w:ilvl="8">
      <w:start w:val="0"/>
      <w:numFmt w:val="bullet"/>
      <w:lvlText w:val="•"/>
      <w:lvlJc w:val="left"/>
      <w:pPr>
        <w:ind w:left="8363" w:hanging="476"/>
      </w:pPr>
      <w:rPr>
        <w:rFonts w:hint="default"/>
        <w:lang w:val="zh-cn" w:eastAsia="zh-cn" w:bidi="zh-cn"/>
      </w:rPr>
    </w:lvl>
  </w:abstractNum>
  <w:abstractNum w:abstractNumId="15">
    <w:multiLevelType w:val="hybridMultilevel"/>
    <w:lvl w:ilvl="0">
      <w:start w:val="13"/>
      <w:numFmt w:val="decimal"/>
      <w:lvlText w:val="%1"/>
      <w:lvlJc w:val="left"/>
      <w:pPr>
        <w:ind w:left="352" w:hanging="498"/>
        <w:jc w:val="left"/>
      </w:pPr>
      <w:rPr>
        <w:rFonts w:hint="default"/>
        <w:lang w:val="zh-cn" w:eastAsia="zh-cn" w:bidi="zh-cn"/>
      </w:rPr>
    </w:lvl>
    <w:lvl w:ilvl="1">
      <w:start w:val="1"/>
      <w:numFmt w:val="decimal"/>
      <w:lvlText w:val="%1.%2"/>
      <w:lvlJc w:val="left"/>
      <w:pPr>
        <w:ind w:left="352" w:hanging="498"/>
        <w:jc w:val="right"/>
      </w:pPr>
      <w:rPr>
        <w:rFonts w:hint="default" w:ascii="SimSun" w:hAnsi="SimSun" w:eastAsia="SimSun" w:cs="SimSun"/>
        <w:spacing w:val="-4"/>
        <w:w w:val="99"/>
        <w:sz w:val="21"/>
        <w:szCs w:val="21"/>
        <w:lang w:val="zh-cn" w:eastAsia="zh-cn" w:bidi="zh-cn"/>
      </w:rPr>
    </w:lvl>
    <w:lvl w:ilvl="2">
      <w:start w:val="0"/>
      <w:numFmt w:val="bullet"/>
      <w:lvlText w:val="•"/>
      <w:lvlJc w:val="left"/>
      <w:pPr>
        <w:ind w:left="2365" w:hanging="498"/>
      </w:pPr>
      <w:rPr>
        <w:rFonts w:hint="default"/>
        <w:lang w:val="zh-cn" w:eastAsia="zh-cn" w:bidi="zh-cn"/>
      </w:rPr>
    </w:lvl>
    <w:lvl w:ilvl="3">
      <w:start w:val="0"/>
      <w:numFmt w:val="bullet"/>
      <w:lvlText w:val="•"/>
      <w:lvlJc w:val="left"/>
      <w:pPr>
        <w:ind w:left="3368" w:hanging="498"/>
      </w:pPr>
      <w:rPr>
        <w:rFonts w:hint="default"/>
        <w:lang w:val="zh-cn" w:eastAsia="zh-cn" w:bidi="zh-cn"/>
      </w:rPr>
    </w:lvl>
    <w:lvl w:ilvl="4">
      <w:start w:val="0"/>
      <w:numFmt w:val="bullet"/>
      <w:lvlText w:val="•"/>
      <w:lvlJc w:val="left"/>
      <w:pPr>
        <w:ind w:left="4371" w:hanging="498"/>
      </w:pPr>
      <w:rPr>
        <w:rFonts w:hint="default"/>
        <w:lang w:val="zh-cn" w:eastAsia="zh-cn" w:bidi="zh-cn"/>
      </w:rPr>
    </w:lvl>
    <w:lvl w:ilvl="5">
      <w:start w:val="0"/>
      <w:numFmt w:val="bullet"/>
      <w:lvlText w:val="•"/>
      <w:lvlJc w:val="left"/>
      <w:pPr>
        <w:ind w:left="5374" w:hanging="498"/>
      </w:pPr>
      <w:rPr>
        <w:rFonts w:hint="default"/>
        <w:lang w:val="zh-cn" w:eastAsia="zh-cn" w:bidi="zh-cn"/>
      </w:rPr>
    </w:lvl>
    <w:lvl w:ilvl="6">
      <w:start w:val="0"/>
      <w:numFmt w:val="bullet"/>
      <w:lvlText w:val="•"/>
      <w:lvlJc w:val="left"/>
      <w:pPr>
        <w:ind w:left="6377" w:hanging="498"/>
      </w:pPr>
      <w:rPr>
        <w:rFonts w:hint="default"/>
        <w:lang w:val="zh-cn" w:eastAsia="zh-cn" w:bidi="zh-cn"/>
      </w:rPr>
    </w:lvl>
    <w:lvl w:ilvl="7">
      <w:start w:val="0"/>
      <w:numFmt w:val="bullet"/>
      <w:lvlText w:val="•"/>
      <w:lvlJc w:val="left"/>
      <w:pPr>
        <w:ind w:left="7380" w:hanging="498"/>
      </w:pPr>
      <w:rPr>
        <w:rFonts w:hint="default"/>
        <w:lang w:val="zh-cn" w:eastAsia="zh-cn" w:bidi="zh-cn"/>
      </w:rPr>
    </w:lvl>
    <w:lvl w:ilvl="8">
      <w:start w:val="0"/>
      <w:numFmt w:val="bullet"/>
      <w:lvlText w:val="•"/>
      <w:lvlJc w:val="left"/>
      <w:pPr>
        <w:ind w:left="8383" w:hanging="498"/>
      </w:pPr>
      <w:rPr>
        <w:rFonts w:hint="default"/>
        <w:lang w:val="zh-cn" w:eastAsia="zh-cn" w:bidi="zh-cn"/>
      </w:rPr>
    </w:lvl>
  </w:abstractNum>
  <w:abstractNum w:abstractNumId="14">
    <w:multiLevelType w:val="hybridMultilevel"/>
    <w:lvl w:ilvl="0">
      <w:start w:val="11"/>
      <w:numFmt w:val="decimal"/>
      <w:lvlText w:val="%1"/>
      <w:lvlJc w:val="left"/>
      <w:pPr>
        <w:ind w:left="352" w:hanging="476"/>
        <w:jc w:val="left"/>
      </w:pPr>
      <w:rPr>
        <w:rFonts w:hint="default"/>
        <w:lang w:val="zh-cn" w:eastAsia="zh-cn" w:bidi="zh-cn"/>
      </w:rPr>
    </w:lvl>
    <w:lvl w:ilvl="1">
      <w:start w:val="1"/>
      <w:numFmt w:val="decimal"/>
      <w:lvlText w:val="%1.%2"/>
      <w:lvlJc w:val="left"/>
      <w:pPr>
        <w:ind w:left="352" w:hanging="476"/>
        <w:jc w:val="right"/>
      </w:pPr>
      <w:rPr>
        <w:rFonts w:hint="default" w:ascii="SimSun" w:hAnsi="SimSun" w:eastAsia="SimSun" w:cs="SimSun"/>
        <w:spacing w:val="0"/>
        <w:w w:val="99"/>
        <w:sz w:val="21"/>
        <w:szCs w:val="21"/>
        <w:lang w:val="zh-cn" w:eastAsia="zh-cn" w:bidi="zh-cn"/>
      </w:rPr>
    </w:lvl>
    <w:lvl w:ilvl="2">
      <w:start w:val="0"/>
      <w:numFmt w:val="bullet"/>
      <w:lvlText w:val="•"/>
      <w:lvlJc w:val="left"/>
      <w:pPr>
        <w:ind w:left="2365" w:hanging="476"/>
      </w:pPr>
      <w:rPr>
        <w:rFonts w:hint="default"/>
        <w:lang w:val="zh-cn" w:eastAsia="zh-cn" w:bidi="zh-cn"/>
      </w:rPr>
    </w:lvl>
    <w:lvl w:ilvl="3">
      <w:start w:val="0"/>
      <w:numFmt w:val="bullet"/>
      <w:lvlText w:val="•"/>
      <w:lvlJc w:val="left"/>
      <w:pPr>
        <w:ind w:left="3368" w:hanging="476"/>
      </w:pPr>
      <w:rPr>
        <w:rFonts w:hint="default"/>
        <w:lang w:val="zh-cn" w:eastAsia="zh-cn" w:bidi="zh-cn"/>
      </w:rPr>
    </w:lvl>
    <w:lvl w:ilvl="4">
      <w:start w:val="0"/>
      <w:numFmt w:val="bullet"/>
      <w:lvlText w:val="•"/>
      <w:lvlJc w:val="left"/>
      <w:pPr>
        <w:ind w:left="4371" w:hanging="476"/>
      </w:pPr>
      <w:rPr>
        <w:rFonts w:hint="default"/>
        <w:lang w:val="zh-cn" w:eastAsia="zh-cn" w:bidi="zh-cn"/>
      </w:rPr>
    </w:lvl>
    <w:lvl w:ilvl="5">
      <w:start w:val="0"/>
      <w:numFmt w:val="bullet"/>
      <w:lvlText w:val="•"/>
      <w:lvlJc w:val="left"/>
      <w:pPr>
        <w:ind w:left="5374" w:hanging="476"/>
      </w:pPr>
      <w:rPr>
        <w:rFonts w:hint="default"/>
        <w:lang w:val="zh-cn" w:eastAsia="zh-cn" w:bidi="zh-cn"/>
      </w:rPr>
    </w:lvl>
    <w:lvl w:ilvl="6">
      <w:start w:val="0"/>
      <w:numFmt w:val="bullet"/>
      <w:lvlText w:val="•"/>
      <w:lvlJc w:val="left"/>
      <w:pPr>
        <w:ind w:left="6377" w:hanging="476"/>
      </w:pPr>
      <w:rPr>
        <w:rFonts w:hint="default"/>
        <w:lang w:val="zh-cn" w:eastAsia="zh-cn" w:bidi="zh-cn"/>
      </w:rPr>
    </w:lvl>
    <w:lvl w:ilvl="7">
      <w:start w:val="0"/>
      <w:numFmt w:val="bullet"/>
      <w:lvlText w:val="•"/>
      <w:lvlJc w:val="left"/>
      <w:pPr>
        <w:ind w:left="7380" w:hanging="476"/>
      </w:pPr>
      <w:rPr>
        <w:rFonts w:hint="default"/>
        <w:lang w:val="zh-cn" w:eastAsia="zh-cn" w:bidi="zh-cn"/>
      </w:rPr>
    </w:lvl>
    <w:lvl w:ilvl="8">
      <w:start w:val="0"/>
      <w:numFmt w:val="bullet"/>
      <w:lvlText w:val="•"/>
      <w:lvlJc w:val="left"/>
      <w:pPr>
        <w:ind w:left="8383" w:hanging="476"/>
      </w:pPr>
      <w:rPr>
        <w:rFonts w:hint="default"/>
        <w:lang w:val="zh-cn" w:eastAsia="zh-cn" w:bidi="zh-cn"/>
      </w:rPr>
    </w:lvl>
  </w:abstractNum>
  <w:abstractNum w:abstractNumId="13">
    <w:multiLevelType w:val="hybridMultilevel"/>
    <w:lvl w:ilvl="0">
      <w:start w:val="9"/>
      <w:numFmt w:val="decimal"/>
      <w:lvlText w:val="%1"/>
      <w:lvlJc w:val="left"/>
      <w:pPr>
        <w:ind w:left="352" w:hanging="375"/>
        <w:jc w:val="left"/>
      </w:pPr>
      <w:rPr>
        <w:rFonts w:hint="default"/>
        <w:lang w:val="zh-cn" w:eastAsia="zh-cn" w:bidi="zh-cn"/>
      </w:rPr>
    </w:lvl>
    <w:lvl w:ilvl="1">
      <w:start w:val="1"/>
      <w:numFmt w:val="decimal"/>
      <w:lvlText w:val="%1.%2"/>
      <w:lvlJc w:val="left"/>
      <w:pPr>
        <w:ind w:left="352" w:hanging="375"/>
        <w:jc w:val="right"/>
      </w:pPr>
      <w:rPr>
        <w:rFonts w:hint="default" w:ascii="SimSun" w:hAnsi="SimSun" w:eastAsia="SimSun" w:cs="SimSun"/>
        <w:spacing w:val="0"/>
        <w:w w:val="99"/>
        <w:sz w:val="21"/>
        <w:szCs w:val="21"/>
        <w:lang w:val="zh-cn" w:eastAsia="zh-cn" w:bidi="zh-cn"/>
      </w:rPr>
    </w:lvl>
    <w:lvl w:ilvl="2">
      <w:start w:val="0"/>
      <w:numFmt w:val="bullet"/>
      <w:lvlText w:val="•"/>
      <w:lvlJc w:val="left"/>
      <w:pPr>
        <w:ind w:left="2365" w:hanging="375"/>
      </w:pPr>
      <w:rPr>
        <w:rFonts w:hint="default"/>
        <w:lang w:val="zh-cn" w:eastAsia="zh-cn" w:bidi="zh-cn"/>
      </w:rPr>
    </w:lvl>
    <w:lvl w:ilvl="3">
      <w:start w:val="0"/>
      <w:numFmt w:val="bullet"/>
      <w:lvlText w:val="•"/>
      <w:lvlJc w:val="left"/>
      <w:pPr>
        <w:ind w:left="3368" w:hanging="375"/>
      </w:pPr>
      <w:rPr>
        <w:rFonts w:hint="default"/>
        <w:lang w:val="zh-cn" w:eastAsia="zh-cn" w:bidi="zh-cn"/>
      </w:rPr>
    </w:lvl>
    <w:lvl w:ilvl="4">
      <w:start w:val="0"/>
      <w:numFmt w:val="bullet"/>
      <w:lvlText w:val="•"/>
      <w:lvlJc w:val="left"/>
      <w:pPr>
        <w:ind w:left="4371" w:hanging="375"/>
      </w:pPr>
      <w:rPr>
        <w:rFonts w:hint="default"/>
        <w:lang w:val="zh-cn" w:eastAsia="zh-cn" w:bidi="zh-cn"/>
      </w:rPr>
    </w:lvl>
    <w:lvl w:ilvl="5">
      <w:start w:val="0"/>
      <w:numFmt w:val="bullet"/>
      <w:lvlText w:val="•"/>
      <w:lvlJc w:val="left"/>
      <w:pPr>
        <w:ind w:left="5374" w:hanging="375"/>
      </w:pPr>
      <w:rPr>
        <w:rFonts w:hint="default"/>
        <w:lang w:val="zh-cn" w:eastAsia="zh-cn" w:bidi="zh-cn"/>
      </w:rPr>
    </w:lvl>
    <w:lvl w:ilvl="6">
      <w:start w:val="0"/>
      <w:numFmt w:val="bullet"/>
      <w:lvlText w:val="•"/>
      <w:lvlJc w:val="left"/>
      <w:pPr>
        <w:ind w:left="6377" w:hanging="375"/>
      </w:pPr>
      <w:rPr>
        <w:rFonts w:hint="default"/>
        <w:lang w:val="zh-cn" w:eastAsia="zh-cn" w:bidi="zh-cn"/>
      </w:rPr>
    </w:lvl>
    <w:lvl w:ilvl="7">
      <w:start w:val="0"/>
      <w:numFmt w:val="bullet"/>
      <w:lvlText w:val="•"/>
      <w:lvlJc w:val="left"/>
      <w:pPr>
        <w:ind w:left="7380" w:hanging="375"/>
      </w:pPr>
      <w:rPr>
        <w:rFonts w:hint="default"/>
        <w:lang w:val="zh-cn" w:eastAsia="zh-cn" w:bidi="zh-cn"/>
      </w:rPr>
    </w:lvl>
    <w:lvl w:ilvl="8">
      <w:start w:val="0"/>
      <w:numFmt w:val="bullet"/>
      <w:lvlText w:val="•"/>
      <w:lvlJc w:val="left"/>
      <w:pPr>
        <w:ind w:left="8383" w:hanging="375"/>
      </w:pPr>
      <w:rPr>
        <w:rFonts w:hint="default"/>
        <w:lang w:val="zh-cn" w:eastAsia="zh-cn" w:bidi="zh-cn"/>
      </w:rPr>
    </w:lvl>
  </w:abstractNum>
  <w:abstractNum w:abstractNumId="12">
    <w:multiLevelType w:val="hybridMultilevel"/>
    <w:lvl w:ilvl="0">
      <w:start w:val="8"/>
      <w:numFmt w:val="decimal"/>
      <w:lvlText w:val="%1"/>
      <w:lvlJc w:val="left"/>
      <w:pPr>
        <w:ind w:left="352" w:hanging="375"/>
        <w:jc w:val="left"/>
      </w:pPr>
      <w:rPr>
        <w:rFonts w:hint="default"/>
        <w:lang w:val="zh-cn" w:eastAsia="zh-cn" w:bidi="zh-cn"/>
      </w:rPr>
    </w:lvl>
    <w:lvl w:ilvl="1">
      <w:start w:val="1"/>
      <w:numFmt w:val="decimal"/>
      <w:lvlText w:val="%1.%2"/>
      <w:lvlJc w:val="left"/>
      <w:pPr>
        <w:ind w:left="352" w:hanging="375"/>
        <w:jc w:val="right"/>
      </w:pPr>
      <w:rPr>
        <w:rFonts w:hint="default" w:ascii="SimSun" w:hAnsi="SimSun" w:eastAsia="SimSun" w:cs="SimSun"/>
        <w:spacing w:val="0"/>
        <w:w w:val="99"/>
        <w:sz w:val="21"/>
        <w:szCs w:val="21"/>
        <w:lang w:val="zh-cn" w:eastAsia="zh-cn" w:bidi="zh-cn"/>
      </w:rPr>
    </w:lvl>
    <w:lvl w:ilvl="2">
      <w:start w:val="0"/>
      <w:numFmt w:val="bullet"/>
      <w:lvlText w:val="•"/>
      <w:lvlJc w:val="left"/>
      <w:pPr>
        <w:ind w:left="2365" w:hanging="375"/>
      </w:pPr>
      <w:rPr>
        <w:rFonts w:hint="default"/>
        <w:lang w:val="zh-cn" w:eastAsia="zh-cn" w:bidi="zh-cn"/>
      </w:rPr>
    </w:lvl>
    <w:lvl w:ilvl="3">
      <w:start w:val="0"/>
      <w:numFmt w:val="bullet"/>
      <w:lvlText w:val="•"/>
      <w:lvlJc w:val="left"/>
      <w:pPr>
        <w:ind w:left="3368" w:hanging="375"/>
      </w:pPr>
      <w:rPr>
        <w:rFonts w:hint="default"/>
        <w:lang w:val="zh-cn" w:eastAsia="zh-cn" w:bidi="zh-cn"/>
      </w:rPr>
    </w:lvl>
    <w:lvl w:ilvl="4">
      <w:start w:val="0"/>
      <w:numFmt w:val="bullet"/>
      <w:lvlText w:val="•"/>
      <w:lvlJc w:val="left"/>
      <w:pPr>
        <w:ind w:left="4371" w:hanging="375"/>
      </w:pPr>
      <w:rPr>
        <w:rFonts w:hint="default"/>
        <w:lang w:val="zh-cn" w:eastAsia="zh-cn" w:bidi="zh-cn"/>
      </w:rPr>
    </w:lvl>
    <w:lvl w:ilvl="5">
      <w:start w:val="0"/>
      <w:numFmt w:val="bullet"/>
      <w:lvlText w:val="•"/>
      <w:lvlJc w:val="left"/>
      <w:pPr>
        <w:ind w:left="5374" w:hanging="375"/>
      </w:pPr>
      <w:rPr>
        <w:rFonts w:hint="default"/>
        <w:lang w:val="zh-cn" w:eastAsia="zh-cn" w:bidi="zh-cn"/>
      </w:rPr>
    </w:lvl>
    <w:lvl w:ilvl="6">
      <w:start w:val="0"/>
      <w:numFmt w:val="bullet"/>
      <w:lvlText w:val="•"/>
      <w:lvlJc w:val="left"/>
      <w:pPr>
        <w:ind w:left="6377" w:hanging="375"/>
      </w:pPr>
      <w:rPr>
        <w:rFonts w:hint="default"/>
        <w:lang w:val="zh-cn" w:eastAsia="zh-cn" w:bidi="zh-cn"/>
      </w:rPr>
    </w:lvl>
    <w:lvl w:ilvl="7">
      <w:start w:val="0"/>
      <w:numFmt w:val="bullet"/>
      <w:lvlText w:val="•"/>
      <w:lvlJc w:val="left"/>
      <w:pPr>
        <w:ind w:left="7380" w:hanging="375"/>
      </w:pPr>
      <w:rPr>
        <w:rFonts w:hint="default"/>
        <w:lang w:val="zh-cn" w:eastAsia="zh-cn" w:bidi="zh-cn"/>
      </w:rPr>
    </w:lvl>
    <w:lvl w:ilvl="8">
      <w:start w:val="0"/>
      <w:numFmt w:val="bullet"/>
      <w:lvlText w:val="•"/>
      <w:lvlJc w:val="left"/>
      <w:pPr>
        <w:ind w:left="8383" w:hanging="375"/>
      </w:pPr>
      <w:rPr>
        <w:rFonts w:hint="default"/>
        <w:lang w:val="zh-cn" w:eastAsia="zh-cn" w:bidi="zh-cn"/>
      </w:rPr>
    </w:lvl>
  </w:abstractNum>
  <w:abstractNum w:abstractNumId="11">
    <w:multiLevelType w:val="hybridMultilevel"/>
    <w:lvl w:ilvl="0">
      <w:start w:val="7"/>
      <w:numFmt w:val="decimal"/>
      <w:lvlText w:val="%1"/>
      <w:lvlJc w:val="left"/>
      <w:pPr>
        <w:ind w:left="352" w:hanging="375"/>
        <w:jc w:val="left"/>
      </w:pPr>
      <w:rPr>
        <w:rFonts w:hint="default"/>
        <w:lang w:val="zh-cn" w:eastAsia="zh-cn" w:bidi="zh-cn"/>
      </w:rPr>
    </w:lvl>
    <w:lvl w:ilvl="1">
      <w:start w:val="1"/>
      <w:numFmt w:val="decimal"/>
      <w:lvlText w:val="%1.%2"/>
      <w:lvlJc w:val="left"/>
      <w:pPr>
        <w:ind w:left="352" w:hanging="375"/>
        <w:jc w:val="left"/>
      </w:pPr>
      <w:rPr>
        <w:rFonts w:hint="default" w:ascii="SimSun" w:hAnsi="SimSun" w:eastAsia="SimSun" w:cs="SimSun"/>
        <w:spacing w:val="0"/>
        <w:w w:val="99"/>
        <w:sz w:val="21"/>
        <w:szCs w:val="21"/>
        <w:lang w:val="zh-cn" w:eastAsia="zh-cn" w:bidi="zh-cn"/>
      </w:rPr>
    </w:lvl>
    <w:lvl w:ilvl="2">
      <w:start w:val="0"/>
      <w:numFmt w:val="bullet"/>
      <w:lvlText w:val="•"/>
      <w:lvlJc w:val="left"/>
      <w:pPr>
        <w:ind w:left="2365" w:hanging="375"/>
      </w:pPr>
      <w:rPr>
        <w:rFonts w:hint="default"/>
        <w:lang w:val="zh-cn" w:eastAsia="zh-cn" w:bidi="zh-cn"/>
      </w:rPr>
    </w:lvl>
    <w:lvl w:ilvl="3">
      <w:start w:val="0"/>
      <w:numFmt w:val="bullet"/>
      <w:lvlText w:val="•"/>
      <w:lvlJc w:val="left"/>
      <w:pPr>
        <w:ind w:left="3368" w:hanging="375"/>
      </w:pPr>
      <w:rPr>
        <w:rFonts w:hint="default"/>
        <w:lang w:val="zh-cn" w:eastAsia="zh-cn" w:bidi="zh-cn"/>
      </w:rPr>
    </w:lvl>
    <w:lvl w:ilvl="4">
      <w:start w:val="0"/>
      <w:numFmt w:val="bullet"/>
      <w:lvlText w:val="•"/>
      <w:lvlJc w:val="left"/>
      <w:pPr>
        <w:ind w:left="4371" w:hanging="375"/>
      </w:pPr>
      <w:rPr>
        <w:rFonts w:hint="default"/>
        <w:lang w:val="zh-cn" w:eastAsia="zh-cn" w:bidi="zh-cn"/>
      </w:rPr>
    </w:lvl>
    <w:lvl w:ilvl="5">
      <w:start w:val="0"/>
      <w:numFmt w:val="bullet"/>
      <w:lvlText w:val="•"/>
      <w:lvlJc w:val="left"/>
      <w:pPr>
        <w:ind w:left="5374" w:hanging="375"/>
      </w:pPr>
      <w:rPr>
        <w:rFonts w:hint="default"/>
        <w:lang w:val="zh-cn" w:eastAsia="zh-cn" w:bidi="zh-cn"/>
      </w:rPr>
    </w:lvl>
    <w:lvl w:ilvl="6">
      <w:start w:val="0"/>
      <w:numFmt w:val="bullet"/>
      <w:lvlText w:val="•"/>
      <w:lvlJc w:val="left"/>
      <w:pPr>
        <w:ind w:left="6377" w:hanging="375"/>
      </w:pPr>
      <w:rPr>
        <w:rFonts w:hint="default"/>
        <w:lang w:val="zh-cn" w:eastAsia="zh-cn" w:bidi="zh-cn"/>
      </w:rPr>
    </w:lvl>
    <w:lvl w:ilvl="7">
      <w:start w:val="0"/>
      <w:numFmt w:val="bullet"/>
      <w:lvlText w:val="•"/>
      <w:lvlJc w:val="left"/>
      <w:pPr>
        <w:ind w:left="7380" w:hanging="375"/>
      </w:pPr>
      <w:rPr>
        <w:rFonts w:hint="default"/>
        <w:lang w:val="zh-cn" w:eastAsia="zh-cn" w:bidi="zh-cn"/>
      </w:rPr>
    </w:lvl>
    <w:lvl w:ilvl="8">
      <w:start w:val="0"/>
      <w:numFmt w:val="bullet"/>
      <w:lvlText w:val="•"/>
      <w:lvlJc w:val="left"/>
      <w:pPr>
        <w:ind w:left="8383" w:hanging="375"/>
      </w:pPr>
      <w:rPr>
        <w:rFonts w:hint="default"/>
        <w:lang w:val="zh-cn" w:eastAsia="zh-cn" w:bidi="zh-cn"/>
      </w:rPr>
    </w:lvl>
  </w:abstractNum>
  <w:abstractNum w:abstractNumId="10">
    <w:multiLevelType w:val="hybridMultilevel"/>
    <w:lvl w:ilvl="0">
      <w:start w:val="4"/>
      <w:numFmt w:val="decimal"/>
      <w:lvlText w:val="%1"/>
      <w:lvlJc w:val="left"/>
      <w:pPr>
        <w:ind w:left="352" w:hanging="426"/>
        <w:jc w:val="left"/>
      </w:pPr>
      <w:rPr>
        <w:rFonts w:hint="default"/>
        <w:lang w:val="zh-cn" w:eastAsia="zh-cn" w:bidi="zh-cn"/>
      </w:rPr>
    </w:lvl>
    <w:lvl w:ilvl="1">
      <w:start w:val="1"/>
      <w:numFmt w:val="decimal"/>
      <w:lvlText w:val="%1.%2"/>
      <w:lvlJc w:val="left"/>
      <w:pPr>
        <w:ind w:left="352" w:hanging="426"/>
        <w:jc w:val="left"/>
      </w:pPr>
      <w:rPr>
        <w:rFonts w:hint="default" w:ascii="SimSun" w:hAnsi="SimSun" w:eastAsia="SimSun" w:cs="SimSun"/>
        <w:spacing w:val="0"/>
        <w:w w:val="99"/>
        <w:sz w:val="21"/>
        <w:szCs w:val="21"/>
        <w:lang w:val="zh-cn" w:eastAsia="zh-cn" w:bidi="zh-cn"/>
      </w:rPr>
    </w:lvl>
    <w:lvl w:ilvl="2">
      <w:start w:val="0"/>
      <w:numFmt w:val="bullet"/>
      <w:lvlText w:val="•"/>
      <w:lvlJc w:val="left"/>
      <w:pPr>
        <w:ind w:left="2365" w:hanging="426"/>
      </w:pPr>
      <w:rPr>
        <w:rFonts w:hint="default"/>
        <w:lang w:val="zh-cn" w:eastAsia="zh-cn" w:bidi="zh-cn"/>
      </w:rPr>
    </w:lvl>
    <w:lvl w:ilvl="3">
      <w:start w:val="0"/>
      <w:numFmt w:val="bullet"/>
      <w:lvlText w:val="•"/>
      <w:lvlJc w:val="left"/>
      <w:pPr>
        <w:ind w:left="3368" w:hanging="426"/>
      </w:pPr>
      <w:rPr>
        <w:rFonts w:hint="default"/>
        <w:lang w:val="zh-cn" w:eastAsia="zh-cn" w:bidi="zh-cn"/>
      </w:rPr>
    </w:lvl>
    <w:lvl w:ilvl="4">
      <w:start w:val="0"/>
      <w:numFmt w:val="bullet"/>
      <w:lvlText w:val="•"/>
      <w:lvlJc w:val="left"/>
      <w:pPr>
        <w:ind w:left="4371" w:hanging="426"/>
      </w:pPr>
      <w:rPr>
        <w:rFonts w:hint="default"/>
        <w:lang w:val="zh-cn" w:eastAsia="zh-cn" w:bidi="zh-cn"/>
      </w:rPr>
    </w:lvl>
    <w:lvl w:ilvl="5">
      <w:start w:val="0"/>
      <w:numFmt w:val="bullet"/>
      <w:lvlText w:val="•"/>
      <w:lvlJc w:val="left"/>
      <w:pPr>
        <w:ind w:left="5374" w:hanging="426"/>
      </w:pPr>
      <w:rPr>
        <w:rFonts w:hint="default"/>
        <w:lang w:val="zh-cn" w:eastAsia="zh-cn" w:bidi="zh-cn"/>
      </w:rPr>
    </w:lvl>
    <w:lvl w:ilvl="6">
      <w:start w:val="0"/>
      <w:numFmt w:val="bullet"/>
      <w:lvlText w:val="•"/>
      <w:lvlJc w:val="left"/>
      <w:pPr>
        <w:ind w:left="6377" w:hanging="426"/>
      </w:pPr>
      <w:rPr>
        <w:rFonts w:hint="default"/>
        <w:lang w:val="zh-cn" w:eastAsia="zh-cn" w:bidi="zh-cn"/>
      </w:rPr>
    </w:lvl>
    <w:lvl w:ilvl="7">
      <w:start w:val="0"/>
      <w:numFmt w:val="bullet"/>
      <w:lvlText w:val="•"/>
      <w:lvlJc w:val="left"/>
      <w:pPr>
        <w:ind w:left="7380" w:hanging="426"/>
      </w:pPr>
      <w:rPr>
        <w:rFonts w:hint="default"/>
        <w:lang w:val="zh-cn" w:eastAsia="zh-cn" w:bidi="zh-cn"/>
      </w:rPr>
    </w:lvl>
    <w:lvl w:ilvl="8">
      <w:start w:val="0"/>
      <w:numFmt w:val="bullet"/>
      <w:lvlText w:val="•"/>
      <w:lvlJc w:val="left"/>
      <w:pPr>
        <w:ind w:left="8383" w:hanging="426"/>
      </w:pPr>
      <w:rPr>
        <w:rFonts w:hint="default"/>
        <w:lang w:val="zh-cn" w:eastAsia="zh-cn" w:bidi="zh-cn"/>
      </w:rPr>
    </w:lvl>
  </w:abstractNum>
  <w:abstractNum w:abstractNumId="9">
    <w:multiLevelType w:val="hybridMultilevel"/>
    <w:lvl w:ilvl="0">
      <w:start w:val="3"/>
      <w:numFmt w:val="decimal"/>
      <w:lvlText w:val="%1"/>
      <w:lvlJc w:val="left"/>
      <w:pPr>
        <w:ind w:left="1202" w:hanging="433"/>
        <w:jc w:val="left"/>
      </w:pPr>
      <w:rPr>
        <w:rFonts w:hint="default"/>
        <w:lang w:val="zh-cn" w:eastAsia="zh-cn" w:bidi="zh-cn"/>
      </w:rPr>
    </w:lvl>
    <w:lvl w:ilvl="1">
      <w:start w:val="3"/>
      <w:numFmt w:val="decimal"/>
      <w:lvlText w:val="%1.%2"/>
      <w:lvlJc w:val="left"/>
      <w:pPr>
        <w:ind w:left="352" w:hanging="433"/>
        <w:jc w:val="left"/>
      </w:pPr>
      <w:rPr>
        <w:rFonts w:hint="default" w:ascii="SimSun" w:hAnsi="SimSun" w:eastAsia="SimSun" w:cs="SimSun"/>
        <w:spacing w:val="0"/>
        <w:w w:val="99"/>
        <w:sz w:val="21"/>
        <w:szCs w:val="21"/>
        <w:lang w:val="zh-cn" w:eastAsia="zh-cn" w:bidi="zh-cn"/>
      </w:rPr>
    </w:lvl>
    <w:lvl w:ilvl="2">
      <w:start w:val="0"/>
      <w:numFmt w:val="bullet"/>
      <w:lvlText w:val="•"/>
      <w:lvlJc w:val="left"/>
      <w:pPr>
        <w:ind w:left="2220" w:hanging="433"/>
      </w:pPr>
      <w:rPr>
        <w:rFonts w:hint="default"/>
        <w:lang w:val="zh-cn" w:eastAsia="zh-cn" w:bidi="zh-cn"/>
      </w:rPr>
    </w:lvl>
    <w:lvl w:ilvl="3">
      <w:start w:val="0"/>
      <w:numFmt w:val="bullet"/>
      <w:lvlText w:val="•"/>
      <w:lvlJc w:val="left"/>
      <w:pPr>
        <w:ind w:left="3241" w:hanging="433"/>
      </w:pPr>
      <w:rPr>
        <w:rFonts w:hint="default"/>
        <w:lang w:val="zh-cn" w:eastAsia="zh-cn" w:bidi="zh-cn"/>
      </w:rPr>
    </w:lvl>
    <w:lvl w:ilvl="4">
      <w:start w:val="0"/>
      <w:numFmt w:val="bullet"/>
      <w:lvlText w:val="•"/>
      <w:lvlJc w:val="left"/>
      <w:pPr>
        <w:ind w:left="4262" w:hanging="433"/>
      </w:pPr>
      <w:rPr>
        <w:rFonts w:hint="default"/>
        <w:lang w:val="zh-cn" w:eastAsia="zh-cn" w:bidi="zh-cn"/>
      </w:rPr>
    </w:lvl>
    <w:lvl w:ilvl="5">
      <w:start w:val="0"/>
      <w:numFmt w:val="bullet"/>
      <w:lvlText w:val="•"/>
      <w:lvlJc w:val="left"/>
      <w:pPr>
        <w:ind w:left="5283" w:hanging="433"/>
      </w:pPr>
      <w:rPr>
        <w:rFonts w:hint="default"/>
        <w:lang w:val="zh-cn" w:eastAsia="zh-cn" w:bidi="zh-cn"/>
      </w:rPr>
    </w:lvl>
    <w:lvl w:ilvl="6">
      <w:start w:val="0"/>
      <w:numFmt w:val="bullet"/>
      <w:lvlText w:val="•"/>
      <w:lvlJc w:val="left"/>
      <w:pPr>
        <w:ind w:left="6304" w:hanging="433"/>
      </w:pPr>
      <w:rPr>
        <w:rFonts w:hint="default"/>
        <w:lang w:val="zh-cn" w:eastAsia="zh-cn" w:bidi="zh-cn"/>
      </w:rPr>
    </w:lvl>
    <w:lvl w:ilvl="7">
      <w:start w:val="0"/>
      <w:numFmt w:val="bullet"/>
      <w:lvlText w:val="•"/>
      <w:lvlJc w:val="left"/>
      <w:pPr>
        <w:ind w:left="7325" w:hanging="433"/>
      </w:pPr>
      <w:rPr>
        <w:rFonts w:hint="default"/>
        <w:lang w:val="zh-cn" w:eastAsia="zh-cn" w:bidi="zh-cn"/>
      </w:rPr>
    </w:lvl>
    <w:lvl w:ilvl="8">
      <w:start w:val="0"/>
      <w:numFmt w:val="bullet"/>
      <w:lvlText w:val="•"/>
      <w:lvlJc w:val="left"/>
      <w:pPr>
        <w:ind w:left="8346" w:hanging="433"/>
      </w:pPr>
      <w:rPr>
        <w:rFonts w:hint="default"/>
        <w:lang w:val="zh-cn" w:eastAsia="zh-cn" w:bidi="zh-cn"/>
      </w:rPr>
    </w:lvl>
  </w:abstractNum>
  <w:abstractNum w:abstractNumId="8">
    <w:multiLevelType w:val="hybridMultilevel"/>
    <w:lvl w:ilvl="0">
      <w:start w:val="3"/>
      <w:numFmt w:val="decimal"/>
      <w:lvlText w:val="%1"/>
      <w:lvlJc w:val="left"/>
      <w:pPr>
        <w:ind w:left="1187" w:hanging="375"/>
        <w:jc w:val="left"/>
      </w:pPr>
      <w:rPr>
        <w:rFonts w:hint="default"/>
        <w:lang w:val="zh-cn" w:eastAsia="zh-cn" w:bidi="zh-cn"/>
      </w:rPr>
    </w:lvl>
    <w:lvl w:ilvl="1">
      <w:start w:val="1"/>
      <w:numFmt w:val="decimal"/>
      <w:lvlText w:val="%1.%2"/>
      <w:lvlJc w:val="left"/>
      <w:pPr>
        <w:ind w:left="1187" w:hanging="375"/>
        <w:jc w:val="left"/>
      </w:pPr>
      <w:rPr>
        <w:rFonts w:hint="default" w:ascii="SimSun" w:hAnsi="SimSun" w:eastAsia="SimSun" w:cs="SimSun"/>
        <w:spacing w:val="0"/>
        <w:w w:val="99"/>
        <w:sz w:val="21"/>
        <w:szCs w:val="21"/>
        <w:lang w:val="zh-cn" w:eastAsia="zh-cn" w:bidi="zh-cn"/>
      </w:rPr>
    </w:lvl>
    <w:lvl w:ilvl="2">
      <w:start w:val="1"/>
      <w:numFmt w:val="decimal"/>
      <w:lvlText w:val="%1.%2.%3"/>
      <w:lvlJc w:val="left"/>
      <w:pPr>
        <w:ind w:left="352" w:hanging="584"/>
        <w:jc w:val="left"/>
      </w:pPr>
      <w:rPr>
        <w:rFonts w:hint="default" w:ascii="SimSun" w:hAnsi="SimSun" w:eastAsia="SimSun" w:cs="SimSun"/>
        <w:spacing w:val="-4"/>
        <w:w w:val="99"/>
        <w:sz w:val="21"/>
        <w:szCs w:val="21"/>
        <w:lang w:val="zh-cn" w:eastAsia="zh-cn" w:bidi="zh-cn"/>
      </w:rPr>
    </w:lvl>
    <w:lvl w:ilvl="3">
      <w:start w:val="0"/>
      <w:numFmt w:val="bullet"/>
      <w:lvlText w:val="•"/>
      <w:lvlJc w:val="left"/>
      <w:pPr>
        <w:ind w:left="3226" w:hanging="584"/>
      </w:pPr>
      <w:rPr>
        <w:rFonts w:hint="default"/>
        <w:lang w:val="zh-cn" w:eastAsia="zh-cn" w:bidi="zh-cn"/>
      </w:rPr>
    </w:lvl>
    <w:lvl w:ilvl="4">
      <w:start w:val="0"/>
      <w:numFmt w:val="bullet"/>
      <w:lvlText w:val="•"/>
      <w:lvlJc w:val="left"/>
      <w:pPr>
        <w:ind w:left="4249" w:hanging="584"/>
      </w:pPr>
      <w:rPr>
        <w:rFonts w:hint="default"/>
        <w:lang w:val="zh-cn" w:eastAsia="zh-cn" w:bidi="zh-cn"/>
      </w:rPr>
    </w:lvl>
    <w:lvl w:ilvl="5">
      <w:start w:val="0"/>
      <w:numFmt w:val="bullet"/>
      <w:lvlText w:val="•"/>
      <w:lvlJc w:val="left"/>
      <w:pPr>
        <w:ind w:left="5272" w:hanging="584"/>
      </w:pPr>
      <w:rPr>
        <w:rFonts w:hint="default"/>
        <w:lang w:val="zh-cn" w:eastAsia="zh-cn" w:bidi="zh-cn"/>
      </w:rPr>
    </w:lvl>
    <w:lvl w:ilvl="6">
      <w:start w:val="0"/>
      <w:numFmt w:val="bullet"/>
      <w:lvlText w:val="•"/>
      <w:lvlJc w:val="left"/>
      <w:pPr>
        <w:ind w:left="6296" w:hanging="584"/>
      </w:pPr>
      <w:rPr>
        <w:rFonts w:hint="default"/>
        <w:lang w:val="zh-cn" w:eastAsia="zh-cn" w:bidi="zh-cn"/>
      </w:rPr>
    </w:lvl>
    <w:lvl w:ilvl="7">
      <w:start w:val="0"/>
      <w:numFmt w:val="bullet"/>
      <w:lvlText w:val="•"/>
      <w:lvlJc w:val="left"/>
      <w:pPr>
        <w:ind w:left="7319" w:hanging="584"/>
      </w:pPr>
      <w:rPr>
        <w:rFonts w:hint="default"/>
        <w:lang w:val="zh-cn" w:eastAsia="zh-cn" w:bidi="zh-cn"/>
      </w:rPr>
    </w:lvl>
    <w:lvl w:ilvl="8">
      <w:start w:val="0"/>
      <w:numFmt w:val="bullet"/>
      <w:lvlText w:val="•"/>
      <w:lvlJc w:val="left"/>
      <w:pPr>
        <w:ind w:left="8342" w:hanging="584"/>
      </w:pPr>
      <w:rPr>
        <w:rFonts w:hint="default"/>
        <w:lang w:val="zh-cn" w:eastAsia="zh-cn" w:bidi="zh-cn"/>
      </w:rPr>
    </w:lvl>
  </w:abstractNum>
  <w:abstractNum w:abstractNumId="7">
    <w:multiLevelType w:val="hybridMultilevel"/>
    <w:lvl w:ilvl="0">
      <w:start w:val="2"/>
      <w:numFmt w:val="decimal"/>
      <w:lvlText w:val="%1"/>
      <w:lvlJc w:val="left"/>
      <w:pPr>
        <w:ind w:left="1151" w:hanging="375"/>
        <w:jc w:val="left"/>
      </w:pPr>
      <w:rPr>
        <w:rFonts w:hint="default"/>
        <w:lang w:val="zh-cn" w:eastAsia="zh-cn" w:bidi="zh-cn"/>
      </w:rPr>
    </w:lvl>
    <w:lvl w:ilvl="1">
      <w:start w:val="1"/>
      <w:numFmt w:val="decimal"/>
      <w:lvlText w:val="%1.%2"/>
      <w:lvlJc w:val="left"/>
      <w:pPr>
        <w:ind w:left="1151" w:hanging="375"/>
        <w:jc w:val="left"/>
      </w:pPr>
      <w:rPr>
        <w:rFonts w:hint="default" w:ascii="SimSun" w:hAnsi="SimSun" w:eastAsia="SimSun" w:cs="SimSun"/>
        <w:spacing w:val="0"/>
        <w:w w:val="99"/>
        <w:sz w:val="21"/>
        <w:szCs w:val="21"/>
        <w:lang w:val="zh-cn" w:eastAsia="zh-cn" w:bidi="zh-cn"/>
      </w:rPr>
    </w:lvl>
    <w:lvl w:ilvl="2">
      <w:start w:val="1"/>
      <w:numFmt w:val="decimal"/>
      <w:lvlText w:val="%1.%2.%3"/>
      <w:lvlJc w:val="left"/>
      <w:pPr>
        <w:ind w:left="352" w:hanging="584"/>
        <w:jc w:val="left"/>
      </w:pPr>
      <w:rPr>
        <w:rFonts w:hint="default" w:ascii="SimSun" w:hAnsi="SimSun" w:eastAsia="SimSun" w:cs="SimSun"/>
        <w:spacing w:val="-4"/>
        <w:w w:val="99"/>
        <w:sz w:val="21"/>
        <w:szCs w:val="21"/>
        <w:lang w:val="zh-cn" w:eastAsia="zh-cn" w:bidi="zh-cn"/>
      </w:rPr>
    </w:lvl>
    <w:lvl w:ilvl="3">
      <w:start w:val="0"/>
      <w:numFmt w:val="bullet"/>
      <w:lvlText w:val="•"/>
      <w:lvlJc w:val="left"/>
      <w:pPr>
        <w:ind w:left="3210" w:hanging="584"/>
      </w:pPr>
      <w:rPr>
        <w:rFonts w:hint="default"/>
        <w:lang w:val="zh-cn" w:eastAsia="zh-cn" w:bidi="zh-cn"/>
      </w:rPr>
    </w:lvl>
    <w:lvl w:ilvl="4">
      <w:start w:val="0"/>
      <w:numFmt w:val="bullet"/>
      <w:lvlText w:val="•"/>
      <w:lvlJc w:val="left"/>
      <w:pPr>
        <w:ind w:left="4236" w:hanging="584"/>
      </w:pPr>
      <w:rPr>
        <w:rFonts w:hint="default"/>
        <w:lang w:val="zh-cn" w:eastAsia="zh-cn" w:bidi="zh-cn"/>
      </w:rPr>
    </w:lvl>
    <w:lvl w:ilvl="5">
      <w:start w:val="0"/>
      <w:numFmt w:val="bullet"/>
      <w:lvlText w:val="•"/>
      <w:lvlJc w:val="left"/>
      <w:pPr>
        <w:ind w:left="5261" w:hanging="584"/>
      </w:pPr>
      <w:rPr>
        <w:rFonts w:hint="default"/>
        <w:lang w:val="zh-cn" w:eastAsia="zh-cn" w:bidi="zh-cn"/>
      </w:rPr>
    </w:lvl>
    <w:lvl w:ilvl="6">
      <w:start w:val="0"/>
      <w:numFmt w:val="bullet"/>
      <w:lvlText w:val="•"/>
      <w:lvlJc w:val="left"/>
      <w:pPr>
        <w:ind w:left="6287" w:hanging="584"/>
      </w:pPr>
      <w:rPr>
        <w:rFonts w:hint="default"/>
        <w:lang w:val="zh-cn" w:eastAsia="zh-cn" w:bidi="zh-cn"/>
      </w:rPr>
    </w:lvl>
    <w:lvl w:ilvl="7">
      <w:start w:val="0"/>
      <w:numFmt w:val="bullet"/>
      <w:lvlText w:val="•"/>
      <w:lvlJc w:val="left"/>
      <w:pPr>
        <w:ind w:left="7312" w:hanging="584"/>
      </w:pPr>
      <w:rPr>
        <w:rFonts w:hint="default"/>
        <w:lang w:val="zh-cn" w:eastAsia="zh-cn" w:bidi="zh-cn"/>
      </w:rPr>
    </w:lvl>
    <w:lvl w:ilvl="8">
      <w:start w:val="0"/>
      <w:numFmt w:val="bullet"/>
      <w:lvlText w:val="•"/>
      <w:lvlJc w:val="left"/>
      <w:pPr>
        <w:ind w:left="8337" w:hanging="584"/>
      </w:pPr>
      <w:rPr>
        <w:rFonts w:hint="default"/>
        <w:lang w:val="zh-cn" w:eastAsia="zh-cn" w:bidi="zh-cn"/>
      </w:rPr>
    </w:lvl>
  </w:abstractNum>
  <w:abstractNum w:abstractNumId="6">
    <w:multiLevelType w:val="hybridMultilevel"/>
    <w:lvl w:ilvl="0">
      <w:start w:val="1"/>
      <w:numFmt w:val="decimal"/>
      <w:lvlText w:val="%1"/>
      <w:lvlJc w:val="left"/>
      <w:pPr>
        <w:ind w:left="250" w:hanging="375"/>
        <w:jc w:val="left"/>
      </w:pPr>
      <w:rPr>
        <w:rFonts w:hint="default"/>
        <w:lang w:val="zh-cn" w:eastAsia="zh-cn" w:bidi="zh-cn"/>
      </w:rPr>
    </w:lvl>
    <w:lvl w:ilvl="1">
      <w:start w:val="1"/>
      <w:numFmt w:val="decimal"/>
      <w:lvlText w:val="%1.%2"/>
      <w:lvlJc w:val="left"/>
      <w:pPr>
        <w:ind w:left="250" w:hanging="375"/>
        <w:jc w:val="right"/>
      </w:pPr>
      <w:rPr>
        <w:rFonts w:hint="default" w:ascii="SimSun" w:hAnsi="SimSun" w:eastAsia="SimSun" w:cs="SimSun"/>
        <w:spacing w:val="0"/>
        <w:w w:val="99"/>
        <w:sz w:val="21"/>
        <w:szCs w:val="21"/>
        <w:lang w:val="zh-cn" w:eastAsia="zh-cn" w:bidi="zh-cn"/>
      </w:rPr>
    </w:lvl>
    <w:lvl w:ilvl="2">
      <w:start w:val="0"/>
      <w:numFmt w:val="bullet"/>
      <w:lvlText w:val="•"/>
      <w:lvlJc w:val="left"/>
      <w:pPr>
        <w:ind w:left="2285" w:hanging="375"/>
      </w:pPr>
      <w:rPr>
        <w:rFonts w:hint="default"/>
        <w:lang w:val="zh-cn" w:eastAsia="zh-cn" w:bidi="zh-cn"/>
      </w:rPr>
    </w:lvl>
    <w:lvl w:ilvl="3">
      <w:start w:val="0"/>
      <w:numFmt w:val="bullet"/>
      <w:lvlText w:val="•"/>
      <w:lvlJc w:val="left"/>
      <w:pPr>
        <w:ind w:left="3298" w:hanging="375"/>
      </w:pPr>
      <w:rPr>
        <w:rFonts w:hint="default"/>
        <w:lang w:val="zh-cn" w:eastAsia="zh-cn" w:bidi="zh-cn"/>
      </w:rPr>
    </w:lvl>
    <w:lvl w:ilvl="4">
      <w:start w:val="0"/>
      <w:numFmt w:val="bullet"/>
      <w:lvlText w:val="•"/>
      <w:lvlJc w:val="left"/>
      <w:pPr>
        <w:ind w:left="4311" w:hanging="375"/>
      </w:pPr>
      <w:rPr>
        <w:rFonts w:hint="default"/>
        <w:lang w:val="zh-cn" w:eastAsia="zh-cn" w:bidi="zh-cn"/>
      </w:rPr>
    </w:lvl>
    <w:lvl w:ilvl="5">
      <w:start w:val="0"/>
      <w:numFmt w:val="bullet"/>
      <w:lvlText w:val="•"/>
      <w:lvlJc w:val="left"/>
      <w:pPr>
        <w:ind w:left="5324" w:hanging="375"/>
      </w:pPr>
      <w:rPr>
        <w:rFonts w:hint="default"/>
        <w:lang w:val="zh-cn" w:eastAsia="zh-cn" w:bidi="zh-cn"/>
      </w:rPr>
    </w:lvl>
    <w:lvl w:ilvl="6">
      <w:start w:val="0"/>
      <w:numFmt w:val="bullet"/>
      <w:lvlText w:val="•"/>
      <w:lvlJc w:val="left"/>
      <w:pPr>
        <w:ind w:left="6337" w:hanging="375"/>
      </w:pPr>
      <w:rPr>
        <w:rFonts w:hint="default"/>
        <w:lang w:val="zh-cn" w:eastAsia="zh-cn" w:bidi="zh-cn"/>
      </w:rPr>
    </w:lvl>
    <w:lvl w:ilvl="7">
      <w:start w:val="0"/>
      <w:numFmt w:val="bullet"/>
      <w:lvlText w:val="•"/>
      <w:lvlJc w:val="left"/>
      <w:pPr>
        <w:ind w:left="7350" w:hanging="375"/>
      </w:pPr>
      <w:rPr>
        <w:rFonts w:hint="default"/>
        <w:lang w:val="zh-cn" w:eastAsia="zh-cn" w:bidi="zh-cn"/>
      </w:rPr>
    </w:lvl>
    <w:lvl w:ilvl="8">
      <w:start w:val="0"/>
      <w:numFmt w:val="bullet"/>
      <w:lvlText w:val="•"/>
      <w:lvlJc w:val="left"/>
      <w:pPr>
        <w:ind w:left="8363" w:hanging="375"/>
      </w:pPr>
      <w:rPr>
        <w:rFonts w:hint="default"/>
        <w:lang w:val="zh-cn" w:eastAsia="zh-cn" w:bidi="zh-cn"/>
      </w:rPr>
    </w:lvl>
  </w:abstractNum>
  <w:abstractNum w:abstractNumId="5">
    <w:multiLevelType w:val="hybridMultilevel"/>
    <w:lvl w:ilvl="0">
      <w:start w:val="8"/>
      <w:numFmt w:val="decimal"/>
      <w:lvlText w:val="%1"/>
      <w:lvlJc w:val="left"/>
      <w:pPr>
        <w:ind w:left="924" w:hanging="311"/>
        <w:jc w:val="left"/>
      </w:pPr>
      <w:rPr>
        <w:rFonts w:hint="default"/>
        <w:lang w:val="zh-cn" w:eastAsia="zh-cn" w:bidi="zh-cn"/>
      </w:rPr>
    </w:lvl>
    <w:lvl w:ilvl="1">
      <w:start w:val="1"/>
      <w:numFmt w:val="decimal"/>
      <w:lvlText w:val="%1.%2"/>
      <w:lvlJc w:val="left"/>
      <w:pPr>
        <w:ind w:left="924" w:hanging="311"/>
        <w:jc w:val="left"/>
      </w:pPr>
      <w:rPr>
        <w:rFonts w:hint="default" w:ascii="SimSun" w:hAnsi="SimSun" w:eastAsia="SimSun" w:cs="SimSun"/>
        <w:spacing w:val="-4"/>
        <w:w w:val="99"/>
        <w:sz w:val="19"/>
        <w:szCs w:val="19"/>
        <w:lang w:val="zh-cn" w:eastAsia="zh-cn" w:bidi="zh-cn"/>
      </w:rPr>
    </w:lvl>
    <w:lvl w:ilvl="2">
      <w:start w:val="0"/>
      <w:numFmt w:val="bullet"/>
      <w:lvlText w:val="•"/>
      <w:lvlJc w:val="left"/>
      <w:pPr>
        <w:ind w:left="2437" w:hanging="311"/>
      </w:pPr>
      <w:rPr>
        <w:rFonts w:hint="default"/>
        <w:lang w:val="zh-cn" w:eastAsia="zh-cn" w:bidi="zh-cn"/>
      </w:rPr>
    </w:lvl>
    <w:lvl w:ilvl="3">
      <w:start w:val="0"/>
      <w:numFmt w:val="bullet"/>
      <w:lvlText w:val="•"/>
      <w:lvlJc w:val="left"/>
      <w:pPr>
        <w:ind w:left="3195" w:hanging="311"/>
      </w:pPr>
      <w:rPr>
        <w:rFonts w:hint="default"/>
        <w:lang w:val="zh-cn" w:eastAsia="zh-cn" w:bidi="zh-cn"/>
      </w:rPr>
    </w:lvl>
    <w:lvl w:ilvl="4">
      <w:start w:val="0"/>
      <w:numFmt w:val="bullet"/>
      <w:lvlText w:val="•"/>
      <w:lvlJc w:val="left"/>
      <w:pPr>
        <w:ind w:left="3954" w:hanging="311"/>
      </w:pPr>
      <w:rPr>
        <w:rFonts w:hint="default"/>
        <w:lang w:val="zh-cn" w:eastAsia="zh-cn" w:bidi="zh-cn"/>
      </w:rPr>
    </w:lvl>
    <w:lvl w:ilvl="5">
      <w:start w:val="0"/>
      <w:numFmt w:val="bullet"/>
      <w:lvlText w:val="•"/>
      <w:lvlJc w:val="left"/>
      <w:pPr>
        <w:ind w:left="4713" w:hanging="311"/>
      </w:pPr>
      <w:rPr>
        <w:rFonts w:hint="default"/>
        <w:lang w:val="zh-cn" w:eastAsia="zh-cn" w:bidi="zh-cn"/>
      </w:rPr>
    </w:lvl>
    <w:lvl w:ilvl="6">
      <w:start w:val="0"/>
      <w:numFmt w:val="bullet"/>
      <w:lvlText w:val="•"/>
      <w:lvlJc w:val="left"/>
      <w:pPr>
        <w:ind w:left="5471" w:hanging="311"/>
      </w:pPr>
      <w:rPr>
        <w:rFonts w:hint="default"/>
        <w:lang w:val="zh-cn" w:eastAsia="zh-cn" w:bidi="zh-cn"/>
      </w:rPr>
    </w:lvl>
    <w:lvl w:ilvl="7">
      <w:start w:val="0"/>
      <w:numFmt w:val="bullet"/>
      <w:lvlText w:val="•"/>
      <w:lvlJc w:val="left"/>
      <w:pPr>
        <w:ind w:left="6230" w:hanging="311"/>
      </w:pPr>
      <w:rPr>
        <w:rFonts w:hint="default"/>
        <w:lang w:val="zh-cn" w:eastAsia="zh-cn" w:bidi="zh-cn"/>
      </w:rPr>
    </w:lvl>
    <w:lvl w:ilvl="8">
      <w:start w:val="0"/>
      <w:numFmt w:val="bullet"/>
      <w:lvlText w:val="•"/>
      <w:lvlJc w:val="left"/>
      <w:pPr>
        <w:ind w:left="6988" w:hanging="311"/>
      </w:pPr>
      <w:rPr>
        <w:rFonts w:hint="default"/>
        <w:lang w:val="zh-cn" w:eastAsia="zh-cn" w:bidi="zh-cn"/>
      </w:rPr>
    </w:lvl>
  </w:abstractNum>
  <w:abstractNum w:abstractNumId="4">
    <w:multiLevelType w:val="hybridMultilevel"/>
    <w:lvl w:ilvl="0">
      <w:start w:val="7"/>
      <w:numFmt w:val="decimal"/>
      <w:lvlText w:val="%1"/>
      <w:lvlJc w:val="left"/>
      <w:pPr>
        <w:ind w:left="9" w:hanging="311"/>
        <w:jc w:val="left"/>
      </w:pPr>
      <w:rPr>
        <w:rFonts w:hint="default"/>
        <w:lang w:val="zh-cn" w:eastAsia="zh-cn" w:bidi="zh-cn"/>
      </w:rPr>
    </w:lvl>
    <w:lvl w:ilvl="1">
      <w:start w:val="3"/>
      <w:numFmt w:val="decimal"/>
      <w:lvlText w:val="%1.%2"/>
      <w:lvlJc w:val="left"/>
      <w:pPr>
        <w:ind w:left="9" w:hanging="311"/>
        <w:jc w:val="left"/>
      </w:pPr>
      <w:rPr>
        <w:rFonts w:hint="default" w:ascii="SimSun" w:hAnsi="SimSun" w:eastAsia="SimSun" w:cs="SimSun"/>
        <w:spacing w:val="-4"/>
        <w:w w:val="99"/>
        <w:sz w:val="19"/>
        <w:szCs w:val="19"/>
        <w:lang w:val="zh-cn" w:eastAsia="zh-cn" w:bidi="zh-cn"/>
      </w:rPr>
    </w:lvl>
    <w:lvl w:ilvl="2">
      <w:start w:val="0"/>
      <w:numFmt w:val="bullet"/>
      <w:lvlText w:val="•"/>
      <w:lvlJc w:val="left"/>
      <w:pPr>
        <w:ind w:left="1701" w:hanging="311"/>
      </w:pPr>
      <w:rPr>
        <w:rFonts w:hint="default"/>
        <w:lang w:val="zh-cn" w:eastAsia="zh-cn" w:bidi="zh-cn"/>
      </w:rPr>
    </w:lvl>
    <w:lvl w:ilvl="3">
      <w:start w:val="0"/>
      <w:numFmt w:val="bullet"/>
      <w:lvlText w:val="•"/>
      <w:lvlJc w:val="left"/>
      <w:pPr>
        <w:ind w:left="2551" w:hanging="311"/>
      </w:pPr>
      <w:rPr>
        <w:rFonts w:hint="default"/>
        <w:lang w:val="zh-cn" w:eastAsia="zh-cn" w:bidi="zh-cn"/>
      </w:rPr>
    </w:lvl>
    <w:lvl w:ilvl="4">
      <w:start w:val="0"/>
      <w:numFmt w:val="bullet"/>
      <w:lvlText w:val="•"/>
      <w:lvlJc w:val="left"/>
      <w:pPr>
        <w:ind w:left="3402" w:hanging="311"/>
      </w:pPr>
      <w:rPr>
        <w:rFonts w:hint="default"/>
        <w:lang w:val="zh-cn" w:eastAsia="zh-cn" w:bidi="zh-cn"/>
      </w:rPr>
    </w:lvl>
    <w:lvl w:ilvl="5">
      <w:start w:val="0"/>
      <w:numFmt w:val="bullet"/>
      <w:lvlText w:val="•"/>
      <w:lvlJc w:val="left"/>
      <w:pPr>
        <w:ind w:left="4253" w:hanging="311"/>
      </w:pPr>
      <w:rPr>
        <w:rFonts w:hint="default"/>
        <w:lang w:val="zh-cn" w:eastAsia="zh-cn" w:bidi="zh-cn"/>
      </w:rPr>
    </w:lvl>
    <w:lvl w:ilvl="6">
      <w:start w:val="0"/>
      <w:numFmt w:val="bullet"/>
      <w:lvlText w:val="•"/>
      <w:lvlJc w:val="left"/>
      <w:pPr>
        <w:ind w:left="5103" w:hanging="311"/>
      </w:pPr>
      <w:rPr>
        <w:rFonts w:hint="default"/>
        <w:lang w:val="zh-cn" w:eastAsia="zh-cn" w:bidi="zh-cn"/>
      </w:rPr>
    </w:lvl>
    <w:lvl w:ilvl="7">
      <w:start w:val="0"/>
      <w:numFmt w:val="bullet"/>
      <w:lvlText w:val="•"/>
      <w:lvlJc w:val="left"/>
      <w:pPr>
        <w:ind w:left="5954" w:hanging="311"/>
      </w:pPr>
      <w:rPr>
        <w:rFonts w:hint="default"/>
        <w:lang w:val="zh-cn" w:eastAsia="zh-cn" w:bidi="zh-cn"/>
      </w:rPr>
    </w:lvl>
    <w:lvl w:ilvl="8">
      <w:start w:val="0"/>
      <w:numFmt w:val="bullet"/>
      <w:lvlText w:val="•"/>
      <w:lvlJc w:val="left"/>
      <w:pPr>
        <w:ind w:left="6804" w:hanging="311"/>
      </w:pPr>
      <w:rPr>
        <w:rFonts w:hint="default"/>
        <w:lang w:val="zh-cn" w:eastAsia="zh-cn" w:bidi="zh-cn"/>
      </w:rPr>
    </w:lvl>
  </w:abstractNum>
  <w:abstractNum w:abstractNumId="3">
    <w:multiLevelType w:val="hybridMultilevel"/>
    <w:lvl w:ilvl="0">
      <w:start w:val="0"/>
      <w:numFmt w:val="bullet"/>
      <w:lvlText w:val="■"/>
      <w:lvlJc w:val="left"/>
      <w:pPr>
        <w:ind w:left="320" w:hanging="210"/>
      </w:pPr>
      <w:rPr>
        <w:rFonts w:hint="default" w:ascii="SimSun" w:hAnsi="SimSun" w:eastAsia="SimSun" w:cs="SimSun"/>
        <w:w w:val="99"/>
        <w:sz w:val="19"/>
        <w:szCs w:val="19"/>
        <w:lang w:val="zh-cn" w:eastAsia="zh-cn" w:bidi="zh-cn"/>
      </w:rPr>
    </w:lvl>
    <w:lvl w:ilvl="1">
      <w:start w:val="0"/>
      <w:numFmt w:val="bullet"/>
      <w:lvlText w:val="•"/>
      <w:lvlJc w:val="left"/>
      <w:pPr>
        <w:ind w:left="1138" w:hanging="210"/>
      </w:pPr>
      <w:rPr>
        <w:rFonts w:hint="default"/>
        <w:lang w:val="zh-cn" w:eastAsia="zh-cn" w:bidi="zh-cn"/>
      </w:rPr>
    </w:lvl>
    <w:lvl w:ilvl="2">
      <w:start w:val="0"/>
      <w:numFmt w:val="bullet"/>
      <w:lvlText w:val="•"/>
      <w:lvlJc w:val="left"/>
      <w:pPr>
        <w:ind w:left="1957" w:hanging="210"/>
      </w:pPr>
      <w:rPr>
        <w:rFonts w:hint="default"/>
        <w:lang w:val="zh-cn" w:eastAsia="zh-cn" w:bidi="zh-cn"/>
      </w:rPr>
    </w:lvl>
    <w:lvl w:ilvl="3">
      <w:start w:val="0"/>
      <w:numFmt w:val="bullet"/>
      <w:lvlText w:val="•"/>
      <w:lvlJc w:val="left"/>
      <w:pPr>
        <w:ind w:left="2775" w:hanging="210"/>
      </w:pPr>
      <w:rPr>
        <w:rFonts w:hint="default"/>
        <w:lang w:val="zh-cn" w:eastAsia="zh-cn" w:bidi="zh-cn"/>
      </w:rPr>
    </w:lvl>
    <w:lvl w:ilvl="4">
      <w:start w:val="0"/>
      <w:numFmt w:val="bullet"/>
      <w:lvlText w:val="•"/>
      <w:lvlJc w:val="left"/>
      <w:pPr>
        <w:ind w:left="3594" w:hanging="210"/>
      </w:pPr>
      <w:rPr>
        <w:rFonts w:hint="default"/>
        <w:lang w:val="zh-cn" w:eastAsia="zh-cn" w:bidi="zh-cn"/>
      </w:rPr>
    </w:lvl>
    <w:lvl w:ilvl="5">
      <w:start w:val="0"/>
      <w:numFmt w:val="bullet"/>
      <w:lvlText w:val="•"/>
      <w:lvlJc w:val="left"/>
      <w:pPr>
        <w:ind w:left="4413" w:hanging="210"/>
      </w:pPr>
      <w:rPr>
        <w:rFonts w:hint="default"/>
        <w:lang w:val="zh-cn" w:eastAsia="zh-cn" w:bidi="zh-cn"/>
      </w:rPr>
    </w:lvl>
    <w:lvl w:ilvl="6">
      <w:start w:val="0"/>
      <w:numFmt w:val="bullet"/>
      <w:lvlText w:val="•"/>
      <w:lvlJc w:val="left"/>
      <w:pPr>
        <w:ind w:left="5231" w:hanging="210"/>
      </w:pPr>
      <w:rPr>
        <w:rFonts w:hint="default"/>
        <w:lang w:val="zh-cn" w:eastAsia="zh-cn" w:bidi="zh-cn"/>
      </w:rPr>
    </w:lvl>
    <w:lvl w:ilvl="7">
      <w:start w:val="0"/>
      <w:numFmt w:val="bullet"/>
      <w:lvlText w:val="•"/>
      <w:lvlJc w:val="left"/>
      <w:pPr>
        <w:ind w:left="6050" w:hanging="210"/>
      </w:pPr>
      <w:rPr>
        <w:rFonts w:hint="default"/>
        <w:lang w:val="zh-cn" w:eastAsia="zh-cn" w:bidi="zh-cn"/>
      </w:rPr>
    </w:lvl>
    <w:lvl w:ilvl="8">
      <w:start w:val="0"/>
      <w:numFmt w:val="bullet"/>
      <w:lvlText w:val="•"/>
      <w:lvlJc w:val="left"/>
      <w:pPr>
        <w:ind w:left="6868" w:hanging="210"/>
      </w:pPr>
      <w:rPr>
        <w:rFonts w:hint="default"/>
        <w:lang w:val="zh-cn" w:eastAsia="zh-cn" w:bidi="zh-cn"/>
      </w:rPr>
    </w:lvl>
  </w:abstractNum>
  <w:abstractNum w:abstractNumId="2">
    <w:multiLevelType w:val="hybridMultilevel"/>
    <w:lvl w:ilvl="0">
      <w:start w:val="0"/>
      <w:numFmt w:val="bullet"/>
      <w:lvlText w:val=""/>
      <w:lvlJc w:val="left"/>
      <w:pPr>
        <w:ind w:left="535" w:hanging="426"/>
      </w:pPr>
      <w:rPr>
        <w:rFonts w:hint="default" w:ascii="Wingdings" w:hAnsi="Wingdings" w:eastAsia="Wingdings" w:cs="Wingdings"/>
        <w:w w:val="99"/>
        <w:sz w:val="21"/>
        <w:szCs w:val="21"/>
        <w:lang w:val="zh-cn" w:eastAsia="zh-cn" w:bidi="zh-cn"/>
      </w:rPr>
    </w:lvl>
    <w:lvl w:ilvl="1">
      <w:start w:val="0"/>
      <w:numFmt w:val="bullet"/>
      <w:lvlText w:val="•"/>
      <w:lvlJc w:val="left"/>
      <w:pPr>
        <w:ind w:left="1167" w:hanging="426"/>
      </w:pPr>
      <w:rPr>
        <w:rFonts w:hint="default"/>
        <w:lang w:val="zh-cn" w:eastAsia="zh-cn" w:bidi="zh-cn"/>
      </w:rPr>
    </w:lvl>
    <w:lvl w:ilvl="2">
      <w:start w:val="0"/>
      <w:numFmt w:val="bullet"/>
      <w:lvlText w:val="•"/>
      <w:lvlJc w:val="left"/>
      <w:pPr>
        <w:ind w:left="1794" w:hanging="426"/>
      </w:pPr>
      <w:rPr>
        <w:rFonts w:hint="default"/>
        <w:lang w:val="zh-cn" w:eastAsia="zh-cn" w:bidi="zh-cn"/>
      </w:rPr>
    </w:lvl>
    <w:lvl w:ilvl="3">
      <w:start w:val="0"/>
      <w:numFmt w:val="bullet"/>
      <w:lvlText w:val="•"/>
      <w:lvlJc w:val="left"/>
      <w:pPr>
        <w:ind w:left="2421" w:hanging="426"/>
      </w:pPr>
      <w:rPr>
        <w:rFonts w:hint="default"/>
        <w:lang w:val="zh-cn" w:eastAsia="zh-cn" w:bidi="zh-cn"/>
      </w:rPr>
    </w:lvl>
    <w:lvl w:ilvl="4">
      <w:start w:val="0"/>
      <w:numFmt w:val="bullet"/>
      <w:lvlText w:val="•"/>
      <w:lvlJc w:val="left"/>
      <w:pPr>
        <w:ind w:left="3049" w:hanging="426"/>
      </w:pPr>
      <w:rPr>
        <w:rFonts w:hint="default"/>
        <w:lang w:val="zh-cn" w:eastAsia="zh-cn" w:bidi="zh-cn"/>
      </w:rPr>
    </w:lvl>
    <w:lvl w:ilvl="5">
      <w:start w:val="0"/>
      <w:numFmt w:val="bullet"/>
      <w:lvlText w:val="•"/>
      <w:lvlJc w:val="left"/>
      <w:pPr>
        <w:ind w:left="3676" w:hanging="426"/>
      </w:pPr>
      <w:rPr>
        <w:rFonts w:hint="default"/>
        <w:lang w:val="zh-cn" w:eastAsia="zh-cn" w:bidi="zh-cn"/>
      </w:rPr>
    </w:lvl>
    <w:lvl w:ilvl="6">
      <w:start w:val="0"/>
      <w:numFmt w:val="bullet"/>
      <w:lvlText w:val="•"/>
      <w:lvlJc w:val="left"/>
      <w:pPr>
        <w:ind w:left="4303" w:hanging="426"/>
      </w:pPr>
      <w:rPr>
        <w:rFonts w:hint="default"/>
        <w:lang w:val="zh-cn" w:eastAsia="zh-cn" w:bidi="zh-cn"/>
      </w:rPr>
    </w:lvl>
    <w:lvl w:ilvl="7">
      <w:start w:val="0"/>
      <w:numFmt w:val="bullet"/>
      <w:lvlText w:val="•"/>
      <w:lvlJc w:val="left"/>
      <w:pPr>
        <w:ind w:left="4931" w:hanging="426"/>
      </w:pPr>
      <w:rPr>
        <w:rFonts w:hint="default"/>
        <w:lang w:val="zh-cn" w:eastAsia="zh-cn" w:bidi="zh-cn"/>
      </w:rPr>
    </w:lvl>
    <w:lvl w:ilvl="8">
      <w:start w:val="0"/>
      <w:numFmt w:val="bullet"/>
      <w:lvlText w:val="•"/>
      <w:lvlJc w:val="left"/>
      <w:pPr>
        <w:ind w:left="5558" w:hanging="426"/>
      </w:pPr>
      <w:rPr>
        <w:rFonts w:hint="default"/>
        <w:lang w:val="zh-cn" w:eastAsia="zh-cn" w:bidi="zh-cn"/>
      </w:rPr>
    </w:lvl>
  </w:abstractNum>
  <w:abstractNum w:abstractNumId="1">
    <w:multiLevelType w:val="hybridMultilevel"/>
    <w:lvl w:ilvl="0">
      <w:start w:val="0"/>
      <w:numFmt w:val="bullet"/>
      <w:lvlText w:val="■"/>
      <w:lvlJc w:val="left"/>
      <w:pPr>
        <w:ind w:left="320" w:hanging="210"/>
      </w:pPr>
      <w:rPr>
        <w:rFonts w:hint="default" w:ascii="SimSun" w:hAnsi="SimSun" w:eastAsia="SimSun" w:cs="SimSun"/>
        <w:w w:val="99"/>
        <w:sz w:val="19"/>
        <w:szCs w:val="19"/>
        <w:lang w:val="zh-cn" w:eastAsia="zh-cn" w:bidi="zh-cn"/>
      </w:rPr>
    </w:lvl>
    <w:lvl w:ilvl="1">
      <w:start w:val="0"/>
      <w:numFmt w:val="bullet"/>
      <w:lvlText w:val="•"/>
      <w:lvlJc w:val="left"/>
      <w:pPr>
        <w:ind w:left="1138" w:hanging="210"/>
      </w:pPr>
      <w:rPr>
        <w:rFonts w:hint="default"/>
        <w:lang w:val="zh-cn" w:eastAsia="zh-cn" w:bidi="zh-cn"/>
      </w:rPr>
    </w:lvl>
    <w:lvl w:ilvl="2">
      <w:start w:val="0"/>
      <w:numFmt w:val="bullet"/>
      <w:lvlText w:val="•"/>
      <w:lvlJc w:val="left"/>
      <w:pPr>
        <w:ind w:left="1957" w:hanging="210"/>
      </w:pPr>
      <w:rPr>
        <w:rFonts w:hint="default"/>
        <w:lang w:val="zh-cn" w:eastAsia="zh-cn" w:bidi="zh-cn"/>
      </w:rPr>
    </w:lvl>
    <w:lvl w:ilvl="3">
      <w:start w:val="0"/>
      <w:numFmt w:val="bullet"/>
      <w:lvlText w:val="•"/>
      <w:lvlJc w:val="left"/>
      <w:pPr>
        <w:ind w:left="2775" w:hanging="210"/>
      </w:pPr>
      <w:rPr>
        <w:rFonts w:hint="default"/>
        <w:lang w:val="zh-cn" w:eastAsia="zh-cn" w:bidi="zh-cn"/>
      </w:rPr>
    </w:lvl>
    <w:lvl w:ilvl="4">
      <w:start w:val="0"/>
      <w:numFmt w:val="bullet"/>
      <w:lvlText w:val="•"/>
      <w:lvlJc w:val="left"/>
      <w:pPr>
        <w:ind w:left="3594" w:hanging="210"/>
      </w:pPr>
      <w:rPr>
        <w:rFonts w:hint="default"/>
        <w:lang w:val="zh-cn" w:eastAsia="zh-cn" w:bidi="zh-cn"/>
      </w:rPr>
    </w:lvl>
    <w:lvl w:ilvl="5">
      <w:start w:val="0"/>
      <w:numFmt w:val="bullet"/>
      <w:lvlText w:val="•"/>
      <w:lvlJc w:val="left"/>
      <w:pPr>
        <w:ind w:left="4413" w:hanging="210"/>
      </w:pPr>
      <w:rPr>
        <w:rFonts w:hint="default"/>
        <w:lang w:val="zh-cn" w:eastAsia="zh-cn" w:bidi="zh-cn"/>
      </w:rPr>
    </w:lvl>
    <w:lvl w:ilvl="6">
      <w:start w:val="0"/>
      <w:numFmt w:val="bullet"/>
      <w:lvlText w:val="•"/>
      <w:lvlJc w:val="left"/>
      <w:pPr>
        <w:ind w:left="5231" w:hanging="210"/>
      </w:pPr>
      <w:rPr>
        <w:rFonts w:hint="default"/>
        <w:lang w:val="zh-cn" w:eastAsia="zh-cn" w:bidi="zh-cn"/>
      </w:rPr>
    </w:lvl>
    <w:lvl w:ilvl="7">
      <w:start w:val="0"/>
      <w:numFmt w:val="bullet"/>
      <w:lvlText w:val="•"/>
      <w:lvlJc w:val="left"/>
      <w:pPr>
        <w:ind w:left="6050" w:hanging="210"/>
      </w:pPr>
      <w:rPr>
        <w:rFonts w:hint="default"/>
        <w:lang w:val="zh-cn" w:eastAsia="zh-cn" w:bidi="zh-cn"/>
      </w:rPr>
    </w:lvl>
    <w:lvl w:ilvl="8">
      <w:start w:val="0"/>
      <w:numFmt w:val="bullet"/>
      <w:lvlText w:val="•"/>
      <w:lvlJc w:val="left"/>
      <w:pPr>
        <w:ind w:left="6868" w:hanging="210"/>
      </w:pPr>
      <w:rPr>
        <w:rFonts w:hint="default"/>
        <w:lang w:val="zh-cn" w:eastAsia="zh-cn" w:bidi="zh-cn"/>
      </w:rPr>
    </w:lvl>
  </w:abstractNum>
  <w:abstractNum w:abstractNumId="0">
    <w:multiLevelType w:val="hybridMultilevel"/>
    <w:lvl w:ilvl="0">
      <w:start w:val="0"/>
      <w:numFmt w:val="bullet"/>
      <w:lvlText w:val="■"/>
      <w:lvlJc w:val="left"/>
      <w:pPr>
        <w:ind w:left="320" w:hanging="210"/>
      </w:pPr>
      <w:rPr>
        <w:rFonts w:hint="default" w:ascii="SimSun" w:hAnsi="SimSun" w:eastAsia="SimSun" w:cs="SimSun"/>
        <w:w w:val="99"/>
        <w:sz w:val="19"/>
        <w:szCs w:val="19"/>
        <w:lang w:val="zh-cn" w:eastAsia="zh-cn" w:bidi="zh-cn"/>
      </w:rPr>
    </w:lvl>
    <w:lvl w:ilvl="1">
      <w:start w:val="0"/>
      <w:numFmt w:val="bullet"/>
      <w:lvlText w:val="•"/>
      <w:lvlJc w:val="left"/>
      <w:pPr>
        <w:ind w:left="1138" w:hanging="210"/>
      </w:pPr>
      <w:rPr>
        <w:rFonts w:hint="default"/>
        <w:lang w:val="zh-cn" w:eastAsia="zh-cn" w:bidi="zh-cn"/>
      </w:rPr>
    </w:lvl>
    <w:lvl w:ilvl="2">
      <w:start w:val="0"/>
      <w:numFmt w:val="bullet"/>
      <w:lvlText w:val="•"/>
      <w:lvlJc w:val="left"/>
      <w:pPr>
        <w:ind w:left="1956" w:hanging="210"/>
      </w:pPr>
      <w:rPr>
        <w:rFonts w:hint="default"/>
        <w:lang w:val="zh-cn" w:eastAsia="zh-cn" w:bidi="zh-cn"/>
      </w:rPr>
    </w:lvl>
    <w:lvl w:ilvl="3">
      <w:start w:val="0"/>
      <w:numFmt w:val="bullet"/>
      <w:lvlText w:val="•"/>
      <w:lvlJc w:val="left"/>
      <w:pPr>
        <w:ind w:left="2774" w:hanging="210"/>
      </w:pPr>
      <w:rPr>
        <w:rFonts w:hint="default"/>
        <w:lang w:val="zh-cn" w:eastAsia="zh-cn" w:bidi="zh-cn"/>
      </w:rPr>
    </w:lvl>
    <w:lvl w:ilvl="4">
      <w:start w:val="0"/>
      <w:numFmt w:val="bullet"/>
      <w:lvlText w:val="•"/>
      <w:lvlJc w:val="left"/>
      <w:pPr>
        <w:ind w:left="3592" w:hanging="210"/>
      </w:pPr>
      <w:rPr>
        <w:rFonts w:hint="default"/>
        <w:lang w:val="zh-cn" w:eastAsia="zh-cn" w:bidi="zh-cn"/>
      </w:rPr>
    </w:lvl>
    <w:lvl w:ilvl="5">
      <w:start w:val="0"/>
      <w:numFmt w:val="bullet"/>
      <w:lvlText w:val="•"/>
      <w:lvlJc w:val="left"/>
      <w:pPr>
        <w:ind w:left="4411" w:hanging="210"/>
      </w:pPr>
      <w:rPr>
        <w:rFonts w:hint="default"/>
        <w:lang w:val="zh-cn" w:eastAsia="zh-cn" w:bidi="zh-cn"/>
      </w:rPr>
    </w:lvl>
    <w:lvl w:ilvl="6">
      <w:start w:val="0"/>
      <w:numFmt w:val="bullet"/>
      <w:lvlText w:val="•"/>
      <w:lvlJc w:val="left"/>
      <w:pPr>
        <w:ind w:left="5229" w:hanging="210"/>
      </w:pPr>
      <w:rPr>
        <w:rFonts w:hint="default"/>
        <w:lang w:val="zh-cn" w:eastAsia="zh-cn" w:bidi="zh-cn"/>
      </w:rPr>
    </w:lvl>
    <w:lvl w:ilvl="7">
      <w:start w:val="0"/>
      <w:numFmt w:val="bullet"/>
      <w:lvlText w:val="•"/>
      <w:lvlJc w:val="left"/>
      <w:pPr>
        <w:ind w:left="6047" w:hanging="210"/>
      </w:pPr>
      <w:rPr>
        <w:rFonts w:hint="default"/>
        <w:lang w:val="zh-cn" w:eastAsia="zh-cn" w:bidi="zh-cn"/>
      </w:rPr>
    </w:lvl>
    <w:lvl w:ilvl="8">
      <w:start w:val="0"/>
      <w:numFmt w:val="bullet"/>
      <w:lvlText w:val="•"/>
      <w:lvlJc w:val="left"/>
      <w:pPr>
        <w:ind w:left="6865" w:hanging="210"/>
      </w:pPr>
      <w:rPr>
        <w:rFonts w:hint="default"/>
        <w:lang w:val="zh-cn" w:eastAsia="zh-cn" w:bidi="zh-cn"/>
      </w:r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zh-cn" w:eastAsia="zh-cn" w:bidi="zh-cn"/>
    </w:rPr>
  </w:style>
  <w:style w:styleId="BodyText" w:type="paragraph">
    <w:name w:val="Body Text"/>
    <w:basedOn w:val="Normal"/>
    <w:uiPriority w:val="1"/>
    <w:qFormat/>
    <w:pPr/>
    <w:rPr>
      <w:rFonts w:ascii="SimSun" w:hAnsi="SimSun" w:eastAsia="SimSun" w:cs="SimSun"/>
      <w:sz w:val="21"/>
      <w:szCs w:val="21"/>
      <w:lang w:val="zh-cn" w:eastAsia="zh-cn" w:bidi="zh-cn"/>
    </w:rPr>
  </w:style>
  <w:style w:styleId="Heading1" w:type="paragraph">
    <w:name w:val="Heading 1"/>
    <w:basedOn w:val="Normal"/>
    <w:uiPriority w:val="1"/>
    <w:qFormat/>
    <w:pPr>
      <w:ind w:left="48"/>
      <w:outlineLvl w:val="1"/>
    </w:pPr>
    <w:rPr>
      <w:rFonts w:ascii="SimSun" w:hAnsi="SimSun" w:eastAsia="SimSun" w:cs="SimSun"/>
      <w:sz w:val="44"/>
      <w:szCs w:val="44"/>
      <w:lang w:val="zh-cn" w:eastAsia="zh-cn" w:bidi="zh-cn"/>
    </w:rPr>
  </w:style>
  <w:style w:styleId="Heading2" w:type="paragraph">
    <w:name w:val="Heading 2"/>
    <w:basedOn w:val="Normal"/>
    <w:uiPriority w:val="1"/>
    <w:qFormat/>
    <w:pPr>
      <w:ind w:left="200"/>
      <w:jc w:val="center"/>
      <w:outlineLvl w:val="2"/>
    </w:pPr>
    <w:rPr>
      <w:rFonts w:ascii="Microsoft JhengHei" w:hAnsi="Microsoft JhengHei" w:eastAsia="Microsoft JhengHei" w:cs="Microsoft JhengHei"/>
      <w:b/>
      <w:bCs/>
      <w:sz w:val="31"/>
      <w:szCs w:val="31"/>
      <w:lang w:val="zh-cn" w:eastAsia="zh-cn" w:bidi="zh-cn"/>
    </w:rPr>
  </w:style>
  <w:style w:styleId="Heading3" w:type="paragraph">
    <w:name w:val="Heading 3"/>
    <w:basedOn w:val="Normal"/>
    <w:uiPriority w:val="1"/>
    <w:qFormat/>
    <w:pPr>
      <w:spacing w:before="56"/>
      <w:ind w:left="978"/>
      <w:outlineLvl w:val="3"/>
    </w:pPr>
    <w:rPr>
      <w:rFonts w:ascii="SimSun" w:hAnsi="SimSun" w:eastAsia="SimSun" w:cs="SimSun"/>
      <w:sz w:val="31"/>
      <w:szCs w:val="31"/>
      <w:lang w:val="zh-cn" w:eastAsia="zh-cn" w:bidi="zh-cn"/>
    </w:rPr>
  </w:style>
  <w:style w:styleId="Heading4" w:type="paragraph">
    <w:name w:val="Heading 4"/>
    <w:basedOn w:val="Normal"/>
    <w:uiPriority w:val="1"/>
    <w:qFormat/>
    <w:pPr>
      <w:ind w:left="2174"/>
      <w:outlineLvl w:val="4"/>
    </w:pPr>
    <w:rPr>
      <w:rFonts w:ascii="SimSun" w:hAnsi="SimSun" w:eastAsia="SimSun" w:cs="SimSun"/>
      <w:sz w:val="30"/>
      <w:szCs w:val="30"/>
      <w:lang w:val="zh-cn" w:eastAsia="zh-cn" w:bidi="zh-cn"/>
    </w:rPr>
  </w:style>
  <w:style w:styleId="Heading5" w:type="paragraph">
    <w:name w:val="Heading 5"/>
    <w:basedOn w:val="Normal"/>
    <w:uiPriority w:val="1"/>
    <w:qFormat/>
    <w:pPr>
      <w:ind w:left="820"/>
      <w:outlineLvl w:val="5"/>
    </w:pPr>
    <w:rPr>
      <w:rFonts w:ascii="SimSun" w:hAnsi="SimSun" w:eastAsia="SimSun" w:cs="SimSun"/>
      <w:sz w:val="28"/>
      <w:szCs w:val="28"/>
      <w:lang w:val="zh-cn" w:eastAsia="zh-cn" w:bidi="zh-cn"/>
    </w:rPr>
  </w:style>
  <w:style w:styleId="Heading6" w:type="paragraph">
    <w:name w:val="Heading 6"/>
    <w:basedOn w:val="Normal"/>
    <w:uiPriority w:val="1"/>
    <w:qFormat/>
    <w:pPr>
      <w:spacing w:before="20"/>
      <w:ind w:left="250"/>
      <w:outlineLvl w:val="6"/>
    </w:pPr>
    <w:rPr>
      <w:rFonts w:ascii="Microsoft YaHei" w:hAnsi="Microsoft YaHei" w:eastAsia="Microsoft YaHei" w:cs="Microsoft YaHei"/>
      <w:b/>
      <w:bCs/>
      <w:sz w:val="21"/>
      <w:szCs w:val="21"/>
      <w:lang w:val="zh-cn" w:eastAsia="zh-cn" w:bidi="zh-cn"/>
    </w:rPr>
  </w:style>
  <w:style w:styleId="ListParagraph" w:type="paragraph">
    <w:name w:val="List Paragraph"/>
    <w:basedOn w:val="Normal"/>
    <w:uiPriority w:val="1"/>
    <w:qFormat/>
    <w:pPr>
      <w:ind w:left="352"/>
    </w:pPr>
    <w:rPr>
      <w:rFonts w:ascii="SimSun" w:hAnsi="SimSun" w:eastAsia="SimSun" w:cs="SimSun"/>
      <w:lang w:val="zh-cn" w:eastAsia="zh-cn" w:bidi="zh-cn"/>
    </w:rPr>
  </w:style>
  <w:style w:styleId="TableParagraph" w:type="paragraph">
    <w:name w:val="Table Paragraph"/>
    <w:basedOn w:val="Normal"/>
    <w:uiPriority w:val="1"/>
    <w:qFormat/>
    <w:pPr/>
    <w:rPr>
      <w:rFonts w:ascii="SimSun" w:hAnsi="SimSun" w:eastAsia="SimSun" w:cs="SimSun"/>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184864405@qq.com" TargetMode="External"/><Relationship Id="rId7" Type="http://schemas.openxmlformats.org/officeDocument/2006/relationships/hyperlink" Target="http://www.51paper.net/" TargetMode="External"/><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dc:title>宝应县国家税务局</dc:title>
  <dcterms:created xsi:type="dcterms:W3CDTF">2017-10-24T14:32:56Z</dcterms:created>
  <dcterms:modified xsi:type="dcterms:W3CDTF">2017-10-24T14:32:56Z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Creator">
    <vt:lpwstr>Microsoft® Word 2010</vt:lpwstr>
  </property>
  <property fmtid="{D5CDD505-2E9C-101B-9397-08002B2CF9AE}" pid="4" name="LastSaved">
    <vt:filetime>2017-10-24T00:00:00Z</vt:filetime>
  </property>
</Properties>
</file>