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4"/>
          <w:szCs w:val="24"/>
        </w:rPr>
      </w:pPr>
      <w:bookmarkStart w:id="0" w:name="_Toc395085157"/>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36"/>
          <w:szCs w:val="36"/>
        </w:rPr>
      </w:pPr>
    </w:p>
    <w:bookmarkEnd w:id="0"/>
    <w:p>
      <w:pPr>
        <w:pageBreakBefore w:val="0"/>
        <w:kinsoku/>
        <w:wordWrap/>
        <w:overflowPunct/>
        <w:topLinePunct w:val="0"/>
        <w:bidi w:val="0"/>
        <w:spacing w:line="460" w:lineRule="atLeast"/>
        <w:jc w:val="center"/>
        <w:rPr>
          <w:rFonts w:hint="eastAsia" w:ascii="宋体" w:hAnsi="宋体" w:eastAsia="宋体" w:cs="宋体"/>
          <w:b/>
          <w:bCs/>
          <w:sz w:val="72"/>
          <w:szCs w:val="36"/>
          <w:lang w:eastAsia="zh-CN"/>
        </w:rPr>
      </w:pPr>
      <w:r>
        <w:rPr>
          <w:rFonts w:hint="eastAsia" w:cs="宋体"/>
          <w:b/>
          <w:bCs/>
          <w:sz w:val="72"/>
          <w:szCs w:val="36"/>
          <w:lang w:eastAsia="zh-CN"/>
        </w:rPr>
        <w:t>天津大学PLC控制电缆等一批材料项目</w:t>
      </w:r>
    </w:p>
    <w:p>
      <w:pPr>
        <w:jc w:val="center"/>
        <w:rPr>
          <w:rFonts w:hint="eastAsia" w:ascii="宋体" w:hAnsi="宋体" w:eastAsia="宋体" w:cs="宋体"/>
          <w:bCs/>
          <w:sz w:val="36"/>
          <w:szCs w:val="36"/>
        </w:rPr>
      </w:pPr>
    </w:p>
    <w:p>
      <w:pPr>
        <w:jc w:val="center"/>
        <w:rPr>
          <w:rFonts w:hint="eastAsia" w:ascii="宋体" w:hAnsi="宋体" w:eastAsia="宋体" w:cs="宋体"/>
          <w:sz w:val="36"/>
          <w:szCs w:val="36"/>
        </w:rPr>
      </w:pPr>
    </w:p>
    <w:p>
      <w:pPr>
        <w:pStyle w:val="18"/>
        <w:adjustRightInd/>
        <w:spacing w:line="240" w:lineRule="auto"/>
        <w:jc w:val="center"/>
        <w:rPr>
          <w:rFonts w:hint="eastAsia" w:ascii="宋体" w:hAnsi="宋体" w:eastAsia="宋体" w:cs="宋体"/>
          <w:color w:val="000000"/>
          <w:kern w:val="2"/>
          <w:sz w:val="36"/>
          <w:szCs w:val="36"/>
        </w:rPr>
      </w:pPr>
    </w:p>
    <w:p>
      <w:pPr>
        <w:jc w:val="center"/>
        <w:rPr>
          <w:rFonts w:hint="eastAsia" w:ascii="宋体" w:hAnsi="宋体" w:eastAsia="宋体" w:cs="宋体"/>
          <w:sz w:val="36"/>
          <w:szCs w:val="36"/>
        </w:rPr>
      </w:pPr>
    </w:p>
    <w:p>
      <w:pPr>
        <w:jc w:val="center"/>
        <w:rPr>
          <w:rFonts w:hint="eastAsia" w:ascii="宋体" w:hAnsi="宋体" w:eastAsia="宋体" w:cs="宋体"/>
          <w:sz w:val="36"/>
          <w:szCs w:val="36"/>
        </w:rPr>
      </w:pPr>
    </w:p>
    <w:p>
      <w:pPr>
        <w:jc w:val="center"/>
        <w:rPr>
          <w:rFonts w:hint="eastAsia" w:ascii="宋体" w:hAnsi="宋体" w:eastAsia="宋体" w:cs="宋体"/>
          <w:b/>
          <w:bCs/>
          <w:sz w:val="72"/>
          <w:szCs w:val="36"/>
        </w:rPr>
      </w:pPr>
      <w:r>
        <w:rPr>
          <w:rFonts w:hint="eastAsia" w:ascii="宋体" w:hAnsi="宋体" w:eastAsia="宋体" w:cs="宋体"/>
          <w:b/>
          <w:bCs/>
          <w:sz w:val="72"/>
          <w:szCs w:val="36"/>
        </w:rPr>
        <w:t>竞争性磋商文件</w:t>
      </w:r>
    </w:p>
    <w:p>
      <w:pPr>
        <w:jc w:val="center"/>
        <w:rPr>
          <w:rFonts w:hint="eastAsia" w:ascii="宋体" w:hAnsi="宋体" w:eastAsia="宋体" w:cs="宋体"/>
          <w:sz w:val="36"/>
          <w:szCs w:val="36"/>
        </w:rPr>
      </w:pPr>
    </w:p>
    <w:p>
      <w:pPr>
        <w:jc w:val="center"/>
        <w:rPr>
          <w:rFonts w:hint="eastAsia" w:ascii="宋体" w:hAnsi="宋体" w:eastAsia="宋体" w:cs="宋体"/>
          <w:sz w:val="36"/>
          <w:szCs w:val="36"/>
        </w:rPr>
      </w:pPr>
      <w:r>
        <w:rPr>
          <w:rFonts w:hint="eastAsia" w:ascii="宋体" w:hAnsi="宋体" w:eastAsia="宋体" w:cs="宋体"/>
          <w:sz w:val="36"/>
          <w:szCs w:val="36"/>
        </w:rPr>
        <w:t>（项</w:t>
      </w:r>
      <w:r>
        <w:rPr>
          <w:rFonts w:hint="eastAsia" w:ascii="宋体" w:hAnsi="宋体" w:eastAsia="宋体" w:cs="宋体"/>
          <w:sz w:val="36"/>
          <w:szCs w:val="36"/>
          <w:highlight w:val="none"/>
        </w:rPr>
        <w:t>目编号：</w:t>
      </w:r>
      <w:r>
        <w:rPr>
          <w:rFonts w:hint="eastAsia" w:cs="宋体"/>
          <w:sz w:val="36"/>
          <w:szCs w:val="36"/>
          <w:highlight w:val="none"/>
          <w:lang w:eastAsia="zh-CN"/>
        </w:rPr>
        <w:t>TDZC2017W0010</w:t>
      </w:r>
      <w:r>
        <w:rPr>
          <w:rFonts w:hint="eastAsia" w:ascii="宋体" w:hAnsi="宋体" w:eastAsia="宋体" w:cs="宋体"/>
          <w:sz w:val="36"/>
          <w:szCs w:val="36"/>
        </w:rPr>
        <w:t>）</w:t>
      </w:r>
    </w:p>
    <w:p>
      <w:pPr>
        <w:rPr>
          <w:rFonts w:hint="eastAsia" w:ascii="宋体" w:hAnsi="宋体" w:eastAsia="宋体" w:cs="宋体"/>
          <w:bCs/>
          <w:kern w:val="0"/>
          <w:sz w:val="36"/>
          <w:szCs w:val="36"/>
        </w:rPr>
      </w:pPr>
    </w:p>
    <w:p>
      <w:pPr>
        <w:rPr>
          <w:rFonts w:hint="eastAsia" w:ascii="宋体" w:hAnsi="宋体" w:eastAsia="宋体" w:cs="宋体"/>
          <w:sz w:val="36"/>
          <w:szCs w:val="36"/>
        </w:rPr>
      </w:pPr>
    </w:p>
    <w:p>
      <w:pPr>
        <w:rPr>
          <w:rFonts w:hint="eastAsia" w:ascii="宋体" w:hAnsi="宋体" w:eastAsia="宋体" w:cs="宋体"/>
          <w:sz w:val="36"/>
          <w:szCs w:val="36"/>
        </w:rPr>
      </w:pPr>
    </w:p>
    <w:p>
      <w:pPr>
        <w:rPr>
          <w:rFonts w:hint="eastAsia" w:ascii="宋体" w:hAnsi="宋体" w:eastAsia="宋体" w:cs="宋体"/>
          <w:sz w:val="36"/>
          <w:szCs w:val="36"/>
        </w:rPr>
      </w:pPr>
    </w:p>
    <w:p>
      <w:pPr>
        <w:pStyle w:val="15"/>
        <w:ind w:left="1" w:firstLine="0"/>
        <w:jc w:val="both"/>
        <w:rPr>
          <w:rFonts w:hint="eastAsia" w:ascii="宋体" w:hAnsi="宋体" w:eastAsia="宋体" w:cs="宋体"/>
          <w:b/>
          <w:bCs/>
          <w:color w:val="000000"/>
          <w:sz w:val="36"/>
          <w:szCs w:val="36"/>
        </w:rPr>
      </w:pPr>
    </w:p>
    <w:p>
      <w:pPr>
        <w:pStyle w:val="15"/>
        <w:ind w:left="1" w:firstLine="0"/>
        <w:jc w:val="both"/>
        <w:rPr>
          <w:rFonts w:hint="eastAsia" w:ascii="宋体" w:hAnsi="宋体" w:eastAsia="宋体" w:cs="宋体"/>
          <w:b/>
          <w:bCs/>
          <w:color w:val="000000"/>
          <w:sz w:val="36"/>
          <w:szCs w:val="36"/>
        </w:rPr>
      </w:pPr>
    </w:p>
    <w:p>
      <w:pPr>
        <w:pStyle w:val="15"/>
        <w:ind w:left="1" w:firstLine="0"/>
        <w:jc w:val="both"/>
        <w:rPr>
          <w:rFonts w:hint="eastAsia" w:ascii="宋体" w:hAnsi="宋体" w:eastAsia="宋体" w:cs="宋体"/>
          <w:b/>
          <w:bCs/>
          <w:color w:val="000000"/>
          <w:sz w:val="36"/>
          <w:szCs w:val="36"/>
        </w:rPr>
      </w:pPr>
    </w:p>
    <w:p>
      <w:pPr>
        <w:pStyle w:val="15"/>
        <w:ind w:left="1" w:firstLine="0"/>
        <w:jc w:val="both"/>
        <w:rPr>
          <w:rFonts w:hint="eastAsia" w:ascii="宋体" w:hAnsi="宋体" w:eastAsia="宋体" w:cs="宋体"/>
          <w:b/>
          <w:bCs/>
          <w:color w:val="000000"/>
          <w:sz w:val="36"/>
          <w:szCs w:val="36"/>
        </w:rPr>
      </w:pPr>
    </w:p>
    <w:p>
      <w:pPr>
        <w:pStyle w:val="15"/>
        <w:pageBreakBefore w:val="0"/>
        <w:kinsoku/>
        <w:wordWrap/>
        <w:overflowPunct/>
        <w:topLinePunct w:val="0"/>
        <w:bidi w:val="0"/>
        <w:spacing w:line="460" w:lineRule="exact"/>
        <w:ind w:firstLine="0"/>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招 标 单 位: 天津大学招投标管理办公室</w:t>
      </w:r>
    </w:p>
    <w:p>
      <w:pPr>
        <w:pStyle w:val="15"/>
        <w:pageBreakBefore w:val="0"/>
        <w:kinsoku/>
        <w:wordWrap/>
        <w:overflowPunct/>
        <w:topLinePunct w:val="0"/>
        <w:bidi w:val="0"/>
        <w:spacing w:line="460" w:lineRule="exact"/>
        <w:ind w:firstLine="0"/>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代理招标单位：北京国金管理咨询有限公司</w:t>
      </w:r>
    </w:p>
    <w:p>
      <w:pPr>
        <w:pStyle w:val="15"/>
        <w:pageBreakBefore w:val="0"/>
        <w:kinsoku/>
        <w:wordWrap/>
        <w:overflowPunct/>
        <w:topLinePunct w:val="0"/>
        <w:bidi w:val="0"/>
        <w:spacing w:line="460" w:lineRule="exact"/>
        <w:ind w:firstLine="0"/>
        <w:jc w:val="center"/>
        <w:rPr>
          <w:rFonts w:hint="eastAsia" w:ascii="宋体" w:hAnsi="宋体" w:eastAsia="宋体" w:cs="宋体"/>
          <w:b/>
          <w:bCs/>
          <w:color w:val="000000"/>
          <w:sz w:val="32"/>
          <w:szCs w:val="32"/>
          <w:lang w:val="en-US" w:eastAsia="zh-CN"/>
        </w:rPr>
      </w:pPr>
    </w:p>
    <w:p>
      <w:pPr>
        <w:pStyle w:val="15"/>
        <w:pageBreakBefore w:val="0"/>
        <w:kinsoku/>
        <w:wordWrap/>
        <w:overflowPunct/>
        <w:topLinePunct w:val="0"/>
        <w:bidi w:val="0"/>
        <w:spacing w:line="460" w:lineRule="exact"/>
        <w:ind w:firstLine="0"/>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日    期：2017 年10月</w:t>
      </w:r>
    </w:p>
    <w:p>
      <w:pPr>
        <w:jc w:val="both"/>
        <w:rPr>
          <w:rFonts w:hint="eastAsia" w:ascii="宋体" w:hAnsi="宋体" w:eastAsia="宋体" w:cs="宋体"/>
          <w:b/>
          <w:sz w:val="36"/>
          <w:szCs w:val="36"/>
        </w:rPr>
      </w:pPr>
      <w:r>
        <w:rPr>
          <w:rFonts w:hint="eastAsia" w:ascii="宋体" w:hAnsi="宋体" w:eastAsia="宋体" w:cs="宋体"/>
          <w:b/>
          <w:sz w:val="36"/>
          <w:szCs w:val="36"/>
        </w:rPr>
        <w:br w:type="page"/>
      </w:r>
    </w:p>
    <w:p>
      <w:pPr>
        <w:jc w:val="both"/>
        <w:rPr>
          <w:rFonts w:hint="eastAsia" w:ascii="宋体" w:hAnsi="宋体" w:eastAsia="宋体" w:cs="宋体"/>
          <w:b/>
          <w:sz w:val="36"/>
          <w:szCs w:val="36"/>
        </w:rPr>
      </w:pPr>
    </w:p>
    <w:p>
      <w:pPr>
        <w:jc w:val="center"/>
        <w:rPr>
          <w:rFonts w:hint="eastAsia" w:ascii="宋体" w:hAnsi="宋体" w:eastAsia="宋体" w:cs="宋体"/>
          <w:b/>
          <w:sz w:val="32"/>
          <w:szCs w:val="32"/>
        </w:rPr>
      </w:pPr>
      <w:r>
        <w:rPr>
          <w:rFonts w:hint="eastAsia" w:ascii="宋体" w:hAnsi="宋体" w:eastAsia="宋体" w:cs="宋体"/>
          <w:b/>
          <w:sz w:val="32"/>
          <w:szCs w:val="24"/>
        </w:rPr>
        <w:t>目    录</w:t>
      </w:r>
    </w:p>
    <w:p>
      <w:pPr>
        <w:jc w:val="center"/>
        <w:rPr>
          <w:rFonts w:hint="eastAsia" w:ascii="宋体" w:hAnsi="宋体" w:eastAsia="宋体" w:cs="宋体"/>
          <w:b/>
          <w:sz w:val="32"/>
          <w:szCs w:val="32"/>
        </w:rPr>
      </w:pPr>
    </w:p>
    <w:p>
      <w:pPr>
        <w:jc w:val="center"/>
        <w:rPr>
          <w:rFonts w:hint="eastAsia" w:ascii="宋体" w:hAnsi="宋体" w:eastAsia="宋体" w:cs="宋体"/>
          <w:sz w:val="24"/>
          <w:szCs w:val="24"/>
        </w:rPr>
      </w:pPr>
    </w:p>
    <w:p>
      <w:pPr>
        <w:pStyle w:val="23"/>
        <w:pageBreakBefore w:val="0"/>
        <w:kinsoku/>
        <w:wordWrap/>
        <w:overflowPunct/>
        <w:topLinePunct w:val="0"/>
        <w:bidi w:val="0"/>
        <w:spacing w:beforeLines="0" w:afterLines="0" w:line="460" w:lineRule="atLeast"/>
        <w:rPr>
          <w:rFonts w:hint="eastAsia" w:ascii="宋体" w:hAnsi="宋体" w:eastAsia="宋体" w:cs="宋体"/>
          <w:b/>
          <w:bCs/>
          <w:caps/>
          <w:color w:val="auto"/>
          <w:kern w:val="2"/>
          <w:sz w:val="28"/>
          <w:szCs w:val="28"/>
          <w:lang w:bidi="ar-SA"/>
        </w:rPr>
      </w:pP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TOC \o "1-1" \h \u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HYPERLINK \l _Toc27077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第一部分：竞争性磋商邀请</w:t>
      </w:r>
      <w:r>
        <w:rPr>
          <w:rFonts w:hint="eastAsia" w:ascii="宋体" w:hAnsi="宋体" w:eastAsia="宋体" w:cs="宋体"/>
          <w:b/>
          <w:bCs/>
          <w:caps/>
          <w:color w:val="auto"/>
          <w:kern w:val="2"/>
          <w:sz w:val="28"/>
          <w:szCs w:val="28"/>
          <w:lang w:bidi="ar-SA"/>
        </w:rPr>
        <w:tab/>
      </w: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PAGEREF _Toc27077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1</w:t>
      </w:r>
      <w:r>
        <w:rPr>
          <w:rFonts w:hint="eastAsia" w:ascii="宋体" w:hAnsi="宋体" w:eastAsia="宋体" w:cs="宋体"/>
          <w:b/>
          <w:bCs/>
          <w:caps/>
          <w:color w:val="auto"/>
          <w:kern w:val="2"/>
          <w:sz w:val="28"/>
          <w:szCs w:val="28"/>
          <w:lang w:bidi="ar-SA"/>
        </w:rPr>
        <w:fldChar w:fldCharType="end"/>
      </w:r>
      <w:r>
        <w:rPr>
          <w:rFonts w:hint="eastAsia" w:ascii="宋体" w:hAnsi="宋体" w:eastAsia="宋体" w:cs="宋体"/>
          <w:b/>
          <w:bCs/>
          <w:caps/>
          <w:color w:val="auto"/>
          <w:kern w:val="2"/>
          <w:sz w:val="28"/>
          <w:szCs w:val="28"/>
          <w:lang w:bidi="ar-SA"/>
        </w:rPr>
        <w:fldChar w:fldCharType="end"/>
      </w:r>
    </w:p>
    <w:p>
      <w:pPr>
        <w:pStyle w:val="23"/>
        <w:pageBreakBefore w:val="0"/>
        <w:kinsoku/>
        <w:wordWrap/>
        <w:overflowPunct/>
        <w:topLinePunct w:val="0"/>
        <w:bidi w:val="0"/>
        <w:spacing w:beforeLines="0" w:afterLines="0" w:line="460" w:lineRule="atLeast"/>
        <w:rPr>
          <w:rFonts w:hint="eastAsia" w:ascii="宋体" w:hAnsi="宋体" w:eastAsia="宋体" w:cs="宋体"/>
          <w:b/>
          <w:bCs/>
          <w:caps/>
          <w:color w:val="auto"/>
          <w:kern w:val="2"/>
          <w:sz w:val="28"/>
          <w:szCs w:val="28"/>
          <w:lang w:bidi="ar-SA"/>
        </w:rPr>
      </w:pP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HYPERLINK \l _Toc25360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第二部分：投标人须知</w:t>
      </w:r>
      <w:r>
        <w:rPr>
          <w:rFonts w:hint="eastAsia" w:ascii="宋体" w:hAnsi="宋体" w:eastAsia="宋体" w:cs="宋体"/>
          <w:b/>
          <w:bCs/>
          <w:caps/>
          <w:color w:val="auto"/>
          <w:kern w:val="2"/>
          <w:sz w:val="28"/>
          <w:szCs w:val="28"/>
          <w:lang w:bidi="ar-SA"/>
        </w:rPr>
        <w:tab/>
      </w: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PAGEREF _Toc25360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5</w:t>
      </w:r>
      <w:r>
        <w:rPr>
          <w:rFonts w:hint="eastAsia" w:ascii="宋体" w:hAnsi="宋体" w:eastAsia="宋体" w:cs="宋体"/>
          <w:b/>
          <w:bCs/>
          <w:caps/>
          <w:color w:val="auto"/>
          <w:kern w:val="2"/>
          <w:sz w:val="28"/>
          <w:szCs w:val="28"/>
          <w:lang w:bidi="ar-SA"/>
        </w:rPr>
        <w:fldChar w:fldCharType="end"/>
      </w:r>
      <w:r>
        <w:rPr>
          <w:rFonts w:hint="eastAsia" w:ascii="宋体" w:hAnsi="宋体" w:eastAsia="宋体" w:cs="宋体"/>
          <w:b/>
          <w:bCs/>
          <w:caps/>
          <w:color w:val="auto"/>
          <w:kern w:val="2"/>
          <w:sz w:val="28"/>
          <w:szCs w:val="28"/>
          <w:lang w:bidi="ar-SA"/>
        </w:rPr>
        <w:fldChar w:fldCharType="end"/>
      </w:r>
    </w:p>
    <w:p>
      <w:pPr>
        <w:pStyle w:val="23"/>
        <w:pageBreakBefore w:val="0"/>
        <w:kinsoku/>
        <w:wordWrap/>
        <w:overflowPunct/>
        <w:topLinePunct w:val="0"/>
        <w:bidi w:val="0"/>
        <w:spacing w:beforeLines="0" w:afterLines="0" w:line="460" w:lineRule="atLeast"/>
        <w:rPr>
          <w:rFonts w:hint="eastAsia" w:ascii="宋体" w:hAnsi="宋体" w:eastAsia="宋体" w:cs="宋体"/>
          <w:b/>
          <w:bCs/>
          <w:caps/>
          <w:color w:val="auto"/>
          <w:kern w:val="2"/>
          <w:sz w:val="28"/>
          <w:szCs w:val="28"/>
          <w:lang w:bidi="ar-SA"/>
        </w:rPr>
      </w:pP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HYPERLINK \l _Toc25762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第三部分：评标标准和评标方法</w:t>
      </w:r>
      <w:r>
        <w:rPr>
          <w:rFonts w:hint="eastAsia" w:ascii="宋体" w:hAnsi="宋体" w:eastAsia="宋体" w:cs="宋体"/>
          <w:b/>
          <w:bCs/>
          <w:caps/>
          <w:color w:val="auto"/>
          <w:kern w:val="2"/>
          <w:sz w:val="28"/>
          <w:szCs w:val="28"/>
          <w:lang w:bidi="ar-SA"/>
        </w:rPr>
        <w:tab/>
      </w: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PAGEREF _Toc25762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19</w:t>
      </w:r>
      <w:r>
        <w:rPr>
          <w:rFonts w:hint="eastAsia" w:ascii="宋体" w:hAnsi="宋体" w:eastAsia="宋体" w:cs="宋体"/>
          <w:b/>
          <w:bCs/>
          <w:caps/>
          <w:color w:val="auto"/>
          <w:kern w:val="2"/>
          <w:sz w:val="28"/>
          <w:szCs w:val="28"/>
          <w:lang w:bidi="ar-SA"/>
        </w:rPr>
        <w:fldChar w:fldCharType="end"/>
      </w:r>
      <w:r>
        <w:rPr>
          <w:rFonts w:hint="eastAsia" w:ascii="宋体" w:hAnsi="宋体" w:eastAsia="宋体" w:cs="宋体"/>
          <w:b/>
          <w:bCs/>
          <w:caps/>
          <w:color w:val="auto"/>
          <w:kern w:val="2"/>
          <w:sz w:val="28"/>
          <w:szCs w:val="28"/>
          <w:lang w:bidi="ar-SA"/>
        </w:rPr>
        <w:fldChar w:fldCharType="end"/>
      </w:r>
    </w:p>
    <w:p>
      <w:pPr>
        <w:pStyle w:val="23"/>
        <w:pageBreakBefore w:val="0"/>
        <w:kinsoku/>
        <w:wordWrap/>
        <w:overflowPunct/>
        <w:topLinePunct w:val="0"/>
        <w:bidi w:val="0"/>
        <w:spacing w:beforeLines="0" w:afterLines="0" w:line="460" w:lineRule="atLeast"/>
        <w:rPr>
          <w:rFonts w:hint="eastAsia" w:ascii="宋体" w:hAnsi="宋体" w:eastAsia="宋体" w:cs="宋体"/>
          <w:b/>
          <w:bCs/>
          <w:caps/>
          <w:color w:val="auto"/>
          <w:kern w:val="2"/>
          <w:sz w:val="28"/>
          <w:szCs w:val="28"/>
          <w:lang w:bidi="ar-SA"/>
        </w:rPr>
      </w:pP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HYPERLINK \l _Toc29782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第四部分：招标产品清单和技术要求</w:t>
      </w:r>
      <w:r>
        <w:rPr>
          <w:rFonts w:hint="eastAsia" w:ascii="宋体" w:hAnsi="宋体" w:eastAsia="宋体" w:cs="宋体"/>
          <w:b/>
          <w:bCs/>
          <w:caps/>
          <w:color w:val="auto"/>
          <w:kern w:val="2"/>
          <w:sz w:val="28"/>
          <w:szCs w:val="28"/>
          <w:lang w:bidi="ar-SA"/>
        </w:rPr>
        <w:tab/>
      </w: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PAGEREF _Toc29782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23</w:t>
      </w:r>
      <w:r>
        <w:rPr>
          <w:rFonts w:hint="eastAsia" w:ascii="宋体" w:hAnsi="宋体" w:eastAsia="宋体" w:cs="宋体"/>
          <w:b/>
          <w:bCs/>
          <w:caps/>
          <w:color w:val="auto"/>
          <w:kern w:val="2"/>
          <w:sz w:val="28"/>
          <w:szCs w:val="28"/>
          <w:lang w:bidi="ar-SA"/>
        </w:rPr>
        <w:fldChar w:fldCharType="end"/>
      </w:r>
      <w:r>
        <w:rPr>
          <w:rFonts w:hint="eastAsia" w:ascii="宋体" w:hAnsi="宋体" w:eastAsia="宋体" w:cs="宋体"/>
          <w:b/>
          <w:bCs/>
          <w:caps/>
          <w:color w:val="auto"/>
          <w:kern w:val="2"/>
          <w:sz w:val="28"/>
          <w:szCs w:val="28"/>
          <w:lang w:bidi="ar-SA"/>
        </w:rPr>
        <w:fldChar w:fldCharType="end"/>
      </w:r>
    </w:p>
    <w:p>
      <w:pPr>
        <w:pStyle w:val="23"/>
        <w:pageBreakBefore w:val="0"/>
        <w:kinsoku/>
        <w:wordWrap/>
        <w:overflowPunct/>
        <w:topLinePunct w:val="0"/>
        <w:bidi w:val="0"/>
        <w:spacing w:beforeLines="0" w:afterLines="0" w:line="460" w:lineRule="atLeast"/>
        <w:rPr>
          <w:rFonts w:hint="eastAsia" w:ascii="宋体" w:hAnsi="宋体" w:eastAsia="宋体" w:cs="宋体"/>
          <w:b/>
          <w:bCs/>
          <w:caps/>
          <w:color w:val="auto"/>
          <w:kern w:val="2"/>
          <w:sz w:val="28"/>
          <w:szCs w:val="28"/>
          <w:lang w:bidi="ar-SA"/>
        </w:rPr>
      </w:pP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HYPERLINK \l _Toc31890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第五部分：采购合同</w:t>
      </w:r>
      <w:r>
        <w:rPr>
          <w:rFonts w:hint="eastAsia" w:ascii="宋体" w:hAnsi="宋体" w:eastAsia="宋体" w:cs="宋体"/>
          <w:b/>
          <w:bCs/>
          <w:caps/>
          <w:color w:val="auto"/>
          <w:kern w:val="2"/>
          <w:sz w:val="28"/>
          <w:szCs w:val="28"/>
          <w:lang w:bidi="ar-SA"/>
        </w:rPr>
        <w:tab/>
      </w: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PAGEREF _Toc31890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38</w:t>
      </w:r>
      <w:r>
        <w:rPr>
          <w:rFonts w:hint="eastAsia" w:ascii="宋体" w:hAnsi="宋体" w:eastAsia="宋体" w:cs="宋体"/>
          <w:b/>
          <w:bCs/>
          <w:caps/>
          <w:color w:val="auto"/>
          <w:kern w:val="2"/>
          <w:sz w:val="28"/>
          <w:szCs w:val="28"/>
          <w:lang w:bidi="ar-SA"/>
        </w:rPr>
        <w:fldChar w:fldCharType="end"/>
      </w:r>
      <w:r>
        <w:rPr>
          <w:rFonts w:hint="eastAsia" w:ascii="宋体" w:hAnsi="宋体" w:eastAsia="宋体" w:cs="宋体"/>
          <w:b/>
          <w:bCs/>
          <w:caps/>
          <w:color w:val="auto"/>
          <w:kern w:val="2"/>
          <w:sz w:val="28"/>
          <w:szCs w:val="28"/>
          <w:lang w:bidi="ar-SA"/>
        </w:rPr>
        <w:fldChar w:fldCharType="end"/>
      </w:r>
    </w:p>
    <w:p>
      <w:pPr>
        <w:pStyle w:val="23"/>
        <w:pageBreakBefore w:val="0"/>
        <w:kinsoku/>
        <w:wordWrap/>
        <w:overflowPunct/>
        <w:topLinePunct w:val="0"/>
        <w:bidi w:val="0"/>
        <w:spacing w:beforeLines="0" w:afterLines="0" w:line="460" w:lineRule="atLeast"/>
        <w:rPr>
          <w:rFonts w:hint="eastAsia" w:ascii="宋体" w:hAnsi="宋体" w:eastAsia="宋体" w:cs="宋体"/>
          <w:b/>
          <w:bCs/>
          <w:caps/>
          <w:color w:val="auto"/>
          <w:kern w:val="2"/>
          <w:sz w:val="28"/>
          <w:szCs w:val="28"/>
          <w:lang w:bidi="ar-SA"/>
        </w:rPr>
      </w:pP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HYPERLINK \l _Toc665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第六部分：响应文件格式</w:t>
      </w:r>
      <w:r>
        <w:rPr>
          <w:rFonts w:hint="eastAsia" w:ascii="宋体" w:hAnsi="宋体" w:eastAsia="宋体" w:cs="宋体"/>
          <w:b/>
          <w:bCs/>
          <w:caps/>
          <w:color w:val="auto"/>
          <w:kern w:val="2"/>
          <w:sz w:val="28"/>
          <w:szCs w:val="28"/>
          <w:lang w:bidi="ar-SA"/>
        </w:rPr>
        <w:tab/>
      </w:r>
      <w:r>
        <w:rPr>
          <w:rFonts w:hint="eastAsia" w:ascii="宋体" w:hAnsi="宋体" w:eastAsia="宋体" w:cs="宋体"/>
          <w:b/>
          <w:bCs/>
          <w:caps/>
          <w:color w:val="auto"/>
          <w:kern w:val="2"/>
          <w:sz w:val="28"/>
          <w:szCs w:val="28"/>
          <w:lang w:bidi="ar-SA"/>
        </w:rPr>
        <w:fldChar w:fldCharType="begin"/>
      </w:r>
      <w:r>
        <w:rPr>
          <w:rFonts w:hint="eastAsia" w:ascii="宋体" w:hAnsi="宋体" w:eastAsia="宋体" w:cs="宋体"/>
          <w:b/>
          <w:bCs/>
          <w:caps/>
          <w:color w:val="auto"/>
          <w:kern w:val="2"/>
          <w:sz w:val="28"/>
          <w:szCs w:val="28"/>
          <w:lang w:bidi="ar-SA"/>
        </w:rPr>
        <w:instrText xml:space="preserve"> PAGEREF _Toc665 </w:instrText>
      </w:r>
      <w:r>
        <w:rPr>
          <w:rFonts w:hint="eastAsia" w:ascii="宋体" w:hAnsi="宋体" w:eastAsia="宋体" w:cs="宋体"/>
          <w:b/>
          <w:bCs/>
          <w:caps/>
          <w:color w:val="auto"/>
          <w:kern w:val="2"/>
          <w:sz w:val="28"/>
          <w:szCs w:val="28"/>
          <w:lang w:bidi="ar-SA"/>
        </w:rPr>
        <w:fldChar w:fldCharType="separate"/>
      </w:r>
      <w:r>
        <w:rPr>
          <w:rFonts w:hint="eastAsia" w:ascii="宋体" w:hAnsi="宋体" w:eastAsia="宋体" w:cs="宋体"/>
          <w:b/>
          <w:bCs/>
          <w:caps/>
          <w:color w:val="auto"/>
          <w:kern w:val="2"/>
          <w:sz w:val="28"/>
          <w:szCs w:val="28"/>
          <w:lang w:bidi="ar-SA"/>
        </w:rPr>
        <w:t>40</w:t>
      </w:r>
      <w:r>
        <w:rPr>
          <w:rFonts w:hint="eastAsia" w:ascii="宋体" w:hAnsi="宋体" w:eastAsia="宋体" w:cs="宋体"/>
          <w:b/>
          <w:bCs/>
          <w:caps/>
          <w:color w:val="auto"/>
          <w:kern w:val="2"/>
          <w:sz w:val="28"/>
          <w:szCs w:val="28"/>
          <w:lang w:bidi="ar-SA"/>
        </w:rPr>
        <w:fldChar w:fldCharType="end"/>
      </w:r>
      <w:r>
        <w:rPr>
          <w:rFonts w:hint="eastAsia" w:ascii="宋体" w:hAnsi="宋体" w:eastAsia="宋体" w:cs="宋体"/>
          <w:b/>
          <w:bCs/>
          <w:caps/>
          <w:color w:val="auto"/>
          <w:kern w:val="2"/>
          <w:sz w:val="28"/>
          <w:szCs w:val="28"/>
          <w:lang w:bidi="ar-SA"/>
        </w:rPr>
        <w:fldChar w:fldCharType="end"/>
      </w:r>
    </w:p>
    <w:p>
      <w:pPr>
        <w:pStyle w:val="23"/>
        <w:pageBreakBefore w:val="0"/>
        <w:kinsoku/>
        <w:wordWrap/>
        <w:overflowPunct/>
        <w:topLinePunct w:val="0"/>
        <w:bidi w:val="0"/>
        <w:spacing w:beforeLines="0" w:afterLines="0" w:line="460" w:lineRule="atLeast"/>
        <w:rPr>
          <w:rFonts w:hint="eastAsia" w:ascii="宋体" w:hAnsi="宋体" w:eastAsia="宋体" w:cs="宋体"/>
          <w:b w:val="0"/>
          <w:bCs w:val="0"/>
          <w:caps w:val="0"/>
          <w:color w:val="000000"/>
        </w:rPr>
      </w:pPr>
      <w:r>
        <w:rPr>
          <w:rFonts w:hint="eastAsia" w:ascii="宋体" w:hAnsi="宋体" w:eastAsia="宋体" w:cs="宋体"/>
          <w:b/>
          <w:bCs/>
          <w:caps/>
          <w:color w:val="auto"/>
          <w:kern w:val="2"/>
          <w:sz w:val="28"/>
          <w:szCs w:val="28"/>
          <w:lang w:bidi="ar-SA"/>
        </w:rPr>
        <w:fldChar w:fldCharType="end"/>
      </w:r>
    </w:p>
    <w:p>
      <w:pPr>
        <w:pStyle w:val="28"/>
        <w:snapToGrid w:val="0"/>
        <w:spacing w:before="120" w:beforeLines="50" w:after="120" w:afterLines="50"/>
        <w:rPr>
          <w:rFonts w:hint="eastAsia" w:ascii="宋体" w:hAnsi="宋体" w:eastAsia="宋体" w:cs="宋体"/>
          <w:b w:val="0"/>
          <w:color w:val="000000"/>
          <w:sz w:val="24"/>
          <w:szCs w:val="24"/>
        </w:rPr>
        <w:sectPr>
          <w:footerReference r:id="rId4" w:type="first"/>
          <w:footerReference r:id="rId3" w:type="default"/>
          <w:pgSz w:w="11907" w:h="16840"/>
          <w:pgMar w:top="1440" w:right="1797" w:bottom="1440" w:left="1797" w:header="851" w:footer="992" w:gutter="0"/>
          <w:cols w:space="720" w:num="1"/>
          <w:titlePg/>
          <w:docGrid w:linePitch="312" w:charSpace="0"/>
        </w:sectPr>
      </w:pPr>
      <w:bookmarkStart w:id="1" w:name="_Toc115756014"/>
      <w:bookmarkStart w:id="2" w:name="_Toc395105663"/>
      <w:bookmarkStart w:id="3" w:name="_Toc376852360"/>
      <w:bookmarkStart w:id="4" w:name="_Toc395085159"/>
    </w:p>
    <w:p>
      <w:pPr>
        <w:pStyle w:val="28"/>
        <w:pageBreakBefore w:val="0"/>
        <w:kinsoku/>
        <w:wordWrap/>
        <w:overflowPunct/>
        <w:topLinePunct w:val="0"/>
        <w:bidi w:val="0"/>
        <w:spacing w:after="0" w:line="460" w:lineRule="exact"/>
        <w:ind w:right="0" w:rightChars="0"/>
        <w:textAlignment w:val="auto"/>
        <w:rPr>
          <w:rFonts w:hint="eastAsia" w:ascii="宋体" w:hAnsi="宋体" w:eastAsia="宋体" w:cs="宋体"/>
          <w:color w:val="000000"/>
          <w:sz w:val="28"/>
          <w:szCs w:val="28"/>
        </w:rPr>
      </w:pPr>
      <w:bookmarkStart w:id="5" w:name="_Toc9547"/>
      <w:bookmarkStart w:id="6" w:name="_Toc470007397"/>
      <w:bookmarkStart w:id="7" w:name="_Toc27077"/>
      <w:r>
        <w:rPr>
          <w:rFonts w:hint="eastAsia" w:ascii="宋体" w:hAnsi="宋体" w:eastAsia="宋体" w:cs="宋体"/>
          <w:color w:val="000000"/>
          <w:sz w:val="28"/>
          <w:szCs w:val="28"/>
        </w:rPr>
        <w:t>第一部分：</w:t>
      </w:r>
      <w:bookmarkEnd w:id="1"/>
      <w:r>
        <w:rPr>
          <w:rFonts w:hint="eastAsia" w:ascii="宋体" w:hAnsi="宋体" w:eastAsia="宋体" w:cs="宋体"/>
          <w:color w:val="000000"/>
          <w:sz w:val="28"/>
          <w:szCs w:val="28"/>
        </w:rPr>
        <w:t>竞争性磋商邀请</w:t>
      </w:r>
      <w:bookmarkEnd w:id="2"/>
      <w:bookmarkEnd w:id="3"/>
      <w:bookmarkEnd w:id="4"/>
      <w:bookmarkEnd w:id="5"/>
      <w:bookmarkEnd w:id="6"/>
      <w:bookmarkEnd w:id="7"/>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highlight w:val="none"/>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lang w:eastAsia="zh-CN"/>
        </w:rPr>
        <w:t>北京国金管理咨询有限公司</w:t>
      </w:r>
      <w:r>
        <w:rPr>
          <w:rFonts w:hint="eastAsia" w:ascii="宋体" w:hAnsi="宋体" w:eastAsia="宋体" w:cs="宋体"/>
          <w:bCs/>
          <w:sz w:val="24"/>
          <w:szCs w:val="24"/>
        </w:rPr>
        <w:t>受天津大学委托，根据《中华人民共和国政府采购法》等有关规定，现对</w:t>
      </w:r>
      <w:r>
        <w:rPr>
          <w:rFonts w:hint="eastAsia" w:ascii="宋体" w:hAnsi="宋体" w:eastAsia="宋体" w:cs="宋体"/>
          <w:bCs/>
          <w:sz w:val="24"/>
          <w:szCs w:val="24"/>
          <w:lang w:eastAsia="zh-CN"/>
        </w:rPr>
        <w:t>天津大学PLC控制电缆等一批材料项目</w:t>
      </w:r>
      <w:r>
        <w:rPr>
          <w:rFonts w:hint="eastAsia" w:ascii="宋体" w:hAnsi="宋体" w:eastAsia="宋体" w:cs="宋体"/>
          <w:bCs/>
          <w:sz w:val="24"/>
          <w:szCs w:val="24"/>
        </w:rPr>
        <w:t>进行竞争性磋商</w:t>
      </w:r>
      <w:r>
        <w:rPr>
          <w:rFonts w:hint="eastAsia" w:ascii="宋体" w:hAnsi="宋体" w:eastAsia="宋体" w:cs="宋体"/>
          <w:bCs/>
          <w:sz w:val="24"/>
          <w:szCs w:val="24"/>
          <w:highlight w:val="none"/>
        </w:rPr>
        <w:t>招标，欢迎合格的供应商前来投标。</w:t>
      </w:r>
    </w:p>
    <w:p>
      <w:pPr>
        <w:pageBreakBefore w:val="0"/>
        <w:kinsoku/>
        <w:wordWrap/>
        <w:overflowPunct/>
        <w:topLinePunct w:val="0"/>
        <w:bidi w:val="0"/>
        <w:adjustRightInd w:val="0"/>
        <w:snapToGrid w:val="0"/>
        <w:spacing w:line="460" w:lineRule="exact"/>
        <w:ind w:right="0" w:rightChars="0"/>
        <w:textAlignment w:val="auto"/>
        <w:rPr>
          <w:rFonts w:hint="eastAsia" w:ascii="宋体" w:hAnsi="宋体" w:eastAsia="宋体" w:cs="宋体"/>
          <w:b/>
          <w:bCs/>
          <w:sz w:val="24"/>
          <w:szCs w:val="24"/>
          <w:highlight w:val="none"/>
        </w:rPr>
      </w:pPr>
      <w:bookmarkStart w:id="8" w:name="_Toc115756015"/>
      <w:bookmarkStart w:id="9" w:name="_Toc395105664"/>
      <w:bookmarkStart w:id="10" w:name="_Toc470007398"/>
      <w:bookmarkStart w:id="11" w:name="_Toc376852361"/>
      <w:r>
        <w:rPr>
          <w:rFonts w:hint="eastAsia" w:ascii="宋体" w:hAnsi="宋体" w:eastAsia="宋体" w:cs="宋体"/>
          <w:b/>
          <w:bCs/>
          <w:sz w:val="24"/>
          <w:szCs w:val="24"/>
          <w:highlight w:val="none"/>
        </w:rPr>
        <w:t>一、项目名称</w:t>
      </w:r>
      <w:bookmarkEnd w:id="8"/>
      <w:r>
        <w:rPr>
          <w:rFonts w:hint="eastAsia" w:ascii="宋体" w:hAnsi="宋体" w:eastAsia="宋体" w:cs="宋体"/>
          <w:b/>
          <w:bCs/>
          <w:sz w:val="24"/>
          <w:szCs w:val="24"/>
          <w:highlight w:val="none"/>
        </w:rPr>
        <w:t>：</w:t>
      </w:r>
      <w:bookmarkEnd w:id="9"/>
      <w:bookmarkEnd w:id="10"/>
      <w:bookmarkEnd w:id="11"/>
      <w:r>
        <w:rPr>
          <w:rFonts w:hint="eastAsia" w:cs="宋体"/>
          <w:b/>
          <w:bCs/>
          <w:sz w:val="24"/>
          <w:szCs w:val="24"/>
          <w:highlight w:val="none"/>
          <w:lang w:eastAsia="zh-CN"/>
        </w:rPr>
        <w:t>天津大学PLC控制电缆等一批材料项目</w:t>
      </w:r>
    </w:p>
    <w:p>
      <w:pPr>
        <w:pageBreakBefore w:val="0"/>
        <w:kinsoku/>
        <w:wordWrap/>
        <w:overflowPunct/>
        <w:topLinePunct w:val="0"/>
        <w:bidi w:val="0"/>
        <w:adjustRightInd w:val="0"/>
        <w:snapToGrid w:val="0"/>
        <w:spacing w:line="460" w:lineRule="exact"/>
        <w:ind w:right="0" w:rightChars="0"/>
        <w:textAlignment w:val="auto"/>
        <w:rPr>
          <w:rFonts w:hint="eastAsia" w:ascii="宋体" w:hAnsi="宋体" w:eastAsia="宋体" w:cs="宋体"/>
          <w:b/>
          <w:bCs/>
          <w:sz w:val="24"/>
          <w:szCs w:val="24"/>
          <w:highlight w:val="none"/>
        </w:rPr>
      </w:pPr>
      <w:bookmarkStart w:id="12" w:name="_Toc376852362"/>
      <w:bookmarkStart w:id="13" w:name="_Toc395105665"/>
      <w:bookmarkStart w:id="14" w:name="_Toc470007399"/>
      <w:r>
        <w:rPr>
          <w:rFonts w:hint="eastAsia" w:ascii="宋体" w:hAnsi="宋体" w:eastAsia="宋体" w:cs="宋体"/>
          <w:b/>
          <w:bCs/>
          <w:sz w:val="24"/>
          <w:szCs w:val="24"/>
          <w:highlight w:val="none"/>
        </w:rPr>
        <w:t>二、项目编号：</w:t>
      </w:r>
      <w:bookmarkEnd w:id="12"/>
      <w:bookmarkEnd w:id="13"/>
      <w:bookmarkEnd w:id="14"/>
      <w:bookmarkStart w:id="15" w:name="_Toc115756016"/>
      <w:r>
        <w:rPr>
          <w:rFonts w:hint="eastAsia" w:cs="宋体"/>
          <w:b/>
          <w:bCs/>
          <w:sz w:val="24"/>
          <w:szCs w:val="24"/>
          <w:highlight w:val="none"/>
          <w:lang w:eastAsia="zh-CN"/>
        </w:rPr>
        <w:t>TDZC2017W0010</w:t>
      </w:r>
    </w:p>
    <w:p>
      <w:pPr>
        <w:pageBreakBefore w:val="0"/>
        <w:kinsoku/>
        <w:wordWrap/>
        <w:overflowPunct/>
        <w:topLinePunct w:val="0"/>
        <w:bidi w:val="0"/>
        <w:adjustRightInd w:val="0"/>
        <w:snapToGrid w:val="0"/>
        <w:spacing w:line="460" w:lineRule="exact"/>
        <w:ind w:right="0" w:rightChars="0"/>
        <w:textAlignment w:val="auto"/>
        <w:rPr>
          <w:rFonts w:hint="eastAsia" w:ascii="宋体" w:hAnsi="宋体" w:eastAsia="宋体" w:cs="宋体"/>
          <w:b/>
          <w:bCs/>
          <w:sz w:val="24"/>
          <w:szCs w:val="24"/>
          <w:highlight w:val="none"/>
        </w:rPr>
      </w:pPr>
      <w:bookmarkStart w:id="16" w:name="_Toc395105666"/>
      <w:bookmarkStart w:id="17" w:name="_Toc376852363"/>
      <w:bookmarkStart w:id="18" w:name="_Toc470007400"/>
      <w:r>
        <w:rPr>
          <w:rFonts w:hint="eastAsia" w:ascii="宋体" w:hAnsi="宋体" w:eastAsia="宋体" w:cs="宋体"/>
          <w:b/>
          <w:bCs/>
          <w:sz w:val="24"/>
          <w:szCs w:val="24"/>
          <w:highlight w:val="none"/>
        </w:rPr>
        <w:t>三、招标内容</w:t>
      </w:r>
      <w:bookmarkEnd w:id="15"/>
      <w:r>
        <w:rPr>
          <w:rFonts w:hint="eastAsia" w:ascii="宋体" w:hAnsi="宋体" w:eastAsia="宋体" w:cs="宋体"/>
          <w:b/>
          <w:bCs/>
          <w:sz w:val="24"/>
          <w:szCs w:val="24"/>
          <w:highlight w:val="none"/>
        </w:rPr>
        <w:t>：</w:t>
      </w:r>
      <w:bookmarkEnd w:id="16"/>
      <w:bookmarkEnd w:id="17"/>
      <w:bookmarkEnd w:id="18"/>
      <w:r>
        <w:rPr>
          <w:rFonts w:hint="eastAsia" w:cs="宋体"/>
          <w:b/>
          <w:bCs/>
          <w:sz w:val="24"/>
          <w:szCs w:val="24"/>
          <w:highlight w:val="none"/>
          <w:lang w:eastAsia="zh-CN"/>
        </w:rPr>
        <w:t>PLC控制电缆，3000米；网络通讯缆，3000米；网络通讯接口，3件；PLC CPU、电源模块、存储卡，4套；PLC  IO卡件，50件；PLC AI/AO模块，20件；PLC 通讯组件，6件；电控系统整体安装调试、测试，3套。</w:t>
      </w:r>
    </w:p>
    <w:p>
      <w:pPr>
        <w:pageBreakBefore w:val="0"/>
        <w:kinsoku/>
        <w:wordWrap/>
        <w:overflowPunct/>
        <w:topLinePunct w:val="0"/>
        <w:bidi w:val="0"/>
        <w:adjustRightInd w:val="0"/>
        <w:snapToGrid w:val="0"/>
        <w:spacing w:line="460" w:lineRule="exact"/>
        <w:ind w:left="424" w:leftChars="202" w:right="0" w:rightChars="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本项目预算</w:t>
      </w:r>
      <w:r>
        <w:rPr>
          <w:rFonts w:hint="eastAsia" w:cs="宋体"/>
          <w:sz w:val="24"/>
          <w:szCs w:val="24"/>
          <w:highlight w:val="none"/>
          <w:lang w:eastAsia="zh-CN"/>
        </w:rPr>
        <w:t>86.7603万元</w:t>
      </w:r>
      <w:r>
        <w:rPr>
          <w:rFonts w:hint="eastAsia" w:ascii="宋体" w:hAnsi="宋体" w:eastAsia="宋体" w:cs="宋体"/>
          <w:sz w:val="24"/>
          <w:szCs w:val="24"/>
          <w:highlight w:val="none"/>
        </w:rPr>
        <w:t>，具体内容详见本竞争性磋商文件第四部分。</w:t>
      </w:r>
    </w:p>
    <w:p>
      <w:pPr>
        <w:pageBreakBefore w:val="0"/>
        <w:kinsoku/>
        <w:wordWrap/>
        <w:overflowPunct/>
        <w:topLinePunct w:val="0"/>
        <w:bidi w:val="0"/>
        <w:adjustRightInd w:val="0"/>
        <w:snapToGrid w:val="0"/>
        <w:spacing w:line="460" w:lineRule="exact"/>
        <w:ind w:right="0" w:rightChars="0"/>
        <w:textAlignment w:val="auto"/>
        <w:rPr>
          <w:rFonts w:hint="eastAsia" w:ascii="宋体" w:hAnsi="宋体" w:eastAsia="宋体" w:cs="宋体"/>
          <w:b/>
          <w:bCs/>
          <w:sz w:val="24"/>
          <w:szCs w:val="24"/>
          <w:highlight w:val="none"/>
        </w:rPr>
      </w:pPr>
      <w:bookmarkStart w:id="19" w:name="_Toc376852364"/>
      <w:bookmarkStart w:id="20" w:name="_Toc470007401"/>
      <w:bookmarkStart w:id="21" w:name="_Toc395105667"/>
      <w:bookmarkStart w:id="22" w:name="_Toc115756017"/>
      <w:r>
        <w:rPr>
          <w:rFonts w:hint="eastAsia" w:ascii="宋体" w:hAnsi="宋体" w:eastAsia="宋体" w:cs="宋体"/>
          <w:b/>
          <w:bCs/>
          <w:sz w:val="24"/>
          <w:szCs w:val="24"/>
          <w:highlight w:val="none"/>
        </w:rPr>
        <w:t>*四、合格的投标人</w:t>
      </w:r>
      <w:bookmarkEnd w:id="19"/>
      <w:bookmarkEnd w:id="20"/>
      <w:bookmarkEnd w:id="21"/>
      <w:bookmarkEnd w:id="22"/>
    </w:p>
    <w:p>
      <w:pPr>
        <w:pageBreakBefore w:val="0"/>
        <w:numPr>
          <w:ilvl w:val="0"/>
          <w:numId w:val="5"/>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具有独立承担民事责任的能力；</w:t>
      </w:r>
    </w:p>
    <w:p>
      <w:pPr>
        <w:pageBreakBefore w:val="0"/>
        <w:numPr>
          <w:ilvl w:val="0"/>
          <w:numId w:val="5"/>
        </w:numPr>
        <w:kinsoku/>
        <w:wordWrap/>
        <w:overflowPunct/>
        <w:topLinePunct w:val="0"/>
        <w:bidi w:val="0"/>
        <w:adjustRightInd w:val="0"/>
        <w:snapToGrid w:val="0"/>
        <w:spacing w:line="460" w:lineRule="exact"/>
        <w:ind w:right="0" w:righ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具有良好的商业信誉和健全的财务会计制度；</w:t>
      </w:r>
    </w:p>
    <w:p>
      <w:pPr>
        <w:pageBreakBefore w:val="0"/>
        <w:numPr>
          <w:ilvl w:val="0"/>
          <w:numId w:val="5"/>
        </w:numPr>
        <w:kinsoku/>
        <w:wordWrap/>
        <w:overflowPunct/>
        <w:topLinePunct w:val="0"/>
        <w:bidi w:val="0"/>
        <w:adjustRightInd w:val="0"/>
        <w:snapToGrid w:val="0"/>
        <w:spacing w:line="460" w:lineRule="exact"/>
        <w:ind w:right="0" w:righ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具有履行合同所必需的设备和专业技术能力；</w:t>
      </w:r>
    </w:p>
    <w:p>
      <w:pPr>
        <w:pageBreakBefore w:val="0"/>
        <w:numPr>
          <w:ilvl w:val="0"/>
          <w:numId w:val="5"/>
        </w:numPr>
        <w:kinsoku/>
        <w:wordWrap/>
        <w:overflowPunct/>
        <w:topLinePunct w:val="0"/>
        <w:bidi w:val="0"/>
        <w:adjustRightInd w:val="0"/>
        <w:snapToGrid w:val="0"/>
        <w:spacing w:line="460" w:lineRule="exact"/>
        <w:ind w:right="0" w:righ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具有依法缴纳税收和社会保障资金的良好记录；</w:t>
      </w:r>
    </w:p>
    <w:p>
      <w:pPr>
        <w:pageBreakBefore w:val="0"/>
        <w:numPr>
          <w:ilvl w:val="0"/>
          <w:numId w:val="5"/>
        </w:numPr>
        <w:kinsoku/>
        <w:wordWrap/>
        <w:overflowPunct/>
        <w:topLinePunct w:val="0"/>
        <w:bidi w:val="0"/>
        <w:adjustRightInd w:val="0"/>
        <w:snapToGrid w:val="0"/>
        <w:spacing w:line="460" w:lineRule="exact"/>
        <w:ind w:right="0" w:righ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参加此项采购活动前三年内，在经营活动中没有重大违约、违法记录；</w:t>
      </w:r>
    </w:p>
    <w:p>
      <w:pPr>
        <w:pageBreakBefore w:val="0"/>
        <w:kinsoku/>
        <w:wordWrap/>
        <w:overflowPunct/>
        <w:topLinePunct w:val="0"/>
        <w:bidi w:val="0"/>
        <w:adjustRightInd w:val="0"/>
        <w:snapToGrid w:val="0"/>
        <w:spacing w:line="460" w:lineRule="exact"/>
        <w:ind w:left="480" w:right="0" w:rightChars="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sz w:val="24"/>
          <w:szCs w:val="24"/>
          <w:highlight w:val="none"/>
        </w:rPr>
        <w:t>. 本项目不接受联合体投标。</w:t>
      </w:r>
    </w:p>
    <w:p>
      <w:pPr>
        <w:pageBreakBefore w:val="0"/>
        <w:kinsoku/>
        <w:wordWrap/>
        <w:overflowPunct/>
        <w:topLinePunct w:val="0"/>
        <w:bidi w:val="0"/>
        <w:adjustRightInd w:val="0"/>
        <w:snapToGrid w:val="0"/>
        <w:spacing w:line="460" w:lineRule="exact"/>
        <w:ind w:right="0" w:rightChars="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五、项目需要落实的政府采购政策</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rPr>
      </w:pPr>
      <w:bookmarkStart w:id="23" w:name="_Toc470007402"/>
      <w:bookmarkStart w:id="24" w:name="_Toc395105668"/>
      <w:bookmarkStart w:id="25" w:name="_Toc115756018"/>
      <w:bookmarkStart w:id="26" w:name="_Toc376852365"/>
      <w:r>
        <w:rPr>
          <w:rFonts w:hint="eastAsia" w:ascii="宋体" w:hAnsi="宋体" w:eastAsia="宋体" w:cs="宋体"/>
          <w:sz w:val="24"/>
          <w:szCs w:val="24"/>
        </w:rPr>
        <w:t>1. 根据财政部发布的《政府采购促进中小企业发展暂行办法》规定，本项目对小型和微型企业产品的价格给予6%的扣除。小微企业以投标人填写的《中小企业声明函》及国家企业信用信息公示系统的公示内容为判定标准，否则不予认定。</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根据财政部发布的《关于政府采购支持监狱企业发展有关问题的通知》规定，本项目对监狱企业产品的价格给予6%的扣除。监狱企业须投标人提供由省级以上监狱管理局、戒毒管理局（含新疆生产建设兵团）出具的属于监狱企业的证明文件，否则不予认定。</w:t>
      </w:r>
    </w:p>
    <w:p>
      <w:pPr>
        <w:pageBreakBefore w:val="0"/>
        <w:kinsoku/>
        <w:wordWrap/>
        <w:overflowPunct/>
        <w:topLinePunct w:val="0"/>
        <w:bidi w:val="0"/>
        <w:adjustRightInd w:val="0"/>
        <w:snapToGrid w:val="0"/>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xml:space="preserve">    3.按照现行《财政部、国家发展改革委关于调整节能产品政府采购清单的通知》文件要求，对政府采购清单中的节能产品采用优先采购和强制采购的评标方法。按照现行《财政部、环保部关于调整环境标志产品政府采购清单的通知》文件要求，对政府采购清单中的环境标志产品采用优先采购的评标方法。</w:t>
      </w:r>
    </w:p>
    <w:p>
      <w:pPr>
        <w:pageBreakBefore w:val="0"/>
        <w:kinsoku/>
        <w:wordWrap/>
        <w:overflowPunct/>
        <w:topLinePunct w:val="0"/>
        <w:autoSpaceDE/>
        <w:autoSpaceDN/>
        <w:bidi w:val="0"/>
        <w:adjustRightInd w:val="0"/>
        <w:snapToGrid w:val="0"/>
        <w:spacing w:line="460" w:lineRule="exact"/>
        <w:ind w:left="0" w:leftChars="0" w:right="0" w:rightChars="0" w:firstLine="480"/>
        <w:textAlignment w:val="auto"/>
        <w:rPr>
          <w:rFonts w:hint="eastAsia" w:ascii="宋体" w:hAnsi="宋体" w:eastAsia="宋体" w:cs="宋体"/>
          <w:sz w:val="24"/>
          <w:szCs w:val="24"/>
        </w:rPr>
      </w:pPr>
      <w:r>
        <w:rPr>
          <w:rFonts w:hint="eastAsia" w:ascii="宋体" w:hAnsi="宋体" w:eastAsia="宋体" w:cs="宋体"/>
          <w:sz w:val="24"/>
          <w:szCs w:val="24"/>
        </w:rPr>
        <w:t>4. 根据财库〔2017〕141号文件，残疾人福利性单位视同小型、微型企业，享受预留份额、评审中价格扣除等促进中小企业发展的政府采购政策。本项目对残疾人福利性单位的价格给予6%的扣除。</w:t>
      </w:r>
      <w:r>
        <w:rPr>
          <w:rFonts w:hint="eastAsia" w:ascii="宋体" w:hAnsi="宋体" w:eastAsia="宋体" w:cs="宋体"/>
          <w:color w:val="auto"/>
          <w:sz w:val="24"/>
          <w:szCs w:val="24"/>
        </w:rPr>
        <w:t>残疾人福利性单位属于小型、微型企业的，不重复享受政策</w:t>
      </w:r>
      <w:r>
        <w:rPr>
          <w:rFonts w:hint="eastAsia" w:ascii="宋体" w:hAnsi="宋体" w:eastAsia="宋体" w:cs="宋体"/>
          <w:sz w:val="24"/>
          <w:szCs w:val="24"/>
        </w:rPr>
        <w:t>。</w:t>
      </w:r>
    </w:p>
    <w:p>
      <w:pPr>
        <w:pageBreakBefore w:val="0"/>
        <w:kinsoku/>
        <w:wordWrap/>
        <w:overflowPunct/>
        <w:topLinePunct w:val="0"/>
        <w:bidi w:val="0"/>
        <w:adjustRightInd w:val="0"/>
        <w:snapToGrid w:val="0"/>
        <w:spacing w:line="460" w:lineRule="exact"/>
        <w:ind w:right="0" w:rightChars="0"/>
        <w:jc w:val="left"/>
        <w:textAlignment w:val="auto"/>
        <w:outlineLvl w:val="9"/>
        <w:rPr>
          <w:rFonts w:hint="eastAsia" w:ascii="宋体" w:hAnsi="宋体" w:eastAsia="宋体" w:cs="宋体"/>
          <w:sz w:val="24"/>
          <w:szCs w:val="24"/>
          <w:highlight w:val="none"/>
        </w:rPr>
      </w:pPr>
      <w:r>
        <w:rPr>
          <w:rFonts w:hint="eastAsia" w:ascii="宋体" w:hAnsi="宋体" w:eastAsia="宋体" w:cs="宋体"/>
          <w:b w:val="0"/>
          <w:bCs w:val="0"/>
          <w:color w:val="000000"/>
          <w:kern w:val="2"/>
          <w:sz w:val="24"/>
          <w:szCs w:val="24"/>
          <w:lang w:val="en-US" w:eastAsia="zh-CN" w:bidi="ar-SA"/>
        </w:rPr>
        <w:t>5．按照《财政部关于在政府采购活动中查询及使用信用记录有关问题的通知》（财库〔2016〕125号）的要求，根据开标当日“信用中国”网站（www.creditchina.gov.cn）、中国政府采购网（www.ccgp.gov.cn）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r>
        <w:rPr>
          <w:rFonts w:hint="eastAsia" w:ascii="宋体" w:hAnsi="宋体" w:eastAsia="宋体" w:cs="宋体"/>
          <w:b/>
          <w:bCs/>
          <w:sz w:val="24"/>
          <w:szCs w:val="24"/>
          <w:highlight w:val="none"/>
        </w:rPr>
        <w:t>六、投标报名及磋商文件的获取</w:t>
      </w:r>
      <w:bookmarkEnd w:id="23"/>
      <w:bookmarkEnd w:id="24"/>
    </w:p>
    <w:p>
      <w:pPr>
        <w:pageBreakBefore w:val="0"/>
        <w:kinsoku/>
        <w:wordWrap/>
        <w:overflowPunct/>
        <w:topLinePunct w:val="0"/>
        <w:bidi w:val="0"/>
        <w:adjustRightInd w:val="0"/>
        <w:snapToGrid w:val="0"/>
        <w:spacing w:line="460" w:lineRule="exact"/>
        <w:ind w:right="0" w:rightChars="0"/>
        <w:textAlignment w:val="auto"/>
        <w:rPr>
          <w:rFonts w:hint="eastAsia" w:ascii="宋体" w:hAnsi="宋体" w:eastAsia="宋体" w:cs="宋体"/>
          <w:sz w:val="24"/>
          <w:szCs w:val="24"/>
          <w:highlight w:val="none"/>
        </w:rPr>
      </w:pPr>
      <w:bookmarkStart w:id="27" w:name="_Toc395105669"/>
      <w:bookmarkStart w:id="28" w:name="_Toc420504977"/>
      <w:r>
        <w:rPr>
          <w:rFonts w:hint="eastAsia" w:ascii="宋体" w:hAnsi="宋体" w:eastAsia="宋体" w:cs="宋体"/>
          <w:sz w:val="24"/>
          <w:szCs w:val="24"/>
          <w:highlight w:val="none"/>
        </w:rPr>
        <w:t>（一）供应商注册入库（已入库供应商不需要进行此步骤）：</w:t>
      </w:r>
    </w:p>
    <w:p>
      <w:pPr>
        <w:pageBreakBefore w:val="0"/>
        <w:kinsoku/>
        <w:wordWrap/>
        <w:overflowPunct/>
        <w:topLinePunct w:val="0"/>
        <w:bidi w:val="0"/>
        <w:adjustRightInd w:val="0"/>
        <w:snapToGrid w:val="0"/>
        <w:spacing w:line="460" w:lineRule="exact"/>
        <w:ind w:left="424" w:leftChars="202" w:right="0" w:righ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1、登陆天津大学招投标管理系统（http://zbb.tju.edu.cn）进行供应商注册并下载供应商登记表；</w:t>
      </w:r>
    </w:p>
    <w:p>
      <w:pPr>
        <w:pageBreakBefore w:val="0"/>
        <w:kinsoku/>
        <w:wordWrap/>
        <w:overflowPunct/>
        <w:topLinePunct w:val="0"/>
        <w:bidi w:val="0"/>
        <w:adjustRightInd w:val="0"/>
        <w:snapToGrid w:val="0"/>
        <w:spacing w:line="460" w:lineRule="exact"/>
        <w:ind w:left="424" w:leftChars="202" w:right="0" w:righ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2、待通过审核后须携带以下资料（均需加盖单位公章）在本项目开标前到天津大学招投标管理办公室（天津大学北洋园校区行政服务中心A122、A123）办理入库手续：</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①加盖企业公章的《天津大学招投标供应商登记表》；</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②经年检的企业法人营业执照副本原件及复印件；</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③组织机构代码证副本原件及复印件；</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④公司法定代表人身份证复印件；</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⑤税务登记证副本原件及复印件，以及近三个月的完税凭证的复印件；</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⑥最近三个月缴纳社会保障金凭证的复印件；</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⑦公司简介（包括经营范围、公司规模、组织结构、员工人数、主要业绩等相关情况）；</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⑧资质证明、行业许可证和其它同公司正常经营活动相关的证明材料。</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已入库供应商方可参与本项目的投标工作。 </w:t>
      </w:r>
    </w:p>
    <w:p>
      <w:pPr>
        <w:pageBreakBefore w:val="0"/>
        <w:kinsoku/>
        <w:wordWrap/>
        <w:overflowPunct/>
        <w:topLinePunct w:val="0"/>
        <w:bidi w:val="0"/>
        <w:adjustRightInd w:val="0"/>
        <w:snapToGrid w:val="0"/>
        <w:spacing w:line="460" w:lineRule="exact"/>
        <w:ind w:right="0" w:righ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（二）磋商文件的发售</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磋商文件发售日期为：</w:t>
      </w:r>
      <w:r>
        <w:rPr>
          <w:rFonts w:hint="eastAsia" w:cs="宋体"/>
          <w:sz w:val="24"/>
          <w:szCs w:val="24"/>
          <w:highlight w:val="none"/>
          <w:lang w:eastAsia="zh-CN"/>
        </w:rPr>
        <w:t>2017年10月30日至2017年11月3日</w:t>
      </w:r>
      <w:r>
        <w:rPr>
          <w:rFonts w:hint="eastAsia" w:ascii="宋体" w:hAnsi="宋体" w:eastAsia="宋体" w:cs="宋体"/>
          <w:sz w:val="24"/>
          <w:szCs w:val="24"/>
          <w:highlight w:val="none"/>
        </w:rPr>
        <w:t>，每日</w:t>
      </w:r>
      <w:r>
        <w:rPr>
          <w:rFonts w:hint="eastAsia" w:ascii="宋体" w:hAnsi="宋体" w:eastAsia="宋体" w:cs="宋体"/>
          <w:sz w:val="24"/>
          <w:szCs w:val="24"/>
          <w:highlight w:val="none"/>
          <w:lang w:val="en-US" w:eastAsia="zh-CN"/>
        </w:rPr>
        <w:t>09</w:t>
      </w:r>
      <w:r>
        <w:rPr>
          <w:rFonts w:hint="eastAsia" w:ascii="宋体" w:hAnsi="宋体" w:eastAsia="宋体" w:cs="宋体"/>
          <w:sz w:val="24"/>
          <w:szCs w:val="24"/>
          <w:highlight w:val="none"/>
        </w:rPr>
        <w:t>:30至1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0（法定节假日除外）</w:t>
      </w:r>
      <w:r>
        <w:rPr>
          <w:rFonts w:hint="eastAsia" w:ascii="宋体" w:hAnsi="宋体" w:eastAsia="宋体" w:cs="宋体"/>
          <w:sz w:val="24"/>
          <w:szCs w:val="24"/>
          <w:highlight w:val="none"/>
          <w:lang w:eastAsia="zh-CN"/>
        </w:rPr>
        <w:t>。</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获取</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文件的地点：天津市河东区新开路冠福大厦1408室获取。</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获取</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文件的方式：现场获取，报名时须携带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营业执照</w:t>
      </w:r>
      <w:r>
        <w:rPr>
          <w:rFonts w:hint="eastAsia" w:ascii="宋体" w:hAnsi="宋体" w:eastAsia="宋体" w:cs="宋体"/>
          <w:color w:val="auto"/>
          <w:sz w:val="24"/>
          <w:szCs w:val="24"/>
          <w:highlight w:val="none"/>
          <w:lang w:val="en-US" w:eastAsia="zh-CN"/>
        </w:rPr>
        <w:t>副本原件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法定代表人证明书原件及法定代表人身份证或</w:t>
      </w:r>
      <w:r>
        <w:rPr>
          <w:rFonts w:hint="eastAsia" w:ascii="宋体" w:hAnsi="宋体" w:eastAsia="宋体" w:cs="宋体"/>
          <w:color w:val="auto"/>
          <w:sz w:val="24"/>
          <w:szCs w:val="24"/>
          <w:highlight w:val="none"/>
        </w:rPr>
        <w:t>法定代表人授权委托书原件及授权代表身份证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及以上材料的</w:t>
      </w:r>
      <w:r>
        <w:rPr>
          <w:rFonts w:hint="eastAsia" w:ascii="宋体" w:hAnsi="宋体" w:eastAsia="宋体" w:cs="宋体"/>
          <w:color w:val="auto"/>
          <w:sz w:val="24"/>
          <w:szCs w:val="24"/>
          <w:highlight w:val="none"/>
        </w:rPr>
        <w:t>复印件</w:t>
      </w:r>
      <w:r>
        <w:rPr>
          <w:rFonts w:hint="eastAsia" w:ascii="宋体" w:hAnsi="宋体" w:eastAsia="宋体" w:cs="宋体"/>
          <w:color w:val="auto"/>
          <w:sz w:val="24"/>
          <w:szCs w:val="24"/>
          <w:highlight w:val="none"/>
          <w:lang w:val="en-US" w:eastAsia="zh-CN"/>
        </w:rPr>
        <w:t>加盖公章</w:t>
      </w:r>
      <w:r>
        <w:rPr>
          <w:rFonts w:hint="eastAsia" w:ascii="宋体" w:hAnsi="宋体" w:eastAsia="宋体" w:cs="宋体"/>
          <w:color w:val="auto"/>
          <w:sz w:val="24"/>
          <w:szCs w:val="24"/>
          <w:highlight w:val="none"/>
        </w:rPr>
        <w:t>。</w:t>
      </w:r>
    </w:p>
    <w:p>
      <w:pPr>
        <w:pageBreakBefore w:val="0"/>
        <w:kinsoku/>
        <w:wordWrap/>
        <w:overflowPunct/>
        <w:topLinePunct w:val="0"/>
        <w:bidi w:val="0"/>
        <w:adjustRightInd w:val="0"/>
        <w:snapToGrid w:val="0"/>
        <w:spacing w:line="460" w:lineRule="exact"/>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获取</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价格</w:t>
      </w: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文件售价</w:t>
      </w:r>
      <w:r>
        <w:rPr>
          <w:rFonts w:hint="eastAsia" w:cs="宋体"/>
          <w:color w:val="auto"/>
          <w:sz w:val="24"/>
          <w:szCs w:val="24"/>
          <w:highlight w:val="none"/>
          <w:lang w:val="en-US" w:eastAsia="zh-CN"/>
        </w:rPr>
        <w:t>500</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highlight w:val="none"/>
        </w:rPr>
        <w:t>售后不退。</w:t>
      </w:r>
    </w:p>
    <w:bookmarkEnd w:id="25"/>
    <w:bookmarkEnd w:id="26"/>
    <w:bookmarkEnd w:id="27"/>
    <w:bookmarkEnd w:id="28"/>
    <w:p>
      <w:pPr>
        <w:pageBreakBefore w:val="0"/>
        <w:kinsoku/>
        <w:wordWrap/>
        <w:overflowPunct/>
        <w:topLinePunct w:val="0"/>
        <w:bidi w:val="0"/>
        <w:adjustRightInd w:val="0"/>
        <w:snapToGrid w:val="0"/>
        <w:spacing w:line="460" w:lineRule="exact"/>
        <w:ind w:right="0" w:rightChars="0"/>
        <w:jc w:val="left"/>
        <w:textAlignment w:val="auto"/>
        <w:outlineLvl w:val="9"/>
        <w:rPr>
          <w:rFonts w:hint="eastAsia" w:ascii="宋体" w:hAnsi="宋体" w:eastAsia="宋体" w:cs="宋体"/>
          <w:sz w:val="24"/>
          <w:szCs w:val="24"/>
          <w:highlight w:val="none"/>
        </w:rPr>
      </w:pPr>
      <w:bookmarkStart w:id="29" w:name="_Toc376852366"/>
      <w:bookmarkStart w:id="30" w:name="_Toc470007403"/>
      <w:bookmarkStart w:id="31" w:name="_Toc395105670"/>
      <w:bookmarkStart w:id="32" w:name="_Toc115756019"/>
      <w:r>
        <w:rPr>
          <w:rFonts w:hint="eastAsia" w:ascii="宋体" w:hAnsi="宋体" w:eastAsia="宋体" w:cs="宋体"/>
          <w:b/>
          <w:bCs/>
          <w:sz w:val="24"/>
          <w:szCs w:val="24"/>
          <w:highlight w:val="none"/>
        </w:rPr>
        <w:t>七、响应文件的递交</w:t>
      </w:r>
      <w:bookmarkEnd w:id="29"/>
      <w:bookmarkEnd w:id="30"/>
      <w:bookmarkEnd w:id="31"/>
      <w:bookmarkEnd w:id="32"/>
    </w:p>
    <w:p>
      <w:pPr>
        <w:pageBreakBefore w:val="0"/>
        <w:kinsoku/>
        <w:wordWrap/>
        <w:overflowPunct/>
        <w:topLinePunct w:val="0"/>
        <w:bidi w:val="0"/>
        <w:spacing w:line="460" w:lineRule="exact"/>
        <w:ind w:right="0" w:rightChars="0" w:firstLine="480" w:firstLineChars="200"/>
        <w:textAlignment w:val="auto"/>
        <w:outlineLvl w:val="9"/>
        <w:rPr>
          <w:rFonts w:hint="eastAsia" w:ascii="宋体" w:hAnsi="宋体" w:eastAsia="宋体" w:cs="宋体"/>
          <w:b w:val="0"/>
          <w:bCs w:val="0"/>
          <w:color w:val="000000"/>
          <w:kern w:val="2"/>
          <w:sz w:val="24"/>
          <w:szCs w:val="24"/>
          <w:highlight w:val="none"/>
          <w:lang w:val="en-US" w:eastAsia="zh-CN" w:bidi="ar-SA"/>
        </w:rPr>
      </w:pPr>
      <w:bookmarkStart w:id="33" w:name="_Toc376852367"/>
      <w:bookmarkStart w:id="34" w:name="_Toc395105671"/>
      <w:r>
        <w:rPr>
          <w:rFonts w:hint="eastAsia" w:ascii="宋体" w:hAnsi="宋体" w:eastAsia="宋体" w:cs="宋体"/>
          <w:sz w:val="24"/>
          <w:szCs w:val="24"/>
          <w:highlight w:val="none"/>
        </w:rPr>
        <w:t>1、递交截止时间（北京时间）：</w:t>
      </w:r>
      <w:r>
        <w:rPr>
          <w:rFonts w:hint="eastAsia" w:cs="宋体"/>
          <w:b w:val="0"/>
          <w:bCs w:val="0"/>
          <w:color w:val="000000"/>
          <w:kern w:val="2"/>
          <w:sz w:val="24"/>
          <w:szCs w:val="24"/>
          <w:highlight w:val="none"/>
          <w:lang w:val="en-US" w:eastAsia="zh-CN" w:bidi="ar-SA"/>
        </w:rPr>
        <w:t>2017年11月16日</w:t>
      </w:r>
      <w:r>
        <w:rPr>
          <w:rFonts w:hint="eastAsia" w:ascii="宋体" w:hAnsi="宋体" w:eastAsia="宋体" w:cs="宋体"/>
          <w:b w:val="0"/>
          <w:bCs w:val="0"/>
          <w:color w:val="000000"/>
          <w:kern w:val="2"/>
          <w:sz w:val="24"/>
          <w:szCs w:val="24"/>
          <w:highlight w:val="none"/>
          <w:lang w:val="en-US" w:eastAsia="zh-CN" w:bidi="ar-SA"/>
        </w:rPr>
        <w:t xml:space="preserve">  </w:t>
      </w:r>
      <w:r>
        <w:rPr>
          <w:rFonts w:hint="eastAsia" w:cs="宋体"/>
          <w:b w:val="0"/>
          <w:bCs w:val="0"/>
          <w:color w:val="000000"/>
          <w:kern w:val="2"/>
          <w:sz w:val="24"/>
          <w:szCs w:val="24"/>
          <w:highlight w:val="none"/>
          <w:lang w:val="en-US" w:eastAsia="zh-CN" w:bidi="ar-SA"/>
        </w:rPr>
        <w:t>09</w:t>
      </w:r>
      <w:r>
        <w:rPr>
          <w:rFonts w:hint="eastAsia" w:ascii="宋体" w:hAnsi="宋体" w:eastAsia="宋体" w:cs="宋体"/>
          <w:b w:val="0"/>
          <w:bCs w:val="0"/>
          <w:color w:val="000000"/>
          <w:kern w:val="2"/>
          <w:sz w:val="24"/>
          <w:szCs w:val="24"/>
          <w:highlight w:val="none"/>
          <w:lang w:val="en-US" w:eastAsia="zh-CN" w:bidi="ar-SA"/>
        </w:rPr>
        <w:t>:</w:t>
      </w:r>
      <w:r>
        <w:rPr>
          <w:rFonts w:hint="eastAsia" w:cs="宋体"/>
          <w:b w:val="0"/>
          <w:bCs w:val="0"/>
          <w:color w:val="000000"/>
          <w:kern w:val="2"/>
          <w:sz w:val="24"/>
          <w:szCs w:val="24"/>
          <w:highlight w:val="none"/>
          <w:lang w:val="en-US" w:eastAsia="zh-CN" w:bidi="ar-SA"/>
        </w:rPr>
        <w:t>0</w:t>
      </w:r>
      <w:r>
        <w:rPr>
          <w:rFonts w:hint="eastAsia" w:ascii="宋体" w:hAnsi="宋体" w:eastAsia="宋体" w:cs="宋体"/>
          <w:b w:val="0"/>
          <w:bCs w:val="0"/>
          <w:color w:val="000000"/>
          <w:kern w:val="2"/>
          <w:sz w:val="24"/>
          <w:szCs w:val="24"/>
          <w:highlight w:val="none"/>
          <w:lang w:val="en-US" w:eastAsia="zh-CN" w:bidi="ar-SA"/>
        </w:rPr>
        <w:t>0时至</w:t>
      </w:r>
      <w:r>
        <w:rPr>
          <w:rFonts w:hint="eastAsia" w:cs="宋体"/>
          <w:b w:val="0"/>
          <w:bCs w:val="0"/>
          <w:color w:val="000000"/>
          <w:kern w:val="2"/>
          <w:sz w:val="24"/>
          <w:szCs w:val="24"/>
          <w:highlight w:val="none"/>
          <w:lang w:val="en-US" w:eastAsia="zh-CN" w:bidi="ar-SA"/>
        </w:rPr>
        <w:t>09</w:t>
      </w:r>
      <w:r>
        <w:rPr>
          <w:rFonts w:hint="eastAsia" w:ascii="宋体" w:hAnsi="宋体" w:eastAsia="宋体" w:cs="宋体"/>
          <w:b w:val="0"/>
          <w:bCs w:val="0"/>
          <w:color w:val="000000"/>
          <w:kern w:val="2"/>
          <w:sz w:val="24"/>
          <w:szCs w:val="24"/>
          <w:highlight w:val="none"/>
          <w:lang w:val="en-US" w:eastAsia="zh-CN" w:bidi="ar-SA"/>
        </w:rPr>
        <w:t>:</w:t>
      </w:r>
      <w:r>
        <w:rPr>
          <w:rFonts w:hint="eastAsia" w:cs="宋体"/>
          <w:b w:val="0"/>
          <w:bCs w:val="0"/>
          <w:color w:val="000000"/>
          <w:kern w:val="2"/>
          <w:sz w:val="24"/>
          <w:szCs w:val="24"/>
          <w:highlight w:val="none"/>
          <w:lang w:val="en-US" w:eastAsia="zh-CN" w:bidi="ar-SA"/>
        </w:rPr>
        <w:t>3</w:t>
      </w:r>
      <w:r>
        <w:rPr>
          <w:rFonts w:hint="eastAsia" w:ascii="宋体" w:hAnsi="宋体" w:eastAsia="宋体" w:cs="宋体"/>
          <w:b w:val="0"/>
          <w:bCs w:val="0"/>
          <w:color w:val="000000"/>
          <w:kern w:val="2"/>
          <w:sz w:val="24"/>
          <w:szCs w:val="24"/>
          <w:highlight w:val="none"/>
          <w:lang w:val="en-US" w:eastAsia="zh-CN" w:bidi="ar-SA"/>
        </w:rPr>
        <w:t>0时</w:t>
      </w:r>
    </w:p>
    <w:p>
      <w:pPr>
        <w:pageBreakBefore w:val="0"/>
        <w:kinsoku/>
        <w:wordWrap/>
        <w:overflowPunct/>
        <w:topLinePunct w:val="0"/>
        <w:bidi w:val="0"/>
        <w:spacing w:line="460" w:lineRule="exact"/>
        <w:ind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逾期收到或不符合竞争性磋商文件规定的响应文件概不接收。</w:t>
      </w:r>
    </w:p>
    <w:p>
      <w:pPr>
        <w:pageBreakBefore w:val="0"/>
        <w:kinsoku/>
        <w:wordWrap/>
        <w:overflowPunct/>
        <w:topLinePunct w:val="0"/>
        <w:bidi w:val="0"/>
        <w:spacing w:line="460" w:lineRule="exact"/>
        <w:ind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2、递交地点：</w:t>
      </w:r>
      <w:r>
        <w:rPr>
          <w:rFonts w:hint="eastAsia" w:cs="宋体"/>
          <w:color w:val="auto"/>
          <w:sz w:val="24"/>
          <w:szCs w:val="24"/>
          <w:highlight w:val="none"/>
          <w:lang w:eastAsia="zh-CN"/>
        </w:rPr>
        <w:t>天津大学北洋园校区行政服务中心A118</w:t>
      </w:r>
    </w:p>
    <w:p>
      <w:pPr>
        <w:pageBreakBefore w:val="0"/>
        <w:kinsoku/>
        <w:wordWrap/>
        <w:overflowPunct/>
        <w:topLinePunct w:val="0"/>
        <w:bidi w:val="0"/>
        <w:spacing w:line="460" w:lineRule="exact"/>
        <w:ind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 递交方式：</w:t>
      </w:r>
    </w:p>
    <w:p>
      <w:pPr>
        <w:pageBreakBefore w:val="0"/>
        <w:kinsoku/>
        <w:wordWrap/>
        <w:overflowPunct/>
        <w:topLinePunct w:val="0"/>
        <w:bidi w:val="0"/>
        <w:spacing w:line="460" w:lineRule="exact"/>
        <w:ind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投标人须由法定代表人或授权代表人向采购人递交响应文件(含对响应文件的有效修改、澄清文件)，以邮寄(含快递)、传真、电子邮件、电报、电话等方式递交的响应文件无效。</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r>
        <w:rPr>
          <w:rFonts w:hint="eastAsia" w:ascii="宋体" w:hAnsi="宋体" w:eastAsia="宋体" w:cs="宋体"/>
          <w:b/>
          <w:bCs/>
          <w:sz w:val="24"/>
          <w:szCs w:val="24"/>
          <w:highlight w:val="none"/>
        </w:rPr>
        <w:t>八、磋商保证金</w:t>
      </w:r>
    </w:p>
    <w:p>
      <w:pPr>
        <w:keepNext w:val="0"/>
        <w:keepLines w:val="0"/>
        <w:pageBreakBefore w:val="0"/>
        <w:widowControl w:val="0"/>
        <w:kinsoku/>
        <w:wordWrap/>
        <w:overflowPunct/>
        <w:topLinePunct w:val="0"/>
        <w:autoSpaceDE/>
        <w:autoSpaceDN/>
        <w:bidi w:val="0"/>
        <w:spacing w:line="46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bookmarkStart w:id="35" w:name="_Toc470007404"/>
      <w:r>
        <w:rPr>
          <w:rFonts w:hint="eastAsia" w:ascii="宋体" w:hAnsi="宋体" w:eastAsia="宋体" w:cs="宋体"/>
          <w:sz w:val="24"/>
          <w:szCs w:val="24"/>
          <w:highlight w:val="none"/>
        </w:rPr>
        <w:t>投标保证金数额为：人民</w:t>
      </w:r>
      <w:r>
        <w:rPr>
          <w:rFonts w:hint="eastAsia" w:ascii="宋体" w:hAnsi="宋体" w:eastAsia="宋体" w:cs="宋体"/>
          <w:sz w:val="24"/>
          <w:szCs w:val="24"/>
          <w:highlight w:val="none"/>
          <w:lang w:val="en-US" w:eastAsia="zh-CN"/>
        </w:rPr>
        <w:t>币玖仟</w:t>
      </w:r>
      <w:r>
        <w:rPr>
          <w:rFonts w:hint="eastAsia" w:ascii="宋体" w:hAnsi="宋体" w:eastAsia="宋体" w:cs="宋体"/>
          <w:sz w:val="24"/>
          <w:szCs w:val="24"/>
          <w:highlight w:val="none"/>
        </w:rPr>
        <w:t>元整。投标人最迟应在2017年</w:t>
      </w:r>
      <w:r>
        <w:rPr>
          <w:rFonts w:hint="eastAsia" w:cs="宋体"/>
          <w:sz w:val="24"/>
          <w:szCs w:val="24"/>
          <w:highlight w:val="none"/>
          <w:lang w:val="en-US" w:eastAsia="zh-CN"/>
        </w:rPr>
        <w:t>11</w:t>
      </w:r>
      <w:r>
        <w:rPr>
          <w:rFonts w:hint="eastAsia" w:ascii="宋体" w:hAnsi="宋体" w:eastAsia="宋体" w:cs="宋体"/>
          <w:sz w:val="24"/>
          <w:szCs w:val="24"/>
          <w:highlight w:val="none"/>
        </w:rPr>
        <w:t>月</w:t>
      </w:r>
      <w:r>
        <w:rPr>
          <w:rFonts w:hint="eastAsia" w:cs="宋体"/>
          <w:sz w:val="24"/>
          <w:szCs w:val="24"/>
          <w:highlight w:val="none"/>
          <w:lang w:val="en-US" w:eastAsia="zh-CN"/>
        </w:rPr>
        <w:t>13</w:t>
      </w:r>
      <w:r>
        <w:rPr>
          <w:rFonts w:hint="eastAsia" w:ascii="宋体" w:hAnsi="宋体" w:eastAsia="宋体" w:cs="宋体"/>
          <w:sz w:val="24"/>
          <w:szCs w:val="24"/>
          <w:highlight w:val="none"/>
        </w:rPr>
        <w:t>日12：00前以电汇方式将投标保证金交至招标代理机构，收到保证金时间以保证金到账时间为准，如出现电汇未到账等情况，按投标单位未缴纳保证金处理。（汇款信息需标注所投项目编号</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投标保证金”，只接受投标单位银行账户电汇）</w:t>
      </w:r>
    </w:p>
    <w:p>
      <w:pPr>
        <w:pageBreakBefore w:val="0"/>
        <w:kinsoku/>
        <w:wordWrap/>
        <w:overflowPunct/>
        <w:topLinePunct w:val="0"/>
        <w:autoSpaceDE/>
        <w:autoSpaceDN/>
        <w:bidi w:val="0"/>
        <w:spacing w:line="460" w:lineRule="exact"/>
        <w:ind w:left="0" w:leftChars="0"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汇款信息：</w:t>
      </w:r>
    </w:p>
    <w:p>
      <w:pPr>
        <w:pageBreakBefore w:val="0"/>
        <w:kinsoku/>
        <w:wordWrap/>
        <w:overflowPunct/>
        <w:topLinePunct w:val="0"/>
        <w:autoSpaceDE/>
        <w:autoSpaceDN/>
        <w:bidi w:val="0"/>
        <w:spacing w:line="460" w:lineRule="exact"/>
        <w:ind w:left="0" w:leftChars="0"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单位名称：北京国金管理咨询有限公司天津分公司</w:t>
      </w:r>
    </w:p>
    <w:p>
      <w:pPr>
        <w:pageBreakBefore w:val="0"/>
        <w:kinsoku/>
        <w:wordWrap/>
        <w:overflowPunct/>
        <w:topLinePunct w:val="0"/>
        <w:autoSpaceDE/>
        <w:autoSpaceDN/>
        <w:bidi w:val="0"/>
        <w:spacing w:line="460" w:lineRule="exact"/>
        <w:ind w:left="0" w:leftChars="0"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地址：天津市</w:t>
      </w:r>
      <w:r>
        <w:rPr>
          <w:rFonts w:hint="eastAsia" w:ascii="宋体" w:hAnsi="宋体" w:eastAsia="宋体" w:cs="宋体"/>
          <w:sz w:val="24"/>
          <w:szCs w:val="24"/>
          <w:highlight w:val="none"/>
          <w:lang w:eastAsia="zh-CN"/>
        </w:rPr>
        <w:t>河东区新开路冠幅大厦1408室</w:t>
      </w:r>
    </w:p>
    <w:p>
      <w:pPr>
        <w:pageBreakBefore w:val="0"/>
        <w:kinsoku/>
        <w:wordWrap/>
        <w:overflowPunct/>
        <w:topLinePunct w:val="0"/>
        <w:autoSpaceDE/>
        <w:autoSpaceDN/>
        <w:bidi w:val="0"/>
        <w:spacing w:line="460" w:lineRule="exact"/>
        <w:ind w:left="0" w:leftChars="0"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招标代理机构开户银行（人民币）：工商银行天津第一支行</w:t>
      </w:r>
      <w:bookmarkStart w:id="193" w:name="_GoBack"/>
      <w:bookmarkEnd w:id="193"/>
    </w:p>
    <w:p>
      <w:pPr>
        <w:pageBreakBefore w:val="0"/>
        <w:kinsoku/>
        <w:wordWrap/>
        <w:overflowPunct/>
        <w:topLinePunct w:val="0"/>
        <w:autoSpaceDE/>
        <w:autoSpaceDN/>
        <w:bidi w:val="0"/>
        <w:spacing w:line="460" w:lineRule="exact"/>
        <w:ind w:left="0" w:leftChars="0"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帐 号（人民币）：0302 0902 1930 0348 312</w:t>
      </w:r>
    </w:p>
    <w:p>
      <w:pPr>
        <w:pageBreakBefore w:val="0"/>
        <w:kinsoku/>
        <w:wordWrap/>
        <w:overflowPunct/>
        <w:topLinePunct w:val="0"/>
        <w:bidi w:val="0"/>
        <w:adjustRightInd w:val="0"/>
        <w:snapToGrid w:val="0"/>
        <w:spacing w:line="460" w:lineRule="exact"/>
        <w:ind w:right="0" w:rightChars="0"/>
        <w:jc w:val="left"/>
        <w:textAlignment w:val="auto"/>
        <w:outlineLvl w:val="9"/>
        <w:rPr>
          <w:rFonts w:hint="eastAsia" w:ascii="宋体" w:hAnsi="宋体" w:eastAsia="宋体" w:cs="宋体"/>
          <w:sz w:val="24"/>
          <w:szCs w:val="24"/>
          <w:highlight w:val="none"/>
        </w:rPr>
      </w:pPr>
      <w:r>
        <w:rPr>
          <w:rFonts w:hint="eastAsia" w:ascii="宋体" w:hAnsi="宋体" w:eastAsia="宋体" w:cs="宋体"/>
          <w:b/>
          <w:bCs/>
          <w:sz w:val="24"/>
          <w:szCs w:val="24"/>
          <w:highlight w:val="none"/>
        </w:rPr>
        <w:t>九、开标</w:t>
      </w:r>
      <w:bookmarkEnd w:id="33"/>
      <w:bookmarkEnd w:id="34"/>
      <w:bookmarkEnd w:id="35"/>
    </w:p>
    <w:p>
      <w:pPr>
        <w:pageBreakBefore w:val="0"/>
        <w:kinsoku/>
        <w:wordWrap/>
        <w:overflowPunct/>
        <w:topLinePunct w:val="0"/>
        <w:bidi w:val="0"/>
        <w:spacing w:line="460" w:lineRule="exact"/>
        <w:ind w:right="0" w:rightChars="0" w:firstLine="480" w:firstLineChars="200"/>
        <w:textAlignment w:val="auto"/>
        <w:outlineLvl w:val="9"/>
        <w:rPr>
          <w:rFonts w:hint="eastAsia" w:ascii="宋体" w:hAnsi="宋体" w:eastAsia="宋体" w:cs="宋体"/>
          <w:sz w:val="24"/>
          <w:szCs w:val="24"/>
          <w:highlight w:val="none"/>
        </w:rPr>
      </w:pPr>
      <w:bookmarkStart w:id="36" w:name="_Toc395105672"/>
      <w:bookmarkStart w:id="37" w:name="_Toc395085161"/>
      <w:bookmarkStart w:id="38" w:name="_Toc115756021"/>
      <w:bookmarkStart w:id="39" w:name="_Toc376852368"/>
      <w:r>
        <w:rPr>
          <w:rFonts w:hint="eastAsia" w:ascii="宋体" w:hAnsi="宋体" w:eastAsia="宋体" w:cs="宋体"/>
          <w:sz w:val="24"/>
          <w:szCs w:val="24"/>
          <w:highlight w:val="none"/>
        </w:rPr>
        <w:t>1、开标时间（北京时间）：</w:t>
      </w:r>
      <w:r>
        <w:rPr>
          <w:rFonts w:hint="eastAsia" w:cs="宋体"/>
          <w:sz w:val="24"/>
          <w:szCs w:val="24"/>
          <w:highlight w:val="none"/>
          <w:lang w:val="en-US" w:eastAsia="zh-CN"/>
        </w:rPr>
        <w:t>2017年11月16日</w:t>
      </w:r>
      <w:r>
        <w:rPr>
          <w:rFonts w:hint="eastAsia" w:ascii="宋体" w:hAnsi="宋体" w:eastAsia="宋体" w:cs="宋体"/>
          <w:sz w:val="24"/>
          <w:szCs w:val="24"/>
          <w:highlight w:val="none"/>
          <w:lang w:val="en-US" w:eastAsia="zh-CN"/>
        </w:rPr>
        <w:t xml:space="preserve">  </w:t>
      </w:r>
      <w:r>
        <w:rPr>
          <w:rFonts w:hint="eastAsia" w:cs="宋体"/>
          <w:sz w:val="24"/>
          <w:szCs w:val="24"/>
          <w:highlight w:val="none"/>
          <w:lang w:val="en-US" w:eastAsia="zh-CN"/>
        </w:rPr>
        <w:t>09</w:t>
      </w:r>
      <w:r>
        <w:rPr>
          <w:rFonts w:hint="eastAsia" w:ascii="宋体" w:hAnsi="宋体" w:eastAsia="宋体" w:cs="宋体"/>
          <w:sz w:val="24"/>
          <w:szCs w:val="24"/>
          <w:highlight w:val="none"/>
          <w:lang w:val="en-US" w:eastAsia="zh-CN"/>
        </w:rPr>
        <w:t>:</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0时</w:t>
      </w:r>
    </w:p>
    <w:p>
      <w:pPr>
        <w:pageBreakBefore w:val="0"/>
        <w:kinsoku/>
        <w:wordWrap/>
        <w:overflowPunct/>
        <w:topLinePunct w:val="0"/>
        <w:bidi w:val="0"/>
        <w:spacing w:line="460" w:lineRule="exact"/>
        <w:ind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2、开标地点：</w:t>
      </w:r>
      <w:r>
        <w:rPr>
          <w:rFonts w:hint="eastAsia" w:cs="宋体"/>
          <w:sz w:val="24"/>
          <w:szCs w:val="24"/>
          <w:highlight w:val="none"/>
          <w:lang w:eastAsia="zh-CN"/>
        </w:rPr>
        <w:t>天津大学北洋园校区行政服务中心A118</w:t>
      </w:r>
      <w:r>
        <w:rPr>
          <w:rFonts w:hint="eastAsia" w:ascii="宋体" w:hAnsi="宋体" w:eastAsia="宋体" w:cs="宋体"/>
          <w:sz w:val="24"/>
          <w:szCs w:val="24"/>
          <w:highlight w:val="none"/>
        </w:rPr>
        <w:t>（</w:t>
      </w:r>
      <w:r>
        <w:rPr>
          <w:rFonts w:hint="eastAsia" w:cs="宋体"/>
          <w:sz w:val="24"/>
          <w:szCs w:val="24"/>
          <w:highlight w:val="none"/>
          <w:lang w:eastAsia="zh-CN"/>
        </w:rPr>
        <w:t>天津市津南区海河教育园区雅观路135号</w:t>
      </w:r>
      <w:r>
        <w:rPr>
          <w:rFonts w:hint="eastAsia" w:ascii="宋体" w:hAnsi="宋体" w:eastAsia="宋体" w:cs="宋体"/>
          <w:sz w:val="24"/>
          <w:szCs w:val="24"/>
          <w:highlight w:val="none"/>
        </w:rPr>
        <w:t>）</w:t>
      </w:r>
    </w:p>
    <w:p>
      <w:pPr>
        <w:pageBreakBefore w:val="0"/>
        <w:kinsoku/>
        <w:wordWrap/>
        <w:overflowPunct/>
        <w:topLinePunct w:val="0"/>
        <w:bidi w:val="0"/>
        <w:spacing w:line="460" w:lineRule="exact"/>
        <w:ind w:right="0" w:righ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3、开标时，投标人出席并必须按照本竞争性磋商文件的规定参加开标，否则因无法检查、确认响应文件密封情况时，采购人有权对该投标人的响应文件视为无效响应。</w:t>
      </w:r>
    </w:p>
    <w:p>
      <w:pPr>
        <w:pStyle w:val="120"/>
        <w:pageBreakBefore w:val="0"/>
        <w:kinsoku/>
        <w:wordWrap/>
        <w:overflowPunct/>
        <w:topLinePunct w:val="0"/>
        <w:bidi w:val="0"/>
        <w:adjustRightInd w:val="0"/>
        <w:snapToGrid w:val="0"/>
        <w:spacing w:line="460" w:lineRule="exact"/>
        <w:ind w:right="0" w:rightChars="0" w:firstLine="0" w:firstLineChars="0"/>
        <w:textAlignment w:val="auto"/>
        <w:outlineLvl w:val="9"/>
        <w:rPr>
          <w:rFonts w:hint="eastAsia" w:ascii="宋体" w:hAnsi="宋体" w:eastAsia="宋体" w:cs="宋体"/>
          <w:b/>
          <w:color w:val="000000"/>
          <w:sz w:val="24"/>
          <w:szCs w:val="24"/>
          <w:highlight w:val="none"/>
        </w:rPr>
      </w:pP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w:t>
      </w:r>
      <w:r>
        <w:rPr>
          <w:rFonts w:hint="eastAsia" w:ascii="宋体" w:hAnsi="宋体" w:eastAsia="宋体" w:cs="宋体"/>
          <w:b/>
          <w:color w:val="000000"/>
          <w:sz w:val="24"/>
          <w:szCs w:val="24"/>
          <w:highlight w:val="none"/>
        </w:rPr>
        <w:t>招标人的名称、地址和联系方式</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（一）招标人：天津大学</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（二）联系地址：天津市津南区雅观路135号　　</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（三）邮政编码：300350 </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（四）联系人：</w:t>
      </w:r>
      <w:r>
        <w:rPr>
          <w:rFonts w:hint="eastAsia" w:ascii="宋体" w:hAnsi="宋体" w:eastAsia="宋体" w:cs="宋体"/>
          <w:color w:val="auto"/>
          <w:sz w:val="24"/>
          <w:szCs w:val="24"/>
          <w:highlight w:val="none"/>
          <w:lang w:val="en-US" w:eastAsia="zh-CN"/>
        </w:rPr>
        <w:t>刘老师</w:t>
      </w:r>
      <w:r>
        <w:rPr>
          <w:rFonts w:hint="eastAsia" w:ascii="宋体" w:hAnsi="宋体" w:eastAsia="宋体" w:cs="宋体"/>
          <w:color w:val="auto"/>
          <w:sz w:val="24"/>
          <w:szCs w:val="24"/>
          <w:highlight w:val="none"/>
        </w:rPr>
        <w:t>（招标办）；孟老师（资产处）</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（五）电话：</w:t>
      </w:r>
      <w:r>
        <w:rPr>
          <w:rFonts w:hint="eastAsia" w:ascii="宋体" w:hAnsi="宋体" w:eastAsia="宋体" w:cs="宋体"/>
          <w:color w:val="auto"/>
          <w:sz w:val="24"/>
          <w:szCs w:val="24"/>
          <w:highlight w:val="none"/>
          <w:lang w:eastAsia="zh-CN"/>
        </w:rPr>
        <w:t>022-27407584</w:t>
      </w:r>
      <w:r>
        <w:rPr>
          <w:rFonts w:hint="eastAsia" w:ascii="宋体" w:hAnsi="宋体" w:eastAsia="宋体" w:cs="宋体"/>
          <w:color w:val="auto"/>
          <w:sz w:val="24"/>
          <w:szCs w:val="24"/>
          <w:highlight w:val="none"/>
        </w:rPr>
        <w:t xml:space="preserve">       022-27406282</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（六）传真：022-27407584</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（七）邮箱：</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"mailto:zbbshebei3@tju.edu.cn" </w:instrText>
      </w:r>
      <w:r>
        <w:rPr>
          <w:rFonts w:hint="eastAsia" w:ascii="宋体" w:hAnsi="宋体" w:eastAsia="宋体" w:cs="宋体"/>
          <w:color w:val="auto"/>
          <w:sz w:val="24"/>
          <w:szCs w:val="24"/>
          <w:highlight w:val="none"/>
        </w:rPr>
        <w:fldChar w:fldCharType="separate"/>
      </w:r>
      <w:r>
        <w:rPr>
          <w:rStyle w:val="33"/>
          <w:rFonts w:hint="eastAsia" w:ascii="宋体" w:hAnsi="宋体" w:eastAsia="宋体" w:cs="宋体"/>
          <w:color w:val="auto"/>
          <w:sz w:val="24"/>
          <w:szCs w:val="24"/>
          <w:highlight w:val="none"/>
          <w:u w:val="none"/>
        </w:rPr>
        <w:t>zbbshebei</w:t>
      </w:r>
      <w:r>
        <w:rPr>
          <w:rStyle w:val="33"/>
          <w:rFonts w:hint="eastAsia" w:cs="宋体"/>
          <w:color w:val="auto"/>
          <w:sz w:val="24"/>
          <w:szCs w:val="24"/>
          <w:highlight w:val="none"/>
          <w:u w:val="none"/>
          <w:lang w:val="en-US" w:eastAsia="zh-CN"/>
        </w:rPr>
        <w:t>2</w:t>
      </w:r>
      <w:r>
        <w:rPr>
          <w:rStyle w:val="33"/>
          <w:rFonts w:hint="eastAsia" w:ascii="宋体" w:hAnsi="宋体" w:eastAsia="宋体" w:cs="宋体"/>
          <w:color w:val="auto"/>
          <w:sz w:val="24"/>
          <w:szCs w:val="24"/>
          <w:highlight w:val="none"/>
          <w:u w:val="none"/>
        </w:rPr>
        <w:t>@tju.edu.cn</w:t>
      </w:r>
      <w:r>
        <w:rPr>
          <w:rFonts w:hint="eastAsia" w:ascii="宋体" w:hAnsi="宋体" w:eastAsia="宋体" w:cs="宋体"/>
          <w:color w:val="auto"/>
          <w:sz w:val="24"/>
          <w:szCs w:val="24"/>
          <w:highlight w:val="none"/>
        </w:rPr>
        <w:fldChar w:fldCharType="end"/>
      </w:r>
    </w:p>
    <w:p>
      <w:pPr>
        <w:pStyle w:val="120"/>
        <w:pageBreakBefore w:val="0"/>
        <w:numPr>
          <w:ilvl w:val="0"/>
          <w:numId w:val="0"/>
        </w:numPr>
        <w:kinsoku/>
        <w:wordWrap/>
        <w:overflowPunct/>
        <w:topLinePunct w:val="0"/>
        <w:bidi w:val="0"/>
        <w:adjustRightInd w:val="0"/>
        <w:snapToGrid w:val="0"/>
        <w:spacing w:line="460" w:lineRule="exact"/>
        <w:ind w:leftChars="0" w:right="0" w:rightChars="0"/>
        <w:textAlignment w:val="auto"/>
        <w:outlineLvl w:val="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十一、</w:t>
      </w:r>
      <w:r>
        <w:rPr>
          <w:rFonts w:hint="eastAsia" w:ascii="宋体" w:hAnsi="宋体" w:eastAsia="宋体" w:cs="宋体"/>
          <w:b/>
          <w:color w:val="000000"/>
          <w:sz w:val="24"/>
          <w:szCs w:val="24"/>
          <w:highlight w:val="none"/>
        </w:rPr>
        <w:t>招标代理机构的名称、地址和联系方式</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（一）招标代理机构名称：北京国金管理咨询有限公司</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（二）招标代理机构地址：天津市河东区新开路冠福大厦1408</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（三）招标代理机构联系人：</w:t>
      </w:r>
      <w:r>
        <w:rPr>
          <w:rFonts w:hint="eastAsia" w:ascii="宋体" w:hAnsi="宋体" w:eastAsia="宋体" w:cs="宋体"/>
          <w:sz w:val="24"/>
          <w:szCs w:val="24"/>
          <w:highlight w:val="none"/>
          <w:lang w:val="en-US" w:eastAsia="zh-CN"/>
        </w:rPr>
        <w:t>于工</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（四）招标代理机构联系电话：022-24414892</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（五）招标代理机构电子邮箱：</w:t>
      </w:r>
      <w:r>
        <w:rPr>
          <w:rFonts w:hint="eastAsia" w:ascii="宋体" w:hAnsi="宋体" w:eastAsia="宋体" w:cs="宋体"/>
          <w:sz w:val="24"/>
          <w:szCs w:val="24"/>
          <w:highlight w:val="none"/>
        </w:rPr>
        <w:fldChar w:fldCharType="begin"/>
      </w:r>
      <w:r>
        <w:rPr>
          <w:rStyle w:val="33"/>
          <w:rFonts w:hint="eastAsia" w:ascii="宋体" w:hAnsi="宋体" w:eastAsia="宋体" w:cs="宋体"/>
          <w:color w:val="000000"/>
          <w:sz w:val="24"/>
          <w:szCs w:val="24"/>
          <w:highlight w:val="none"/>
          <w:u w:val="none"/>
        </w:rPr>
        <w:instrText xml:space="preserve"> HYPERLINK "mailto:1297965304@qq.com" </w:instrText>
      </w:r>
      <w:r>
        <w:rPr>
          <w:rFonts w:hint="eastAsia" w:ascii="宋体" w:hAnsi="宋体" w:eastAsia="宋体" w:cs="宋体"/>
          <w:sz w:val="24"/>
          <w:szCs w:val="24"/>
          <w:highlight w:val="none"/>
        </w:rPr>
        <w:fldChar w:fldCharType="separate"/>
      </w:r>
      <w:r>
        <w:rPr>
          <w:rStyle w:val="33"/>
          <w:rFonts w:hint="eastAsia" w:ascii="宋体" w:hAnsi="宋体" w:eastAsia="宋体" w:cs="宋体"/>
          <w:sz w:val="24"/>
          <w:szCs w:val="24"/>
          <w:highlight w:val="none"/>
        </w:rPr>
        <w:t>1297965304@qq.com</w:t>
      </w:r>
      <w:r>
        <w:rPr>
          <w:rFonts w:hint="eastAsia" w:ascii="宋体" w:hAnsi="宋体" w:eastAsia="宋体" w:cs="宋体"/>
          <w:sz w:val="24"/>
          <w:szCs w:val="24"/>
          <w:highlight w:val="none"/>
        </w:rPr>
        <w:fldChar w:fldCharType="end"/>
      </w:r>
    </w:p>
    <w:p>
      <w:pPr>
        <w:pStyle w:val="28"/>
        <w:pageBreakBefore w:val="0"/>
        <w:kinsoku/>
        <w:wordWrap/>
        <w:overflowPunct/>
        <w:topLinePunct w:val="0"/>
        <w:bidi w:val="0"/>
        <w:adjustRightInd w:val="0"/>
        <w:snapToGrid w:val="0"/>
        <w:spacing w:before="0" w:after="0" w:line="460" w:lineRule="exact"/>
        <w:ind w:right="0" w:rightChars="0"/>
        <w:jc w:val="center"/>
        <w:textAlignment w:val="auto"/>
        <w:outlineLvl w:val="9"/>
        <w:rPr>
          <w:rFonts w:hint="eastAsia" w:ascii="宋体" w:hAnsi="宋体" w:eastAsia="宋体" w:cs="宋体"/>
          <w:color w:val="000000"/>
          <w:sz w:val="24"/>
          <w:szCs w:val="24"/>
          <w:highlight w:val="none"/>
        </w:rPr>
      </w:pPr>
    </w:p>
    <w:p>
      <w:pPr>
        <w:pStyle w:val="28"/>
        <w:pageBreakBefore w:val="0"/>
        <w:kinsoku/>
        <w:wordWrap/>
        <w:overflowPunct/>
        <w:topLinePunct w:val="0"/>
        <w:bidi w:val="0"/>
        <w:adjustRightInd w:val="0"/>
        <w:snapToGrid w:val="0"/>
        <w:spacing w:before="0" w:after="0" w:line="460" w:lineRule="exact"/>
        <w:ind w:right="0" w:rightChars="0"/>
        <w:jc w:val="center"/>
        <w:textAlignment w:val="auto"/>
        <w:outlineLvl w:val="9"/>
        <w:rPr>
          <w:rFonts w:hint="eastAsia" w:ascii="宋体" w:hAnsi="宋体" w:eastAsia="宋体" w:cs="宋体"/>
          <w:color w:val="000000"/>
          <w:sz w:val="24"/>
          <w:szCs w:val="24"/>
          <w:highlight w:val="none"/>
        </w:rPr>
      </w:pPr>
    </w:p>
    <w:p>
      <w:pPr>
        <w:pStyle w:val="28"/>
        <w:pageBreakBefore w:val="0"/>
        <w:kinsoku/>
        <w:wordWrap/>
        <w:overflowPunct/>
        <w:topLinePunct w:val="0"/>
        <w:bidi w:val="0"/>
        <w:adjustRightInd w:val="0"/>
        <w:snapToGrid w:val="0"/>
        <w:spacing w:before="0" w:after="0" w:line="460" w:lineRule="exact"/>
        <w:ind w:right="0" w:rightChars="0"/>
        <w:jc w:val="center"/>
        <w:textAlignment w:val="auto"/>
        <w:outlineLvl w:val="9"/>
        <w:rPr>
          <w:rFonts w:hint="eastAsia" w:ascii="宋体" w:hAnsi="宋体" w:eastAsia="宋体" w:cs="宋体"/>
          <w:color w:val="000000"/>
          <w:sz w:val="24"/>
          <w:szCs w:val="24"/>
          <w:highlight w:val="none"/>
        </w:rPr>
      </w:pPr>
    </w:p>
    <w:p>
      <w:pPr>
        <w:pStyle w:val="28"/>
        <w:pageBreakBefore w:val="0"/>
        <w:kinsoku/>
        <w:wordWrap/>
        <w:overflowPunct/>
        <w:topLinePunct w:val="0"/>
        <w:bidi w:val="0"/>
        <w:adjustRightInd w:val="0"/>
        <w:snapToGrid w:val="0"/>
        <w:spacing w:before="0" w:after="0" w:line="460" w:lineRule="exact"/>
        <w:ind w:right="0" w:rightChars="0"/>
        <w:jc w:val="center"/>
        <w:textAlignment w:val="auto"/>
        <w:outlineLvl w:val="9"/>
        <w:rPr>
          <w:rFonts w:hint="eastAsia" w:ascii="宋体" w:hAnsi="宋体" w:eastAsia="宋体" w:cs="宋体"/>
          <w:color w:val="000000"/>
          <w:sz w:val="24"/>
          <w:szCs w:val="24"/>
          <w:highlight w:val="none"/>
        </w:rPr>
      </w:pPr>
    </w:p>
    <w:p>
      <w:pPr>
        <w:pStyle w:val="28"/>
        <w:pageBreakBefore w:val="0"/>
        <w:kinsoku/>
        <w:wordWrap/>
        <w:overflowPunct/>
        <w:topLinePunct w:val="0"/>
        <w:bidi w:val="0"/>
        <w:adjustRightInd w:val="0"/>
        <w:snapToGrid w:val="0"/>
        <w:spacing w:before="0" w:after="0" w:line="460" w:lineRule="exact"/>
        <w:ind w:right="0" w:rightChars="0"/>
        <w:jc w:val="center"/>
        <w:textAlignment w:val="auto"/>
        <w:outlineLvl w:val="9"/>
        <w:rPr>
          <w:rFonts w:hint="eastAsia" w:ascii="宋体" w:hAnsi="宋体" w:eastAsia="宋体" w:cs="宋体"/>
          <w:color w:val="000000"/>
          <w:sz w:val="24"/>
          <w:szCs w:val="24"/>
          <w:highlight w:val="none"/>
        </w:rPr>
      </w:pPr>
    </w:p>
    <w:p>
      <w:pPr>
        <w:pStyle w:val="28"/>
        <w:pageBreakBefore w:val="0"/>
        <w:kinsoku/>
        <w:wordWrap/>
        <w:overflowPunct/>
        <w:topLinePunct w:val="0"/>
        <w:bidi w:val="0"/>
        <w:adjustRightInd w:val="0"/>
        <w:snapToGrid w:val="0"/>
        <w:spacing w:before="0" w:after="0" w:line="460" w:lineRule="exact"/>
        <w:ind w:right="0" w:rightChars="0"/>
        <w:jc w:val="center"/>
        <w:textAlignment w:val="auto"/>
        <w:outlineLvl w:val="9"/>
        <w:rPr>
          <w:rFonts w:hint="eastAsia" w:ascii="宋体" w:hAnsi="宋体" w:eastAsia="宋体" w:cs="宋体"/>
          <w:color w:val="000000"/>
          <w:sz w:val="24"/>
          <w:szCs w:val="24"/>
          <w:highlight w:val="none"/>
        </w:rPr>
      </w:pPr>
    </w:p>
    <w:p>
      <w:pPr>
        <w:pStyle w:val="28"/>
        <w:pageBreakBefore w:val="0"/>
        <w:kinsoku/>
        <w:wordWrap/>
        <w:overflowPunct/>
        <w:topLinePunct w:val="0"/>
        <w:bidi w:val="0"/>
        <w:adjustRightInd w:val="0"/>
        <w:snapToGrid w:val="0"/>
        <w:spacing w:before="0" w:after="0" w:line="460" w:lineRule="exact"/>
        <w:ind w:right="0" w:rightChars="0"/>
        <w:jc w:val="center"/>
        <w:textAlignment w:val="auto"/>
        <w:outlineLvl w:val="9"/>
        <w:rPr>
          <w:rFonts w:hint="eastAsia" w:ascii="宋体" w:hAnsi="宋体" w:eastAsia="宋体" w:cs="宋体"/>
          <w:color w:val="000000"/>
          <w:sz w:val="24"/>
          <w:szCs w:val="24"/>
          <w:highlight w:val="none"/>
        </w:rPr>
      </w:pPr>
    </w:p>
    <w:p>
      <w:pPr>
        <w:pStyle w:val="28"/>
        <w:pageBreakBefore w:val="0"/>
        <w:kinsoku/>
        <w:wordWrap/>
        <w:overflowPunct/>
        <w:topLinePunct w:val="0"/>
        <w:bidi w:val="0"/>
        <w:adjustRightInd w:val="0"/>
        <w:snapToGrid w:val="0"/>
        <w:spacing w:before="0" w:after="0" w:line="460" w:lineRule="exact"/>
        <w:ind w:right="0" w:rightChars="0"/>
        <w:jc w:val="center"/>
        <w:textAlignment w:val="auto"/>
        <w:outlineLvl w:val="9"/>
        <w:rPr>
          <w:rFonts w:hint="eastAsia" w:ascii="宋体" w:hAnsi="宋体" w:eastAsia="宋体" w:cs="宋体"/>
          <w:color w:val="000000"/>
          <w:sz w:val="24"/>
          <w:szCs w:val="24"/>
          <w:highlight w:val="none"/>
        </w:rPr>
      </w:pPr>
    </w:p>
    <w:p>
      <w:pPr>
        <w:keepNext w:val="0"/>
        <w:keepLines w:val="0"/>
        <w:pageBreakBefore w:val="0"/>
        <w:widowControl w:val="0"/>
        <w:kinsoku/>
        <w:wordWrap/>
        <w:overflowPunct/>
        <w:topLinePunct w:val="0"/>
        <w:autoSpaceDE/>
        <w:autoSpaceDN/>
        <w:bidi w:val="0"/>
        <w:spacing w:before="120" w:beforeLines="50" w:line="460" w:lineRule="exact"/>
        <w:ind w:left="0" w:leftChars="0" w:right="0" w:rightChars="0" w:firstLine="364" w:firstLineChars="152"/>
        <w:jc w:val="right"/>
        <w:textAlignment w:val="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天津大学招投标管理办公室</w:t>
      </w:r>
    </w:p>
    <w:p>
      <w:pPr>
        <w:keepNext w:val="0"/>
        <w:keepLines w:val="0"/>
        <w:pageBreakBefore w:val="0"/>
        <w:widowControl w:val="0"/>
        <w:kinsoku/>
        <w:wordWrap/>
        <w:overflowPunct/>
        <w:topLinePunct w:val="0"/>
        <w:autoSpaceDE/>
        <w:autoSpaceDN/>
        <w:bidi w:val="0"/>
        <w:spacing w:before="120" w:beforeLines="50" w:line="460" w:lineRule="exact"/>
        <w:ind w:left="0" w:leftChars="0" w:right="0" w:rightChars="0" w:firstLine="364" w:firstLineChars="152"/>
        <w:jc w:val="right"/>
        <w:textAlignment w:val="auto"/>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rPr>
        <w:t>北京国金管理咨询有限公司</w:t>
      </w:r>
    </w:p>
    <w:p>
      <w:pPr>
        <w:keepNext w:val="0"/>
        <w:keepLines w:val="0"/>
        <w:pageBreakBefore w:val="0"/>
        <w:widowControl w:val="0"/>
        <w:kinsoku/>
        <w:wordWrap/>
        <w:overflowPunct/>
        <w:topLinePunct w:val="0"/>
        <w:autoSpaceDE/>
        <w:autoSpaceDN/>
        <w:bidi w:val="0"/>
        <w:spacing w:before="120" w:beforeLines="50" w:line="460" w:lineRule="exact"/>
        <w:ind w:left="0" w:leftChars="0" w:right="0" w:rightChars="0" w:firstLine="364" w:firstLineChars="152"/>
        <w:jc w:val="right"/>
        <w:textAlignment w:val="auto"/>
        <w:outlineLvl w:val="9"/>
        <w:rPr>
          <w:rFonts w:hint="eastAsia" w:ascii="宋体" w:hAnsi="宋体" w:eastAsia="宋体" w:cs="宋体"/>
          <w:sz w:val="24"/>
          <w:szCs w:val="24"/>
          <w:highlight w:val="none"/>
          <w:lang w:eastAsia="zh-CN"/>
        </w:rPr>
      </w:pPr>
      <w:r>
        <w:rPr>
          <w:rFonts w:hint="eastAsia" w:cs="宋体"/>
          <w:sz w:val="24"/>
          <w:szCs w:val="24"/>
          <w:highlight w:val="none"/>
          <w:lang w:eastAsia="zh-CN"/>
        </w:rPr>
        <w:t>2017年10月27日</w:t>
      </w:r>
    </w:p>
    <w:p>
      <w:pPr>
        <w:pStyle w:val="28"/>
        <w:pageBreakBefore w:val="0"/>
        <w:kinsoku/>
        <w:wordWrap/>
        <w:overflowPunct/>
        <w:topLinePunct w:val="0"/>
        <w:bidi w:val="0"/>
        <w:adjustRightInd w:val="0"/>
        <w:snapToGrid w:val="0"/>
        <w:spacing w:before="0" w:after="0" w:line="460" w:lineRule="exact"/>
        <w:ind w:right="0" w:rightChars="0"/>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4"/>
          <w:szCs w:val="24"/>
          <w:highlight w:val="none"/>
        </w:rPr>
        <w:br w:type="page"/>
      </w:r>
      <w:bookmarkStart w:id="40" w:name="_Toc470007405"/>
      <w:bookmarkStart w:id="41" w:name="_Toc20308"/>
      <w:bookmarkStart w:id="42" w:name="_Toc25360"/>
      <w:r>
        <w:rPr>
          <w:rFonts w:hint="eastAsia" w:ascii="宋体" w:hAnsi="宋体" w:eastAsia="宋体" w:cs="宋体"/>
          <w:color w:val="000000"/>
          <w:sz w:val="28"/>
          <w:szCs w:val="28"/>
        </w:rPr>
        <w:t>第二部分：投标人须知</w:t>
      </w:r>
      <w:bookmarkEnd w:id="36"/>
      <w:bookmarkEnd w:id="37"/>
      <w:bookmarkEnd w:id="38"/>
      <w:bookmarkEnd w:id="39"/>
      <w:bookmarkEnd w:id="40"/>
      <w:bookmarkEnd w:id="41"/>
      <w:bookmarkEnd w:id="42"/>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
          <w:sz w:val="24"/>
          <w:szCs w:val="24"/>
        </w:rPr>
      </w:pP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43" w:name="_Toc470007406"/>
      <w:bookmarkStart w:id="44" w:name="_Toc115756022"/>
      <w:bookmarkStart w:id="45" w:name="_Toc395105673"/>
      <w:bookmarkStart w:id="46" w:name="_Toc376852369"/>
      <w:bookmarkStart w:id="47" w:name="_Toc101426141"/>
      <w:r>
        <w:rPr>
          <w:rFonts w:hint="eastAsia" w:ascii="宋体" w:hAnsi="宋体" w:eastAsia="宋体" w:cs="宋体"/>
          <w:sz w:val="24"/>
          <w:szCs w:val="24"/>
        </w:rPr>
        <w:t>一、总 则</w:t>
      </w:r>
      <w:bookmarkEnd w:id="43"/>
      <w:bookmarkEnd w:id="44"/>
      <w:bookmarkEnd w:id="45"/>
      <w:bookmarkEnd w:id="46"/>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48" w:name="_Toc470007407"/>
      <w:r>
        <w:rPr>
          <w:rFonts w:hint="eastAsia" w:ascii="宋体" w:hAnsi="宋体" w:eastAsia="宋体" w:cs="宋体"/>
          <w:sz w:val="24"/>
          <w:szCs w:val="24"/>
        </w:rPr>
        <w:t>1．适用范围</w:t>
      </w:r>
      <w:bookmarkEnd w:id="48"/>
    </w:p>
    <w:p>
      <w:pPr>
        <w:pageBreakBefore w:val="0"/>
        <w:kinsoku/>
        <w:wordWrap/>
        <w:overflowPunct/>
        <w:topLinePunct w:val="0"/>
        <w:bidi w:val="0"/>
        <w:adjustRightInd w:val="0"/>
        <w:snapToGrid w:val="0"/>
        <w:spacing w:line="460" w:lineRule="exact"/>
        <w:ind w:left="426"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1.1本竞争性磋商文件适用于本文件第四部分所述所有货物及相关服务的磋商。</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49" w:name="_Toc470007408"/>
      <w:r>
        <w:rPr>
          <w:rFonts w:hint="eastAsia" w:ascii="宋体" w:hAnsi="宋体" w:eastAsia="宋体" w:cs="宋体"/>
          <w:sz w:val="24"/>
          <w:szCs w:val="24"/>
        </w:rPr>
        <w:t>2．定义</w:t>
      </w:r>
      <w:bookmarkEnd w:id="49"/>
    </w:p>
    <w:p>
      <w:pPr>
        <w:pStyle w:val="15"/>
        <w:pageBreakBefore w:val="0"/>
        <w:tabs>
          <w:tab w:val="left" w:pos="1571"/>
        </w:tabs>
        <w:kinsoku/>
        <w:wordWrap/>
        <w:overflowPunct/>
        <w:topLinePunct w:val="0"/>
        <w:bidi w:val="0"/>
        <w:adjustRightInd w:val="0"/>
        <w:snapToGrid w:val="0"/>
        <w:spacing w:line="460" w:lineRule="exact"/>
        <w:ind w:right="0" w:rightChars="0" w:firstLine="484" w:firstLineChars="202"/>
        <w:jc w:val="both"/>
        <w:textAlignment w:val="auto"/>
        <w:outlineLvl w:val="9"/>
        <w:rPr>
          <w:rFonts w:hint="eastAsia" w:ascii="宋体" w:hAnsi="宋体" w:eastAsia="宋体" w:cs="宋体"/>
          <w:color w:val="000000"/>
        </w:rPr>
      </w:pPr>
      <w:r>
        <w:rPr>
          <w:rFonts w:hint="eastAsia" w:ascii="宋体" w:hAnsi="宋体" w:eastAsia="宋体" w:cs="宋体"/>
          <w:color w:val="000000"/>
        </w:rPr>
        <w:t>2.1 “组织单位”指组织本次招标的天津大学招投标管理办公室。</w:t>
      </w:r>
    </w:p>
    <w:p>
      <w:pPr>
        <w:pStyle w:val="15"/>
        <w:pageBreakBefore w:val="0"/>
        <w:tabs>
          <w:tab w:val="left" w:pos="1571"/>
        </w:tabs>
        <w:kinsoku/>
        <w:wordWrap/>
        <w:overflowPunct/>
        <w:topLinePunct w:val="0"/>
        <w:bidi w:val="0"/>
        <w:adjustRightInd w:val="0"/>
        <w:snapToGrid w:val="0"/>
        <w:spacing w:line="460" w:lineRule="exact"/>
        <w:ind w:right="0" w:rightChars="0" w:firstLine="484" w:firstLineChars="202"/>
        <w:jc w:val="both"/>
        <w:textAlignment w:val="auto"/>
        <w:outlineLvl w:val="9"/>
        <w:rPr>
          <w:rFonts w:hint="eastAsia" w:ascii="宋体" w:hAnsi="宋体" w:eastAsia="宋体" w:cs="宋体"/>
          <w:color w:val="000000"/>
        </w:rPr>
      </w:pPr>
      <w:r>
        <w:rPr>
          <w:rFonts w:hint="eastAsia" w:ascii="宋体" w:hAnsi="宋体" w:eastAsia="宋体" w:cs="宋体"/>
          <w:color w:val="000000"/>
        </w:rPr>
        <w:t>2.2 “采购人”指天津大学。</w:t>
      </w:r>
    </w:p>
    <w:p>
      <w:pPr>
        <w:pStyle w:val="15"/>
        <w:pageBreakBefore w:val="0"/>
        <w:tabs>
          <w:tab w:val="left" w:pos="1571"/>
        </w:tabs>
        <w:kinsoku/>
        <w:wordWrap/>
        <w:overflowPunct/>
        <w:topLinePunct w:val="0"/>
        <w:bidi w:val="0"/>
        <w:adjustRightInd w:val="0"/>
        <w:snapToGrid w:val="0"/>
        <w:spacing w:line="460" w:lineRule="exact"/>
        <w:ind w:right="0" w:rightChars="0" w:firstLine="0"/>
        <w:jc w:val="both"/>
        <w:textAlignment w:val="auto"/>
        <w:outlineLvl w:val="9"/>
        <w:rPr>
          <w:rFonts w:hint="eastAsia" w:ascii="宋体" w:hAnsi="宋体" w:eastAsia="宋体" w:cs="宋体"/>
          <w:color w:val="000000"/>
        </w:rPr>
      </w:pPr>
      <w:r>
        <w:rPr>
          <w:rFonts w:hint="eastAsia" w:ascii="宋体" w:hAnsi="宋体" w:eastAsia="宋体" w:cs="宋体"/>
          <w:color w:val="000000"/>
        </w:rPr>
        <w:t xml:space="preserve">    2.3“服务”指本磋商文件第四部分所有货物相关的运输、安装、调试、校准、培训及售后服务和其它类似的义务。</w:t>
      </w:r>
    </w:p>
    <w:p>
      <w:pPr>
        <w:pStyle w:val="15"/>
        <w:pageBreakBefore w:val="0"/>
        <w:tabs>
          <w:tab w:val="left" w:pos="1571"/>
        </w:tabs>
        <w:kinsoku/>
        <w:wordWrap/>
        <w:overflowPunct/>
        <w:topLinePunct w:val="0"/>
        <w:bidi w:val="0"/>
        <w:adjustRightInd w:val="0"/>
        <w:snapToGrid w:val="0"/>
        <w:spacing w:line="460" w:lineRule="exact"/>
        <w:ind w:right="0" w:rightChars="0" w:firstLine="484" w:firstLineChars="202"/>
        <w:jc w:val="both"/>
        <w:textAlignment w:val="auto"/>
        <w:outlineLvl w:val="9"/>
        <w:rPr>
          <w:rFonts w:hint="eastAsia" w:ascii="宋体" w:hAnsi="宋体" w:eastAsia="宋体" w:cs="宋体"/>
          <w:color w:val="000000"/>
        </w:rPr>
      </w:pPr>
      <w:r>
        <w:rPr>
          <w:rFonts w:hint="eastAsia" w:ascii="宋体" w:hAnsi="宋体" w:eastAsia="宋体" w:cs="宋体"/>
          <w:color w:val="000000"/>
        </w:rPr>
        <w:t>2.4 “潜在投标人”指已报名登记的供应商。</w:t>
      </w:r>
    </w:p>
    <w:p>
      <w:pPr>
        <w:pStyle w:val="15"/>
        <w:pageBreakBefore w:val="0"/>
        <w:tabs>
          <w:tab w:val="left" w:pos="1571"/>
        </w:tabs>
        <w:kinsoku/>
        <w:wordWrap/>
        <w:overflowPunct/>
        <w:topLinePunct w:val="0"/>
        <w:bidi w:val="0"/>
        <w:adjustRightInd w:val="0"/>
        <w:snapToGrid w:val="0"/>
        <w:spacing w:line="460" w:lineRule="exact"/>
        <w:ind w:right="0" w:rightChars="0" w:firstLine="484" w:firstLineChars="202"/>
        <w:jc w:val="both"/>
        <w:textAlignment w:val="auto"/>
        <w:outlineLvl w:val="9"/>
        <w:rPr>
          <w:rFonts w:hint="eastAsia" w:ascii="宋体" w:hAnsi="宋体" w:eastAsia="宋体" w:cs="宋体"/>
          <w:color w:val="000000"/>
        </w:rPr>
      </w:pPr>
      <w:r>
        <w:rPr>
          <w:rFonts w:hint="eastAsia" w:ascii="宋体" w:hAnsi="宋体" w:eastAsia="宋体" w:cs="宋体"/>
          <w:color w:val="000000"/>
        </w:rPr>
        <w:t>2.5 “投标人”指已报名登记并参加投标的供应商。</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50" w:name="_Toc470007409"/>
      <w:r>
        <w:rPr>
          <w:rFonts w:hint="eastAsia" w:ascii="宋体" w:hAnsi="宋体" w:eastAsia="宋体" w:cs="宋体"/>
          <w:sz w:val="24"/>
          <w:szCs w:val="24"/>
        </w:rPr>
        <w:t>3．投标费用</w:t>
      </w:r>
      <w:bookmarkEnd w:id="50"/>
    </w:p>
    <w:p>
      <w:pPr>
        <w:pStyle w:val="15"/>
        <w:pageBreakBefore w:val="0"/>
        <w:tabs>
          <w:tab w:val="left" w:pos="1571"/>
        </w:tabs>
        <w:kinsoku/>
        <w:wordWrap/>
        <w:overflowPunct/>
        <w:topLinePunct w:val="0"/>
        <w:bidi w:val="0"/>
        <w:adjustRightInd w:val="0"/>
        <w:snapToGrid w:val="0"/>
        <w:spacing w:line="460" w:lineRule="exact"/>
        <w:ind w:right="0" w:rightChars="0" w:firstLine="484" w:firstLineChars="202"/>
        <w:jc w:val="both"/>
        <w:textAlignment w:val="auto"/>
        <w:outlineLvl w:val="9"/>
        <w:rPr>
          <w:rFonts w:hint="eastAsia" w:ascii="宋体" w:hAnsi="宋体" w:eastAsia="宋体" w:cs="宋体"/>
          <w:color w:val="000000"/>
        </w:rPr>
      </w:pPr>
      <w:r>
        <w:rPr>
          <w:rFonts w:hint="eastAsia" w:ascii="宋体" w:hAnsi="宋体" w:eastAsia="宋体" w:cs="宋体"/>
          <w:color w:val="000000"/>
        </w:rPr>
        <w:t>3.1投标人在投标过程中的一切费用，不论中标与否，均由投标人自行承担。</w:t>
      </w:r>
    </w:p>
    <w:p>
      <w:pPr>
        <w:pStyle w:val="15"/>
        <w:pageBreakBefore w:val="0"/>
        <w:tabs>
          <w:tab w:val="left" w:pos="1571"/>
        </w:tabs>
        <w:kinsoku/>
        <w:wordWrap/>
        <w:overflowPunct/>
        <w:topLinePunct w:val="0"/>
        <w:bidi w:val="0"/>
        <w:adjustRightInd w:val="0"/>
        <w:snapToGrid w:val="0"/>
        <w:spacing w:line="460" w:lineRule="exact"/>
        <w:ind w:right="0" w:rightChars="0" w:firstLine="484" w:firstLineChars="202"/>
        <w:jc w:val="both"/>
        <w:textAlignment w:val="auto"/>
        <w:outlineLvl w:val="9"/>
        <w:rPr>
          <w:rFonts w:hint="eastAsia" w:ascii="宋体" w:hAnsi="宋体" w:eastAsia="宋体" w:cs="宋体"/>
          <w:color w:val="000000"/>
        </w:rPr>
      </w:pPr>
      <w:r>
        <w:rPr>
          <w:rFonts w:hint="eastAsia" w:ascii="宋体" w:hAnsi="宋体" w:eastAsia="宋体" w:cs="宋体"/>
          <w:color w:val="000000"/>
        </w:rPr>
        <w:t>3.2采购人对未中标者不予补偿。</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51" w:name="_Toc470007410"/>
      <w:bookmarkStart w:id="52" w:name="_Toc101426133"/>
      <w:r>
        <w:rPr>
          <w:rFonts w:hint="eastAsia" w:ascii="宋体" w:hAnsi="宋体" w:eastAsia="宋体" w:cs="宋体"/>
          <w:sz w:val="24"/>
          <w:szCs w:val="24"/>
        </w:rPr>
        <w:t>4．通知</w:t>
      </w:r>
      <w:bookmarkEnd w:id="51"/>
    </w:p>
    <w:p>
      <w:pPr>
        <w:pStyle w:val="15"/>
        <w:pageBreakBefore w:val="0"/>
        <w:numPr>
          <w:ilvl w:val="1"/>
          <w:numId w:val="6"/>
        </w:numPr>
        <w:kinsoku/>
        <w:wordWrap/>
        <w:overflowPunct/>
        <w:topLinePunct w:val="0"/>
        <w:bidi w:val="0"/>
        <w:adjustRightInd w:val="0"/>
        <w:snapToGrid w:val="0"/>
        <w:spacing w:line="460" w:lineRule="exact"/>
        <w:ind w:right="0" w:rightChars="0"/>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对与本项目有关的所有通知、澄清和修改，采购人将以书面形式和在中国政府采购网（http://www.ccgp.gov.cn）、天津大学招标信息网（zbb.tju.edu.cn）发布公告的形式，送达所有与通知有关的已报名登记并领取了竞争性磋商文件的潜在投标人，通知一经采购人发出即视为送达潜在投标人。潜在投标人应于收到通知的当日以书面形式予以回复确认。因潜在投标人登记有误或网络线路故障导致通知、澄清和修改延迟送达或无法送达，采购人不承担责任。</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53" w:name="_Toc470007411"/>
      <w:r>
        <w:rPr>
          <w:rFonts w:hint="eastAsia" w:ascii="宋体" w:hAnsi="宋体" w:eastAsia="宋体" w:cs="宋体"/>
          <w:sz w:val="24"/>
          <w:szCs w:val="24"/>
          <w:highlight w:val="none"/>
        </w:rPr>
        <w:t>5．采购方式</w:t>
      </w:r>
      <w:bookmarkEnd w:id="52"/>
      <w:bookmarkEnd w:id="53"/>
    </w:p>
    <w:p>
      <w:pPr>
        <w:pStyle w:val="15"/>
        <w:pageBreakBefore w:val="0"/>
        <w:kinsoku/>
        <w:wordWrap/>
        <w:overflowPunct/>
        <w:topLinePunct w:val="0"/>
        <w:bidi w:val="0"/>
        <w:adjustRightInd w:val="0"/>
        <w:snapToGrid w:val="0"/>
        <w:spacing w:line="460" w:lineRule="exact"/>
        <w:ind w:right="0" w:rightChars="0" w:firstLine="484" w:firstLineChars="202"/>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5.1本项目采用竞争性磋商方式。</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54" w:name="_Toc470007412"/>
      <w:r>
        <w:rPr>
          <w:rFonts w:hint="eastAsia" w:ascii="宋体" w:hAnsi="宋体" w:eastAsia="宋体" w:cs="宋体"/>
          <w:sz w:val="24"/>
          <w:szCs w:val="24"/>
          <w:highlight w:val="none"/>
        </w:rPr>
        <w:t>6．语言</w:t>
      </w:r>
      <w:bookmarkEnd w:id="54"/>
    </w:p>
    <w:p>
      <w:pPr>
        <w:pStyle w:val="15"/>
        <w:pageBreakBefore w:val="0"/>
        <w:kinsoku/>
        <w:wordWrap/>
        <w:overflowPunct/>
        <w:topLinePunct w:val="0"/>
        <w:bidi w:val="0"/>
        <w:adjustRightInd w:val="0"/>
        <w:snapToGrid w:val="0"/>
        <w:spacing w:line="460" w:lineRule="exact"/>
        <w:ind w:left="742" w:leftChars="203" w:right="0" w:rightChars="0" w:hanging="316" w:hangingChars="132"/>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6.1投标人提交的响应文件以及投标人与采购人就有关投标的所有来往函电均应使用中文简化字。</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55" w:name="_Toc470007413"/>
      <w:r>
        <w:rPr>
          <w:rFonts w:hint="eastAsia" w:ascii="宋体" w:hAnsi="宋体" w:eastAsia="宋体" w:cs="宋体"/>
          <w:sz w:val="24"/>
          <w:szCs w:val="24"/>
          <w:highlight w:val="none"/>
        </w:rPr>
        <w:t>7．交货和提供服务的时间要求</w:t>
      </w:r>
      <w:bookmarkEnd w:id="55"/>
    </w:p>
    <w:p>
      <w:pPr>
        <w:pStyle w:val="15"/>
        <w:pageBreakBefore w:val="0"/>
        <w:tabs>
          <w:tab w:val="left" w:pos="1571"/>
        </w:tabs>
        <w:kinsoku/>
        <w:wordWrap/>
        <w:overflowPunct/>
        <w:topLinePunct w:val="0"/>
        <w:bidi w:val="0"/>
        <w:adjustRightInd w:val="0"/>
        <w:snapToGrid w:val="0"/>
        <w:spacing w:line="460" w:lineRule="exact"/>
        <w:ind w:left="313" w:leftChars="149" w:right="0" w:rightChars="0" w:firstLine="124" w:firstLineChars="52"/>
        <w:jc w:val="both"/>
        <w:textAlignment w:val="auto"/>
        <w:outlineLvl w:val="9"/>
        <w:rPr>
          <w:rFonts w:hint="eastAsia" w:ascii="宋体" w:hAnsi="宋体" w:eastAsia="宋体" w:cs="宋体"/>
          <w:color w:val="000000"/>
        </w:rPr>
      </w:pPr>
      <w:r>
        <w:rPr>
          <w:rFonts w:hint="eastAsia" w:ascii="宋体" w:hAnsi="宋体" w:eastAsia="宋体" w:cs="宋体"/>
          <w:color w:val="000000"/>
        </w:rPr>
        <w:t>7.1交货和提供服务的时间：按合同约定执行。</w:t>
      </w:r>
    </w:p>
    <w:p>
      <w:pPr>
        <w:pStyle w:val="15"/>
        <w:pageBreakBefore w:val="0"/>
        <w:tabs>
          <w:tab w:val="left" w:pos="1571"/>
        </w:tabs>
        <w:kinsoku/>
        <w:wordWrap/>
        <w:overflowPunct/>
        <w:topLinePunct w:val="0"/>
        <w:bidi w:val="0"/>
        <w:adjustRightInd w:val="0"/>
        <w:snapToGrid w:val="0"/>
        <w:spacing w:line="460" w:lineRule="exact"/>
        <w:ind w:left="313" w:leftChars="149" w:right="0" w:rightChars="0" w:firstLine="124" w:firstLineChars="52"/>
        <w:jc w:val="both"/>
        <w:textAlignment w:val="auto"/>
        <w:outlineLvl w:val="9"/>
        <w:rPr>
          <w:rFonts w:hint="eastAsia" w:ascii="宋体" w:hAnsi="宋体" w:eastAsia="宋体" w:cs="宋体"/>
          <w:color w:val="000000"/>
        </w:rPr>
      </w:pPr>
      <w:r>
        <w:rPr>
          <w:rFonts w:hint="eastAsia" w:ascii="宋体" w:hAnsi="宋体" w:eastAsia="宋体" w:cs="宋体"/>
          <w:color w:val="000000"/>
        </w:rPr>
        <w:t>7.2投标人可在坚持其报价的前提下，在其响应文件中对前款规定的时间予以提前。</w:t>
      </w:r>
    </w:p>
    <w:p>
      <w:pPr>
        <w:pageBreakBefore w:val="0"/>
        <w:kinsoku/>
        <w:wordWrap/>
        <w:overflowPunct/>
        <w:topLinePunct w:val="0"/>
        <w:bidi w:val="0"/>
        <w:adjustRightInd w:val="0"/>
        <w:snapToGrid w:val="0"/>
        <w:spacing w:line="460" w:lineRule="exact"/>
        <w:ind w:right="0" w:rightChars="0" w:firstLine="321" w:firstLineChars="134"/>
        <w:textAlignment w:val="auto"/>
        <w:outlineLvl w:val="9"/>
        <w:rPr>
          <w:rFonts w:hint="eastAsia" w:ascii="宋体" w:hAnsi="宋体" w:eastAsia="宋体" w:cs="宋体"/>
          <w:sz w:val="24"/>
          <w:szCs w:val="24"/>
        </w:rPr>
      </w:pPr>
      <w:bookmarkStart w:id="56" w:name="_Toc395105674"/>
      <w:bookmarkStart w:id="57" w:name="_Toc115756023"/>
      <w:bookmarkStart w:id="58" w:name="_Toc470007414"/>
      <w:bookmarkStart w:id="59" w:name="_Toc376852370"/>
      <w:r>
        <w:rPr>
          <w:rFonts w:hint="eastAsia" w:ascii="宋体" w:hAnsi="宋体" w:eastAsia="宋体" w:cs="宋体"/>
          <w:sz w:val="24"/>
          <w:szCs w:val="24"/>
        </w:rPr>
        <w:t>二、竞争性磋商文件说明</w:t>
      </w:r>
      <w:bookmarkEnd w:id="56"/>
      <w:bookmarkEnd w:id="57"/>
      <w:bookmarkEnd w:id="58"/>
      <w:bookmarkEnd w:id="59"/>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60" w:name="_Toc470007415"/>
      <w:bookmarkStart w:id="61" w:name="_Toc395085162"/>
      <w:r>
        <w:rPr>
          <w:rFonts w:hint="eastAsia" w:ascii="宋体" w:hAnsi="宋体" w:eastAsia="宋体" w:cs="宋体"/>
          <w:sz w:val="24"/>
          <w:szCs w:val="24"/>
        </w:rPr>
        <w:t>8．竞争性磋商文件的内容</w:t>
      </w:r>
      <w:bookmarkEnd w:id="60"/>
      <w:bookmarkEnd w:id="61"/>
    </w:p>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rPr>
      </w:pPr>
      <w:r>
        <w:rPr>
          <w:rFonts w:hint="eastAsia" w:ascii="宋体" w:hAnsi="宋体" w:eastAsia="宋体" w:cs="宋体"/>
          <w:color w:val="000000"/>
        </w:rPr>
        <w:t>8.1本项目竞争性磋商文件包括下列文件及所有按本须知第9条发出的修改书：</w:t>
      </w:r>
    </w:p>
    <w:p>
      <w:pPr>
        <w:pStyle w:val="15"/>
        <w:pageBreakBefore w:val="0"/>
        <w:tabs>
          <w:tab w:val="left" w:pos="1571"/>
        </w:tabs>
        <w:kinsoku/>
        <w:wordWrap/>
        <w:overflowPunct/>
        <w:topLinePunct w:val="0"/>
        <w:bidi w:val="0"/>
        <w:adjustRightInd w:val="0"/>
        <w:snapToGrid w:val="0"/>
        <w:spacing w:line="460" w:lineRule="exact"/>
        <w:ind w:left="848" w:leftChars="404" w:right="0" w:rightChars="0" w:firstLine="1"/>
        <w:jc w:val="both"/>
        <w:textAlignment w:val="auto"/>
        <w:outlineLvl w:val="9"/>
        <w:rPr>
          <w:rFonts w:hint="eastAsia" w:ascii="宋体" w:hAnsi="宋体" w:eastAsia="宋体" w:cs="宋体"/>
          <w:color w:val="000000"/>
        </w:rPr>
      </w:pPr>
      <w:r>
        <w:rPr>
          <w:rFonts w:hint="eastAsia" w:ascii="宋体" w:hAnsi="宋体" w:eastAsia="宋体" w:cs="宋体"/>
          <w:color w:val="000000"/>
        </w:rPr>
        <w:t>第一部分   磋商邀请</w:t>
      </w:r>
    </w:p>
    <w:p>
      <w:pPr>
        <w:pStyle w:val="15"/>
        <w:pageBreakBefore w:val="0"/>
        <w:tabs>
          <w:tab w:val="left" w:pos="1571"/>
        </w:tabs>
        <w:kinsoku/>
        <w:wordWrap/>
        <w:overflowPunct/>
        <w:topLinePunct w:val="0"/>
        <w:bidi w:val="0"/>
        <w:adjustRightInd w:val="0"/>
        <w:snapToGrid w:val="0"/>
        <w:spacing w:line="460" w:lineRule="exact"/>
        <w:ind w:left="848" w:leftChars="404" w:right="0" w:rightChars="0" w:firstLine="1"/>
        <w:jc w:val="both"/>
        <w:textAlignment w:val="auto"/>
        <w:outlineLvl w:val="9"/>
        <w:rPr>
          <w:rFonts w:hint="eastAsia" w:ascii="宋体" w:hAnsi="宋体" w:eastAsia="宋体" w:cs="宋体"/>
          <w:color w:val="000000"/>
        </w:rPr>
      </w:pPr>
      <w:r>
        <w:rPr>
          <w:rFonts w:hint="eastAsia" w:ascii="宋体" w:hAnsi="宋体" w:eastAsia="宋体" w:cs="宋体"/>
          <w:color w:val="000000"/>
        </w:rPr>
        <w:t>第二部分   投标人须知</w:t>
      </w:r>
    </w:p>
    <w:p>
      <w:pPr>
        <w:pStyle w:val="15"/>
        <w:pageBreakBefore w:val="0"/>
        <w:tabs>
          <w:tab w:val="left" w:pos="1571"/>
        </w:tabs>
        <w:kinsoku/>
        <w:wordWrap/>
        <w:overflowPunct/>
        <w:topLinePunct w:val="0"/>
        <w:bidi w:val="0"/>
        <w:adjustRightInd w:val="0"/>
        <w:snapToGrid w:val="0"/>
        <w:spacing w:line="460" w:lineRule="exact"/>
        <w:ind w:left="848" w:leftChars="404" w:right="0" w:rightChars="0" w:firstLine="1"/>
        <w:jc w:val="both"/>
        <w:textAlignment w:val="auto"/>
        <w:outlineLvl w:val="9"/>
        <w:rPr>
          <w:rFonts w:hint="eastAsia" w:ascii="宋体" w:hAnsi="宋体" w:eastAsia="宋体" w:cs="宋体"/>
          <w:color w:val="000000"/>
        </w:rPr>
      </w:pPr>
      <w:r>
        <w:rPr>
          <w:rFonts w:hint="eastAsia" w:ascii="宋体" w:hAnsi="宋体" w:eastAsia="宋体" w:cs="宋体"/>
          <w:color w:val="000000"/>
        </w:rPr>
        <w:t>第三部分   评标标准和评分方法</w:t>
      </w:r>
    </w:p>
    <w:p>
      <w:pPr>
        <w:pStyle w:val="15"/>
        <w:pageBreakBefore w:val="0"/>
        <w:tabs>
          <w:tab w:val="left" w:pos="1571"/>
        </w:tabs>
        <w:kinsoku/>
        <w:wordWrap/>
        <w:overflowPunct/>
        <w:topLinePunct w:val="0"/>
        <w:bidi w:val="0"/>
        <w:adjustRightInd w:val="0"/>
        <w:snapToGrid w:val="0"/>
        <w:spacing w:line="460" w:lineRule="exact"/>
        <w:ind w:left="848" w:leftChars="404" w:right="0" w:rightChars="0" w:firstLine="1"/>
        <w:jc w:val="both"/>
        <w:textAlignment w:val="auto"/>
        <w:outlineLvl w:val="9"/>
        <w:rPr>
          <w:rFonts w:hint="eastAsia" w:ascii="宋体" w:hAnsi="宋体" w:eastAsia="宋体" w:cs="宋体"/>
          <w:color w:val="000000"/>
        </w:rPr>
      </w:pPr>
      <w:r>
        <w:rPr>
          <w:rFonts w:hint="eastAsia" w:ascii="宋体" w:hAnsi="宋体" w:eastAsia="宋体" w:cs="宋体"/>
          <w:color w:val="000000"/>
        </w:rPr>
        <w:t>第四部分   招标产品清单和技术要求</w:t>
      </w:r>
    </w:p>
    <w:p>
      <w:pPr>
        <w:pStyle w:val="15"/>
        <w:pageBreakBefore w:val="0"/>
        <w:tabs>
          <w:tab w:val="left" w:pos="1571"/>
        </w:tabs>
        <w:kinsoku/>
        <w:wordWrap/>
        <w:overflowPunct/>
        <w:topLinePunct w:val="0"/>
        <w:bidi w:val="0"/>
        <w:adjustRightInd w:val="0"/>
        <w:snapToGrid w:val="0"/>
        <w:spacing w:line="460" w:lineRule="exact"/>
        <w:ind w:left="848" w:leftChars="404" w:right="0" w:rightChars="0" w:firstLine="1"/>
        <w:jc w:val="both"/>
        <w:textAlignment w:val="auto"/>
        <w:outlineLvl w:val="9"/>
        <w:rPr>
          <w:rFonts w:hint="eastAsia" w:ascii="宋体" w:hAnsi="宋体" w:eastAsia="宋体" w:cs="宋体"/>
          <w:color w:val="000000"/>
        </w:rPr>
      </w:pPr>
      <w:r>
        <w:rPr>
          <w:rFonts w:hint="eastAsia" w:ascii="宋体" w:hAnsi="宋体" w:eastAsia="宋体" w:cs="宋体"/>
          <w:color w:val="000000"/>
        </w:rPr>
        <w:t>第五部分   采购合同</w:t>
      </w:r>
    </w:p>
    <w:p>
      <w:pPr>
        <w:pStyle w:val="15"/>
        <w:pageBreakBefore w:val="0"/>
        <w:tabs>
          <w:tab w:val="left" w:pos="1571"/>
        </w:tabs>
        <w:kinsoku/>
        <w:wordWrap/>
        <w:overflowPunct/>
        <w:topLinePunct w:val="0"/>
        <w:bidi w:val="0"/>
        <w:adjustRightInd w:val="0"/>
        <w:snapToGrid w:val="0"/>
        <w:spacing w:line="460" w:lineRule="exact"/>
        <w:ind w:left="848" w:leftChars="404" w:right="0" w:rightChars="0" w:firstLine="1"/>
        <w:jc w:val="both"/>
        <w:textAlignment w:val="auto"/>
        <w:outlineLvl w:val="9"/>
        <w:rPr>
          <w:rFonts w:hint="eastAsia" w:ascii="宋体" w:hAnsi="宋体" w:eastAsia="宋体" w:cs="宋体"/>
          <w:color w:val="000000"/>
        </w:rPr>
      </w:pPr>
      <w:r>
        <w:rPr>
          <w:rFonts w:hint="eastAsia" w:ascii="宋体" w:hAnsi="宋体" w:eastAsia="宋体" w:cs="宋体"/>
          <w:color w:val="000000"/>
        </w:rPr>
        <w:t>第六部分   响应文件格式</w:t>
      </w:r>
    </w:p>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rPr>
      </w:pPr>
      <w:r>
        <w:rPr>
          <w:rFonts w:hint="eastAsia" w:ascii="宋体" w:hAnsi="宋体" w:eastAsia="宋体" w:cs="宋体"/>
          <w:color w:val="000000"/>
        </w:rPr>
        <w:t>8.2 投标人应认真检查竞争性磋商文件是否完整，若发现缺页或附件不全时，应及时向采购人提出，以便补齐；在报名截止时间前未提出，则视为竞争性磋商文件完整、无误。</w:t>
      </w:r>
    </w:p>
    <w:p>
      <w:pPr>
        <w:pageBreakBefore w:val="0"/>
        <w:widowControl/>
        <w:kinsoku/>
        <w:wordWrap/>
        <w:overflowPunct/>
        <w:topLinePunct w:val="0"/>
        <w:bidi w:val="0"/>
        <w:adjustRightInd w:val="0"/>
        <w:snapToGrid w:val="0"/>
        <w:spacing w:line="460" w:lineRule="exact"/>
        <w:ind w:left="910" w:leftChars="203" w:right="0" w:rightChars="0" w:hanging="484" w:hangingChars="202"/>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8.3 如果竞争性磋商文件各个组成部分之间出现歧义或相互矛盾，或任何文件中出现明显不符合逻辑等错误，或出现打印错误等，投标人应以书面形式按9.1条之规定提出，采购人将以书面形式予以澄清。如果投标人未能在规定时间前发现并对有关歧义、矛盾或错误提出澄清要求，而在此后发现并提出，投标人将必须接受由采购人做出的解释。</w:t>
      </w:r>
    </w:p>
    <w:p>
      <w:pPr>
        <w:pageBreakBefore w:val="0"/>
        <w:widowControl/>
        <w:kinsoku/>
        <w:wordWrap/>
        <w:overflowPunct/>
        <w:topLinePunct w:val="0"/>
        <w:bidi w:val="0"/>
        <w:adjustRightInd w:val="0"/>
        <w:snapToGrid w:val="0"/>
        <w:spacing w:line="460" w:lineRule="exact"/>
        <w:ind w:left="910" w:leftChars="203" w:right="0" w:rightChars="0" w:hanging="484" w:hangingChars="202"/>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8.4如果投标人认为竞争性磋商文件中存在8.3条中的歧义、矛盾、错误或存在其它不合理条件，投标人应以书面形式按9.1条之规定提出，采购人将以书面形式予以澄清。如果投标人未能在规定的时间前提出上述问题，则视为投标人已完全接受本竞争性磋商文件，在此之后，不管中标与否，都不得对竞争性磋商文件内容提出异议。</w:t>
      </w:r>
    </w:p>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rPr>
      </w:pPr>
      <w:r>
        <w:rPr>
          <w:rFonts w:hint="eastAsia" w:ascii="宋体" w:hAnsi="宋体" w:eastAsia="宋体" w:cs="宋体"/>
          <w:color w:val="000000"/>
        </w:rPr>
        <w:t>8.5凡获得竞争性磋商文件者，无论投标人中标与否，均应对竞争性磋商文件保密，并承担因其泄密而引起的一切责任。</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62" w:name="_Toc470007416"/>
      <w:r>
        <w:rPr>
          <w:rFonts w:hint="eastAsia" w:ascii="宋体" w:hAnsi="宋体" w:eastAsia="宋体" w:cs="宋体"/>
          <w:sz w:val="24"/>
          <w:szCs w:val="24"/>
        </w:rPr>
        <w:t>9．竞争性磋商文件的澄清</w:t>
      </w:r>
      <w:bookmarkEnd w:id="47"/>
      <w:r>
        <w:rPr>
          <w:rFonts w:hint="eastAsia" w:ascii="宋体" w:hAnsi="宋体" w:eastAsia="宋体" w:cs="宋体"/>
          <w:sz w:val="24"/>
          <w:szCs w:val="24"/>
        </w:rPr>
        <w:t>和修改</w:t>
      </w:r>
      <w:bookmarkEnd w:id="62"/>
    </w:p>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9.1任何已报名登记并领取了竞争性磋商文件的潜在投标人，均可要求对竞争性磋商文件进行澄清。澄清要求应在</w:t>
      </w:r>
      <w:r>
        <w:rPr>
          <w:rFonts w:hint="eastAsia" w:ascii="宋体" w:hAnsi="宋体" w:cs="宋体"/>
          <w:color w:val="000000"/>
          <w:highlight w:val="none"/>
          <w:u w:val="single"/>
          <w:lang w:eastAsia="zh-CN"/>
        </w:rPr>
        <w:t>2017年11月3日</w:t>
      </w:r>
      <w:r>
        <w:rPr>
          <w:rFonts w:hint="eastAsia" w:ascii="宋体" w:hAnsi="宋体" w:eastAsia="宋体" w:cs="宋体"/>
          <w:color w:val="000000"/>
          <w:highlight w:val="none"/>
          <w:u w:val="single"/>
        </w:rPr>
        <w:t>1</w:t>
      </w:r>
      <w:r>
        <w:rPr>
          <w:rFonts w:hint="eastAsia" w:ascii="宋体" w:hAnsi="宋体" w:eastAsia="宋体" w:cs="宋体"/>
          <w:color w:val="000000"/>
          <w:highlight w:val="none"/>
          <w:u w:val="single"/>
          <w:lang w:val="en-US" w:eastAsia="zh-CN"/>
        </w:rPr>
        <w:t>7</w:t>
      </w:r>
      <w:r>
        <w:rPr>
          <w:rFonts w:hint="eastAsia" w:ascii="宋体" w:hAnsi="宋体" w:eastAsia="宋体" w:cs="宋体"/>
          <w:color w:val="000000"/>
          <w:highlight w:val="none"/>
          <w:u w:val="single"/>
        </w:rPr>
        <w:t>时前</w:t>
      </w:r>
      <w:r>
        <w:rPr>
          <w:rFonts w:hint="eastAsia" w:ascii="宋体" w:hAnsi="宋体" w:eastAsia="宋体" w:cs="宋体"/>
          <w:color w:val="000000"/>
          <w:highlight w:val="none"/>
        </w:rPr>
        <w:t>按磋商邀请中的联系方式以书面形式送达采购人，澄清要求需加盖单位公章。</w:t>
      </w:r>
    </w:p>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9.2采购人将在投标截止期5日前，对所有潜在投标人提出的澄清要求以书面形式进行答复，答复中包括原提出的问题，但不包括问题的来源。</w:t>
      </w:r>
      <w:bookmarkStart w:id="63" w:name="_Toc101426142"/>
    </w:p>
    <w:bookmarkEnd w:id="63"/>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9.3 采购人在响应文件递交截止日期5日之前的任何时候，可因任何原因，对竞争性磋商文件进行修改。这种修改可能是采购人主动做出的，也可能是为了解答投标人要求澄清的问题而做出的。</w:t>
      </w:r>
    </w:p>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9.4由采购人做出的澄清和修改，将书面通知所有已报名登记并领取竞争性磋商文件的潜在投标人,发出书面通知的同时将会在中国政府采购网（http://www.ccgp.gov.cn）、天津大学招标信息网（zbb.tju.edu.cn）发布更正公告。所有澄清和修改以向投标人发出竞争性磋商文件补充文件的方式做出，投标人应于收到补充文件当日以书面形式回复确认。</w:t>
      </w:r>
    </w:p>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9.5澄清或者修改的内容可能影响响应文件编制的，采购人在提交首次响应文件截止时间至少5日前，以书面形式通知所有获取磋商文件的供应商；不足5日的，采购人应当顺延提交首次响应文件截止时间。并以书面形式通知所有已报名登记并领取竞争性磋商文件的潜在投标人，同时在中国政府采购网（http://www.ccgp.gov.cn）、天津大学招标信息网（zbb.tju.edu.cn）发布更正公告。投标人收到通知后，应于当日以书面形式回复确认。采购人和投标人的权利义务将受到新的截止时间的约束。</w:t>
      </w:r>
    </w:p>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9.6如果采购人前后发放的竞争性磋商文件以及补充文件内容不一致或相互抵触，则以后发出的补充文件为准。</w:t>
      </w:r>
    </w:p>
    <w:p>
      <w:pPr>
        <w:pStyle w:val="15"/>
        <w:pageBreakBefore w:val="0"/>
        <w:tabs>
          <w:tab w:val="left" w:pos="1571"/>
        </w:tabs>
        <w:kinsoku/>
        <w:wordWrap/>
        <w:overflowPunct/>
        <w:topLinePunct w:val="0"/>
        <w:bidi w:val="0"/>
        <w:adjustRightInd w:val="0"/>
        <w:snapToGrid w:val="0"/>
        <w:spacing w:line="460" w:lineRule="exact"/>
        <w:ind w:left="910" w:leftChars="203" w:right="0" w:rightChars="0" w:hanging="484" w:hangingChars="202"/>
        <w:jc w:val="both"/>
        <w:textAlignment w:val="auto"/>
        <w:outlineLvl w:val="9"/>
        <w:rPr>
          <w:rFonts w:hint="eastAsia" w:ascii="宋体" w:hAnsi="宋体" w:eastAsia="宋体" w:cs="宋体"/>
          <w:color w:val="000000"/>
          <w:highlight w:val="none"/>
        </w:rPr>
      </w:pPr>
      <w:r>
        <w:rPr>
          <w:rFonts w:hint="eastAsia" w:ascii="宋体" w:hAnsi="宋体" w:eastAsia="宋体" w:cs="宋体"/>
          <w:color w:val="000000"/>
          <w:highlight w:val="none"/>
        </w:rPr>
        <w:t>9.7采购人将视情况确定是否有必要召开标前会，若召开标前会，采购人将书面通知所有已报名登记并领取了竞争性磋商文件的潜在投标人，同时在中国政府采购网（http://www.ccgp.gov.cn）、天津大学招标信息网（zbb.tju.edu.cn）发布公告。</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64" w:name="_Toc115756024"/>
      <w:bookmarkStart w:id="65" w:name="_Toc470007417"/>
      <w:bookmarkStart w:id="66" w:name="_Toc376852371"/>
      <w:bookmarkStart w:id="67" w:name="_Toc395105675"/>
      <w:r>
        <w:rPr>
          <w:rFonts w:hint="eastAsia" w:ascii="宋体" w:hAnsi="宋体" w:eastAsia="宋体" w:cs="宋体"/>
          <w:sz w:val="24"/>
          <w:szCs w:val="24"/>
          <w:highlight w:val="none"/>
        </w:rPr>
        <w:t>三、响应文件的编写</w:t>
      </w:r>
      <w:bookmarkEnd w:id="64"/>
      <w:bookmarkEnd w:id="65"/>
      <w:bookmarkEnd w:id="66"/>
      <w:bookmarkEnd w:id="67"/>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68" w:name="_Toc470007418"/>
      <w:r>
        <w:rPr>
          <w:rFonts w:hint="eastAsia" w:ascii="宋体" w:hAnsi="宋体" w:eastAsia="宋体" w:cs="宋体"/>
          <w:sz w:val="24"/>
          <w:szCs w:val="24"/>
          <w:highlight w:val="none"/>
        </w:rPr>
        <w:t>10．总体要求</w:t>
      </w:r>
      <w:bookmarkEnd w:id="68"/>
    </w:p>
    <w:p>
      <w:pPr>
        <w:pStyle w:val="19"/>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color w:val="000000"/>
        </w:rPr>
      </w:pPr>
      <w:r>
        <w:rPr>
          <w:rFonts w:hint="eastAsia" w:ascii="宋体" w:hAnsi="宋体" w:eastAsia="宋体" w:cs="宋体"/>
          <w:color w:val="000000"/>
        </w:rPr>
        <w:t>10.1投标人应仔细阅读竞争性磋商文件的所有内容，按竞争性磋商文件的要求编制响应文件，并保证所提供的全部资料的真实性、完整性及有效性，以使其投标对竞争性磋商文件做出实质性响应。</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69" w:name="_Toc470007419"/>
      <w:r>
        <w:rPr>
          <w:rFonts w:hint="eastAsia" w:ascii="宋体" w:hAnsi="宋体" w:eastAsia="宋体" w:cs="宋体"/>
          <w:sz w:val="24"/>
          <w:szCs w:val="24"/>
        </w:rPr>
        <w:t>11．响应文件的组成</w:t>
      </w:r>
      <w:bookmarkEnd w:id="69"/>
    </w:p>
    <w:p>
      <w:pPr>
        <w:pageBreakBefore w:val="0"/>
        <w:kinsoku/>
        <w:wordWrap/>
        <w:overflowPunct/>
        <w:topLinePunct w:val="0"/>
        <w:bidi w:val="0"/>
        <w:adjustRightInd w:val="0"/>
        <w:snapToGrid w:val="0"/>
        <w:spacing w:line="460" w:lineRule="exact"/>
        <w:ind w:left="745" w:leftChars="203" w:right="0" w:rightChars="0" w:hanging="319" w:hangingChars="133"/>
        <w:textAlignment w:val="auto"/>
        <w:outlineLvl w:val="9"/>
        <w:rPr>
          <w:rFonts w:hint="eastAsia" w:ascii="宋体" w:hAnsi="宋体" w:eastAsia="宋体" w:cs="宋体"/>
          <w:sz w:val="24"/>
          <w:szCs w:val="24"/>
        </w:rPr>
      </w:pPr>
      <w:r>
        <w:rPr>
          <w:rFonts w:hint="eastAsia" w:ascii="宋体" w:hAnsi="宋体" w:eastAsia="宋体" w:cs="宋体"/>
          <w:sz w:val="24"/>
          <w:szCs w:val="24"/>
        </w:rPr>
        <w:t>11.1响应文件应由以下内容组成：</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*响应书</w:t>
      </w:r>
      <w:r>
        <w:rPr>
          <w:rFonts w:hint="eastAsia" w:ascii="宋体" w:hAnsi="宋体" w:eastAsia="宋体" w:cs="宋体"/>
          <w:sz w:val="24"/>
          <w:szCs w:val="24"/>
        </w:rPr>
        <w:t>（加盖投标人公章）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*报价一览表</w:t>
      </w:r>
      <w:r>
        <w:rPr>
          <w:rFonts w:hint="eastAsia" w:ascii="宋体" w:hAnsi="宋体" w:eastAsia="宋体" w:cs="宋体"/>
          <w:sz w:val="24"/>
          <w:szCs w:val="24"/>
        </w:rPr>
        <w:t>（加盖投标人公章）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*产品报价明细表</w:t>
      </w:r>
      <w:r>
        <w:rPr>
          <w:rFonts w:hint="eastAsia" w:ascii="宋体" w:hAnsi="宋体" w:eastAsia="宋体" w:cs="宋体"/>
          <w:sz w:val="24"/>
          <w:szCs w:val="24"/>
        </w:rPr>
        <w:t>（加盖投标人公章）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*法定代表人证明书</w:t>
      </w:r>
      <w:r>
        <w:rPr>
          <w:rFonts w:hint="eastAsia" w:ascii="宋体" w:hAnsi="宋体" w:eastAsia="宋体" w:cs="宋体"/>
          <w:sz w:val="24"/>
          <w:szCs w:val="24"/>
        </w:rPr>
        <w:t>（加盖投标人公章）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*法定代表人身份证复印件或其他身份证明</w:t>
      </w:r>
      <w:r>
        <w:rPr>
          <w:rFonts w:hint="eastAsia" w:ascii="宋体" w:hAnsi="宋体" w:eastAsia="宋体" w:cs="宋体"/>
          <w:sz w:val="24"/>
          <w:szCs w:val="24"/>
        </w:rPr>
        <w:t>（加盖投标人公章）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法定代表人的授权委托书（如由授权代表参加投标时必须提供，否则投标无效）</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授权代表身份证复印件或其他身份证明</w:t>
      </w:r>
      <w:r>
        <w:rPr>
          <w:rFonts w:hint="eastAsia" w:ascii="宋体" w:hAnsi="宋体" w:eastAsia="宋体" w:cs="宋体"/>
          <w:sz w:val="24"/>
          <w:szCs w:val="24"/>
        </w:rPr>
        <w:t>（加盖投标人公章，</w:t>
      </w:r>
      <w:r>
        <w:rPr>
          <w:rFonts w:hint="eastAsia" w:ascii="宋体" w:hAnsi="宋体" w:eastAsia="宋体" w:cs="宋体"/>
          <w:bCs/>
          <w:sz w:val="24"/>
          <w:szCs w:val="24"/>
        </w:rPr>
        <w:t>如由授权代表参加投标时必须提供，否则投标无效</w:t>
      </w:r>
      <w:r>
        <w:rPr>
          <w:rFonts w:hint="eastAsia" w:ascii="宋体" w:hAnsi="宋体" w:eastAsia="宋体" w:cs="宋体"/>
          <w:sz w:val="24"/>
          <w:szCs w:val="24"/>
        </w:rPr>
        <w:t xml:space="preserve">） </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*投标人资格声明</w:t>
      </w:r>
      <w:r>
        <w:rPr>
          <w:rFonts w:hint="eastAsia" w:ascii="宋体" w:hAnsi="宋体" w:eastAsia="宋体" w:cs="宋体"/>
          <w:sz w:val="24"/>
          <w:szCs w:val="24"/>
        </w:rPr>
        <w:t>（加盖投标人公章）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*投标人</w:t>
      </w:r>
      <w:r>
        <w:rPr>
          <w:rFonts w:hint="eastAsia" w:ascii="宋体" w:hAnsi="宋体" w:eastAsia="宋体" w:cs="宋体"/>
          <w:sz w:val="24"/>
          <w:szCs w:val="24"/>
        </w:rPr>
        <w:t>有效营业执照副本复印件（加盖投标人公章）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sz w:val="24"/>
          <w:szCs w:val="24"/>
        </w:rPr>
        <w:t>税务登记证副本复印件（加盖投标人公章）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w:t>
      </w:r>
      <w:r>
        <w:rPr>
          <w:rFonts w:hint="eastAsia" w:ascii="宋体" w:hAnsi="宋体" w:eastAsia="宋体" w:cs="宋体"/>
          <w:sz w:val="24"/>
          <w:szCs w:val="24"/>
          <w:highlight w:val="none"/>
        </w:rPr>
        <w:t>组织机构代码证副本复印件（加盖投标人公章）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生产厂商委托代理授权书（代理商提供）</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highlight w:val="none"/>
        </w:rPr>
      </w:pPr>
      <w:r>
        <w:rPr>
          <w:rFonts w:hint="eastAsia" w:ascii="宋体" w:hAnsi="宋体" w:eastAsia="宋体" w:cs="宋体"/>
          <w:sz w:val="24"/>
          <w:szCs w:val="24"/>
          <w:highlight w:val="none"/>
        </w:rPr>
        <w:t>制造厂商有效营业执照副本复印件（加盖投标人公章，代理商提供）</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highlight w:val="none"/>
        </w:rPr>
      </w:pPr>
      <w:r>
        <w:rPr>
          <w:rFonts w:hint="eastAsia" w:ascii="宋体" w:hAnsi="宋体" w:eastAsia="宋体" w:cs="宋体"/>
          <w:sz w:val="24"/>
          <w:szCs w:val="24"/>
          <w:highlight w:val="none"/>
        </w:rPr>
        <w:t>投标人开户银行开具的银行资信证明（响应文件正本须附原件，副本中提供复印件加盖投标人公章）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最近一年</w:t>
      </w:r>
      <w:r>
        <w:rPr>
          <w:rFonts w:hint="eastAsia" w:ascii="宋体" w:hAnsi="宋体" w:eastAsia="宋体" w:cs="宋体"/>
          <w:sz w:val="24"/>
          <w:szCs w:val="24"/>
          <w:highlight w:val="none"/>
        </w:rPr>
        <w:t>度经会计师事务所审计的财务报告复印件（加盖投标人公章）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highlight w:val="none"/>
        </w:rPr>
        <w:t>最近一</w:t>
      </w:r>
      <w:r>
        <w:rPr>
          <w:rFonts w:hint="eastAsia" w:ascii="宋体" w:hAnsi="宋体" w:eastAsia="宋体" w:cs="宋体"/>
          <w:sz w:val="24"/>
          <w:szCs w:val="24"/>
          <w:highlight w:val="none"/>
        </w:rPr>
        <w:t>年度依法交纳税收和社会保障资金的相关证明材料复印件（加</w:t>
      </w:r>
      <w:r>
        <w:rPr>
          <w:rFonts w:hint="eastAsia" w:ascii="宋体" w:hAnsi="宋体" w:eastAsia="宋体" w:cs="宋体"/>
          <w:sz w:val="24"/>
          <w:szCs w:val="24"/>
        </w:rPr>
        <w:t>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投标人近两年同类型项目业绩介绍及最终用户的有效联系方式（如有同类型项目业绩时，提供合同复印件并加盖投标人公章）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bCs/>
          <w:sz w:val="24"/>
          <w:szCs w:val="24"/>
        </w:rPr>
        <w:t>投标产品技术情况介绍</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政府采购政策情况表（加盖投标人公章）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中小微企业声明函（投标人）</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中小微企业声明函（制造商）</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国家企业信用信息公示系统的公示内容</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监狱企业的证明文件</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"http://www.tjgp.gov.cn/portal/documentView.do?method=downloadAttachment&amp;id=54917199"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残疾人福利性单位声明函</w:t>
      </w:r>
      <w:r>
        <w:rPr>
          <w:rFonts w:hint="eastAsia" w:ascii="宋体" w:hAnsi="宋体" w:eastAsia="宋体" w:cs="宋体"/>
          <w:bCs/>
          <w:sz w:val="24"/>
          <w:szCs w:val="24"/>
        </w:rPr>
        <w:fldChar w:fldCharType="end"/>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bCs/>
          <w:sz w:val="24"/>
          <w:szCs w:val="24"/>
        </w:rPr>
        <w:t>*投标产品技术偏离表（逐条逐项应答并加盖投标人公章）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bCs/>
          <w:sz w:val="24"/>
          <w:szCs w:val="24"/>
        </w:rPr>
        <w:t>投标产品彩图</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投标产品通过检测、认证的相关证明文件复印件（加盖投标人公章）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质量承诺函</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服务承诺函</w:t>
      </w:r>
    </w:p>
    <w:p>
      <w:pPr>
        <w:pStyle w:val="119"/>
        <w:pageBreakBefore w:val="0"/>
        <w:numPr>
          <w:ilvl w:val="0"/>
          <w:numId w:val="7"/>
        </w:numPr>
        <w:kinsoku/>
        <w:wordWrap/>
        <w:overflowPunct/>
        <w:topLinePunct w:val="0"/>
        <w:bidi w:val="0"/>
        <w:spacing w:line="460" w:lineRule="exact"/>
        <w:ind w:right="0" w:rightChars="0" w:firstLine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*投标产品售后维修和服务方案（投标人自行编写，加盖投标人公章；如由制造商编写，需加盖制造商公章）</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投标人需要提供或说明的其他材料（包含本竞争性磋商文件要求的资料及投标人认为需要提交的其他资料）</w:t>
      </w:r>
    </w:p>
    <w:p>
      <w:pPr>
        <w:pageBreakBefore w:val="0"/>
        <w:numPr>
          <w:ilvl w:val="0"/>
          <w:numId w:val="7"/>
        </w:numPr>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更正公告确认函（如有）</w:t>
      </w:r>
    </w:p>
    <w:p>
      <w:pPr>
        <w:pageBreakBefore w:val="0"/>
        <w:kinsoku/>
        <w:wordWrap/>
        <w:overflowPunct/>
        <w:topLinePunct w:val="0"/>
        <w:bidi w:val="0"/>
        <w:adjustRightInd w:val="0"/>
        <w:snapToGrid w:val="0"/>
        <w:spacing w:line="460" w:lineRule="exact"/>
        <w:ind w:right="0" w:rightChars="0" w:firstLine="482" w:firstLineChars="200"/>
        <w:textAlignment w:val="auto"/>
        <w:outlineLvl w:val="9"/>
        <w:rPr>
          <w:rFonts w:hint="eastAsia" w:ascii="宋体" w:hAnsi="宋体" w:eastAsia="宋体" w:cs="宋体"/>
          <w:b/>
          <w:sz w:val="24"/>
          <w:szCs w:val="24"/>
          <w:shd w:val="pct10" w:color="auto" w:fill="FFFFFF"/>
        </w:rPr>
      </w:pPr>
      <w:r>
        <w:rPr>
          <w:rFonts w:hint="eastAsia" w:ascii="宋体" w:hAnsi="宋体" w:eastAsia="宋体" w:cs="宋体"/>
          <w:b/>
          <w:sz w:val="24"/>
          <w:szCs w:val="24"/>
          <w:shd w:val="pct10" w:color="auto" w:fill="FFFFFF"/>
        </w:rPr>
        <w:t>以上内容，凡加*项目若有缺失或无效，将导致投标无效且不允许在开标后补正。</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70" w:name="_Toc470007420"/>
      <w:r>
        <w:rPr>
          <w:rFonts w:hint="eastAsia" w:ascii="宋体" w:hAnsi="宋体" w:eastAsia="宋体" w:cs="宋体"/>
          <w:sz w:val="24"/>
          <w:szCs w:val="24"/>
        </w:rPr>
        <w:t>12．响应文件格式</w:t>
      </w:r>
      <w:bookmarkEnd w:id="70"/>
    </w:p>
    <w:p>
      <w:pPr>
        <w:pageBreakBefore w:val="0"/>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rPr>
      </w:pPr>
      <w:r>
        <w:rPr>
          <w:rFonts w:hint="eastAsia" w:ascii="宋体" w:hAnsi="宋体" w:eastAsia="宋体" w:cs="宋体"/>
          <w:sz w:val="24"/>
          <w:szCs w:val="24"/>
        </w:rPr>
        <w:t>12.1凡竞争性磋商文件中已提供响应文件格式的内容，投标人应按竞争性磋商文件提供的格式填写，不准有空项；无相应内容可填的项应填写“无”、“未测试”或“没有相应指标”等明确的回答文字。其余未提供格式的内容由投标人自行设计编写。</w:t>
      </w:r>
    </w:p>
    <w:p>
      <w:pPr>
        <w:pageBreakBefore w:val="0"/>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rPr>
      </w:pPr>
      <w:r>
        <w:rPr>
          <w:rFonts w:hint="eastAsia" w:ascii="宋体" w:hAnsi="宋体" w:eastAsia="宋体" w:cs="宋体"/>
          <w:sz w:val="24"/>
          <w:szCs w:val="24"/>
        </w:rPr>
        <w:t>12.2响应文件应用A4纸单面或双面打印，按竞争性磋商文件规定的顺序</w:t>
      </w:r>
      <w:r>
        <w:rPr>
          <w:rFonts w:hint="eastAsia" w:ascii="宋体" w:hAnsi="宋体" w:eastAsia="宋体" w:cs="宋体"/>
          <w:b/>
          <w:sz w:val="24"/>
          <w:szCs w:val="24"/>
        </w:rPr>
        <w:t>书式</w:t>
      </w:r>
      <w:r>
        <w:rPr>
          <w:rFonts w:hint="eastAsia" w:ascii="宋体" w:hAnsi="宋体" w:eastAsia="宋体" w:cs="宋体"/>
          <w:sz w:val="24"/>
          <w:szCs w:val="24"/>
        </w:rPr>
        <w:t>装订成册、编制目录并标明页码，以便评标。</w:t>
      </w:r>
      <w:r>
        <w:rPr>
          <w:rFonts w:hint="eastAsia" w:ascii="宋体" w:hAnsi="宋体" w:eastAsia="宋体" w:cs="宋体"/>
          <w:b/>
          <w:sz w:val="24"/>
          <w:szCs w:val="24"/>
        </w:rPr>
        <w:t>活页装订将视为无效标。</w:t>
      </w:r>
      <w:r>
        <w:rPr>
          <w:rFonts w:hint="eastAsia" w:ascii="宋体" w:hAnsi="宋体" w:eastAsia="宋体" w:cs="宋体"/>
          <w:sz w:val="24"/>
          <w:szCs w:val="24"/>
        </w:rPr>
        <w:t>由于编排混乱导致响应文件被误读或查找不到，责任由投标人自负。</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71" w:name="_Toc470007421"/>
      <w:r>
        <w:rPr>
          <w:rFonts w:hint="eastAsia" w:ascii="宋体" w:hAnsi="宋体" w:eastAsia="宋体" w:cs="宋体"/>
          <w:sz w:val="24"/>
          <w:szCs w:val="24"/>
        </w:rPr>
        <w:t>13．磋商报价</w:t>
      </w:r>
      <w:bookmarkEnd w:id="71"/>
    </w:p>
    <w:p>
      <w:pPr>
        <w:pageBreakBefore w:val="0"/>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rPr>
      </w:pPr>
      <w:r>
        <w:rPr>
          <w:rFonts w:hint="eastAsia" w:ascii="宋体" w:hAnsi="宋体" w:eastAsia="宋体" w:cs="宋体"/>
          <w:sz w:val="24"/>
          <w:szCs w:val="24"/>
        </w:rPr>
        <w:t>13.1磋商报价以人民币元为结算单位。</w:t>
      </w:r>
    </w:p>
    <w:p>
      <w:pPr>
        <w:pageBreakBefore w:val="0"/>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rPr>
      </w:pPr>
      <w:r>
        <w:rPr>
          <w:rFonts w:hint="eastAsia" w:ascii="宋体" w:hAnsi="宋体" w:eastAsia="宋体" w:cs="宋体"/>
          <w:sz w:val="24"/>
          <w:szCs w:val="24"/>
        </w:rPr>
        <w:t>13.2磋商报价应在竞争性磋商文件所附的“</w:t>
      </w:r>
      <w:r>
        <w:rPr>
          <w:rFonts w:hint="eastAsia" w:ascii="宋体" w:hAnsi="宋体" w:eastAsia="宋体" w:cs="宋体"/>
          <w:bCs/>
          <w:sz w:val="24"/>
          <w:szCs w:val="24"/>
        </w:rPr>
        <w:t>产品报价明细表</w:t>
      </w:r>
      <w:r>
        <w:rPr>
          <w:rFonts w:hint="eastAsia" w:ascii="宋体" w:hAnsi="宋体" w:eastAsia="宋体" w:cs="宋体"/>
          <w:sz w:val="24"/>
          <w:szCs w:val="24"/>
        </w:rPr>
        <w:t>”上写明投标货物的投标单价。</w:t>
      </w:r>
    </w:p>
    <w:p>
      <w:pPr>
        <w:pageBreakBefore w:val="0"/>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rPr>
      </w:pPr>
      <w:r>
        <w:rPr>
          <w:rFonts w:hint="eastAsia" w:ascii="宋体" w:hAnsi="宋体" w:eastAsia="宋体" w:cs="宋体"/>
          <w:sz w:val="24"/>
          <w:szCs w:val="24"/>
        </w:rPr>
        <w:t>13.3磋商报价应为完成本项目所需的全部费用，包括但不限于以下费用：货物费用、运输与保险费用、安装调试费、配套施工费、培训费、维护费、税金、利润等所有费用。</w:t>
      </w:r>
    </w:p>
    <w:p>
      <w:pPr>
        <w:pageBreakBefore w:val="0"/>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shd w:val="pct10" w:color="auto" w:fill="FFFFFF"/>
        </w:rPr>
      </w:pPr>
      <w:r>
        <w:rPr>
          <w:rFonts w:hint="eastAsia" w:ascii="宋体" w:hAnsi="宋体" w:eastAsia="宋体" w:cs="宋体"/>
          <w:sz w:val="24"/>
          <w:szCs w:val="24"/>
        </w:rPr>
        <w:t>13.4投标人对磋商报价若有说明应在报价一览表显著处标明。</w:t>
      </w:r>
      <w:r>
        <w:rPr>
          <w:rFonts w:hint="eastAsia" w:ascii="宋体" w:hAnsi="宋体" w:eastAsia="宋体" w:cs="宋体"/>
          <w:sz w:val="24"/>
          <w:szCs w:val="24"/>
          <w:shd w:val="pct10" w:color="auto" w:fill="FFFFFF"/>
        </w:rPr>
        <w:t>采购人不接受可选择的投标方案和报价。任何有选择的投标方案和报价将被视为非实质性响应而导致投标无效。</w:t>
      </w:r>
    </w:p>
    <w:p>
      <w:pPr>
        <w:pageBreakBefore w:val="0"/>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rPr>
      </w:pPr>
      <w:r>
        <w:rPr>
          <w:rFonts w:hint="eastAsia" w:ascii="宋体" w:hAnsi="宋体" w:eastAsia="宋体" w:cs="宋体"/>
          <w:sz w:val="24"/>
          <w:szCs w:val="24"/>
        </w:rPr>
        <w:t>13.5经磋商确定实质性响应的供应商后，磋商小组应当要求所有实质性响应的供应商在规定时间内提交最后报价。经磋商确定最终采购需求和提交最后报价的供应商后，由磋商小组采用综合评分法对提交最后报价的供应商的响应文件和最后报价进行综合评分。</w:t>
      </w:r>
    </w:p>
    <w:p>
      <w:pPr>
        <w:pageBreakBefore w:val="0"/>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rPr>
      </w:pPr>
      <w:r>
        <w:rPr>
          <w:rFonts w:hint="eastAsia" w:ascii="宋体" w:hAnsi="宋体" w:eastAsia="宋体" w:cs="宋体"/>
          <w:sz w:val="24"/>
          <w:szCs w:val="24"/>
        </w:rPr>
        <w:t>13.6付款方式为：合同签订后7日内预付合同总额的30%，收到验收合格报告7日内付合同总额的60%，验收合格之日起一年期后支付合同总额的10%。</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72" w:name="_Toc470007422"/>
      <w:r>
        <w:rPr>
          <w:rFonts w:hint="eastAsia" w:ascii="宋体" w:hAnsi="宋体" w:eastAsia="宋体" w:cs="宋体"/>
          <w:sz w:val="24"/>
          <w:szCs w:val="24"/>
        </w:rPr>
        <w:t>14．投标有效期</w:t>
      </w:r>
      <w:bookmarkEnd w:id="72"/>
    </w:p>
    <w:p>
      <w:pPr>
        <w:pageBreakBefore w:val="0"/>
        <w:tabs>
          <w:tab w:val="left" w:pos="525"/>
        </w:tabs>
        <w:kinsoku/>
        <w:wordWrap/>
        <w:overflowPunct/>
        <w:topLinePunct w:val="0"/>
        <w:bidi w:val="0"/>
        <w:adjustRightInd w:val="0"/>
        <w:snapToGrid w:val="0"/>
        <w:spacing w:line="460" w:lineRule="exact"/>
        <w:ind w:left="105" w:right="0" w:rightChars="0" w:firstLine="321"/>
        <w:textAlignment w:val="auto"/>
        <w:outlineLvl w:val="9"/>
        <w:rPr>
          <w:rFonts w:hint="eastAsia" w:ascii="宋体" w:hAnsi="宋体" w:eastAsia="宋体" w:cs="宋体"/>
          <w:sz w:val="24"/>
          <w:szCs w:val="24"/>
        </w:rPr>
      </w:pPr>
      <w:r>
        <w:rPr>
          <w:rFonts w:hint="eastAsia" w:ascii="宋体" w:hAnsi="宋体" w:eastAsia="宋体" w:cs="宋体"/>
          <w:sz w:val="24"/>
          <w:szCs w:val="24"/>
        </w:rPr>
        <w:t>14.1自投标截止日期算起，响应文件有效期为90个日历日。</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73" w:name="_Toc470007423"/>
      <w:r>
        <w:rPr>
          <w:rFonts w:hint="eastAsia" w:ascii="宋体" w:hAnsi="宋体" w:eastAsia="宋体" w:cs="宋体"/>
          <w:sz w:val="24"/>
          <w:szCs w:val="24"/>
          <w:highlight w:val="none"/>
        </w:rPr>
        <w:t>15．响应文件的形式和签署</w:t>
      </w:r>
      <w:bookmarkEnd w:id="73"/>
    </w:p>
    <w:p>
      <w:pPr>
        <w:pageBreakBefore w:val="0"/>
        <w:kinsoku/>
        <w:wordWrap/>
        <w:overflowPunct/>
        <w:topLinePunct w:val="0"/>
        <w:bidi w:val="0"/>
        <w:adjustRightInd w:val="0"/>
        <w:snapToGrid w:val="0"/>
        <w:spacing w:line="460" w:lineRule="exact"/>
        <w:ind w:left="906" w:leftChars="203" w:right="0" w:rightChars="0" w:hanging="480" w:hangingChars="200"/>
        <w:textAlignment w:val="auto"/>
        <w:outlineLvl w:val="9"/>
        <w:rPr>
          <w:rFonts w:hint="eastAsia" w:ascii="宋体" w:hAnsi="宋体" w:eastAsia="宋体" w:cs="宋体"/>
          <w:b/>
          <w:bCs/>
          <w:sz w:val="24"/>
          <w:szCs w:val="24"/>
          <w:highlight w:val="none"/>
          <w:u w:val="single"/>
        </w:rPr>
      </w:pPr>
      <w:r>
        <w:rPr>
          <w:rFonts w:hint="eastAsia" w:ascii="宋体" w:hAnsi="宋体" w:eastAsia="宋体" w:cs="宋体"/>
          <w:sz w:val="24"/>
          <w:szCs w:val="24"/>
          <w:highlight w:val="none"/>
        </w:rPr>
        <w:t>15.1</w:t>
      </w:r>
      <w:r>
        <w:rPr>
          <w:rFonts w:hint="eastAsia" w:ascii="宋体" w:hAnsi="宋体" w:eastAsia="宋体" w:cs="宋体"/>
          <w:b/>
          <w:bCs/>
          <w:sz w:val="24"/>
          <w:szCs w:val="24"/>
          <w:highlight w:val="none"/>
          <w:u w:val="single"/>
        </w:rPr>
        <w:t>响应文件正本一份、副本五份,电子标书一份（CD-R光盘或U盘）。</w:t>
      </w:r>
    </w:p>
    <w:p>
      <w:pPr>
        <w:pageBreakBefore w:val="0"/>
        <w:tabs>
          <w:tab w:val="left" w:pos="284"/>
          <w:tab w:val="left" w:pos="851"/>
        </w:tabs>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rPr>
        <w:t>15.2</w:t>
      </w:r>
      <w:r>
        <w:rPr>
          <w:rFonts w:hint="eastAsia" w:ascii="宋体" w:hAnsi="宋体" w:eastAsia="宋体" w:cs="宋体"/>
          <w:bCs/>
          <w:sz w:val="24"/>
          <w:szCs w:val="24"/>
          <w:highlight w:val="none"/>
        </w:rPr>
        <w:t>除</w:t>
      </w:r>
      <w:r>
        <w:rPr>
          <w:rFonts w:hint="eastAsia" w:ascii="宋体" w:hAnsi="宋体" w:eastAsia="宋体" w:cs="宋体"/>
          <w:sz w:val="24"/>
          <w:szCs w:val="24"/>
          <w:highlight w:val="none"/>
        </w:rPr>
        <w:t>竞争性磋商文件另有规定外，正本和副本的内容必须完全一致，副本</w:t>
      </w:r>
      <w:r>
        <w:rPr>
          <w:rFonts w:hint="eastAsia" w:ascii="宋体" w:hAnsi="宋体" w:eastAsia="宋体" w:cs="宋体"/>
          <w:sz w:val="24"/>
          <w:szCs w:val="24"/>
        </w:rPr>
        <w:t>不清楚时以正本为准。投标人应按照竞争性磋商文件要求，在响应文件适当的位置填写投标人全称并加盖公章，同时签署法定代表人或正式授权的投标人代表全名。投标人的法人代表或授权代表签章等同签名。</w:t>
      </w:r>
    </w:p>
    <w:p>
      <w:pPr>
        <w:pageBreakBefore w:val="0"/>
        <w:tabs>
          <w:tab w:val="left" w:pos="1155"/>
        </w:tabs>
        <w:kinsoku/>
        <w:wordWrap/>
        <w:overflowPunct/>
        <w:topLinePunct w:val="0"/>
        <w:bidi w:val="0"/>
        <w:adjustRightInd w:val="0"/>
        <w:snapToGrid w:val="0"/>
        <w:spacing w:line="460" w:lineRule="exact"/>
        <w:ind w:left="909" w:leftChars="201" w:right="0" w:rightChars="0" w:hanging="487" w:hangingChars="203"/>
        <w:textAlignment w:val="auto"/>
        <w:outlineLvl w:val="9"/>
        <w:rPr>
          <w:rFonts w:hint="eastAsia" w:ascii="宋体" w:hAnsi="宋体" w:eastAsia="宋体" w:cs="宋体"/>
          <w:sz w:val="24"/>
          <w:szCs w:val="24"/>
        </w:rPr>
      </w:pPr>
      <w:r>
        <w:rPr>
          <w:rFonts w:hint="eastAsia" w:ascii="宋体" w:hAnsi="宋体" w:eastAsia="宋体" w:cs="宋体"/>
          <w:sz w:val="24"/>
          <w:szCs w:val="24"/>
        </w:rPr>
        <w:t>15.3投标人应保证响应文件副本与正本的内容严格一致，正本和副本如果不一致，以正本为准。响应文件被误读或被视为无效等不利后果由投标人自负。</w:t>
      </w:r>
    </w:p>
    <w:p>
      <w:pPr>
        <w:pageBreakBefore w:val="0"/>
        <w:tabs>
          <w:tab w:val="left" w:pos="1155"/>
        </w:tabs>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15.4响应文件的文本内容正本、副本均应打印或使用不褪色的蓝黑墨水书写，其“正本”、“副本”字样应加盖或打印在响应文件封面右上角。</w:t>
      </w:r>
    </w:p>
    <w:p>
      <w:pPr>
        <w:pageBreakBefore w:val="0"/>
        <w:tabs>
          <w:tab w:val="left" w:pos="1155"/>
        </w:tabs>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15.5全套响应文件应字迹清晰、内容齐全、无涂改、行间插字或增删。如有修改或增删，投标人必须在投标截止时间前以响应文件补充文件的形式送达采购人，补充文件必须经投标人法定代表人或其正式授权的投标人代表签字，同时加盖投标人公章。</w:t>
      </w:r>
    </w:p>
    <w:p>
      <w:pPr>
        <w:pageBreakBefore w:val="0"/>
        <w:tabs>
          <w:tab w:val="left" w:pos="1155"/>
        </w:tabs>
        <w:kinsoku/>
        <w:wordWrap/>
        <w:overflowPunct/>
        <w:topLinePunct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15.6因响应文件印刷错误或不清楚、字迹潦草或表达不清所引起的不利后果由投标人自负。</w:t>
      </w:r>
    </w:p>
    <w:p>
      <w:pPr>
        <w:pageBreakBefore w:val="0"/>
        <w:tabs>
          <w:tab w:val="left" w:pos="1155"/>
        </w:tabs>
        <w:kinsoku/>
        <w:wordWrap/>
        <w:overflowPunct/>
        <w:topLinePunct w:val="0"/>
        <w:bidi w:val="0"/>
        <w:adjustRightInd w:val="0"/>
        <w:snapToGrid w:val="0"/>
        <w:spacing w:line="460" w:lineRule="exact"/>
        <w:ind w:left="900" w:leftChars="200"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t>15.7邮寄(含EMS或其他快递)、电报、电话、传真形式的投标概不接受。</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74" w:name="_Toc376852372"/>
      <w:bookmarkStart w:id="75" w:name="_Toc395105676"/>
      <w:bookmarkStart w:id="76" w:name="_Toc470007424"/>
      <w:r>
        <w:rPr>
          <w:rFonts w:hint="eastAsia" w:ascii="宋体" w:hAnsi="宋体" w:eastAsia="宋体" w:cs="宋体"/>
          <w:sz w:val="24"/>
          <w:szCs w:val="24"/>
        </w:rPr>
        <w:t>四、响应文件的递交</w:t>
      </w:r>
      <w:bookmarkEnd w:id="74"/>
      <w:bookmarkEnd w:id="75"/>
      <w:bookmarkEnd w:id="76"/>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77" w:name="_Toc470007425"/>
      <w:r>
        <w:rPr>
          <w:rFonts w:hint="eastAsia" w:ascii="宋体" w:hAnsi="宋体" w:eastAsia="宋体" w:cs="宋体"/>
          <w:sz w:val="24"/>
          <w:szCs w:val="24"/>
        </w:rPr>
        <w:t>16．响应文件的密封和标记</w:t>
      </w:r>
      <w:bookmarkEnd w:id="77"/>
    </w:p>
    <w:p>
      <w:pPr>
        <w:pageBreakBefore w:val="0"/>
        <w:tabs>
          <w:tab w:val="left" w:pos="284"/>
          <w:tab w:val="left" w:pos="851"/>
        </w:tabs>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16.1投标人须将装订成册的响应文件装入密封袋中，正本和所有副本分别使用不同的密封袋封装。密封口处须分别骑缝加盖投标人单位公章和法定代表人印章，公章及印章必须清晰可辨。封皮上写明项目名称、投标人全称、地址、联系电话，注明“正本”或“副本”，并在密封袋上标明“开标时启封”字样。 </w:t>
      </w:r>
    </w:p>
    <w:p>
      <w:pPr>
        <w:pageBreakBefore w:val="0"/>
        <w:tabs>
          <w:tab w:val="left" w:pos="284"/>
          <w:tab w:val="left" w:pos="851"/>
        </w:tabs>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电子标书一份（CD-R光盘或U盘）</w:t>
      </w:r>
      <w:r>
        <w:rPr>
          <w:rFonts w:hint="eastAsia" w:ascii="宋体" w:hAnsi="宋体" w:eastAsia="宋体" w:cs="宋体"/>
          <w:sz w:val="24"/>
          <w:szCs w:val="24"/>
        </w:rPr>
        <w:t>上注明投标单位名称及招标项目名称，电子标书与响应文件正本装入同一个密封袋中。</w:t>
      </w:r>
    </w:p>
    <w:p>
      <w:pPr>
        <w:pageBreakBefore w:val="0"/>
        <w:tabs>
          <w:tab w:val="left" w:pos="1155"/>
        </w:tabs>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rPr>
      </w:pPr>
      <w:r>
        <w:rPr>
          <w:rFonts w:hint="eastAsia" w:ascii="宋体" w:hAnsi="宋体" w:eastAsia="宋体" w:cs="宋体"/>
          <w:sz w:val="24"/>
          <w:szCs w:val="24"/>
        </w:rPr>
        <w:t>16.2响应文件必须由投标人法定代表人或其正式授权的投标人代表按上述要求密封、标记后按竞争性磋商文件规定的时间和地点送达采购人。</w:t>
      </w:r>
    </w:p>
    <w:p>
      <w:pPr>
        <w:pageBreakBefore w:val="0"/>
        <w:tabs>
          <w:tab w:val="left" w:pos="1155"/>
        </w:tabs>
        <w:kinsoku/>
        <w:wordWrap/>
        <w:overflowPunct/>
        <w:topLinePunct w:val="0"/>
        <w:bidi w:val="0"/>
        <w:adjustRightInd w:val="0"/>
        <w:snapToGrid w:val="0"/>
        <w:spacing w:line="460" w:lineRule="exact"/>
        <w:ind w:left="896" w:leftChars="202" w:right="0" w:rightChars="0" w:hanging="472" w:hangingChars="197"/>
        <w:textAlignment w:val="auto"/>
        <w:outlineLvl w:val="9"/>
        <w:rPr>
          <w:rFonts w:hint="eastAsia" w:ascii="宋体" w:hAnsi="宋体" w:eastAsia="宋体" w:cs="宋体"/>
          <w:sz w:val="24"/>
          <w:szCs w:val="24"/>
        </w:rPr>
      </w:pPr>
      <w:r>
        <w:rPr>
          <w:rFonts w:hint="eastAsia" w:ascii="宋体" w:hAnsi="宋体" w:eastAsia="宋体" w:cs="宋体"/>
          <w:sz w:val="24"/>
          <w:szCs w:val="24"/>
        </w:rPr>
        <w:t>16.3如果投标人未按上述要求对响应文件密封及加写标记，采购人对响应文件的误投和提前启封概不负责。</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78" w:name="_Toc470007426"/>
      <w:r>
        <w:rPr>
          <w:rFonts w:hint="eastAsia" w:ascii="宋体" w:hAnsi="宋体" w:eastAsia="宋体" w:cs="宋体"/>
          <w:sz w:val="24"/>
          <w:szCs w:val="24"/>
        </w:rPr>
        <w:t>17．投标截止时间</w:t>
      </w:r>
      <w:bookmarkEnd w:id="78"/>
    </w:p>
    <w:p>
      <w:pPr>
        <w:pageBreakBefore w:val="0"/>
        <w:tabs>
          <w:tab w:val="left" w:pos="1155"/>
        </w:tabs>
        <w:kinsoku/>
        <w:wordWrap/>
        <w:overflowPunct/>
        <w:topLinePunct w:val="0"/>
        <w:bidi w:val="0"/>
        <w:adjustRightInd w:val="0"/>
        <w:snapToGrid w:val="0"/>
        <w:spacing w:line="460" w:lineRule="exact"/>
        <w:ind w:left="966" w:leftChars="203" w:right="0" w:rightChars="0" w:hanging="540" w:hangingChars="225"/>
        <w:textAlignment w:val="auto"/>
        <w:outlineLvl w:val="9"/>
        <w:rPr>
          <w:rFonts w:hint="eastAsia" w:ascii="宋体" w:hAnsi="宋体" w:eastAsia="宋体" w:cs="宋体"/>
          <w:sz w:val="24"/>
          <w:szCs w:val="24"/>
        </w:rPr>
      </w:pPr>
      <w:r>
        <w:rPr>
          <w:rFonts w:hint="eastAsia" w:ascii="宋体" w:hAnsi="宋体" w:eastAsia="宋体" w:cs="宋体"/>
          <w:sz w:val="24"/>
          <w:szCs w:val="24"/>
        </w:rPr>
        <w:t>17.1所有响应文件都必须按照竞争性磋商文件规定的投标时间、地点送达。在投标截止时间以后送达的响应文件，采购人拒绝接收。</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79" w:name="_Toc470007427"/>
      <w:r>
        <w:rPr>
          <w:rFonts w:hint="eastAsia" w:ascii="宋体" w:hAnsi="宋体" w:eastAsia="宋体" w:cs="宋体"/>
          <w:sz w:val="24"/>
          <w:szCs w:val="24"/>
        </w:rPr>
        <w:t>18．响应文件的补充、修改和撤回</w:t>
      </w:r>
      <w:bookmarkEnd w:id="79"/>
    </w:p>
    <w:p>
      <w:pPr>
        <w:pStyle w:val="15"/>
        <w:pageBreakBefore w:val="0"/>
        <w:tabs>
          <w:tab w:val="left" w:pos="1571"/>
        </w:tabs>
        <w:kinsoku/>
        <w:wordWrap/>
        <w:overflowPunct/>
        <w:topLinePunct w:val="0"/>
        <w:bidi w:val="0"/>
        <w:adjustRightInd w:val="0"/>
        <w:snapToGrid w:val="0"/>
        <w:spacing w:line="460" w:lineRule="exact"/>
        <w:ind w:left="966" w:leftChars="203" w:right="0" w:rightChars="0" w:hanging="540" w:hangingChars="225"/>
        <w:jc w:val="both"/>
        <w:textAlignment w:val="auto"/>
        <w:outlineLvl w:val="9"/>
        <w:rPr>
          <w:rFonts w:hint="eastAsia" w:ascii="宋体" w:hAnsi="宋体" w:eastAsia="宋体" w:cs="宋体"/>
          <w:color w:val="000000"/>
        </w:rPr>
      </w:pPr>
      <w:r>
        <w:rPr>
          <w:rFonts w:hint="eastAsia" w:ascii="宋体" w:hAnsi="宋体" w:eastAsia="宋体" w:cs="宋体"/>
          <w:color w:val="000000"/>
        </w:rPr>
        <w:t>18.1 在递交响应文件截止时间之前，投标人可以对已递交的响应文件进行补充、修改或撤回，该补充、修改或撤回必须以书面形式通知采购人，并经投标人法定代表人或其正式授权的投标人代表签署，且必须在响应文件递交截止时间前送达采购人签收方可生效。补充、修改的内容为响应文件的组成部分，对投标人具有约束力。</w:t>
      </w:r>
    </w:p>
    <w:p>
      <w:pPr>
        <w:pStyle w:val="15"/>
        <w:pageBreakBefore w:val="0"/>
        <w:tabs>
          <w:tab w:val="left" w:pos="1571"/>
        </w:tabs>
        <w:kinsoku/>
        <w:wordWrap/>
        <w:overflowPunct/>
        <w:topLinePunct w:val="0"/>
        <w:bidi w:val="0"/>
        <w:adjustRightInd w:val="0"/>
        <w:snapToGrid w:val="0"/>
        <w:spacing w:line="460" w:lineRule="exact"/>
        <w:ind w:left="966" w:leftChars="203" w:right="0" w:rightChars="0" w:hanging="540" w:hangingChars="225"/>
        <w:jc w:val="both"/>
        <w:textAlignment w:val="auto"/>
        <w:outlineLvl w:val="9"/>
        <w:rPr>
          <w:rFonts w:hint="eastAsia" w:ascii="宋体" w:hAnsi="宋体" w:eastAsia="宋体" w:cs="宋体"/>
          <w:color w:val="000000"/>
        </w:rPr>
      </w:pPr>
      <w:r>
        <w:rPr>
          <w:rFonts w:hint="eastAsia" w:ascii="宋体" w:hAnsi="宋体" w:eastAsia="宋体" w:cs="宋体"/>
          <w:color w:val="000000"/>
        </w:rPr>
        <w:t>18.2投标人的补充、修改或撤回通知应按本须知第16条的规定进行密封、标记，并在封套上标明“修改响应文件（并注明项目编号及项目名称）”或“撤回响应文件（并注明项目编号及项目名称）”字样。</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80" w:name="_Toc115756026"/>
      <w:bookmarkStart w:id="81" w:name="_Toc376852373"/>
      <w:bookmarkStart w:id="82" w:name="_Toc395105677"/>
      <w:bookmarkStart w:id="83" w:name="_Toc470007428"/>
      <w:bookmarkStart w:id="84" w:name="_Toc115756029"/>
      <w:r>
        <w:rPr>
          <w:rFonts w:hint="eastAsia" w:ascii="宋体" w:hAnsi="宋体" w:eastAsia="宋体" w:cs="宋体"/>
          <w:sz w:val="24"/>
          <w:szCs w:val="24"/>
        </w:rPr>
        <w:t>五、开标</w:t>
      </w:r>
      <w:bookmarkEnd w:id="80"/>
      <w:bookmarkEnd w:id="81"/>
      <w:bookmarkEnd w:id="82"/>
      <w:bookmarkEnd w:id="83"/>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85" w:name="_Toc470007429"/>
      <w:r>
        <w:rPr>
          <w:rFonts w:hint="eastAsia" w:ascii="宋体" w:hAnsi="宋体" w:eastAsia="宋体" w:cs="宋体"/>
          <w:sz w:val="24"/>
          <w:szCs w:val="24"/>
        </w:rPr>
        <w:t>19．开标</w:t>
      </w:r>
      <w:bookmarkEnd w:id="85"/>
    </w:p>
    <w:p>
      <w:pPr>
        <w:pageBreakBefore w:val="0"/>
        <w:tabs>
          <w:tab w:val="left" w:pos="1155"/>
        </w:tabs>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19.1采购人按竞争性磋商文件规定的时间、地点对所有按时递交并已签收的响应文件进行磋商，采购人代表、投标人代表参加开标会，开标会由采购人主持。</w:t>
      </w:r>
    </w:p>
    <w:p>
      <w:pPr>
        <w:pageBreakBefore w:val="0"/>
        <w:tabs>
          <w:tab w:val="left" w:pos="1155"/>
        </w:tabs>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19.2投标人的法定代表人或其授权代表应携带法定代表人证书或授权委托书和本人的身份证原件与复印件各1份准时到场，并在签到簿上签名以证明其出席。参加开标会的投标人代表不得超过2人。</w:t>
      </w:r>
    </w:p>
    <w:p>
      <w:pPr>
        <w:pageBreakBefore w:val="0"/>
        <w:tabs>
          <w:tab w:val="left" w:pos="1155"/>
        </w:tabs>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19.3在开标会上，由投标人代表检查响应文件的密封情况，确认无误后，由采购人工作人员当场拆封。</w:t>
      </w:r>
    </w:p>
    <w:p>
      <w:pPr>
        <w:pageBreakBefore w:val="0"/>
        <w:tabs>
          <w:tab w:val="left" w:pos="1155"/>
        </w:tabs>
        <w:kinsoku/>
        <w:wordWrap/>
        <w:overflowPunct/>
        <w:topLinePunct w:val="0"/>
        <w:bidi w:val="0"/>
        <w:adjustRightInd w:val="0"/>
        <w:snapToGrid w:val="0"/>
        <w:spacing w:line="460" w:lineRule="exact"/>
        <w:ind w:left="910" w:leftChars="205"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t>19.4磋商过程中有下列情形之一的，应当否决其投标：</w:t>
      </w:r>
    </w:p>
    <w:p>
      <w:pPr>
        <w:pageBreakBefore w:val="0"/>
        <w:tabs>
          <w:tab w:val="left" w:pos="1155"/>
        </w:tabs>
        <w:kinsoku/>
        <w:wordWrap/>
        <w:overflowPunct/>
        <w:topLinePunct w:val="0"/>
        <w:bidi w:val="0"/>
        <w:adjustRightInd w:val="0"/>
        <w:snapToGrid w:val="0"/>
        <w:spacing w:line="460" w:lineRule="exact"/>
        <w:ind w:left="797" w:leftChars="269" w:right="0" w:rightChars="0" w:hanging="232" w:hangingChars="97"/>
        <w:textAlignment w:val="auto"/>
        <w:outlineLvl w:val="9"/>
        <w:rPr>
          <w:rFonts w:hint="eastAsia" w:ascii="宋体" w:hAnsi="宋体" w:eastAsia="宋体" w:cs="宋体"/>
          <w:sz w:val="24"/>
          <w:szCs w:val="24"/>
        </w:rPr>
      </w:pPr>
      <w:r>
        <w:rPr>
          <w:rFonts w:hint="eastAsia" w:ascii="宋体" w:hAnsi="宋体" w:eastAsia="宋体" w:cs="宋体"/>
          <w:sz w:val="24"/>
          <w:szCs w:val="24"/>
        </w:rPr>
        <w:t>（1）未按竞争性磋商文件规定密封的；</w:t>
      </w:r>
    </w:p>
    <w:p>
      <w:pPr>
        <w:pageBreakBefore w:val="0"/>
        <w:tabs>
          <w:tab w:val="left" w:pos="1155"/>
        </w:tabs>
        <w:kinsoku/>
        <w:wordWrap/>
        <w:overflowPunct/>
        <w:topLinePunct w:val="0"/>
        <w:bidi w:val="0"/>
        <w:adjustRightInd w:val="0"/>
        <w:snapToGrid w:val="0"/>
        <w:spacing w:line="460" w:lineRule="exact"/>
        <w:ind w:left="797" w:leftChars="269" w:right="0" w:rightChars="0" w:hanging="232" w:hangingChars="97"/>
        <w:textAlignment w:val="auto"/>
        <w:outlineLvl w:val="9"/>
        <w:rPr>
          <w:rFonts w:hint="eastAsia" w:ascii="宋体" w:hAnsi="宋体" w:eastAsia="宋体" w:cs="宋体"/>
          <w:sz w:val="24"/>
          <w:szCs w:val="24"/>
        </w:rPr>
      </w:pPr>
      <w:r>
        <w:rPr>
          <w:rFonts w:hint="eastAsia" w:ascii="宋体" w:hAnsi="宋体" w:eastAsia="宋体" w:cs="宋体"/>
          <w:sz w:val="24"/>
          <w:szCs w:val="24"/>
        </w:rPr>
        <w:t>（2）提交响应文件截止时间之后送达的；</w:t>
      </w:r>
    </w:p>
    <w:p>
      <w:pPr>
        <w:pageBreakBefore w:val="0"/>
        <w:tabs>
          <w:tab w:val="left" w:pos="1155"/>
        </w:tabs>
        <w:kinsoku/>
        <w:wordWrap/>
        <w:overflowPunct/>
        <w:topLinePunct w:val="0"/>
        <w:bidi w:val="0"/>
        <w:adjustRightInd w:val="0"/>
        <w:snapToGrid w:val="0"/>
        <w:spacing w:line="460" w:lineRule="exact"/>
        <w:ind w:left="797" w:leftChars="269" w:right="0" w:rightChars="0" w:hanging="232" w:hangingChars="97"/>
        <w:textAlignment w:val="auto"/>
        <w:outlineLvl w:val="9"/>
        <w:rPr>
          <w:rFonts w:hint="eastAsia" w:ascii="宋体" w:hAnsi="宋体" w:eastAsia="宋体" w:cs="宋体"/>
          <w:sz w:val="24"/>
          <w:szCs w:val="24"/>
        </w:rPr>
      </w:pPr>
      <w:r>
        <w:rPr>
          <w:rFonts w:hint="eastAsia" w:ascii="宋体" w:hAnsi="宋体" w:eastAsia="宋体" w:cs="宋体"/>
          <w:sz w:val="24"/>
          <w:szCs w:val="24"/>
        </w:rPr>
        <w:t>（3）投标人名称与投标报名时不一致的；</w:t>
      </w:r>
    </w:p>
    <w:p>
      <w:pPr>
        <w:pageBreakBefore w:val="0"/>
        <w:tabs>
          <w:tab w:val="left" w:pos="1155"/>
        </w:tabs>
        <w:kinsoku/>
        <w:wordWrap/>
        <w:overflowPunct/>
        <w:topLinePunct w:val="0"/>
        <w:bidi w:val="0"/>
        <w:adjustRightInd w:val="0"/>
        <w:snapToGrid w:val="0"/>
        <w:spacing w:line="460" w:lineRule="exact"/>
        <w:ind w:left="797" w:leftChars="269" w:right="0" w:rightChars="0" w:hanging="232" w:hangingChars="97"/>
        <w:textAlignment w:val="auto"/>
        <w:outlineLvl w:val="9"/>
        <w:rPr>
          <w:rFonts w:hint="eastAsia" w:ascii="宋体" w:hAnsi="宋体" w:eastAsia="宋体" w:cs="宋体"/>
          <w:sz w:val="24"/>
          <w:szCs w:val="24"/>
        </w:rPr>
      </w:pPr>
      <w:r>
        <w:rPr>
          <w:rFonts w:hint="eastAsia" w:ascii="宋体" w:hAnsi="宋体" w:eastAsia="宋体" w:cs="宋体"/>
          <w:sz w:val="24"/>
          <w:szCs w:val="24"/>
        </w:rPr>
        <w:t>（4）响应文件未经投标单位盖章和单位负责人签字；</w:t>
      </w:r>
    </w:p>
    <w:p>
      <w:pPr>
        <w:pageBreakBefore w:val="0"/>
        <w:tabs>
          <w:tab w:val="left" w:pos="1155"/>
        </w:tabs>
        <w:kinsoku/>
        <w:wordWrap/>
        <w:overflowPunct/>
        <w:topLinePunct w:val="0"/>
        <w:bidi w:val="0"/>
        <w:adjustRightInd w:val="0"/>
        <w:snapToGrid w:val="0"/>
        <w:spacing w:line="460" w:lineRule="exact"/>
        <w:ind w:left="797" w:leftChars="269" w:right="0" w:rightChars="0" w:hanging="232" w:hangingChars="97"/>
        <w:textAlignment w:val="auto"/>
        <w:outlineLvl w:val="9"/>
        <w:rPr>
          <w:rFonts w:hint="eastAsia" w:ascii="宋体" w:hAnsi="宋体" w:eastAsia="宋体" w:cs="宋体"/>
          <w:sz w:val="24"/>
          <w:szCs w:val="24"/>
        </w:rPr>
      </w:pPr>
      <w:r>
        <w:rPr>
          <w:rFonts w:hint="eastAsia" w:ascii="宋体" w:hAnsi="宋体" w:eastAsia="宋体" w:cs="宋体"/>
          <w:sz w:val="24"/>
          <w:szCs w:val="24"/>
        </w:rPr>
        <w:t>（5）未按竞争性磋商文件规定格式填写或者字迹模糊不清的；</w:t>
      </w:r>
    </w:p>
    <w:p>
      <w:pPr>
        <w:pageBreakBefore w:val="0"/>
        <w:tabs>
          <w:tab w:val="left" w:pos="1155"/>
        </w:tabs>
        <w:kinsoku/>
        <w:wordWrap/>
        <w:overflowPunct/>
        <w:topLinePunct w:val="0"/>
        <w:bidi w:val="0"/>
        <w:adjustRightInd w:val="0"/>
        <w:snapToGrid w:val="0"/>
        <w:spacing w:line="460" w:lineRule="exact"/>
        <w:ind w:left="797" w:leftChars="269" w:right="0" w:rightChars="0" w:hanging="232" w:hangingChars="97"/>
        <w:textAlignment w:val="auto"/>
        <w:outlineLvl w:val="9"/>
        <w:rPr>
          <w:rFonts w:hint="eastAsia" w:ascii="宋体" w:hAnsi="宋体" w:eastAsia="宋体" w:cs="宋体"/>
          <w:sz w:val="24"/>
          <w:szCs w:val="24"/>
        </w:rPr>
      </w:pPr>
      <w:r>
        <w:rPr>
          <w:rFonts w:hint="eastAsia" w:ascii="宋体" w:hAnsi="宋体" w:eastAsia="宋体" w:cs="宋体"/>
          <w:sz w:val="24"/>
          <w:szCs w:val="24"/>
        </w:rPr>
        <w:t>（6）开标时没有按照竞争性磋商文件要求提交投标保证金的；</w:t>
      </w:r>
    </w:p>
    <w:p>
      <w:pPr>
        <w:pageBreakBefore w:val="0"/>
        <w:tabs>
          <w:tab w:val="left" w:pos="1155"/>
        </w:tabs>
        <w:kinsoku/>
        <w:wordWrap/>
        <w:overflowPunct/>
        <w:topLinePunct w:val="0"/>
        <w:bidi w:val="0"/>
        <w:adjustRightInd w:val="0"/>
        <w:snapToGrid w:val="0"/>
        <w:spacing w:line="460" w:lineRule="exact"/>
        <w:ind w:left="797" w:leftChars="269" w:right="0" w:rightChars="0" w:hanging="232" w:hangingChars="97"/>
        <w:textAlignment w:val="auto"/>
        <w:outlineLvl w:val="9"/>
        <w:rPr>
          <w:rFonts w:hint="eastAsia" w:ascii="宋体" w:hAnsi="宋体" w:eastAsia="宋体" w:cs="宋体"/>
          <w:sz w:val="24"/>
          <w:szCs w:val="24"/>
        </w:rPr>
      </w:pPr>
      <w:r>
        <w:rPr>
          <w:rFonts w:hint="eastAsia" w:ascii="宋体" w:hAnsi="宋体" w:eastAsia="宋体" w:cs="宋体"/>
          <w:sz w:val="24"/>
          <w:szCs w:val="24"/>
        </w:rPr>
        <w:t>（7）投标人未达到国家或者招标规定的资格条件；</w:t>
      </w:r>
    </w:p>
    <w:p>
      <w:pPr>
        <w:pageBreakBefore w:val="0"/>
        <w:tabs>
          <w:tab w:val="left" w:pos="1155"/>
        </w:tabs>
        <w:kinsoku/>
        <w:wordWrap/>
        <w:overflowPunct/>
        <w:topLinePunct w:val="0"/>
        <w:bidi w:val="0"/>
        <w:adjustRightInd w:val="0"/>
        <w:snapToGrid w:val="0"/>
        <w:spacing w:line="460" w:lineRule="exact"/>
        <w:ind w:left="797" w:leftChars="269" w:right="0" w:rightChars="0" w:hanging="232" w:hangingChars="97"/>
        <w:textAlignment w:val="auto"/>
        <w:outlineLvl w:val="9"/>
        <w:rPr>
          <w:rFonts w:hint="eastAsia" w:ascii="宋体" w:hAnsi="宋体" w:eastAsia="宋体" w:cs="宋体"/>
          <w:sz w:val="24"/>
          <w:szCs w:val="24"/>
        </w:rPr>
      </w:pPr>
      <w:r>
        <w:rPr>
          <w:rFonts w:hint="eastAsia" w:ascii="宋体" w:hAnsi="宋体" w:eastAsia="宋体" w:cs="宋体"/>
          <w:sz w:val="24"/>
          <w:szCs w:val="24"/>
        </w:rPr>
        <w:t>（8）磋商最终报价超过招标最高预算金额的。</w:t>
      </w:r>
    </w:p>
    <w:p>
      <w:pPr>
        <w:pageBreakBefore w:val="0"/>
        <w:tabs>
          <w:tab w:val="left" w:pos="1155"/>
        </w:tabs>
        <w:kinsoku/>
        <w:wordWrap/>
        <w:overflowPunct/>
        <w:topLinePunct w:val="0"/>
        <w:bidi w:val="0"/>
        <w:adjustRightInd w:val="0"/>
        <w:snapToGrid w:val="0"/>
        <w:spacing w:line="460" w:lineRule="exact"/>
        <w:ind w:left="424" w:leftChars="202"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磋商过程中否决其投标行为的情形，填写《天津大学招标项目否决投标记录表》，由评审专家、资产处、项目单位和招标办签字。</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86" w:name="_Toc470007430"/>
      <w:bookmarkStart w:id="87" w:name="_Toc395105678"/>
      <w:r>
        <w:rPr>
          <w:rFonts w:hint="eastAsia" w:ascii="宋体" w:hAnsi="宋体" w:eastAsia="宋体" w:cs="宋体"/>
          <w:sz w:val="24"/>
          <w:szCs w:val="24"/>
        </w:rPr>
        <w:t>六、评标</w:t>
      </w:r>
      <w:bookmarkEnd w:id="86"/>
      <w:bookmarkEnd w:id="87"/>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88" w:name="_Toc470007431"/>
      <w:r>
        <w:rPr>
          <w:rFonts w:hint="eastAsia" w:ascii="宋体" w:hAnsi="宋体" w:eastAsia="宋体" w:cs="宋体"/>
          <w:sz w:val="24"/>
          <w:szCs w:val="24"/>
        </w:rPr>
        <w:t>20．组建磋商小组</w:t>
      </w:r>
      <w:bookmarkEnd w:id="88"/>
    </w:p>
    <w:p>
      <w:pPr>
        <w:pageBreakBefore w:val="0"/>
        <w:tabs>
          <w:tab w:val="left" w:pos="1155"/>
        </w:tabs>
        <w:kinsoku/>
        <w:wordWrap/>
        <w:overflowPunct/>
        <w:topLinePunct w:val="0"/>
        <w:bidi w:val="0"/>
        <w:adjustRightInd w:val="0"/>
        <w:snapToGrid w:val="0"/>
        <w:spacing w:line="460" w:lineRule="exact"/>
        <w:ind w:left="910" w:leftChars="205"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t>20.1 采购人根据有关法律法规和本竞争性磋商文件的规定，结合本项目的特点组建磋商小组，对响应文件进行评审。</w:t>
      </w:r>
      <w:r>
        <w:rPr>
          <w:rFonts w:hint="eastAsia" w:ascii="宋体" w:hAnsi="宋体" w:eastAsia="宋体" w:cs="宋体"/>
          <w:snapToGrid w:val="0"/>
          <w:kern w:val="0"/>
          <w:sz w:val="24"/>
          <w:szCs w:val="24"/>
        </w:rPr>
        <w:t>磋商小组由采购人代表和评审专家共3人以上单数组成，其中评审专家人数不得少于磋商小组成员总数的2/3。</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89" w:name="_Toc470007432"/>
      <w:r>
        <w:rPr>
          <w:rFonts w:hint="eastAsia" w:ascii="宋体" w:hAnsi="宋体" w:eastAsia="宋体" w:cs="宋体"/>
          <w:sz w:val="24"/>
          <w:szCs w:val="24"/>
        </w:rPr>
        <w:t>21．对响应文件的初审</w:t>
      </w:r>
      <w:bookmarkEnd w:id="89"/>
    </w:p>
    <w:p>
      <w:pPr>
        <w:pageBreakBefore w:val="0"/>
        <w:tabs>
          <w:tab w:val="left" w:pos="1155"/>
        </w:tabs>
        <w:kinsoku/>
        <w:wordWrap/>
        <w:overflowPunct/>
        <w:topLinePunct w:val="0"/>
        <w:bidi w:val="0"/>
        <w:adjustRightInd w:val="0"/>
        <w:snapToGrid w:val="0"/>
        <w:spacing w:line="460" w:lineRule="exact"/>
        <w:ind w:left="910" w:leftChars="205"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t>21.1开标后，项目单位和资产处将审查响应文件是否符合竞争性磋商文件的基本要求：内容是否完整、资格证明文件是否齐全、有无计算错误、文件签署是否齐全等。</w:t>
      </w:r>
    </w:p>
    <w:p>
      <w:pPr>
        <w:pageBreakBefore w:val="0"/>
        <w:tabs>
          <w:tab w:val="left" w:pos="1155"/>
        </w:tabs>
        <w:kinsoku/>
        <w:wordWrap/>
        <w:overflowPunct/>
        <w:topLinePunct w:val="0"/>
        <w:bidi w:val="0"/>
        <w:adjustRightInd w:val="0"/>
        <w:snapToGrid w:val="0"/>
        <w:spacing w:line="460" w:lineRule="exact"/>
        <w:ind w:left="910" w:leftChars="205"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t>21.2评标过程中有下列情形之一的，磋商小组应当否决其投标行为：</w:t>
      </w:r>
    </w:p>
    <w:p>
      <w:pPr>
        <w:pageBreakBefore w:val="0"/>
        <w:tabs>
          <w:tab w:val="left" w:pos="1155"/>
        </w:tabs>
        <w:kinsoku/>
        <w:wordWrap/>
        <w:overflowPunct/>
        <w:topLinePunct w:val="0"/>
        <w:bidi w:val="0"/>
        <w:adjustRightInd w:val="0"/>
        <w:snapToGrid w:val="0"/>
        <w:spacing w:line="460" w:lineRule="exact"/>
        <w:ind w:left="777" w:leftChars="337" w:right="0" w:rightChars="0" w:hanging="69" w:hangingChars="29"/>
        <w:textAlignment w:val="auto"/>
        <w:outlineLvl w:val="9"/>
        <w:rPr>
          <w:rFonts w:hint="eastAsia" w:ascii="宋体" w:hAnsi="宋体" w:eastAsia="宋体" w:cs="宋体"/>
          <w:sz w:val="24"/>
          <w:szCs w:val="24"/>
        </w:rPr>
      </w:pPr>
      <w:r>
        <w:rPr>
          <w:rFonts w:hint="eastAsia" w:ascii="宋体" w:hAnsi="宋体" w:eastAsia="宋体" w:cs="宋体"/>
          <w:sz w:val="24"/>
          <w:szCs w:val="24"/>
        </w:rPr>
        <w:t>（1）不能满足投标项目的完成期限；</w:t>
      </w:r>
    </w:p>
    <w:p>
      <w:pPr>
        <w:pageBreakBefore w:val="0"/>
        <w:tabs>
          <w:tab w:val="left" w:pos="1155"/>
        </w:tabs>
        <w:kinsoku/>
        <w:wordWrap/>
        <w:overflowPunct/>
        <w:topLinePunct w:val="0"/>
        <w:bidi w:val="0"/>
        <w:adjustRightInd w:val="0"/>
        <w:snapToGrid w:val="0"/>
        <w:spacing w:line="460" w:lineRule="exact"/>
        <w:ind w:left="777" w:leftChars="337" w:right="0" w:rightChars="0" w:hanging="69" w:hangingChars="29"/>
        <w:textAlignment w:val="auto"/>
        <w:outlineLvl w:val="9"/>
        <w:rPr>
          <w:rFonts w:hint="eastAsia" w:ascii="宋体" w:hAnsi="宋体" w:eastAsia="宋体" w:cs="宋体"/>
          <w:sz w:val="24"/>
          <w:szCs w:val="24"/>
        </w:rPr>
      </w:pPr>
      <w:r>
        <w:rPr>
          <w:rFonts w:hint="eastAsia" w:ascii="宋体" w:hAnsi="宋体" w:eastAsia="宋体" w:cs="宋体"/>
          <w:sz w:val="24"/>
          <w:szCs w:val="24"/>
        </w:rPr>
        <w:t>（2）附有采购人无法接受的条件；</w:t>
      </w:r>
    </w:p>
    <w:p>
      <w:pPr>
        <w:pageBreakBefore w:val="0"/>
        <w:tabs>
          <w:tab w:val="left" w:pos="1155"/>
        </w:tabs>
        <w:kinsoku/>
        <w:wordWrap/>
        <w:overflowPunct/>
        <w:topLinePunct w:val="0"/>
        <w:bidi w:val="0"/>
        <w:adjustRightInd w:val="0"/>
        <w:snapToGrid w:val="0"/>
        <w:spacing w:line="460" w:lineRule="exact"/>
        <w:ind w:left="777" w:leftChars="337" w:right="0" w:rightChars="0" w:hanging="69" w:hangingChars="29"/>
        <w:textAlignment w:val="auto"/>
        <w:outlineLvl w:val="9"/>
        <w:rPr>
          <w:rFonts w:hint="eastAsia" w:ascii="宋体" w:hAnsi="宋体" w:eastAsia="宋体" w:cs="宋体"/>
          <w:sz w:val="24"/>
          <w:szCs w:val="24"/>
        </w:rPr>
      </w:pPr>
      <w:r>
        <w:rPr>
          <w:rFonts w:hint="eastAsia" w:ascii="宋体" w:hAnsi="宋体" w:eastAsia="宋体" w:cs="宋体"/>
          <w:sz w:val="24"/>
          <w:szCs w:val="24"/>
        </w:rPr>
        <w:t>（3）明显不符合核心指标技术规格、质量要求、检验标准和方法；</w:t>
      </w:r>
    </w:p>
    <w:p>
      <w:pPr>
        <w:pageBreakBefore w:val="0"/>
        <w:tabs>
          <w:tab w:val="left" w:pos="1155"/>
        </w:tabs>
        <w:kinsoku/>
        <w:wordWrap/>
        <w:overflowPunct/>
        <w:topLinePunct w:val="0"/>
        <w:bidi w:val="0"/>
        <w:adjustRightInd w:val="0"/>
        <w:snapToGrid w:val="0"/>
        <w:spacing w:line="460" w:lineRule="exact"/>
        <w:ind w:left="777" w:leftChars="337" w:right="0" w:rightChars="0" w:hanging="69" w:hangingChars="29"/>
        <w:textAlignment w:val="auto"/>
        <w:outlineLvl w:val="9"/>
        <w:rPr>
          <w:rFonts w:hint="eastAsia" w:ascii="宋体" w:hAnsi="宋体" w:eastAsia="宋体" w:cs="宋体"/>
          <w:sz w:val="24"/>
          <w:szCs w:val="24"/>
        </w:rPr>
      </w:pPr>
      <w:r>
        <w:rPr>
          <w:rFonts w:hint="eastAsia" w:ascii="宋体" w:hAnsi="宋体" w:eastAsia="宋体" w:cs="宋体"/>
          <w:sz w:val="24"/>
          <w:szCs w:val="24"/>
        </w:rPr>
        <w:t>（4）不符合竞争性磋商文件规定的其他实质性要求；</w:t>
      </w:r>
    </w:p>
    <w:p>
      <w:pPr>
        <w:pageBreakBefore w:val="0"/>
        <w:tabs>
          <w:tab w:val="left" w:pos="1155"/>
        </w:tabs>
        <w:kinsoku/>
        <w:wordWrap/>
        <w:overflowPunct/>
        <w:topLinePunct w:val="0"/>
        <w:bidi w:val="0"/>
        <w:adjustRightInd w:val="0"/>
        <w:snapToGrid w:val="0"/>
        <w:spacing w:line="460" w:lineRule="exact"/>
        <w:ind w:left="777" w:leftChars="337" w:right="0" w:rightChars="0" w:hanging="69" w:hangingChars="29"/>
        <w:textAlignment w:val="auto"/>
        <w:outlineLvl w:val="9"/>
        <w:rPr>
          <w:rFonts w:hint="eastAsia" w:ascii="宋体" w:hAnsi="宋体" w:eastAsia="宋体" w:cs="宋体"/>
          <w:sz w:val="24"/>
          <w:szCs w:val="24"/>
        </w:rPr>
      </w:pPr>
      <w:r>
        <w:rPr>
          <w:rFonts w:hint="eastAsia" w:ascii="宋体" w:hAnsi="宋体" w:eastAsia="宋体" w:cs="宋体"/>
          <w:sz w:val="24"/>
          <w:szCs w:val="24"/>
        </w:rPr>
        <w:t>（5）投标人递交两份或多份内容不同的响应文件，或在一份响应文件中对同一招标项目有两个或多个报价，且未声明哪一个为最终报价；</w:t>
      </w:r>
    </w:p>
    <w:p>
      <w:pPr>
        <w:pageBreakBefore w:val="0"/>
        <w:tabs>
          <w:tab w:val="left" w:pos="1155"/>
        </w:tabs>
        <w:kinsoku/>
        <w:wordWrap/>
        <w:overflowPunct/>
        <w:topLinePunct w:val="0"/>
        <w:bidi w:val="0"/>
        <w:adjustRightInd w:val="0"/>
        <w:snapToGrid w:val="0"/>
        <w:spacing w:line="460" w:lineRule="exact"/>
        <w:ind w:left="777" w:leftChars="337" w:right="0" w:rightChars="0" w:hanging="69" w:hangingChars="29"/>
        <w:textAlignment w:val="auto"/>
        <w:outlineLvl w:val="9"/>
        <w:rPr>
          <w:rFonts w:hint="eastAsia" w:ascii="宋体" w:hAnsi="宋体" w:eastAsia="宋体" w:cs="宋体"/>
          <w:sz w:val="24"/>
          <w:szCs w:val="24"/>
        </w:rPr>
      </w:pPr>
      <w:r>
        <w:rPr>
          <w:rFonts w:hint="eastAsia" w:ascii="宋体" w:hAnsi="宋体" w:eastAsia="宋体" w:cs="宋体"/>
          <w:sz w:val="24"/>
          <w:szCs w:val="24"/>
        </w:rPr>
        <w:t>（6）与其他投标人相互串通报价，或者与采购人串通投标；</w:t>
      </w:r>
    </w:p>
    <w:p>
      <w:pPr>
        <w:pageBreakBefore w:val="0"/>
        <w:tabs>
          <w:tab w:val="left" w:pos="1155"/>
        </w:tabs>
        <w:kinsoku/>
        <w:wordWrap/>
        <w:overflowPunct/>
        <w:topLinePunct w:val="0"/>
        <w:bidi w:val="0"/>
        <w:adjustRightInd w:val="0"/>
        <w:snapToGrid w:val="0"/>
        <w:spacing w:line="460" w:lineRule="exact"/>
        <w:ind w:left="777" w:leftChars="337" w:right="0" w:rightChars="0" w:hanging="69" w:hangingChars="29"/>
        <w:textAlignment w:val="auto"/>
        <w:outlineLvl w:val="9"/>
        <w:rPr>
          <w:rFonts w:hint="eastAsia" w:ascii="宋体" w:hAnsi="宋体" w:eastAsia="宋体" w:cs="宋体"/>
          <w:sz w:val="24"/>
          <w:szCs w:val="24"/>
        </w:rPr>
      </w:pPr>
      <w:r>
        <w:rPr>
          <w:rFonts w:hint="eastAsia" w:ascii="宋体" w:hAnsi="宋体" w:eastAsia="宋体" w:cs="宋体"/>
          <w:sz w:val="24"/>
          <w:szCs w:val="24"/>
        </w:rPr>
        <w:t>（7）向招标办、资产处、项目单位或评标专家等行贿；</w:t>
      </w:r>
    </w:p>
    <w:p>
      <w:pPr>
        <w:pageBreakBefore w:val="0"/>
        <w:tabs>
          <w:tab w:val="left" w:pos="1155"/>
        </w:tabs>
        <w:kinsoku/>
        <w:wordWrap/>
        <w:overflowPunct/>
        <w:topLinePunct w:val="0"/>
        <w:bidi w:val="0"/>
        <w:adjustRightInd w:val="0"/>
        <w:snapToGrid w:val="0"/>
        <w:spacing w:line="460" w:lineRule="exact"/>
        <w:ind w:left="777" w:leftChars="337" w:right="0" w:rightChars="0" w:hanging="69" w:hangingChars="29"/>
        <w:textAlignment w:val="auto"/>
        <w:outlineLvl w:val="9"/>
        <w:rPr>
          <w:rFonts w:hint="eastAsia" w:ascii="宋体" w:hAnsi="宋体" w:eastAsia="宋体" w:cs="宋体"/>
          <w:sz w:val="24"/>
          <w:szCs w:val="24"/>
        </w:rPr>
      </w:pPr>
      <w:r>
        <w:rPr>
          <w:rFonts w:hint="eastAsia" w:ascii="宋体" w:hAnsi="宋体" w:eastAsia="宋体" w:cs="宋体"/>
          <w:sz w:val="24"/>
          <w:szCs w:val="24"/>
        </w:rPr>
        <w:t>（8）国家规定的其他情形。</w:t>
      </w:r>
    </w:p>
    <w:p>
      <w:pPr>
        <w:pageBreakBefore w:val="0"/>
        <w:tabs>
          <w:tab w:val="left" w:pos="1155"/>
        </w:tabs>
        <w:kinsoku/>
        <w:wordWrap/>
        <w:overflowPunct/>
        <w:topLinePunct w:val="0"/>
        <w:bidi w:val="0"/>
        <w:adjustRightInd w:val="0"/>
        <w:snapToGrid w:val="0"/>
        <w:spacing w:line="460" w:lineRule="exact"/>
        <w:ind w:left="777" w:leftChars="337" w:right="0" w:rightChars="0" w:hanging="69" w:hangingChars="29"/>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rPr>
        <w:t xml:space="preserve"> 磋商过程中认定的否决其投标的情形，填写《天津大学招标项目否决投</w:t>
      </w:r>
      <w:r>
        <w:rPr>
          <w:rFonts w:hint="eastAsia" w:ascii="宋体" w:hAnsi="宋体" w:eastAsia="宋体" w:cs="宋体"/>
          <w:sz w:val="24"/>
          <w:szCs w:val="24"/>
          <w:highlight w:val="none"/>
        </w:rPr>
        <w:t>标记录表》，由评审专家、项目主管单位、项目单位和招标办签字。</w:t>
      </w:r>
    </w:p>
    <w:p>
      <w:pPr>
        <w:pageBreakBefore w:val="0"/>
        <w:tabs>
          <w:tab w:val="left" w:pos="1155"/>
        </w:tabs>
        <w:kinsoku/>
        <w:wordWrap/>
        <w:overflowPunct/>
        <w:topLinePunct w:val="0"/>
        <w:bidi w:val="0"/>
        <w:spacing w:line="460" w:lineRule="exact"/>
        <w:ind w:left="777" w:leftChars="337" w:right="0" w:rightChars="0" w:hanging="69" w:hangingChars="29"/>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21.3 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ageBreakBefore w:val="0"/>
        <w:tabs>
          <w:tab w:val="left" w:pos="1155"/>
        </w:tabs>
        <w:kinsoku/>
        <w:wordWrap/>
        <w:overflowPunct/>
        <w:topLinePunct w:val="0"/>
        <w:bidi w:val="0"/>
        <w:spacing w:line="460" w:lineRule="exact"/>
        <w:ind w:left="777" w:leftChars="337" w:right="0" w:rightChars="0" w:hanging="69" w:hangingChars="29"/>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非单一产品采购项目，采购人应当根据采购项目技术构成、产品价格比重等合理确定核心产品，并在招标文件中载明。多家投标人提供的核心产品品牌相同的，按前款规定处理。</w:t>
      </w:r>
    </w:p>
    <w:p>
      <w:pPr>
        <w:pageBreakBefore w:val="0"/>
        <w:tabs>
          <w:tab w:val="left" w:pos="1155"/>
        </w:tabs>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21.4废标</w:t>
      </w:r>
    </w:p>
    <w:p>
      <w:pPr>
        <w:pageBreakBefore w:val="0"/>
        <w:tabs>
          <w:tab w:val="left" w:pos="1155"/>
        </w:tabs>
        <w:kinsoku/>
        <w:wordWrap/>
        <w:overflowPunct/>
        <w:topLinePunct w:val="0"/>
        <w:bidi w:val="0"/>
        <w:adjustRightInd w:val="0"/>
        <w:snapToGrid w:val="0"/>
        <w:spacing w:line="460" w:lineRule="exact"/>
        <w:ind w:left="817" w:leftChars="202" w:right="0" w:rightChars="0" w:hanging="393" w:hangingChars="164"/>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出现下列情况之一的，采购人有权宣布废标，并将理由通知所有投标人：</w:t>
      </w:r>
    </w:p>
    <w:p>
      <w:pPr>
        <w:pageBreakBefore w:val="0"/>
        <w:kinsoku/>
        <w:wordWrap/>
        <w:overflowPunct/>
        <w:topLinePunct w:val="0"/>
        <w:bidi w:val="0"/>
        <w:adjustRightInd w:val="0"/>
        <w:snapToGrid w:val="0"/>
        <w:spacing w:line="460" w:lineRule="exact"/>
        <w:ind w:left="639" w:leftChars="270" w:right="0" w:rightChars="0" w:hanging="72" w:hangingChars="30"/>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rPr>
        <w:t>（1</w:t>
      </w:r>
      <w:r>
        <w:rPr>
          <w:rFonts w:hint="eastAsia" w:ascii="宋体" w:hAnsi="宋体" w:eastAsia="宋体" w:cs="宋体"/>
          <w:sz w:val="24"/>
          <w:szCs w:val="24"/>
        </w:rPr>
        <w:t>）到竞争性磋商文件规定提交响应文件截止时间，提交响应文件的投标人不足三家的，磋商小组认为应该重新开展采购活动；</w:t>
      </w:r>
    </w:p>
    <w:p>
      <w:pPr>
        <w:pageBreakBefore w:val="0"/>
        <w:kinsoku/>
        <w:wordWrap/>
        <w:overflowPunct/>
        <w:topLinePunct w:val="0"/>
        <w:bidi w:val="0"/>
        <w:adjustRightInd w:val="0"/>
        <w:snapToGrid w:val="0"/>
        <w:spacing w:line="460" w:lineRule="exact"/>
        <w:ind w:left="639" w:leftChars="270" w:right="0" w:rightChars="0" w:hanging="72" w:hangingChars="30"/>
        <w:textAlignment w:val="auto"/>
        <w:outlineLvl w:val="9"/>
        <w:rPr>
          <w:rFonts w:hint="eastAsia" w:ascii="宋体" w:hAnsi="宋体" w:eastAsia="宋体" w:cs="宋体"/>
          <w:sz w:val="24"/>
          <w:szCs w:val="24"/>
        </w:rPr>
      </w:pPr>
      <w:r>
        <w:rPr>
          <w:rFonts w:hint="eastAsia" w:ascii="宋体" w:hAnsi="宋体" w:eastAsia="宋体" w:cs="宋体"/>
          <w:sz w:val="24"/>
          <w:szCs w:val="24"/>
        </w:rPr>
        <w:t>（2）磋商过程中，对竞争性磋商文件作实质响应的投标人不足3家的，磋商小组认为应该重新开展采购活动；</w:t>
      </w:r>
    </w:p>
    <w:p>
      <w:pPr>
        <w:pageBreakBefore w:val="0"/>
        <w:kinsoku/>
        <w:wordWrap/>
        <w:overflowPunct/>
        <w:topLinePunct w:val="0"/>
        <w:bidi w:val="0"/>
        <w:adjustRightInd w:val="0"/>
        <w:snapToGrid w:val="0"/>
        <w:spacing w:line="460" w:lineRule="exact"/>
        <w:ind w:left="639" w:leftChars="270" w:right="0" w:rightChars="0" w:hanging="72" w:hangingChars="30"/>
        <w:textAlignment w:val="auto"/>
        <w:outlineLvl w:val="9"/>
        <w:rPr>
          <w:rFonts w:hint="eastAsia" w:ascii="宋体" w:hAnsi="宋体" w:eastAsia="宋体" w:cs="宋体"/>
          <w:sz w:val="24"/>
          <w:szCs w:val="24"/>
        </w:rPr>
      </w:pPr>
      <w:r>
        <w:rPr>
          <w:rFonts w:hint="eastAsia" w:ascii="宋体" w:hAnsi="宋体" w:eastAsia="宋体" w:cs="宋体"/>
          <w:sz w:val="24"/>
          <w:szCs w:val="24"/>
        </w:rPr>
        <w:t>（3）出现影响采购公正的违法、违规行为的；</w:t>
      </w:r>
    </w:p>
    <w:p>
      <w:pPr>
        <w:pageBreakBefore w:val="0"/>
        <w:kinsoku/>
        <w:wordWrap/>
        <w:overflowPunct/>
        <w:topLinePunct w:val="0"/>
        <w:bidi w:val="0"/>
        <w:adjustRightInd w:val="0"/>
        <w:snapToGrid w:val="0"/>
        <w:spacing w:line="460" w:lineRule="exact"/>
        <w:ind w:left="639" w:leftChars="270" w:right="0" w:rightChars="0" w:hanging="72" w:hangingChars="30"/>
        <w:textAlignment w:val="auto"/>
        <w:outlineLvl w:val="9"/>
        <w:rPr>
          <w:rFonts w:hint="eastAsia" w:ascii="宋体" w:hAnsi="宋体" w:eastAsia="宋体" w:cs="宋体"/>
          <w:sz w:val="24"/>
          <w:szCs w:val="24"/>
        </w:rPr>
      </w:pPr>
      <w:r>
        <w:rPr>
          <w:rFonts w:hint="eastAsia" w:ascii="宋体" w:hAnsi="宋体" w:eastAsia="宋体" w:cs="宋体"/>
          <w:sz w:val="24"/>
          <w:szCs w:val="24"/>
        </w:rPr>
        <w:t>（4）投标人最终报价均超过了项目预算不能支付的；</w:t>
      </w:r>
    </w:p>
    <w:p>
      <w:pPr>
        <w:pageBreakBefore w:val="0"/>
        <w:kinsoku/>
        <w:wordWrap/>
        <w:overflowPunct/>
        <w:topLinePunct w:val="0"/>
        <w:bidi w:val="0"/>
        <w:adjustRightInd w:val="0"/>
        <w:snapToGrid w:val="0"/>
        <w:spacing w:line="460" w:lineRule="exact"/>
        <w:ind w:left="639" w:leftChars="270" w:right="0" w:rightChars="0" w:hanging="72" w:hangingChars="30"/>
        <w:textAlignment w:val="auto"/>
        <w:outlineLvl w:val="9"/>
        <w:rPr>
          <w:rFonts w:hint="eastAsia" w:ascii="宋体" w:hAnsi="宋体" w:eastAsia="宋体" w:cs="宋体"/>
          <w:sz w:val="24"/>
          <w:szCs w:val="24"/>
        </w:rPr>
      </w:pPr>
      <w:r>
        <w:rPr>
          <w:rFonts w:hint="eastAsia" w:ascii="宋体" w:hAnsi="宋体" w:eastAsia="宋体" w:cs="宋体"/>
          <w:sz w:val="24"/>
          <w:szCs w:val="24"/>
        </w:rPr>
        <w:t>（5）因重大变故，采购任务取消的。</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u w:val="single"/>
        </w:rPr>
      </w:pPr>
      <w:r>
        <w:rPr>
          <w:rFonts w:hint="eastAsia" w:ascii="宋体" w:hAnsi="宋体" w:eastAsia="宋体" w:cs="宋体"/>
          <w:sz w:val="24"/>
          <w:szCs w:val="24"/>
        </w:rPr>
        <w:t>21.5在综合评分之前，磋商小组要审查每份响应文件是否实质性响应了竞争性磋商文件的要求。</w:t>
      </w:r>
      <w:r>
        <w:rPr>
          <w:rFonts w:hint="eastAsia" w:ascii="宋体" w:hAnsi="宋体" w:eastAsia="宋体" w:cs="宋体"/>
          <w:sz w:val="24"/>
          <w:szCs w:val="24"/>
          <w:u w:val="single"/>
        </w:rPr>
        <w:t>实质性响应的投标是指完全符合竞争性磋商文件中所有加注*部分的规定，且没有重大偏离或保留。</w:t>
      </w:r>
      <w:r>
        <w:rPr>
          <w:rFonts w:hint="eastAsia" w:ascii="宋体" w:hAnsi="宋体" w:eastAsia="宋体" w:cs="宋体"/>
          <w:sz w:val="24"/>
          <w:szCs w:val="24"/>
        </w:rPr>
        <w:t>重大偏离或保留系指影响到竞争性磋商文件规定的范围、质量和性能，或限制了买方的权力和投标人的义务的规定。而纠正这些偏离将影响到其它提交实质性响应投标的投标人的公平竞争地位。投标人不能通过修正或撤销不符之处，而使其投标成为实质性响应的投标。</w:t>
      </w:r>
      <w:r>
        <w:rPr>
          <w:rFonts w:hint="eastAsia" w:ascii="宋体" w:hAnsi="宋体" w:eastAsia="宋体" w:cs="宋体"/>
          <w:sz w:val="24"/>
          <w:szCs w:val="24"/>
          <w:u w:val="single"/>
        </w:rPr>
        <w:t>未实质性响应的响应文件将导致投</w:t>
      </w:r>
      <w:r>
        <w:rPr>
          <w:rFonts w:hint="eastAsia" w:ascii="宋体" w:hAnsi="宋体" w:eastAsia="宋体" w:cs="宋体"/>
          <w:sz w:val="24"/>
          <w:szCs w:val="24"/>
          <w:highlight w:val="none"/>
          <w:u w:val="single"/>
        </w:rPr>
        <w:t>标无效。</w:t>
      </w:r>
    </w:p>
    <w:p>
      <w:pPr>
        <w:pageBreakBefore w:val="0"/>
        <w:tabs>
          <w:tab w:val="left" w:pos="1155"/>
        </w:tabs>
        <w:kinsoku/>
        <w:wordWrap/>
        <w:overflowPunct/>
        <w:topLinePunct w:val="0"/>
        <w:bidi w:val="0"/>
        <w:spacing w:line="460" w:lineRule="exact"/>
        <w:ind w:left="422" w:leftChars="201" w:right="0" w:rightChars="0" w:firstLine="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21.6  响应文件报价出现前后不一致的，除磋商文件另有规定外，按照下列规定修正：</w:t>
      </w:r>
    </w:p>
    <w:p>
      <w:pPr>
        <w:pageBreakBefore w:val="0"/>
        <w:tabs>
          <w:tab w:val="left" w:pos="1155"/>
        </w:tabs>
        <w:kinsoku/>
        <w:wordWrap/>
        <w:overflowPunct/>
        <w:topLinePunct w:val="0"/>
        <w:bidi w:val="0"/>
        <w:spacing w:line="460" w:lineRule="exact"/>
        <w:ind w:left="422" w:leftChars="201" w:right="0" w:rightChars="0" w:firstLine="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（1）响应文件中开标一览表（报价表）内容与响应文件中相应内容不一致的，以开标一览表（报价表）为准；</w:t>
      </w:r>
    </w:p>
    <w:p>
      <w:pPr>
        <w:pageBreakBefore w:val="0"/>
        <w:tabs>
          <w:tab w:val="left" w:pos="1155"/>
        </w:tabs>
        <w:kinsoku/>
        <w:wordWrap/>
        <w:overflowPunct/>
        <w:topLinePunct w:val="0"/>
        <w:bidi w:val="0"/>
        <w:spacing w:line="460" w:lineRule="exact"/>
        <w:ind w:left="422" w:leftChars="201" w:right="0" w:rightChars="0" w:firstLine="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（2）大写金额和小写金额不一致的，以大写金额为准；</w:t>
      </w:r>
    </w:p>
    <w:p>
      <w:pPr>
        <w:pageBreakBefore w:val="0"/>
        <w:tabs>
          <w:tab w:val="left" w:pos="1155"/>
        </w:tabs>
        <w:kinsoku/>
        <w:wordWrap/>
        <w:overflowPunct/>
        <w:topLinePunct w:val="0"/>
        <w:bidi w:val="0"/>
        <w:spacing w:line="460" w:lineRule="exact"/>
        <w:ind w:left="422" w:leftChars="201" w:right="0" w:rightChars="0" w:firstLine="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（3）单价金额小数点或者百分比有明显错位的，以开标一览表的总价为准，并修改单价；</w:t>
      </w:r>
    </w:p>
    <w:p>
      <w:pPr>
        <w:pageBreakBefore w:val="0"/>
        <w:tabs>
          <w:tab w:val="left" w:pos="1155"/>
        </w:tabs>
        <w:kinsoku/>
        <w:wordWrap/>
        <w:overflowPunct/>
        <w:topLinePunct w:val="0"/>
        <w:bidi w:val="0"/>
        <w:spacing w:line="460" w:lineRule="exact"/>
        <w:ind w:left="422" w:leftChars="201" w:right="0" w:rightChars="0" w:firstLine="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（4）总价金额与按单价汇总金额不一致的，以单价金额计算结果为准。</w:t>
      </w:r>
    </w:p>
    <w:p>
      <w:pPr>
        <w:pageBreakBefore w:val="0"/>
        <w:tabs>
          <w:tab w:val="left" w:pos="1155"/>
        </w:tabs>
        <w:kinsoku/>
        <w:wordWrap/>
        <w:overflowPunct/>
        <w:topLinePunct w:val="0"/>
        <w:bidi w:val="0"/>
        <w:spacing w:line="460" w:lineRule="exact"/>
        <w:ind w:left="422" w:leftChars="201" w:right="0" w:rightChars="0" w:firstLine="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同时出现两种以上不一致的，按照前款规定的顺序修正。修正后的报价按照21.6（2）的规定经投标人确认后产生约束力，投标人不确认的，其投标无效。</w:t>
      </w:r>
    </w:p>
    <w:p>
      <w:pPr>
        <w:pageBreakBefore w:val="0"/>
        <w:tabs>
          <w:tab w:val="left" w:pos="1155"/>
        </w:tabs>
        <w:kinsoku/>
        <w:wordWrap/>
        <w:overflowPunct/>
        <w:topLinePunct w:val="0"/>
        <w:bidi w:val="0"/>
        <w:spacing w:line="460" w:lineRule="exact"/>
        <w:ind w:left="422" w:leftChars="201" w:right="0" w:rightChars="0" w:firstLine="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21.7 磋商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磋商小组应当将其作为无效投标处理。</w:t>
      </w:r>
    </w:p>
    <w:p>
      <w:pPr>
        <w:pageBreakBefore w:val="0"/>
        <w:kinsoku/>
        <w:wordWrap/>
        <w:overflowPunct/>
        <w:topLinePunct w:val="0"/>
        <w:bidi w:val="0"/>
        <w:adjustRightInd w:val="0"/>
        <w:snapToGrid w:val="0"/>
        <w:spacing w:line="460" w:lineRule="exact"/>
        <w:ind w:left="40" w:leftChars="19" w:right="0" w:rightChars="0" w:firstLine="360" w:firstLineChars="15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21.8磋商小组对响应文件的判定,只依据响应文件内容本身,不依据任何外来证据。</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90" w:name="_Toc470007433"/>
      <w:r>
        <w:rPr>
          <w:rFonts w:hint="eastAsia" w:ascii="宋体" w:hAnsi="宋体" w:eastAsia="宋体" w:cs="宋体"/>
          <w:sz w:val="24"/>
          <w:szCs w:val="24"/>
          <w:highlight w:val="none"/>
        </w:rPr>
        <w:t>22．响应文件的澄清</w:t>
      </w:r>
      <w:bookmarkEnd w:id="90"/>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22.1磋商小组有权要求投标人对响应文件中含义不明确、对同类问题表述不一致或者有明显文字和计算错误等内容作必要的澄清、说明或者补正。该要求应当采用书面形式,并由磋商小组专家签字。</w:t>
      </w:r>
    </w:p>
    <w:p>
      <w:pPr>
        <w:pageBreakBefore w:val="0"/>
        <w:kinsoku/>
        <w:wordWrap/>
        <w:overflowPunct/>
        <w:topLinePunct w:val="0"/>
        <w:bidi w:val="0"/>
        <w:adjustRightInd w:val="0"/>
        <w:snapToGrid w:val="0"/>
        <w:spacing w:line="460" w:lineRule="exact"/>
        <w:ind w:left="908" w:leftChars="203" w:right="0" w:rightChars="0" w:hanging="482" w:hangingChars="201"/>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rPr>
        <w:t>22.2投标人必须按照磋商小组通知的内容和时间做出书面答复，该答复经法</w:t>
      </w:r>
      <w:r>
        <w:rPr>
          <w:rFonts w:hint="eastAsia" w:ascii="宋体" w:hAnsi="宋体" w:eastAsia="宋体" w:cs="宋体"/>
          <w:sz w:val="24"/>
          <w:szCs w:val="24"/>
        </w:rPr>
        <w:t>定代表人或其授权的投标人代表的签字认可，将作为响应文件内容的一部分。澄清、说明或者补正不得超出响应文件的范围或者改变响应文件的实质性内容。投标人拒不按照要求对响应文件进行澄清、说明或者补正的，磋商小组可拒绝该投标。</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22.3如磋商小组一致认为某个投标人的报价明显不合理，有降低质量、不能诚信履行的可能时，磋商小组有权通知投标人按规定期限进行书面解释或提供相关证明材料。若该投标人在规定期限内未做出解释、作出的解释不合理或不能提供证明材料的，经磋商小组取得一致意见后，可拒绝该投标。</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22.4采购人不接受投标人主动提出的对响应文件的澄清。</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91" w:name="_Toc470007434"/>
      <w:r>
        <w:rPr>
          <w:rFonts w:hint="eastAsia" w:ascii="宋体" w:hAnsi="宋体" w:eastAsia="宋体" w:cs="宋体"/>
          <w:sz w:val="24"/>
          <w:szCs w:val="24"/>
        </w:rPr>
        <w:t>23．对响应文件的详细评审</w:t>
      </w:r>
      <w:bookmarkEnd w:id="91"/>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23.1磋商小组只对实质上响应竞争性磋商文件的投标进行综合评审；评审应严格按照竞争性磋商文件的要求和条件进行；具体评标标准、方法详见竞争性磋商文件第三部分“评标标准和评分办法”。</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rPr>
        <w:t>23.2 评标应严格按照竞争性磋商文件规定和评标标准、方法进行，投标人</w:t>
      </w:r>
      <w:r>
        <w:rPr>
          <w:rFonts w:hint="eastAsia" w:ascii="宋体" w:hAnsi="宋体" w:eastAsia="宋体" w:cs="宋体"/>
          <w:sz w:val="24"/>
          <w:szCs w:val="24"/>
          <w:highlight w:val="none"/>
        </w:rPr>
        <w:t>可对任何擅自改变评标标准、方法的行为进行质疑或投诉。</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92" w:name="_Toc470007435"/>
      <w:r>
        <w:rPr>
          <w:rFonts w:hint="eastAsia" w:ascii="宋体" w:hAnsi="宋体" w:eastAsia="宋体" w:cs="宋体"/>
          <w:sz w:val="24"/>
          <w:szCs w:val="24"/>
          <w:highlight w:val="none"/>
        </w:rPr>
        <w:t>24．确定成交供应商</w:t>
      </w:r>
      <w:bookmarkEnd w:id="92"/>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24.1磋商小组根据详细评审的结果确定中标候选人，并标明排列顺序。</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24.2 采用综合评分法的，评标结果按评审后得分由高到低顺序排列。得分相同的，按投标报价由低到高顺序排列。得分且投标报价相同的并列。响应文件满足磋商文件全部实质性要求，且按照评审因素的量化指标评审得分最高的投标人为排名第一的中标候选人。</w:t>
      </w:r>
    </w:p>
    <w:p>
      <w:pPr>
        <w:pageBreakBefore w:val="0"/>
        <w:kinsoku/>
        <w:wordWrap/>
        <w:overflowPunct/>
        <w:topLinePunct w:val="0"/>
        <w:bidi w:val="0"/>
        <w:adjustRightInd w:val="0"/>
        <w:snapToGrid w:val="0"/>
        <w:spacing w:line="460" w:lineRule="exact"/>
        <w:ind w:right="0" w:rightChars="0" w:firstLine="360" w:firstLineChars="15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24.3 采购人将确定的中标候选人为成交供应商并向其授予合同。</w:t>
      </w:r>
    </w:p>
    <w:p>
      <w:pPr>
        <w:pageBreakBefore w:val="0"/>
        <w:kinsoku/>
        <w:wordWrap/>
        <w:overflowPunct/>
        <w:topLinePunct w:val="0"/>
        <w:bidi w:val="0"/>
        <w:adjustRightInd w:val="0"/>
        <w:snapToGrid w:val="0"/>
        <w:spacing w:line="460" w:lineRule="exact"/>
        <w:ind w:left="918" w:leftChars="179" w:right="0" w:rightChars="0" w:hanging="542" w:hangingChars="226"/>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rPr>
        <w:t xml:space="preserve">     若排名第一的中标候选人放弃中标，或在公示期间有举报并经核实中标候选人存在违纪违规或舞弊行为，应重新开展采购活动或依次顺延其他</w:t>
      </w:r>
      <w:r>
        <w:rPr>
          <w:rFonts w:hint="eastAsia" w:ascii="宋体" w:hAnsi="宋体" w:eastAsia="宋体" w:cs="宋体"/>
          <w:sz w:val="24"/>
          <w:szCs w:val="24"/>
        </w:rPr>
        <w:t>投标人为中标候选人。</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93" w:name="_Toc470007436"/>
      <w:r>
        <w:rPr>
          <w:rFonts w:hint="eastAsia" w:ascii="宋体" w:hAnsi="宋体" w:eastAsia="宋体" w:cs="宋体"/>
          <w:sz w:val="24"/>
          <w:szCs w:val="24"/>
        </w:rPr>
        <w:t>25．过程保密</w:t>
      </w:r>
      <w:bookmarkEnd w:id="93"/>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25.1开标后，直到公布授予成交供应商合同为止，凡属于审查、澄清、评价和比较响应文件的有关资料且与授予合同有关的信息，都应保密，均不得向投标人或与上述工作无关的人员泄露。</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25.2在评标期间，投标人企图影响采购人或磋商小组的任何活动，将导致投标被拒绝，并由其承担相应的法律责任。</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94" w:name="_Toc470007437"/>
      <w:r>
        <w:rPr>
          <w:rFonts w:hint="eastAsia" w:ascii="宋体" w:hAnsi="宋体" w:eastAsia="宋体" w:cs="宋体"/>
          <w:sz w:val="24"/>
          <w:szCs w:val="24"/>
        </w:rPr>
        <w:t>26．不正当竞争与纪律监督</w:t>
      </w:r>
      <w:bookmarkEnd w:id="94"/>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26.1严禁投标人向参与磋商、评标工作的有关人员行贿，使其泄露一切与磋商、评标工作的有关信息。在磋商、评标期间，不得邀请参与磋商、评标工作的有关人员到投标人单位参观考察或出席投标人主办的或赞助的任何活动。</w:t>
      </w:r>
    </w:p>
    <w:p>
      <w:pPr>
        <w:pageBreakBefore w:val="0"/>
        <w:kinsoku/>
        <w:wordWrap/>
        <w:overflowPunct/>
        <w:topLinePunct w:val="0"/>
        <w:bidi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26.2投标人在磋商过程中严禁相互串通、结盟，损害竞争性磋商的公正性和竞争性，或以任何方式影响其他投标人参与正当投标。</w:t>
      </w:r>
    </w:p>
    <w:p>
      <w:pPr>
        <w:pageBreakBefore w:val="0"/>
        <w:kinsoku/>
        <w:wordWrap/>
        <w:overflowPunct/>
        <w:topLinePunct w:val="0"/>
        <w:bidi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26.3 有下列情形之一的，视为投标人串通投标，其投标无效：</w:t>
      </w:r>
    </w:p>
    <w:p>
      <w:pPr>
        <w:pageBreakBefore w:val="0"/>
        <w:kinsoku/>
        <w:wordWrap/>
        <w:overflowPunct/>
        <w:topLinePunct w:val="0"/>
        <w:bidi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（1）不同投标人的响应文件由同一单位或者个人编制；</w:t>
      </w:r>
    </w:p>
    <w:p>
      <w:pPr>
        <w:pageBreakBefore w:val="0"/>
        <w:kinsoku/>
        <w:wordWrap/>
        <w:overflowPunct/>
        <w:topLinePunct w:val="0"/>
        <w:bidi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（2）不同投标人委托同一单位或者个人办理投标事宜；</w:t>
      </w:r>
    </w:p>
    <w:p>
      <w:pPr>
        <w:pageBreakBefore w:val="0"/>
        <w:kinsoku/>
        <w:wordWrap/>
        <w:overflowPunct/>
        <w:topLinePunct w:val="0"/>
        <w:bidi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（3）不同投标人的响应文件载明的项目管理成员或者联系人员为同一人；</w:t>
      </w:r>
    </w:p>
    <w:p>
      <w:pPr>
        <w:pageBreakBefore w:val="0"/>
        <w:kinsoku/>
        <w:wordWrap/>
        <w:overflowPunct/>
        <w:topLinePunct w:val="0"/>
        <w:bidi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（4）不同投标人的响应文件异常一致或者投标报价呈规律性差异；</w:t>
      </w:r>
    </w:p>
    <w:p>
      <w:pPr>
        <w:pageBreakBefore w:val="0"/>
        <w:kinsoku/>
        <w:wordWrap/>
        <w:overflowPunct/>
        <w:topLinePunct w:val="0"/>
        <w:bidi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（5）不同投标人的响应文件相互混装；</w:t>
      </w:r>
    </w:p>
    <w:p>
      <w:pPr>
        <w:pageBreakBefore w:val="0"/>
        <w:kinsoku/>
        <w:wordWrap/>
        <w:overflowPunct/>
        <w:topLinePunct w:val="0"/>
        <w:bidi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（6）不同投标人的响应保证金从同一单位或者个人的账户转出。</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26.4投标人不得用非法手段查询标底或其他投标单位标函，凡泄露标函、哄抬标价损害采购人及采购人利益的，取消其参加投标的资格，并追究其责任。</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26.5如发现投标人有上述不正当竞争行为，将取消其投标资格或中标资格。</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95" w:name="_Toc470007438"/>
      <w:bookmarkStart w:id="96" w:name="_Toc395105679"/>
      <w:bookmarkStart w:id="97" w:name="_Toc115756027"/>
      <w:r>
        <w:rPr>
          <w:rFonts w:hint="eastAsia" w:ascii="宋体" w:hAnsi="宋体" w:eastAsia="宋体" w:cs="宋体"/>
          <w:sz w:val="24"/>
          <w:szCs w:val="24"/>
          <w:highlight w:val="none"/>
        </w:rPr>
        <w:t>七、合同的授予</w:t>
      </w:r>
      <w:bookmarkEnd w:id="95"/>
      <w:bookmarkEnd w:id="96"/>
      <w:bookmarkEnd w:id="97"/>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highlight w:val="none"/>
        </w:rPr>
      </w:pPr>
      <w:bookmarkStart w:id="98" w:name="_Toc470007439"/>
      <w:r>
        <w:rPr>
          <w:rFonts w:hint="eastAsia" w:ascii="宋体" w:hAnsi="宋体" w:eastAsia="宋体" w:cs="宋体"/>
          <w:sz w:val="24"/>
          <w:szCs w:val="24"/>
          <w:highlight w:val="none"/>
        </w:rPr>
        <w:t>27．中标通知</w:t>
      </w:r>
      <w:bookmarkEnd w:id="98"/>
    </w:p>
    <w:p>
      <w:pPr>
        <w:pageBreakBefore w:val="0"/>
        <w:kinsoku/>
        <w:wordWrap/>
        <w:overflowPunct/>
        <w:topLinePunct w:val="0"/>
        <w:bidi w:val="0"/>
        <w:adjustRightInd w:val="0"/>
        <w:snapToGrid w:val="0"/>
        <w:spacing w:line="460" w:lineRule="exact"/>
        <w:ind w:left="849" w:leftChars="202" w:right="0" w:rightChars="0" w:hanging="425"/>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27.1采购人应当在成交供应商确定后2个工作日内，在中国政府采购网、天津大学招标信息网上公告成交结果，同时向成交供应商发出成交通知书。 参与本项目的供应商认为成交结果使自己的权益受到损害的，可以在知道或者应知其权益受到损害之日起七个工作日内，以书面原件形式向采购人提出质疑，逾期质疑无效。成交供应商应于公告发布之日起3个工作日内到招标人处领取成交通知书，逾期未领者视同领取。《成交通知书》一经发出即发生法律效力。本项目不收取招标服务费。</w:t>
      </w:r>
    </w:p>
    <w:p>
      <w:pPr>
        <w:pageBreakBefore w:val="0"/>
        <w:kinsoku/>
        <w:wordWrap/>
        <w:overflowPunct/>
        <w:topLinePunct w:val="0"/>
        <w:bidi w:val="0"/>
        <w:adjustRightInd w:val="0"/>
        <w:snapToGrid w:val="0"/>
        <w:spacing w:line="460" w:lineRule="exact"/>
        <w:ind w:left="849" w:leftChars="202" w:right="0" w:rightChars="0" w:hanging="425"/>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27.2所有投标人应按前款规定时间在中国政府采购网</w:t>
      </w:r>
      <w:r>
        <w:rPr>
          <w:rFonts w:hint="eastAsia" w:ascii="宋体" w:hAnsi="宋体" w:eastAsia="宋体" w:cs="宋体"/>
          <w:highlight w:val="none"/>
        </w:rPr>
        <w:t>、</w:t>
      </w:r>
      <w:r>
        <w:rPr>
          <w:rFonts w:hint="eastAsia" w:ascii="宋体" w:hAnsi="宋体" w:eastAsia="宋体" w:cs="宋体"/>
          <w:sz w:val="24"/>
          <w:szCs w:val="24"/>
          <w:highlight w:val="none"/>
        </w:rPr>
        <w:t>天津大学招标信息网查看成交公告，采购人不再另行通知。采购人对未中标的投标人不作未中标原因的解释。</w:t>
      </w:r>
    </w:p>
    <w:p>
      <w:pPr>
        <w:pageBreakBefore w:val="0"/>
        <w:kinsoku/>
        <w:wordWrap/>
        <w:overflowPunct/>
        <w:topLinePunct w:val="0"/>
        <w:bidi w:val="0"/>
        <w:spacing w:line="460" w:lineRule="exact"/>
        <w:ind w:left="849" w:leftChars="202" w:right="0" w:rightChars="0" w:hanging="425"/>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27.3</w:t>
      </w:r>
      <w:r>
        <w:rPr>
          <w:rFonts w:hint="eastAsia" w:ascii="宋体" w:hAnsi="宋体" w:eastAsia="宋体" w:cs="宋体"/>
          <w:sz w:val="24"/>
          <w:szCs w:val="24"/>
          <w:highlight w:val="none"/>
        </w:rPr>
        <w:t>中标供应商应在</w:t>
      </w:r>
      <w:r>
        <w:rPr>
          <w:rFonts w:hint="eastAsia" w:ascii="宋体" w:hAnsi="宋体" w:eastAsia="宋体" w:cs="宋体"/>
          <w:sz w:val="24"/>
          <w:szCs w:val="24"/>
          <w:highlight w:val="none"/>
          <w:lang w:val="en-US" w:eastAsia="zh-CN"/>
        </w:rPr>
        <w:t>领取</w:t>
      </w:r>
      <w:r>
        <w:rPr>
          <w:rFonts w:hint="eastAsia" w:ascii="宋体" w:hAnsi="宋体" w:eastAsia="宋体" w:cs="宋体"/>
          <w:sz w:val="24"/>
          <w:szCs w:val="24"/>
          <w:highlight w:val="none"/>
        </w:rPr>
        <w:t>中标通知书</w:t>
      </w:r>
      <w:r>
        <w:rPr>
          <w:rFonts w:hint="eastAsia" w:ascii="宋体" w:hAnsi="宋体" w:eastAsia="宋体" w:cs="宋体"/>
          <w:sz w:val="24"/>
          <w:szCs w:val="24"/>
          <w:highlight w:val="none"/>
          <w:lang w:val="en-US" w:eastAsia="zh-CN"/>
        </w:rPr>
        <w:t>当</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以现金的形式</w:t>
      </w:r>
      <w:r>
        <w:rPr>
          <w:rFonts w:hint="eastAsia" w:ascii="宋体" w:hAnsi="宋体" w:eastAsia="宋体" w:cs="宋体"/>
          <w:sz w:val="24"/>
          <w:szCs w:val="24"/>
          <w:highlight w:val="none"/>
        </w:rPr>
        <w:t>向采购代理机构一次性支付招标服务费，招标服务费按照《国家计委关于印发﹤采购代理服务收费管理暂行办法＞的通知（计价格[2002]1980号）》和《国家发展改革委办公厅关于采购代理服务收费有关问题的通知（发改办价格[2003]857号）》的文件规定下浮50%向中标供应商收取。</w:t>
      </w:r>
    </w:p>
    <w:p>
      <w:pPr>
        <w:pageBreakBefore w:val="0"/>
        <w:kinsoku/>
        <w:wordWrap/>
        <w:overflowPunct/>
        <w:topLinePunct w:val="0"/>
        <w:bidi w:val="0"/>
        <w:adjustRightInd w:val="0"/>
        <w:snapToGrid w:val="0"/>
        <w:spacing w:line="460" w:lineRule="exact"/>
        <w:ind w:left="849" w:leftChars="202" w:right="0" w:rightChars="0" w:hanging="425"/>
        <w:textAlignment w:val="auto"/>
        <w:outlineLvl w:val="9"/>
        <w:rPr>
          <w:rFonts w:hint="eastAsia" w:ascii="宋体" w:hAnsi="宋体" w:eastAsia="宋体" w:cs="宋体"/>
          <w:sz w:val="24"/>
          <w:szCs w:val="24"/>
        </w:rPr>
      </w:pPr>
      <w:r>
        <w:rPr>
          <w:rFonts w:hint="eastAsia" w:ascii="宋体" w:hAnsi="宋体" w:eastAsia="宋体" w:cs="宋体"/>
          <w:sz w:val="24"/>
          <w:szCs w:val="24"/>
        </w:rPr>
        <w:t>27.</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成交通知书是最后签定的采购合同的组成部分。</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99" w:name="_Toc470007440"/>
      <w:r>
        <w:rPr>
          <w:rFonts w:hint="eastAsia" w:ascii="宋体" w:hAnsi="宋体" w:eastAsia="宋体" w:cs="宋体"/>
          <w:sz w:val="24"/>
          <w:szCs w:val="24"/>
        </w:rPr>
        <w:t>28．签订合同</w:t>
      </w:r>
      <w:bookmarkEnd w:id="99"/>
    </w:p>
    <w:p>
      <w:pPr>
        <w:pageBreakBefore w:val="0"/>
        <w:kinsoku/>
        <w:wordWrap/>
        <w:overflowPunct/>
        <w:topLinePunct w:val="0"/>
        <w:bidi w:val="0"/>
        <w:adjustRightInd w:val="0"/>
        <w:snapToGrid w:val="0"/>
        <w:spacing w:line="460" w:lineRule="exact"/>
        <w:ind w:left="908" w:leftChars="202"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28.1资产处及项目单位将在成交通知书发出之日起30天内与成交供应商签订采购合同。</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28.2 成交供应商应按照竞争性磋商文件、响应文件及磋商过程中的有关澄清、说明或者补正文件的内容与资产处及项目单位签订合同。成交供应商不得再与资产处及项目单位签订背离合同实质性内容的其它协议或声明。</w:t>
      </w:r>
    </w:p>
    <w:p>
      <w:pPr>
        <w:pageBreakBefore w:val="0"/>
        <w:kinsoku/>
        <w:wordWrap/>
        <w:overflowPunct/>
        <w:topLinePunct w:val="0"/>
        <w:bidi w:val="0"/>
        <w:adjustRightInd w:val="0"/>
        <w:snapToGrid w:val="0"/>
        <w:spacing w:line="460" w:lineRule="exact"/>
        <w:ind w:left="910" w:leftChars="203" w:right="0" w:rightChars="0" w:hanging="484" w:hangingChars="202"/>
        <w:textAlignment w:val="auto"/>
        <w:outlineLvl w:val="9"/>
        <w:rPr>
          <w:rFonts w:hint="eastAsia" w:ascii="宋体" w:hAnsi="宋体" w:eastAsia="宋体" w:cs="宋体"/>
          <w:sz w:val="24"/>
          <w:szCs w:val="24"/>
        </w:rPr>
      </w:pPr>
      <w:r>
        <w:rPr>
          <w:rFonts w:hint="eastAsia" w:ascii="宋体" w:hAnsi="宋体" w:eastAsia="宋体" w:cs="宋体"/>
          <w:sz w:val="24"/>
          <w:szCs w:val="24"/>
        </w:rPr>
        <w:t>28.3如果成交供应商未能在规定时间内与资产处及项目单位签定采购合同，采购人则可宣布其中标无效。在此情况下，可将合同授予排名次之的投标人。</w:t>
      </w:r>
      <w:bookmarkStart w:id="100" w:name="_Toc376852374"/>
      <w:bookmarkStart w:id="101" w:name="_Toc125713433"/>
      <w:bookmarkStart w:id="102" w:name="_Toc395085165"/>
      <w:bookmarkStart w:id="103" w:name="_Toc395105682"/>
    </w:p>
    <w:p>
      <w:pPr>
        <w:pStyle w:val="28"/>
        <w:pageBreakBefore w:val="0"/>
        <w:kinsoku/>
        <w:wordWrap/>
        <w:overflowPunct/>
        <w:topLinePunct w:val="0"/>
        <w:bidi w:val="0"/>
        <w:adjustRightInd w:val="0"/>
        <w:snapToGrid w:val="0"/>
        <w:spacing w:before="0" w:after="0" w:line="460" w:lineRule="exact"/>
        <w:ind w:right="0" w:rightChars="0"/>
        <w:jc w:val="both"/>
        <w:textAlignment w:val="auto"/>
        <w:outlineLvl w:val="9"/>
        <w:rPr>
          <w:rFonts w:hint="eastAsia" w:ascii="宋体" w:hAnsi="宋体" w:eastAsia="宋体" w:cs="宋体"/>
          <w:color w:val="000000"/>
          <w:sz w:val="24"/>
          <w:szCs w:val="24"/>
        </w:rPr>
      </w:pPr>
      <w:bookmarkStart w:id="104" w:name="_Toc26601"/>
      <w:bookmarkStart w:id="105" w:name="_Toc22553"/>
      <w:bookmarkStart w:id="106" w:name="_Toc470007441"/>
      <w:r>
        <w:rPr>
          <w:rFonts w:hint="eastAsia" w:ascii="宋体" w:hAnsi="宋体" w:eastAsia="宋体" w:cs="宋体"/>
          <w:color w:val="000000"/>
          <w:sz w:val="24"/>
          <w:szCs w:val="24"/>
        </w:rPr>
        <w:t>八、</w:t>
      </w:r>
      <w:r>
        <w:rPr>
          <w:rFonts w:hint="eastAsia" w:ascii="宋体" w:hAnsi="宋体" w:eastAsia="宋体" w:cs="宋体"/>
          <w:sz w:val="24"/>
          <w:szCs w:val="24"/>
        </w:rPr>
        <w:t>关于中小微企业投标</w:t>
      </w:r>
      <w:bookmarkEnd w:id="104"/>
      <w:bookmarkEnd w:id="105"/>
      <w:bookmarkEnd w:id="106"/>
    </w:p>
    <w:p>
      <w:pPr>
        <w:pageBreakBefore w:val="0"/>
        <w:kinsoku/>
        <w:wordWrap/>
        <w:overflowPunct/>
        <w:topLinePunct w:val="0"/>
        <w:bidi w:val="0"/>
        <w:adjustRightInd w:val="0"/>
        <w:snapToGrid w:val="0"/>
        <w:spacing w:line="460" w:lineRule="exact"/>
        <w:ind w:left="529" w:leftChars="252"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中小微企业投标是指符合《中小企业划型标准规定》的供应商，通过投标提供本企业制造的货物、承担的工程或者服务，或者提供其他中小微企业制造的货物。本项所指货物不包括使用大型企业注册商标的货物。中小微企业投标应提供《中小微企业声明函》及国家企业信用信息公示系统的公示内容；提供其他中小微企业制造的货物的，应同时提供制造商的《中小微企业声明函（制造商）》及国家企业信用信息公示系统的公示内容。注：小型、微型企业是指投标企业及其所投产品的制造商均为小型、微型企业。</w:t>
      </w:r>
    </w:p>
    <w:p>
      <w:pPr>
        <w:pageBreakBefore w:val="0"/>
        <w:kinsoku/>
        <w:wordWrap/>
        <w:overflowPunct/>
        <w:topLinePunct w:val="0"/>
        <w:bidi w:val="0"/>
        <w:adjustRightInd w:val="0"/>
        <w:snapToGrid w:val="0"/>
        <w:spacing w:line="460" w:lineRule="exact"/>
        <w:ind w:left="529" w:leftChars="252"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根据财库〔2014〕68号《财政部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微企业声明函》。</w:t>
      </w:r>
    </w:p>
    <w:p>
      <w:pPr>
        <w:pageBreakBefore w:val="0"/>
        <w:kinsoku/>
        <w:wordWrap/>
        <w:overflowPunct/>
        <w:topLinePunct w:val="0"/>
        <w:bidi w:val="0"/>
        <w:adjustRightInd w:val="0"/>
        <w:snapToGrid w:val="0"/>
        <w:spacing w:line="460" w:lineRule="exact"/>
        <w:ind w:left="529" w:leftChars="252" w:right="0" w:rightChars="0" w:firstLine="480" w:firstLineChars="200"/>
        <w:textAlignment w:val="auto"/>
        <w:outlineLvl w:val="9"/>
        <w:rPr>
          <w:rFonts w:hint="eastAsia" w:ascii="宋体" w:hAnsi="宋体" w:eastAsia="宋体" w:cs="宋体"/>
          <w:sz w:val="24"/>
          <w:szCs w:val="24"/>
        </w:rPr>
        <w:sectPr>
          <w:headerReference r:id="rId6" w:type="first"/>
          <w:headerReference r:id="rId5" w:type="default"/>
          <w:footerReference r:id="rId7" w:type="default"/>
          <w:footerReference r:id="rId8" w:type="even"/>
          <w:pgSz w:w="11907" w:h="16840"/>
          <w:pgMar w:top="1440" w:right="1797" w:bottom="1440" w:left="1797" w:header="851" w:footer="992" w:gutter="0"/>
          <w:pgNumType w:start="1"/>
          <w:cols w:space="720" w:num="1"/>
          <w:docGrid w:linePitch="312" w:charSpace="0"/>
        </w:sectPr>
      </w:pPr>
      <w:r>
        <w:rPr>
          <w:rFonts w:hint="eastAsia" w:ascii="宋体" w:hAnsi="宋体" w:eastAsia="宋体" w:cs="宋体"/>
          <w:sz w:val="24"/>
          <w:szCs w:val="24"/>
        </w:rPr>
        <w:t>根据财库〔2017〕141号文件，残疾人福利性单位视同小型、微型企业，享受预留份额、评审中价格扣除等促进中小企业发展的政府采购政策。本项目对残疾人福利性单位的价格给予6%的扣除。残疾人福利性单位属于小型、微型企业的，不重复享受政策。</w:t>
      </w:r>
    </w:p>
    <w:p>
      <w:pPr>
        <w:pStyle w:val="28"/>
        <w:pageBreakBefore w:val="0"/>
        <w:kinsoku/>
        <w:wordWrap/>
        <w:overflowPunct/>
        <w:topLinePunct w:val="0"/>
        <w:bidi w:val="0"/>
        <w:adjustRightInd w:val="0"/>
        <w:snapToGrid w:val="0"/>
        <w:spacing w:before="0" w:after="0" w:line="460" w:lineRule="exact"/>
        <w:ind w:right="0" w:rightChars="0"/>
        <w:textAlignment w:val="auto"/>
        <w:rPr>
          <w:rFonts w:hint="eastAsia" w:ascii="宋体" w:hAnsi="宋体" w:eastAsia="宋体" w:cs="宋体"/>
          <w:color w:val="000000"/>
          <w:sz w:val="28"/>
          <w:szCs w:val="28"/>
        </w:rPr>
      </w:pPr>
      <w:bookmarkStart w:id="107" w:name="_Toc25762"/>
      <w:bookmarkStart w:id="108" w:name="_Toc16540"/>
      <w:bookmarkStart w:id="109" w:name="_Toc470007442"/>
      <w:r>
        <w:rPr>
          <w:rFonts w:hint="eastAsia" w:ascii="宋体" w:hAnsi="宋体" w:eastAsia="宋体" w:cs="宋体"/>
          <w:color w:val="000000"/>
          <w:sz w:val="28"/>
          <w:szCs w:val="28"/>
        </w:rPr>
        <w:t>第三部分：评标标准和评标方法</w:t>
      </w:r>
      <w:bookmarkEnd w:id="100"/>
      <w:bookmarkEnd w:id="101"/>
      <w:bookmarkEnd w:id="102"/>
      <w:bookmarkEnd w:id="103"/>
      <w:bookmarkEnd w:id="107"/>
      <w:bookmarkEnd w:id="108"/>
      <w:bookmarkEnd w:id="109"/>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Cs w:val="0"/>
          <w:sz w:val="24"/>
          <w:szCs w:val="24"/>
        </w:rPr>
      </w:pPr>
      <w:bookmarkStart w:id="110" w:name="_Toc470007443"/>
      <w:bookmarkStart w:id="111" w:name="_Toc395105683"/>
      <w:r>
        <w:rPr>
          <w:rFonts w:hint="eastAsia" w:ascii="宋体" w:hAnsi="宋体" w:eastAsia="宋体" w:cs="宋体"/>
          <w:bCs w:val="0"/>
          <w:sz w:val="24"/>
          <w:szCs w:val="24"/>
        </w:rPr>
        <w:t>一、总则</w:t>
      </w:r>
      <w:bookmarkEnd w:id="110"/>
      <w:bookmarkEnd w:id="111"/>
    </w:p>
    <w:p>
      <w:pPr>
        <w:pageBreakBefore w:val="0"/>
        <w:kinsoku/>
        <w:wordWrap/>
        <w:overflowPunct/>
        <w:topLinePunct w:val="0"/>
        <w:bidi w:val="0"/>
        <w:adjustRightInd w:val="0"/>
        <w:snapToGrid w:val="0"/>
        <w:spacing w:line="460" w:lineRule="exact"/>
        <w:ind w:left="850" w:leftChars="135" w:right="0" w:rightChars="0" w:hanging="567"/>
        <w:textAlignment w:val="auto"/>
        <w:outlineLvl w:val="9"/>
        <w:rPr>
          <w:rFonts w:hint="eastAsia" w:ascii="宋体" w:hAnsi="宋体" w:eastAsia="宋体" w:cs="宋体"/>
          <w:sz w:val="24"/>
          <w:szCs w:val="24"/>
        </w:rPr>
      </w:pPr>
      <w:r>
        <w:rPr>
          <w:rFonts w:hint="eastAsia" w:ascii="宋体" w:hAnsi="宋体" w:eastAsia="宋体" w:cs="宋体"/>
          <w:sz w:val="24"/>
          <w:szCs w:val="24"/>
        </w:rPr>
        <w:t>第一条  本项目评标标准是依据《中华人民共和国政府采购法》、《中华人民共和国招标投标法》及相应法规、文件制定本评标标准。</w:t>
      </w:r>
    </w:p>
    <w:p>
      <w:pPr>
        <w:pageBreakBefore w:val="0"/>
        <w:tabs>
          <w:tab w:val="left" w:pos="142"/>
        </w:tabs>
        <w:kinsoku/>
        <w:wordWrap/>
        <w:overflowPunct/>
        <w:topLinePunct w:val="0"/>
        <w:bidi w:val="0"/>
        <w:adjustRightInd w:val="0"/>
        <w:snapToGrid w:val="0"/>
        <w:spacing w:line="460" w:lineRule="exact"/>
        <w:ind w:left="848" w:leftChars="134" w:right="0" w:rightChars="0" w:hanging="567"/>
        <w:textAlignment w:val="auto"/>
        <w:outlineLvl w:val="9"/>
        <w:rPr>
          <w:rFonts w:hint="eastAsia" w:ascii="宋体" w:hAnsi="宋体" w:eastAsia="宋体" w:cs="宋体"/>
          <w:sz w:val="24"/>
          <w:szCs w:val="24"/>
        </w:rPr>
      </w:pPr>
      <w:r>
        <w:rPr>
          <w:rFonts w:hint="eastAsia" w:ascii="宋体" w:hAnsi="宋体" w:eastAsia="宋体" w:cs="宋体"/>
          <w:sz w:val="24"/>
          <w:szCs w:val="24"/>
        </w:rPr>
        <w:t>第二条  评标原则:</w:t>
      </w:r>
    </w:p>
    <w:p>
      <w:pPr>
        <w:pageBreakBefore w:val="0"/>
        <w:kinsoku/>
        <w:wordWrap/>
        <w:overflowPunct/>
        <w:topLinePunct w:val="0"/>
        <w:bidi w:val="0"/>
        <w:adjustRightInd w:val="0"/>
        <w:snapToGrid w:val="0"/>
        <w:spacing w:line="460" w:lineRule="exact"/>
        <w:ind w:right="0" w:rightChars="0" w:firstLine="960"/>
        <w:textAlignment w:val="auto"/>
        <w:outlineLvl w:val="9"/>
        <w:rPr>
          <w:rFonts w:hint="eastAsia" w:ascii="宋体" w:hAnsi="宋体" w:eastAsia="宋体" w:cs="宋体"/>
          <w:sz w:val="24"/>
          <w:szCs w:val="24"/>
        </w:rPr>
      </w:pPr>
      <w:r>
        <w:rPr>
          <w:rFonts w:hint="eastAsia" w:ascii="宋体" w:hAnsi="宋体" w:eastAsia="宋体" w:cs="宋体"/>
          <w:sz w:val="24"/>
          <w:szCs w:val="24"/>
        </w:rPr>
        <w:t>1、公开、公正、公平。</w:t>
      </w:r>
    </w:p>
    <w:p>
      <w:pPr>
        <w:pageBreakBefore w:val="0"/>
        <w:kinsoku/>
        <w:wordWrap/>
        <w:overflowPunct/>
        <w:topLinePunct w:val="0"/>
        <w:bidi w:val="0"/>
        <w:adjustRightInd w:val="0"/>
        <w:snapToGrid w:val="0"/>
        <w:spacing w:line="460" w:lineRule="exact"/>
        <w:ind w:right="0" w:rightChars="0" w:firstLine="960"/>
        <w:textAlignment w:val="auto"/>
        <w:outlineLvl w:val="9"/>
        <w:rPr>
          <w:rFonts w:hint="eastAsia" w:ascii="宋体" w:hAnsi="宋体" w:eastAsia="宋体" w:cs="宋体"/>
          <w:sz w:val="24"/>
          <w:szCs w:val="24"/>
        </w:rPr>
      </w:pPr>
      <w:r>
        <w:rPr>
          <w:rFonts w:hint="eastAsia" w:ascii="宋体" w:hAnsi="宋体" w:eastAsia="宋体" w:cs="宋体"/>
          <w:sz w:val="24"/>
          <w:szCs w:val="24"/>
        </w:rPr>
        <w:t>2、科学、合理。</w:t>
      </w:r>
    </w:p>
    <w:p>
      <w:pPr>
        <w:pageBreakBefore w:val="0"/>
        <w:kinsoku/>
        <w:wordWrap/>
        <w:overflowPunct/>
        <w:topLinePunct w:val="0"/>
        <w:bidi w:val="0"/>
        <w:adjustRightInd w:val="0"/>
        <w:snapToGrid w:val="0"/>
        <w:spacing w:line="460" w:lineRule="exact"/>
        <w:ind w:right="0" w:rightChars="0" w:firstLine="960"/>
        <w:textAlignment w:val="auto"/>
        <w:outlineLvl w:val="9"/>
        <w:rPr>
          <w:rFonts w:hint="eastAsia" w:ascii="宋体" w:hAnsi="宋体" w:eastAsia="宋体" w:cs="宋体"/>
          <w:sz w:val="24"/>
          <w:szCs w:val="24"/>
        </w:rPr>
      </w:pPr>
      <w:r>
        <w:rPr>
          <w:rFonts w:hint="eastAsia" w:ascii="宋体" w:hAnsi="宋体" w:eastAsia="宋体" w:cs="宋体"/>
          <w:sz w:val="24"/>
          <w:szCs w:val="24"/>
        </w:rPr>
        <w:t>3、反不正当竞争。</w:t>
      </w:r>
    </w:p>
    <w:p>
      <w:pPr>
        <w:pageBreakBefore w:val="0"/>
        <w:kinsoku/>
        <w:wordWrap/>
        <w:overflowPunct/>
        <w:topLinePunct w:val="0"/>
        <w:bidi w:val="0"/>
        <w:adjustRightInd w:val="0"/>
        <w:snapToGrid w:val="0"/>
        <w:spacing w:line="460" w:lineRule="exact"/>
        <w:ind w:right="0" w:rightChars="0" w:firstLine="960"/>
        <w:textAlignment w:val="auto"/>
        <w:outlineLvl w:val="9"/>
        <w:rPr>
          <w:rFonts w:hint="eastAsia" w:ascii="宋体" w:hAnsi="宋体" w:eastAsia="宋体" w:cs="宋体"/>
          <w:sz w:val="24"/>
          <w:szCs w:val="24"/>
        </w:rPr>
      </w:pPr>
      <w:r>
        <w:rPr>
          <w:rFonts w:hint="eastAsia" w:ascii="宋体" w:hAnsi="宋体" w:eastAsia="宋体" w:cs="宋体"/>
          <w:sz w:val="24"/>
          <w:szCs w:val="24"/>
        </w:rPr>
        <w:t>4、贯彻采购人对本项目的各项要求和原则。</w:t>
      </w:r>
    </w:p>
    <w:p>
      <w:pPr>
        <w:pageBreakBefore w:val="0"/>
        <w:kinsoku/>
        <w:wordWrap/>
        <w:overflowPunct/>
        <w:topLinePunct w:val="0"/>
        <w:bidi w:val="0"/>
        <w:adjustRightInd w:val="0"/>
        <w:snapToGrid w:val="0"/>
        <w:spacing w:line="460" w:lineRule="exact"/>
        <w:ind w:right="0" w:rightChars="0" w:firstLine="960"/>
        <w:textAlignment w:val="auto"/>
        <w:outlineLvl w:val="9"/>
        <w:rPr>
          <w:rFonts w:hint="eastAsia" w:ascii="宋体" w:hAnsi="宋体" w:eastAsia="宋体" w:cs="宋体"/>
          <w:sz w:val="24"/>
          <w:szCs w:val="24"/>
        </w:rPr>
      </w:pPr>
      <w:r>
        <w:rPr>
          <w:rFonts w:hint="eastAsia" w:ascii="宋体" w:hAnsi="宋体" w:eastAsia="宋体" w:cs="宋体"/>
          <w:sz w:val="24"/>
          <w:szCs w:val="24"/>
        </w:rPr>
        <w:t>5、《中华人民共和国招标投标法》</w:t>
      </w:r>
    </w:p>
    <w:p>
      <w:pPr>
        <w:pageBreakBefore w:val="0"/>
        <w:kinsoku/>
        <w:wordWrap/>
        <w:overflowPunct/>
        <w:topLinePunct w:val="0"/>
        <w:bidi w:val="0"/>
        <w:adjustRightInd w:val="0"/>
        <w:snapToGrid w:val="0"/>
        <w:spacing w:line="460" w:lineRule="exact"/>
        <w:ind w:right="0" w:rightChars="0" w:firstLine="960"/>
        <w:textAlignment w:val="auto"/>
        <w:outlineLvl w:val="9"/>
        <w:rPr>
          <w:rFonts w:hint="eastAsia" w:ascii="宋体" w:hAnsi="宋体" w:eastAsia="宋体" w:cs="宋体"/>
          <w:sz w:val="24"/>
          <w:szCs w:val="24"/>
        </w:rPr>
      </w:pPr>
      <w:r>
        <w:rPr>
          <w:rFonts w:hint="eastAsia" w:ascii="宋体" w:hAnsi="宋体" w:eastAsia="宋体" w:cs="宋体"/>
          <w:sz w:val="24"/>
          <w:szCs w:val="24"/>
        </w:rPr>
        <w:t>6、《中华人民共和国政府采购法》</w:t>
      </w:r>
    </w:p>
    <w:p>
      <w:pPr>
        <w:pageBreakBefore w:val="0"/>
        <w:kinsoku/>
        <w:wordWrap/>
        <w:overflowPunct/>
        <w:topLinePunct w:val="0"/>
        <w:bidi w:val="0"/>
        <w:adjustRightInd w:val="0"/>
        <w:snapToGrid w:val="0"/>
        <w:spacing w:line="460" w:lineRule="exact"/>
        <w:ind w:left="931" w:leftChars="135" w:right="0" w:rightChars="0" w:hanging="648" w:hangingChars="270"/>
        <w:textAlignment w:val="auto"/>
        <w:outlineLvl w:val="9"/>
        <w:rPr>
          <w:rFonts w:hint="eastAsia" w:ascii="宋体" w:hAnsi="宋体" w:eastAsia="宋体" w:cs="宋体"/>
          <w:b/>
          <w:sz w:val="24"/>
          <w:szCs w:val="24"/>
        </w:rPr>
      </w:pPr>
      <w:r>
        <w:rPr>
          <w:rFonts w:hint="eastAsia" w:ascii="宋体" w:hAnsi="宋体" w:eastAsia="宋体" w:cs="宋体"/>
          <w:sz w:val="24"/>
          <w:szCs w:val="24"/>
        </w:rPr>
        <w:t>第三条  评标工作由专家和采购人代表组成的磋商小组承担。</w:t>
      </w:r>
      <w:r>
        <w:rPr>
          <w:rFonts w:hint="eastAsia" w:ascii="宋体" w:hAnsi="宋体" w:eastAsia="宋体" w:cs="宋体"/>
          <w:snapToGrid w:val="0"/>
          <w:kern w:val="0"/>
          <w:sz w:val="24"/>
          <w:szCs w:val="24"/>
        </w:rPr>
        <w:t>磋商小组由采购人代表和评审专家共3人以上单数组成，其中评审专家人数不得少于磋商小组成员总数的2/3。</w:t>
      </w: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112" w:name="_Toc470007444"/>
      <w:bookmarkStart w:id="113" w:name="_Toc395105684"/>
      <w:r>
        <w:rPr>
          <w:rFonts w:hint="eastAsia" w:ascii="宋体" w:hAnsi="宋体" w:eastAsia="宋体" w:cs="宋体"/>
          <w:sz w:val="24"/>
          <w:szCs w:val="24"/>
        </w:rPr>
        <w:t>二、评标程序及说明</w:t>
      </w:r>
      <w:bookmarkEnd w:id="112"/>
      <w:bookmarkEnd w:id="113"/>
    </w:p>
    <w:p>
      <w:pPr>
        <w:pageBreakBefore w:val="0"/>
        <w:kinsoku/>
        <w:wordWrap/>
        <w:overflowPunct/>
        <w:topLinePunct w:val="0"/>
        <w:bidi w:val="0"/>
        <w:adjustRightInd w:val="0"/>
        <w:snapToGrid w:val="0"/>
        <w:spacing w:line="460" w:lineRule="exact"/>
        <w:ind w:right="0" w:rightChars="0" w:firstLine="240" w:firstLineChars="100"/>
        <w:textAlignment w:val="auto"/>
        <w:outlineLvl w:val="9"/>
        <w:rPr>
          <w:rFonts w:hint="eastAsia" w:ascii="宋体" w:hAnsi="宋体" w:eastAsia="宋体" w:cs="宋体"/>
          <w:sz w:val="24"/>
          <w:szCs w:val="24"/>
        </w:rPr>
      </w:pPr>
      <w:r>
        <w:rPr>
          <w:rFonts w:hint="eastAsia" w:ascii="宋体" w:hAnsi="宋体" w:eastAsia="宋体" w:cs="宋体"/>
          <w:sz w:val="24"/>
          <w:szCs w:val="24"/>
        </w:rPr>
        <w:t>第四条  磋商步骤</w:t>
      </w:r>
    </w:p>
    <w:p>
      <w:pPr>
        <w:pageBreakBefore w:val="0"/>
        <w:kinsoku/>
        <w:wordWrap/>
        <w:overflowPunct/>
        <w:topLinePunct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 第一步：对供应商的资格进行审核，即审核供应商是否满足实质性资格要求。须经磋商小组认定供应商资格合格后，方可进入技术磋商部分。</w:t>
      </w:r>
    </w:p>
    <w:p>
      <w:pPr>
        <w:pageBreakBefore w:val="0"/>
        <w:kinsoku/>
        <w:wordWrap/>
        <w:overflowPunct/>
        <w:topLinePunct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响应文件内容及所附证明材料需内容完整并清晰可辩，所附证明材料不得出现不完整或字迹、印章模糊的情况，否则按无效页处理。</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资格审查结束后，磋商小组对资格合格的供应商响应文件的有效性、完整性和响应程度进行审查。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磋商小组要求供应商澄清、说明或者更正响应文件应当以书面形式做出。供应商的澄清、说明或者更正的文件应当由法定代表人或其授权代表签字或者加盖公章。由授权代表签字的，应当附法定代表人授权书。供应商为自然人的，应当由本人签字并附身份证明。</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2. 第二步：磋商小组所有成员集中与单一供应商分别进行磋商。在磋商过程中，磋商小组可以根据磋商文件和磋商情况实质性变动采购需求中的技术、服务要求以及合同草案条款，但不得变动磋商文件中的其他内容。实质性变动的内容，须经采购人代表确认。</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对磋商文件做出的实质性变动是磋商文件的有效组成部分，磋商小组应当及时以书面形式同时通知所有参加磋商的供应商。</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未实质性响应文件的响应文件按无效响应处理，磋商小组应当告知提交响应文件的供应商。</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3. 第三步：经磋商确定实质性响应的供应商后，磋商小组应当要求所有实质性响应的供应商在规定时间内提交最后报价。</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4. 第四步：经磋商确定最终采购需求和提交最后报价的供应商后，由磋商小组采用综合评分法对提交最后报价的供应商的响应文件和最后报价进行综合评分。</w:t>
      </w:r>
    </w:p>
    <w:p>
      <w:pPr>
        <w:pageBreakBefore w:val="0"/>
        <w:kinsoku/>
        <w:wordWrap/>
        <w:overflowPunct/>
        <w:topLinePunct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第五步：磋商小组应当根据综合评分情况，按照评审得分由高到低顺序推荐成交候选供应商，并编写评审报告。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ageBreakBefore w:val="0"/>
        <w:kinsoku/>
        <w:wordWrap/>
        <w:overflowPunct/>
        <w:topLinePunct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第五条  评审方法及标准</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●政策功能</w:t>
      </w:r>
    </w:p>
    <w:p>
      <w:pPr>
        <w:pStyle w:val="113"/>
        <w:pageBreakBefore w:val="0"/>
        <w:kinsoku/>
        <w:wordWrap/>
        <w:overflowPunct/>
        <w:topLinePunct w:val="0"/>
        <w:bidi w:val="0"/>
        <w:snapToGrid w:val="0"/>
        <w:spacing w:before="240"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1.按照国家节能环保政策执行。按照现行《财政部、国家发展改革委关于调整节能产品政府采购清单的通知》文件要求，对政府采购清单中的节能产品采用优先采购和强制采购的评标方法。按照现行《财政部、环保部关于调整环境标志产品政府采购清单的通知》文件要求，对政府采购清单中的环境标志产品采用优先采购的评标方法。</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2．根据财政部发布的《政府采购促进中小企业发展暂行办法》规定，本项目对小型和微型企业产品的价格给予6%的扣除。（评标价＝总投标报价—小型和微型企业产品的价格×6%）</w:t>
      </w:r>
    </w:p>
    <w:p>
      <w:pPr>
        <w:pageBreakBefore w:val="0"/>
        <w:kinsoku/>
        <w:wordWrap/>
        <w:overflowPunct/>
        <w:topLinePunct w:val="0"/>
        <w:autoSpaceDE w:val="0"/>
        <w:autoSpaceDN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中小微企业投标是指符合《中小企业划型标准规定》的供应商，通过投标提供本企业制造的货物、承担的工程或者服务，或者提供其他中小微企业制造的货物。本项所指货物不包括使用大型企业注册商标的货物。中小微企业投标应提供《中小微企业声明函》及国家企业信用信息公示系统的公示内容；提供其他中小微企业制造的货物的，应同时提供制造商的《中小微企业声明函（制造商）》及国家企业信用信息公示系统的公示内容，否则不予认定。</w:t>
      </w:r>
    </w:p>
    <w:p>
      <w:pPr>
        <w:pageBreakBefore w:val="0"/>
        <w:kinsoku/>
        <w:wordWrap/>
        <w:overflowPunct/>
        <w:topLinePunct w:val="0"/>
        <w:autoSpaceDE w:val="0"/>
        <w:autoSpaceDN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3．根据财政部发布的《关于政府采购支持监狱企业发展有关问题的通知》规定，本项目对监狱企业产品的价格给予6%的扣除。</w:t>
      </w: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r>
        <w:rPr>
          <w:rFonts w:hint="eastAsia" w:ascii="宋体" w:hAnsi="宋体" w:eastAsia="宋体" w:cs="宋体"/>
          <w:kern w:val="2"/>
        </w:rPr>
        <w:t>监狱企业须供应商提供由省级以上监狱管理局、戒毒管理局（含新疆生产建设兵团）出具的属于监狱企业的证明文件，否则不予认定。</w:t>
      </w:r>
    </w:p>
    <w:p>
      <w:pPr>
        <w:pageBreakBefore w:val="0"/>
        <w:kinsoku/>
        <w:wordWrap/>
        <w:overflowPunct/>
        <w:topLinePunct w:val="0"/>
        <w:bidi w:val="0"/>
        <w:spacing w:line="460" w:lineRule="exact"/>
        <w:ind w:right="0" w:rightChars="0"/>
        <w:textAlignment w:val="auto"/>
        <w:outlineLvl w:val="9"/>
        <w:rPr>
          <w:rFonts w:hint="eastAsia" w:ascii="宋体" w:hAnsi="宋体" w:eastAsia="宋体" w:cs="宋体"/>
          <w:bCs/>
          <w:sz w:val="24"/>
          <w:szCs w:val="24"/>
          <w:lang w:val="en-GB"/>
        </w:rPr>
      </w:pPr>
      <w:r>
        <w:rPr>
          <w:rFonts w:hint="eastAsia" w:ascii="宋体" w:hAnsi="宋体" w:eastAsia="宋体" w:cs="宋体"/>
          <w:bCs/>
          <w:sz w:val="24"/>
          <w:szCs w:val="24"/>
          <w:lang w:val="en-GB"/>
        </w:rPr>
        <w:t>注：a.中型企业不享受以上优惠；</w:t>
      </w:r>
    </w:p>
    <w:p>
      <w:pPr>
        <w:pageBreakBefore w:val="0"/>
        <w:kinsoku/>
        <w:wordWrap/>
        <w:overflowPunct/>
        <w:topLinePunct w:val="0"/>
        <w:bidi w:val="0"/>
        <w:spacing w:line="460" w:lineRule="exact"/>
        <w:ind w:right="0" w:rightChars="0" w:firstLine="360" w:firstLineChars="150"/>
        <w:textAlignment w:val="auto"/>
        <w:outlineLvl w:val="9"/>
        <w:rPr>
          <w:rFonts w:hint="eastAsia" w:ascii="宋体" w:hAnsi="宋体" w:eastAsia="宋体" w:cs="宋体"/>
          <w:sz w:val="24"/>
          <w:szCs w:val="24"/>
        </w:rPr>
      </w:pPr>
      <w:r>
        <w:rPr>
          <w:rFonts w:hint="eastAsia" w:ascii="宋体" w:hAnsi="宋体" w:eastAsia="宋体" w:cs="宋体"/>
          <w:sz w:val="24"/>
          <w:szCs w:val="24"/>
          <w:lang w:val="en-GB"/>
        </w:rPr>
        <w:t xml:space="preserve"> b.</w:t>
      </w:r>
      <w:r>
        <w:rPr>
          <w:rFonts w:hint="eastAsia" w:ascii="宋体" w:hAnsi="宋体" w:eastAsia="宋体" w:cs="宋体"/>
          <w:sz w:val="24"/>
          <w:szCs w:val="24"/>
        </w:rPr>
        <w:t>监狱企业视同</w:t>
      </w:r>
      <w:r>
        <w:rPr>
          <w:rStyle w:val="115"/>
          <w:rFonts w:hint="eastAsia" w:ascii="宋体" w:hAnsi="宋体" w:eastAsia="宋体" w:cs="宋体"/>
          <w:sz w:val="24"/>
          <w:szCs w:val="24"/>
        </w:rPr>
        <w:t>小微企业，监狱企业投标的提供由省级以上监狱管理局、戒毒管理局(含新疆生产建设兵团)出具的属于监狱企业的证明文件，不再提供《中小微企业声明函》。</w:t>
      </w:r>
    </w:p>
    <w:p>
      <w:pPr>
        <w:pageBreakBefore w:val="0"/>
        <w:kinsoku/>
        <w:wordWrap/>
        <w:overflowPunct/>
        <w:topLinePunct w:val="0"/>
        <w:bidi w:val="0"/>
        <w:spacing w:line="460" w:lineRule="exact"/>
        <w:ind w:right="0" w:rightChars="0" w:firstLine="42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c.评标价仅用于计算价格评分，中标金额以实际投标价为准。</w:t>
      </w:r>
    </w:p>
    <w:p>
      <w:pPr>
        <w:pageBreakBefore w:val="0"/>
        <w:kinsoku/>
        <w:wordWrap/>
        <w:overflowPunct/>
        <w:topLinePunct w:val="0"/>
        <w:bidi w:val="0"/>
        <w:adjustRightInd w:val="0"/>
        <w:snapToGrid w:val="0"/>
        <w:spacing w:line="460" w:lineRule="exact"/>
        <w:ind w:right="0" w:rightChars="0" w:firstLine="480"/>
        <w:textAlignment w:val="auto"/>
        <w:outlineLvl w:val="9"/>
        <w:rPr>
          <w:rFonts w:hint="eastAsia" w:ascii="宋体" w:hAnsi="宋体" w:eastAsia="宋体" w:cs="宋体"/>
          <w:sz w:val="24"/>
          <w:szCs w:val="24"/>
        </w:rPr>
      </w:pPr>
      <w:r>
        <w:rPr>
          <w:rFonts w:hint="eastAsia" w:ascii="宋体" w:hAnsi="宋体" w:eastAsia="宋体" w:cs="宋体"/>
          <w:sz w:val="24"/>
          <w:szCs w:val="24"/>
        </w:rPr>
        <w:t>4. 根据财库〔2017〕141号文件，残疾人福利性单位视同小型、微型企业，享受预留份额、评审中价格扣除等促进中小企业发展的政府采购政策。本项目对残疾人福利性单位的价格给予6%的扣除。</w:t>
      </w:r>
      <w:r>
        <w:rPr>
          <w:rFonts w:hint="eastAsia" w:ascii="宋体" w:hAnsi="宋体" w:eastAsia="宋体" w:cs="宋体"/>
          <w:color w:val="auto"/>
          <w:sz w:val="24"/>
          <w:szCs w:val="24"/>
        </w:rPr>
        <w:t>残疾人福利性单位属于小型、微型企业的，不重复享受政策</w:t>
      </w:r>
      <w:r>
        <w:rPr>
          <w:rFonts w:hint="eastAsia" w:ascii="宋体" w:hAnsi="宋体" w:eastAsia="宋体" w:cs="宋体"/>
          <w:sz w:val="24"/>
          <w:szCs w:val="24"/>
        </w:rPr>
        <w:t>。</w:t>
      </w:r>
    </w:p>
    <w:p>
      <w:pPr>
        <w:pageBreakBefore w:val="0"/>
        <w:kinsoku/>
        <w:wordWrap/>
        <w:overflowPunct/>
        <w:topLinePunct w:val="0"/>
        <w:bidi w:val="0"/>
        <w:spacing w:line="460" w:lineRule="exact"/>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注：残疾人福利性单位须在响应文件中提供</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"http://www.tjgp.gov.cn/portal/documentView.do?method=downloadAttachment&amp;id=54917199" </w:instrText>
      </w:r>
      <w:r>
        <w:rPr>
          <w:rFonts w:hint="eastAsia" w:ascii="宋体" w:hAnsi="宋体" w:eastAsia="宋体" w:cs="宋体"/>
          <w:sz w:val="24"/>
          <w:szCs w:val="24"/>
        </w:rPr>
        <w:fldChar w:fldCharType="separate"/>
      </w:r>
      <w:r>
        <w:rPr>
          <w:rFonts w:hint="eastAsia" w:ascii="宋体" w:hAnsi="宋体" w:eastAsia="宋体" w:cs="宋体"/>
          <w:sz w:val="24"/>
          <w:szCs w:val="24"/>
        </w:rPr>
        <w:t>残疾人福利性单位声明函</w:t>
      </w:r>
      <w:r>
        <w:rPr>
          <w:rFonts w:hint="eastAsia" w:ascii="宋体" w:hAnsi="宋体" w:eastAsia="宋体" w:cs="宋体"/>
          <w:sz w:val="24"/>
          <w:szCs w:val="24"/>
        </w:rPr>
        <w:fldChar w:fldCharType="end"/>
      </w:r>
      <w:r>
        <w:rPr>
          <w:rFonts w:hint="eastAsia" w:ascii="宋体" w:hAnsi="宋体" w:eastAsia="宋体" w:cs="宋体"/>
          <w:sz w:val="24"/>
          <w:szCs w:val="24"/>
        </w:rPr>
        <w:t>，否则不予认可。《残疾人福利性单位声明函》会随成交结果同时公告，接受社会监督。</w:t>
      </w:r>
    </w:p>
    <w:p>
      <w:pPr>
        <w:pageBreakBefore w:val="0"/>
        <w:kinsoku/>
        <w:wordWrap/>
        <w:overflowPunct/>
        <w:topLinePunct w:val="0"/>
        <w:bidi w:val="0"/>
        <w:spacing w:line="460" w:lineRule="exact"/>
        <w:ind w:right="0" w:rightChars="0" w:firstLine="420"/>
        <w:jc w:val="left"/>
        <w:textAlignment w:val="auto"/>
        <w:outlineLvl w:val="9"/>
        <w:rPr>
          <w:rFonts w:hint="eastAsia" w:ascii="宋体" w:hAnsi="宋体" w:eastAsia="宋体" w:cs="宋体"/>
          <w:sz w:val="24"/>
          <w:szCs w:val="24"/>
        </w:rPr>
      </w:pPr>
    </w:p>
    <w:p>
      <w:pPr>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p>
    <w:p>
      <w:pPr>
        <w:pStyle w:val="113"/>
        <w:pageBreakBefore w:val="0"/>
        <w:kinsoku/>
        <w:wordWrap/>
        <w:overflowPunct/>
        <w:topLinePunct w:val="0"/>
        <w:bidi w:val="0"/>
        <w:snapToGrid w:val="0"/>
        <w:spacing w:line="460" w:lineRule="exact"/>
        <w:ind w:right="0" w:rightChars="0" w:firstLine="480" w:firstLineChars="200"/>
        <w:jc w:val="both"/>
        <w:textAlignment w:val="auto"/>
        <w:outlineLvl w:val="9"/>
        <w:rPr>
          <w:rFonts w:hint="eastAsia" w:ascii="宋体" w:hAnsi="宋体" w:eastAsia="宋体" w:cs="宋体"/>
          <w:kern w:val="2"/>
        </w:rPr>
      </w:pPr>
    </w:p>
    <w:p>
      <w:pPr>
        <w:pageBreakBefore w:val="0"/>
        <w:kinsoku/>
        <w:wordWrap/>
        <w:overflowPunct/>
        <w:topLinePunct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p>
    <w:p>
      <w:pPr>
        <w:pageBreakBefore w:val="0"/>
        <w:kinsoku/>
        <w:wordWrap/>
        <w:overflowPunct/>
        <w:topLinePunct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p>
    <w:p>
      <w:pPr>
        <w:pageBreakBefore w:val="0"/>
        <w:kinsoku/>
        <w:wordWrap/>
        <w:overflowPunct/>
        <w:topLinePunct w:val="0"/>
        <w:bidi w:val="0"/>
        <w:adjustRightInd w:val="0"/>
        <w:snapToGrid w:val="0"/>
        <w:spacing w:line="460" w:lineRule="exact"/>
        <w:ind w:right="0" w:rightChars="0" w:firstLine="480" w:firstLineChars="200"/>
        <w:textAlignment w:val="auto"/>
        <w:outlineLvl w:val="9"/>
        <w:rPr>
          <w:rFonts w:hint="eastAsia" w:ascii="宋体" w:hAnsi="宋体" w:eastAsia="宋体" w:cs="宋体"/>
          <w:sz w:val="24"/>
          <w:szCs w:val="24"/>
        </w:rPr>
      </w:pPr>
    </w:p>
    <w:p>
      <w:pPr>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p>
    <w:tbl>
      <w:tblPr>
        <w:tblStyle w:val="35"/>
        <w:tblpPr w:leftFromText="180" w:rightFromText="180" w:vertAnchor="text" w:horzAnchor="margin" w:tblpY="188"/>
        <w:tblW w:w="8718" w:type="dxa"/>
        <w:tblInd w:w="0" w:type="dxa"/>
        <w:tblLayout w:type="fixed"/>
        <w:tblCellMar>
          <w:top w:w="0" w:type="dxa"/>
          <w:left w:w="108" w:type="dxa"/>
          <w:bottom w:w="0" w:type="dxa"/>
          <w:right w:w="108" w:type="dxa"/>
        </w:tblCellMar>
      </w:tblPr>
      <w:tblGrid>
        <w:gridCol w:w="675"/>
        <w:gridCol w:w="459"/>
        <w:gridCol w:w="1951"/>
        <w:gridCol w:w="960"/>
        <w:gridCol w:w="4673"/>
      </w:tblGrid>
      <w:tr>
        <w:tblPrEx>
          <w:tblLayout w:type="fixed"/>
          <w:tblCellMar>
            <w:top w:w="0" w:type="dxa"/>
            <w:left w:w="108" w:type="dxa"/>
            <w:bottom w:w="0" w:type="dxa"/>
            <w:right w:w="108" w:type="dxa"/>
          </w:tblCellMar>
        </w:tblPrEx>
        <w:trPr>
          <w:cantSplit/>
          <w:trHeight w:val="1207" w:hRule="atLeast"/>
        </w:trPr>
        <w:tc>
          <w:tcPr>
            <w:tcW w:w="675" w:type="dxa"/>
            <w:tcBorders>
              <w:top w:val="single" w:color="auto" w:sz="4" w:space="0"/>
              <w:left w:val="single" w:color="auto" w:sz="4" w:space="0"/>
              <w:right w:val="single" w:color="auto" w:sz="4" w:space="0"/>
            </w:tcBorders>
            <w:shd w:val="pct10" w:color="D9D9D9" w:fill="D9D9D9"/>
            <w:vAlign w:val="center"/>
          </w:tcPr>
          <w:p>
            <w:pPr>
              <w:widowControl/>
              <w:jc w:val="center"/>
              <w:outlineLvl w:val="9"/>
              <w:rPr>
                <w:rFonts w:hint="eastAsia" w:ascii="宋体" w:hAnsi="宋体" w:eastAsia="宋体" w:cs="宋体"/>
                <w:b/>
                <w:kern w:val="0"/>
              </w:rPr>
            </w:pPr>
            <w:r>
              <w:rPr>
                <w:rFonts w:hint="eastAsia" w:ascii="宋体" w:hAnsi="宋体" w:eastAsia="宋体" w:cs="宋体"/>
                <w:b/>
                <w:kern w:val="0"/>
                <w:sz w:val="24"/>
                <w:szCs w:val="24"/>
              </w:rPr>
              <w:t>评标</w:t>
            </w:r>
          </w:p>
          <w:p>
            <w:pPr>
              <w:jc w:val="center"/>
              <w:outlineLvl w:val="9"/>
              <w:rPr>
                <w:rFonts w:hint="eastAsia" w:ascii="宋体" w:hAnsi="宋体" w:eastAsia="宋体" w:cs="宋体"/>
                <w:b/>
                <w:kern w:val="0"/>
              </w:rPr>
            </w:pPr>
            <w:r>
              <w:rPr>
                <w:rFonts w:hint="eastAsia" w:ascii="宋体" w:hAnsi="宋体" w:eastAsia="宋体" w:cs="宋体"/>
                <w:b/>
                <w:kern w:val="0"/>
                <w:sz w:val="24"/>
                <w:szCs w:val="24"/>
              </w:rPr>
              <w:t>因素</w:t>
            </w:r>
          </w:p>
        </w:tc>
        <w:tc>
          <w:tcPr>
            <w:tcW w:w="459" w:type="dxa"/>
            <w:tcBorders>
              <w:top w:val="single" w:color="auto" w:sz="4" w:space="0"/>
              <w:left w:val="single" w:color="auto" w:sz="4" w:space="0"/>
              <w:bottom w:val="single" w:color="auto" w:sz="4" w:space="0"/>
              <w:right w:val="single" w:color="auto" w:sz="4" w:space="0"/>
            </w:tcBorders>
            <w:shd w:val="pct10" w:color="D9D9D9" w:fill="D9D9D9"/>
            <w:vAlign w:val="center"/>
          </w:tcPr>
          <w:p>
            <w:pPr>
              <w:widowControl/>
              <w:jc w:val="center"/>
              <w:outlineLvl w:val="9"/>
              <w:rPr>
                <w:rFonts w:hint="eastAsia" w:ascii="宋体" w:hAnsi="宋体" w:eastAsia="宋体" w:cs="宋体"/>
                <w:b/>
                <w:kern w:val="0"/>
              </w:rPr>
            </w:pPr>
            <w:r>
              <w:rPr>
                <w:rFonts w:hint="eastAsia" w:ascii="宋体" w:hAnsi="宋体" w:eastAsia="宋体" w:cs="宋体"/>
                <w:b/>
                <w:kern w:val="0"/>
                <w:sz w:val="24"/>
                <w:szCs w:val="24"/>
              </w:rPr>
              <w:t>权重</w:t>
            </w:r>
          </w:p>
        </w:tc>
        <w:tc>
          <w:tcPr>
            <w:tcW w:w="1951" w:type="dxa"/>
            <w:tcBorders>
              <w:top w:val="single" w:color="auto" w:sz="4" w:space="0"/>
              <w:left w:val="single" w:color="auto" w:sz="4" w:space="0"/>
              <w:bottom w:val="single" w:color="auto" w:sz="4" w:space="0"/>
              <w:right w:val="single" w:color="auto" w:sz="4" w:space="0"/>
            </w:tcBorders>
            <w:shd w:val="pct10" w:color="D9D9D9" w:fill="D9D9D9"/>
            <w:vAlign w:val="center"/>
          </w:tcPr>
          <w:p>
            <w:pPr>
              <w:widowControl/>
              <w:jc w:val="center"/>
              <w:outlineLvl w:val="9"/>
              <w:rPr>
                <w:rFonts w:hint="eastAsia" w:ascii="宋体" w:hAnsi="宋体" w:eastAsia="宋体" w:cs="宋体"/>
                <w:b/>
                <w:kern w:val="0"/>
              </w:rPr>
            </w:pPr>
            <w:r>
              <w:rPr>
                <w:rFonts w:hint="eastAsia" w:ascii="宋体" w:hAnsi="宋体" w:eastAsia="宋体" w:cs="宋体"/>
                <w:b/>
                <w:kern w:val="0"/>
                <w:sz w:val="24"/>
                <w:szCs w:val="24"/>
              </w:rPr>
              <w:t>具体内容</w:t>
            </w:r>
          </w:p>
        </w:tc>
        <w:tc>
          <w:tcPr>
            <w:tcW w:w="960" w:type="dxa"/>
            <w:tcBorders>
              <w:top w:val="single" w:color="auto" w:sz="4" w:space="0"/>
              <w:left w:val="single" w:color="auto" w:sz="4" w:space="0"/>
              <w:bottom w:val="single" w:color="auto" w:sz="4" w:space="0"/>
              <w:right w:val="single" w:color="auto" w:sz="4" w:space="0"/>
            </w:tcBorders>
            <w:shd w:val="pct10" w:color="D9D9D9" w:fill="D9D9D9"/>
            <w:vAlign w:val="center"/>
          </w:tcPr>
          <w:p>
            <w:pPr>
              <w:widowControl/>
              <w:jc w:val="center"/>
              <w:outlineLvl w:val="9"/>
              <w:rPr>
                <w:rFonts w:hint="eastAsia" w:ascii="宋体" w:hAnsi="宋体" w:eastAsia="宋体" w:cs="宋体"/>
                <w:b/>
                <w:kern w:val="0"/>
              </w:rPr>
            </w:pPr>
            <w:r>
              <w:rPr>
                <w:rFonts w:hint="eastAsia" w:ascii="宋体" w:hAnsi="宋体" w:eastAsia="宋体" w:cs="宋体"/>
                <w:b/>
                <w:kern w:val="0"/>
                <w:sz w:val="24"/>
                <w:szCs w:val="24"/>
              </w:rPr>
              <w:t>得分范围</w:t>
            </w:r>
          </w:p>
        </w:tc>
        <w:tc>
          <w:tcPr>
            <w:tcW w:w="4673" w:type="dxa"/>
            <w:tcBorders>
              <w:top w:val="single" w:color="auto" w:sz="4" w:space="0"/>
              <w:left w:val="single" w:color="auto" w:sz="4" w:space="0"/>
              <w:bottom w:val="single" w:color="auto" w:sz="4" w:space="0"/>
              <w:right w:val="single" w:color="auto" w:sz="4" w:space="0"/>
            </w:tcBorders>
            <w:shd w:val="pct10" w:color="D9D9D9" w:fill="D9D9D9"/>
            <w:vAlign w:val="center"/>
          </w:tcPr>
          <w:p>
            <w:pPr>
              <w:widowControl/>
              <w:jc w:val="center"/>
              <w:outlineLvl w:val="9"/>
              <w:rPr>
                <w:rFonts w:hint="eastAsia" w:ascii="宋体" w:hAnsi="宋体" w:eastAsia="宋体" w:cs="宋体"/>
                <w:b/>
                <w:kern w:val="0"/>
              </w:rPr>
            </w:pPr>
            <w:r>
              <w:rPr>
                <w:rFonts w:hint="eastAsia" w:ascii="宋体" w:hAnsi="宋体" w:eastAsia="宋体" w:cs="宋体"/>
                <w:b/>
                <w:kern w:val="0"/>
                <w:sz w:val="24"/>
                <w:szCs w:val="24"/>
              </w:rPr>
              <w:t>得分标准</w:t>
            </w:r>
          </w:p>
        </w:tc>
      </w:tr>
      <w:tr>
        <w:tblPrEx>
          <w:tblLayout w:type="fixed"/>
          <w:tblCellMar>
            <w:top w:w="0" w:type="dxa"/>
            <w:left w:w="108" w:type="dxa"/>
            <w:bottom w:w="0" w:type="dxa"/>
            <w:right w:w="108" w:type="dxa"/>
          </w:tblCellMar>
        </w:tblPrEx>
        <w:trPr>
          <w:cantSplit/>
          <w:trHeight w:val="170" w:hRule="exact"/>
        </w:trPr>
        <w:tc>
          <w:tcPr>
            <w:tcW w:w="675"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产品</w:t>
            </w:r>
          </w:p>
        </w:tc>
        <w:tc>
          <w:tcPr>
            <w:tcW w:w="459"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35</w:t>
            </w: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专业领域和市场占有率</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1-6分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好：5-6分；较好：3-4分；一般：1-2分</w:t>
            </w:r>
          </w:p>
        </w:tc>
      </w:tr>
      <w:tr>
        <w:tblPrEx>
          <w:tblLayout w:type="fixed"/>
          <w:tblCellMar>
            <w:top w:w="0" w:type="dxa"/>
            <w:left w:w="108" w:type="dxa"/>
            <w:bottom w:w="0" w:type="dxa"/>
            <w:right w:w="108" w:type="dxa"/>
          </w:tblCellMar>
        </w:tblPrEx>
        <w:trPr>
          <w:cantSplit/>
          <w:trHeight w:val="518"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技术参数、指标符合性</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0-6分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基础分4分；一项负偏离减1分；一项正偏离加0.5分；未按磋商文件要求应答视为无效标</w:t>
            </w:r>
          </w:p>
        </w:tc>
      </w:tr>
      <w:tr>
        <w:tblPrEx>
          <w:tblLayout w:type="fixed"/>
          <w:tblCellMar>
            <w:top w:w="0" w:type="dxa"/>
            <w:left w:w="108" w:type="dxa"/>
            <w:bottom w:w="0" w:type="dxa"/>
            <w:right w:w="108" w:type="dxa"/>
          </w:tblCellMar>
        </w:tblPrEx>
        <w:trPr>
          <w:cantSplit/>
          <w:trHeight w:val="311" w:hRule="atLeas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技术先进性</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1-6分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好：5-6分 ；较好：3-4分；一般：1-2分</w:t>
            </w:r>
          </w:p>
        </w:tc>
      </w:tr>
      <w:tr>
        <w:tblPrEx>
          <w:tblLayout w:type="fixed"/>
          <w:tblCellMar>
            <w:top w:w="0" w:type="dxa"/>
            <w:left w:w="108" w:type="dxa"/>
            <w:bottom w:w="0" w:type="dxa"/>
            <w:right w:w="108" w:type="dxa"/>
          </w:tblCellMar>
        </w:tblPrEx>
        <w:trPr>
          <w:cantSplit/>
          <w:trHeight w:val="268"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配置齐全合理性</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1-4分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好：4分 ；较好：2-3分；一般：1分</w:t>
            </w:r>
          </w:p>
        </w:tc>
      </w:tr>
      <w:tr>
        <w:tblPrEx>
          <w:tblLayout w:type="fixed"/>
          <w:tblCellMar>
            <w:top w:w="0" w:type="dxa"/>
            <w:left w:w="108" w:type="dxa"/>
            <w:bottom w:w="0" w:type="dxa"/>
            <w:right w:w="108" w:type="dxa"/>
          </w:tblCellMar>
        </w:tblPrEx>
        <w:trPr>
          <w:cantSplit/>
          <w:trHeight w:val="261"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产品质量和稳定性</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1-6分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好：5-6分 ；较好：3-4分；一般：1-2分</w:t>
            </w:r>
          </w:p>
        </w:tc>
      </w:tr>
      <w:tr>
        <w:tblPrEx>
          <w:tblLayout w:type="fixed"/>
          <w:tblCellMar>
            <w:top w:w="0" w:type="dxa"/>
            <w:left w:w="108" w:type="dxa"/>
            <w:bottom w:w="0" w:type="dxa"/>
            <w:right w:w="108" w:type="dxa"/>
          </w:tblCellMar>
        </w:tblPrEx>
        <w:trPr>
          <w:cantSplit/>
          <w:trHeight w:val="395"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升级扩展性</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1-3分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好：3分 ；较好：2分；一般：1分</w:t>
            </w:r>
          </w:p>
        </w:tc>
      </w:tr>
      <w:tr>
        <w:tblPrEx>
          <w:tblLayout w:type="fixed"/>
          <w:tblCellMar>
            <w:top w:w="0" w:type="dxa"/>
            <w:left w:w="108" w:type="dxa"/>
            <w:bottom w:w="0" w:type="dxa"/>
            <w:right w:w="108" w:type="dxa"/>
          </w:tblCellMar>
        </w:tblPrEx>
        <w:trPr>
          <w:cantSplit/>
          <w:trHeight w:val="247"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维护成本</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1-4分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低：4分 ；中：2-3分；高：1分</w:t>
            </w:r>
          </w:p>
        </w:tc>
      </w:tr>
      <w:tr>
        <w:tblPrEx>
          <w:tblLayout w:type="fixed"/>
          <w:tblCellMar>
            <w:top w:w="0" w:type="dxa"/>
            <w:left w:w="108" w:type="dxa"/>
            <w:bottom w:w="0" w:type="dxa"/>
            <w:right w:w="108" w:type="dxa"/>
          </w:tblCellMar>
        </w:tblPrEx>
        <w:trPr>
          <w:cantSplit/>
          <w:trHeight w:val="252"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服务</w:t>
            </w:r>
          </w:p>
        </w:tc>
        <w:tc>
          <w:tcPr>
            <w:tcW w:w="459"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17</w:t>
            </w: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保修期及售后服务承诺</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1-5分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好：5分；较好：3-4分；一般：1-2分</w:t>
            </w:r>
          </w:p>
        </w:tc>
      </w:tr>
      <w:tr>
        <w:tblPrEx>
          <w:tblLayout w:type="fixed"/>
          <w:tblCellMar>
            <w:top w:w="0" w:type="dxa"/>
            <w:left w:w="108" w:type="dxa"/>
            <w:bottom w:w="0" w:type="dxa"/>
            <w:right w:w="108" w:type="dxa"/>
          </w:tblCellMar>
        </w:tblPrEx>
        <w:trPr>
          <w:cantSplit/>
          <w:trHeight w:val="528"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技术培训标准和条件</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1-5分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好：5分；较好：3-4分；一般：1-2分</w:t>
            </w:r>
          </w:p>
        </w:tc>
      </w:tr>
      <w:tr>
        <w:tblPrEx>
          <w:tblLayout w:type="fixed"/>
          <w:tblCellMar>
            <w:top w:w="0" w:type="dxa"/>
            <w:left w:w="108" w:type="dxa"/>
            <w:bottom w:w="0" w:type="dxa"/>
            <w:right w:w="108" w:type="dxa"/>
          </w:tblCellMar>
        </w:tblPrEx>
        <w:trPr>
          <w:cantSplit/>
          <w:trHeight w:val="552"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维修技术人员情况</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0-3分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主要技术人员具备相关资质认证及相关项目经历：3分；主要技术人员具备相关项目经历：1-2分；主要技术人员无认证且无相关项目经历：0分</w:t>
            </w:r>
          </w:p>
        </w:tc>
      </w:tr>
      <w:tr>
        <w:tblPrEx>
          <w:tblLayout w:type="fixed"/>
          <w:tblCellMar>
            <w:top w:w="0" w:type="dxa"/>
            <w:left w:w="108" w:type="dxa"/>
            <w:bottom w:w="0" w:type="dxa"/>
            <w:right w:w="108" w:type="dxa"/>
          </w:tblCellMar>
        </w:tblPrEx>
        <w:trPr>
          <w:cantSplit/>
          <w:trHeight w:val="1093"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406"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tcBorders>
              <w:top w:val="single" w:color="auto" w:sz="4" w:space="0"/>
              <w:left w:val="nil"/>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综合实力</w:t>
            </w:r>
          </w:p>
        </w:tc>
        <w:tc>
          <w:tcPr>
            <w:tcW w:w="960" w:type="dxa"/>
            <w:tcBorders>
              <w:top w:val="nil"/>
              <w:left w:val="nil"/>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1-4分</w:t>
            </w:r>
          </w:p>
        </w:tc>
        <w:tc>
          <w:tcPr>
            <w:tcW w:w="4673" w:type="dxa"/>
            <w:tcBorders>
              <w:top w:val="nil"/>
              <w:left w:val="nil"/>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好：4分 ；较好：2-3分；一般：1分</w:t>
            </w:r>
          </w:p>
        </w:tc>
      </w:tr>
      <w:tr>
        <w:tblPrEx>
          <w:tblLayout w:type="fixed"/>
          <w:tblCellMar>
            <w:top w:w="0" w:type="dxa"/>
            <w:left w:w="108" w:type="dxa"/>
            <w:bottom w:w="0" w:type="dxa"/>
            <w:right w:w="108" w:type="dxa"/>
          </w:tblCellMar>
        </w:tblPrEx>
        <w:trPr>
          <w:cantSplit/>
          <w:trHeight w:val="170" w:hRule="exact"/>
        </w:trPr>
        <w:tc>
          <w:tcPr>
            <w:tcW w:w="675"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资信</w:t>
            </w:r>
          </w:p>
        </w:tc>
        <w:tc>
          <w:tcPr>
            <w:tcW w:w="459"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8</w:t>
            </w: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磋商文件</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0-4分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响应文件完整、规范，可信，符合磋商文件要求：4分；</w:t>
            </w:r>
            <w:r>
              <w:rPr>
                <w:rFonts w:hint="eastAsia" w:ascii="宋体" w:hAnsi="宋体" w:eastAsia="宋体" w:cs="宋体"/>
                <w:kern w:val="0"/>
                <w:sz w:val="24"/>
                <w:szCs w:val="24"/>
              </w:rPr>
              <w:br w:type="textWrapping"/>
            </w:r>
            <w:r>
              <w:rPr>
                <w:rFonts w:hint="eastAsia" w:ascii="宋体" w:hAnsi="宋体" w:eastAsia="宋体" w:cs="宋体"/>
                <w:kern w:val="0"/>
                <w:sz w:val="24"/>
                <w:szCs w:val="24"/>
              </w:rPr>
              <w:t>响应文件基本符合磋商文件要求：2分；不完整，填写签署有错误：0分</w:t>
            </w:r>
          </w:p>
        </w:tc>
      </w:tr>
      <w:tr>
        <w:tblPrEx>
          <w:tblLayout w:type="fixed"/>
          <w:tblCellMar>
            <w:top w:w="0" w:type="dxa"/>
            <w:left w:w="108" w:type="dxa"/>
            <w:bottom w:w="0" w:type="dxa"/>
            <w:right w:w="108" w:type="dxa"/>
          </w:tblCellMar>
        </w:tblPrEx>
        <w:trPr>
          <w:cantSplit/>
          <w:trHeight w:val="1131"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170"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业绩（近两年相同或类似项目合同复印件）</w:t>
            </w:r>
          </w:p>
        </w:tc>
        <w:tc>
          <w:tcPr>
            <w:tcW w:w="960"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0-4分</w:t>
            </w:r>
          </w:p>
        </w:tc>
        <w:tc>
          <w:tcPr>
            <w:tcW w:w="4673" w:type="dxa"/>
            <w:vMerge w:val="restart"/>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3个或以上案例：4分；2个案例：2分；1个案例1分；无案例：0分</w:t>
            </w:r>
          </w:p>
        </w:tc>
      </w:tr>
      <w:tr>
        <w:tblPrEx>
          <w:tblLayout w:type="fixed"/>
          <w:tblCellMar>
            <w:top w:w="0" w:type="dxa"/>
            <w:left w:w="108" w:type="dxa"/>
            <w:bottom w:w="0" w:type="dxa"/>
            <w:right w:w="108" w:type="dxa"/>
          </w:tblCellMar>
        </w:tblPrEx>
        <w:trPr>
          <w:cantSplit/>
          <w:trHeight w:val="787" w:hRule="exac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59"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19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960" w:type="dxa"/>
            <w:vMerge w:val="continue"/>
            <w:tcBorders>
              <w:top w:val="nil"/>
              <w:left w:val="single" w:color="auto" w:sz="4" w:space="0"/>
              <w:bottom w:val="single" w:color="auto" w:sz="4" w:space="0"/>
              <w:right w:val="single" w:color="auto" w:sz="4" w:space="0"/>
            </w:tcBorders>
            <w:vAlign w:val="center"/>
          </w:tcPr>
          <w:p>
            <w:pPr>
              <w:widowControl/>
              <w:jc w:val="left"/>
              <w:outlineLvl w:val="9"/>
              <w:rPr>
                <w:rFonts w:hint="eastAsia" w:ascii="宋体" w:hAnsi="宋体" w:eastAsia="宋体" w:cs="宋体"/>
                <w:kern w:val="0"/>
              </w:rPr>
            </w:pPr>
          </w:p>
        </w:tc>
        <w:tc>
          <w:tcPr>
            <w:tcW w:w="4673" w:type="dxa"/>
            <w:vMerge w:val="continue"/>
            <w:tcBorders>
              <w:top w:val="nil"/>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p>
        </w:tc>
      </w:tr>
      <w:tr>
        <w:tblPrEx>
          <w:tblLayout w:type="fixed"/>
          <w:tblCellMar>
            <w:top w:w="0" w:type="dxa"/>
            <w:left w:w="108" w:type="dxa"/>
            <w:bottom w:w="0" w:type="dxa"/>
            <w:right w:w="108" w:type="dxa"/>
          </w:tblCellMar>
        </w:tblPrEx>
        <w:trPr>
          <w:cantSplit/>
          <w:trHeight w:val="949" w:hRule="exact"/>
        </w:trPr>
        <w:tc>
          <w:tcPr>
            <w:tcW w:w="675" w:type="dxa"/>
            <w:tcBorders>
              <w:top w:val="single" w:color="auto" w:sz="4" w:space="0"/>
              <w:left w:val="single" w:color="auto" w:sz="4" w:space="0"/>
              <w:bottom w:val="single" w:color="auto" w:sz="4" w:space="0"/>
              <w:right w:val="single" w:color="auto" w:sz="4" w:space="0"/>
            </w:tcBorders>
            <w:vAlign w:val="center"/>
          </w:tcPr>
          <w:p>
            <w:pPr>
              <w:widowControl/>
              <w:outlineLvl w:val="9"/>
              <w:rPr>
                <w:rFonts w:hint="eastAsia" w:ascii="宋体" w:hAnsi="宋体" w:eastAsia="宋体" w:cs="宋体"/>
                <w:kern w:val="0"/>
              </w:rPr>
            </w:pPr>
            <w:r>
              <w:rPr>
                <w:rFonts w:hint="eastAsia" w:ascii="宋体" w:hAnsi="宋体" w:eastAsia="宋体" w:cs="宋体"/>
                <w:kern w:val="0"/>
                <w:sz w:val="24"/>
                <w:szCs w:val="24"/>
              </w:rPr>
              <w:t>商务</w:t>
            </w:r>
          </w:p>
        </w:tc>
        <w:tc>
          <w:tcPr>
            <w:tcW w:w="459" w:type="dxa"/>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40</w:t>
            </w:r>
          </w:p>
        </w:tc>
        <w:tc>
          <w:tcPr>
            <w:tcW w:w="1951" w:type="dxa"/>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 xml:space="preserve">价格  </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0-40分</w:t>
            </w:r>
          </w:p>
        </w:tc>
        <w:tc>
          <w:tcPr>
            <w:tcW w:w="4673" w:type="dxa"/>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投标报价得分=（评标基准价/投标报价*40）</w:t>
            </w:r>
          </w:p>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注：评标基准价为最低投标报价</w:t>
            </w:r>
          </w:p>
        </w:tc>
      </w:tr>
      <w:tr>
        <w:tblPrEx>
          <w:tblLayout w:type="fixed"/>
          <w:tblCellMar>
            <w:top w:w="0" w:type="dxa"/>
            <w:left w:w="108" w:type="dxa"/>
            <w:bottom w:w="0" w:type="dxa"/>
            <w:right w:w="108" w:type="dxa"/>
          </w:tblCellMar>
        </w:tblPrEx>
        <w:trPr>
          <w:cantSplit/>
          <w:trHeight w:val="334" w:hRule="exact"/>
        </w:trPr>
        <w:tc>
          <w:tcPr>
            <w:tcW w:w="8718" w:type="dxa"/>
            <w:gridSpan w:val="5"/>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宋体" w:hAnsi="宋体" w:eastAsia="宋体" w:cs="宋体"/>
                <w:kern w:val="0"/>
              </w:rPr>
            </w:pPr>
            <w:r>
              <w:rPr>
                <w:rFonts w:hint="eastAsia" w:ascii="宋体" w:hAnsi="宋体" w:eastAsia="宋体" w:cs="宋体"/>
                <w:kern w:val="0"/>
                <w:sz w:val="24"/>
                <w:szCs w:val="24"/>
              </w:rPr>
              <w:t xml:space="preserve"> 合    计    100分</w:t>
            </w:r>
          </w:p>
        </w:tc>
      </w:tr>
    </w:tbl>
    <w:p>
      <w:pPr>
        <w:outlineLvl w:val="9"/>
        <w:rPr>
          <w:rFonts w:hint="eastAsia" w:ascii="宋体" w:hAnsi="宋体" w:eastAsia="宋体" w:cs="宋体"/>
          <w:sz w:val="24"/>
          <w:szCs w:val="24"/>
        </w:rPr>
      </w:pPr>
    </w:p>
    <w:bookmarkEnd w:id="84"/>
    <w:p>
      <w:pPr>
        <w:pStyle w:val="28"/>
        <w:keepNext w:val="0"/>
        <w:keepLines w:val="0"/>
        <w:pageBreakBefore w:val="0"/>
        <w:kinsoku/>
        <w:wordWrap/>
        <w:overflowPunct/>
        <w:topLinePunct w:val="0"/>
        <w:bidi w:val="0"/>
        <w:spacing w:before="0" w:after="0" w:line="460" w:lineRule="exact"/>
        <w:ind w:right="0" w:rightChars="0"/>
        <w:textAlignment w:val="auto"/>
        <w:rPr>
          <w:rFonts w:hint="eastAsia" w:ascii="宋体" w:hAnsi="宋体" w:eastAsia="宋体" w:cs="宋体"/>
          <w:color w:val="000000"/>
          <w:sz w:val="28"/>
          <w:szCs w:val="28"/>
        </w:rPr>
      </w:pPr>
      <w:bookmarkStart w:id="114" w:name="_Toc395085166"/>
      <w:bookmarkStart w:id="115" w:name="_Toc395105685"/>
      <w:bookmarkStart w:id="116" w:name="_Toc376852375"/>
      <w:r>
        <w:rPr>
          <w:rFonts w:hint="eastAsia" w:ascii="宋体" w:hAnsi="宋体" w:eastAsia="宋体" w:cs="宋体"/>
          <w:color w:val="000000"/>
          <w:sz w:val="24"/>
          <w:szCs w:val="24"/>
        </w:rPr>
        <w:br w:type="page"/>
      </w:r>
      <w:bookmarkStart w:id="117" w:name="_Toc30796"/>
      <w:bookmarkStart w:id="118" w:name="_Toc470007445"/>
      <w:bookmarkStart w:id="119" w:name="_Toc29782"/>
      <w:r>
        <w:rPr>
          <w:rFonts w:hint="eastAsia" w:ascii="宋体" w:hAnsi="宋体" w:eastAsia="宋体" w:cs="宋体"/>
          <w:color w:val="000000"/>
          <w:sz w:val="28"/>
          <w:szCs w:val="28"/>
          <w:highlight w:val="none"/>
        </w:rPr>
        <w:t>第四部分：招标产品清单和技术要求</w:t>
      </w:r>
      <w:bookmarkEnd w:id="114"/>
      <w:bookmarkEnd w:id="115"/>
      <w:bookmarkEnd w:id="116"/>
      <w:bookmarkEnd w:id="117"/>
      <w:bookmarkEnd w:id="118"/>
      <w:bookmarkEnd w:id="119"/>
    </w:p>
    <w:p>
      <w:pPr>
        <w:pStyle w:val="28"/>
        <w:keepNext w:val="0"/>
        <w:keepLines w:val="0"/>
        <w:pageBreakBefore w:val="0"/>
        <w:kinsoku/>
        <w:wordWrap/>
        <w:overflowPunct/>
        <w:topLinePunct w:val="0"/>
        <w:bidi w:val="0"/>
        <w:spacing w:before="0" w:after="0" w:line="460" w:lineRule="exact"/>
        <w:ind w:right="0" w:rightChars="0"/>
        <w:textAlignment w:val="auto"/>
        <w:outlineLvl w:val="9"/>
        <w:rPr>
          <w:rFonts w:hint="eastAsia" w:ascii="宋体" w:hAnsi="宋体" w:eastAsia="宋体" w:cs="宋体"/>
          <w:color w:val="000000"/>
          <w:sz w:val="24"/>
          <w:szCs w:val="24"/>
        </w:rPr>
      </w:pPr>
    </w:p>
    <w:tbl>
      <w:tblPr>
        <w:tblStyle w:val="35"/>
        <w:tblW w:w="84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jc w:val="center"/>
        </w:trPr>
        <w:tc>
          <w:tcPr>
            <w:tcW w:w="6300" w:type="dxa"/>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材料名称：</w:t>
            </w:r>
            <w:r>
              <w:rPr>
                <w:rFonts w:hint="eastAsia" w:ascii="宋体" w:hAnsi="宋体" w:eastAsia="宋体" w:cs="宋体"/>
                <w:color w:val="333333"/>
                <w:kern w:val="0"/>
                <w:sz w:val="24"/>
                <w:szCs w:val="24"/>
              </w:rPr>
              <w:t>PLC控制电缆</w:t>
            </w:r>
          </w:p>
        </w:tc>
        <w:tc>
          <w:tcPr>
            <w:tcW w:w="2160" w:type="dxa"/>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数量：3000米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jc w:val="center"/>
        </w:trPr>
        <w:tc>
          <w:tcPr>
            <w:tcW w:w="8460" w:type="dxa"/>
            <w:gridSpan w:val="2"/>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用途：深海油田开发的大型发电机组动力负荷测试系统的控制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6" w:hRule="atLeast"/>
          <w:jc w:val="center"/>
        </w:trPr>
        <w:tc>
          <w:tcPr>
            <w:tcW w:w="8460" w:type="dxa"/>
            <w:gridSpan w:val="2"/>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rPr>
              <w:t>主要参数及需求：</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rPr>
              <w:t>材料应用于深海油田开发的大型发电机组动力负荷测试系统的PLC之间的通讯，</w:t>
            </w:r>
            <w:r>
              <w:rPr>
                <w:rFonts w:hint="eastAsia" w:ascii="宋体" w:hAnsi="宋体" w:eastAsia="宋体" w:cs="宋体"/>
                <w:sz w:val="24"/>
                <w:szCs w:val="24"/>
                <w:shd w:val="clear" w:color="auto" w:fill="FFFFFF"/>
              </w:rPr>
              <w:t>适用于西门子Profibus-DP通讯协议。</w:t>
            </w:r>
          </w:p>
          <w:p>
            <w:pPr>
              <w:pageBreakBefore w:val="0"/>
              <w:widowControl/>
              <w:numPr>
                <w:ilvl w:val="0"/>
                <w:numId w:val="8"/>
              </w:numPr>
              <w:shd w:val="clear" w:color="auto" w:fill="FFFFFF"/>
              <w:kinsoku/>
              <w:wordWrap/>
              <w:overflowPunct/>
              <w:topLinePunct w:val="0"/>
              <w:bidi w:val="0"/>
              <w:snapToGrid/>
              <w:spacing w:before="100" w:beforeAutospacing="1" w:after="100" w:afterAutospacing="1" w:line="460" w:lineRule="exact"/>
              <w:ind w:left="0" w:right="0" w:rightChars="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用于不同应用区域的不同类型双层屏蔽，抗干扰性能好，阻燃总线连接电缆（不含卤素）。</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技术指标：  </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 1、实心裸铜线导体，2芯并合成对，芯线红绿二色。  </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 2、铝箔、裸金属丝编织双层屏蔽，PVC外护套，外观紫色。</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3、符合VDE 0472标准；B类试验（IEC332.1）。  </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 4、带米标识，分100米、200米、300米包装，500米、1000米包装。  </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 5、工作参数：单线传输最大规格：1000m，加中继器可延长至10000m Profibus总线电缆Profibus DP/PA电缆采用实心裸铜线导体作芯线，加厚铝箔和加密裸金属丝编织层，屏蔽效果好，紫色PVC外护套。具有良好的信号传输性能</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产品认证：</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UL 认证，Ex认证</w:t>
            </w:r>
          </w:p>
          <w:p>
            <w:pPr>
              <w:pageBreakBefore w:val="0"/>
              <w:widowControl/>
              <w:shd w:val="clear" w:color="auto" w:fill="FFFFFF"/>
              <w:kinsoku/>
              <w:wordWrap/>
              <w:overflowPunct/>
              <w:topLinePunct w:val="0"/>
              <w:bidi w:val="0"/>
              <w:snapToGrid/>
              <w:spacing w:line="460" w:lineRule="exact"/>
              <w:ind w:right="0" w:rightChars="0"/>
              <w:textAlignment w:val="auto"/>
              <w:rPr>
                <w:rFonts w:hint="eastAsia" w:ascii="宋体" w:hAnsi="宋体" w:eastAsia="宋体" w:cs="宋体"/>
                <w:sz w:val="24"/>
                <w:szCs w:val="24"/>
              </w:rPr>
            </w:pPr>
          </w:p>
        </w:tc>
      </w:tr>
    </w:tbl>
    <w:p>
      <w:pPr>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br w:type="page"/>
      </w:r>
    </w:p>
    <w:tbl>
      <w:tblPr>
        <w:tblStyle w:val="35"/>
        <w:tblW w:w="84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jc w:val="center"/>
        </w:trPr>
        <w:tc>
          <w:tcPr>
            <w:tcW w:w="6300" w:type="dxa"/>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材料名称：</w:t>
            </w:r>
            <w:r>
              <w:rPr>
                <w:rFonts w:hint="eastAsia" w:ascii="宋体" w:hAnsi="宋体" w:eastAsia="宋体" w:cs="宋体"/>
                <w:color w:val="333333"/>
                <w:kern w:val="0"/>
                <w:sz w:val="24"/>
                <w:szCs w:val="24"/>
              </w:rPr>
              <w:t>网络通讯缆</w:t>
            </w:r>
          </w:p>
        </w:tc>
        <w:tc>
          <w:tcPr>
            <w:tcW w:w="2160" w:type="dxa"/>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数量：3000米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jc w:val="center"/>
        </w:trPr>
        <w:tc>
          <w:tcPr>
            <w:tcW w:w="8460" w:type="dxa"/>
            <w:gridSpan w:val="2"/>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用途：深海油田开发的大型发电机组动力负荷测试系统的控制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6" w:hRule="atLeast"/>
          <w:jc w:val="center"/>
        </w:trPr>
        <w:tc>
          <w:tcPr>
            <w:tcW w:w="8460" w:type="dxa"/>
            <w:gridSpan w:val="2"/>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rPr>
              <w:t>主要参数及需求：</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rPr>
              <w:t>材料应用于深海油田开发的大型发电机组动力负荷测试系统的PLC与控制计算机之间的通讯，</w:t>
            </w:r>
            <w:r>
              <w:rPr>
                <w:rFonts w:hint="eastAsia" w:ascii="宋体" w:hAnsi="宋体" w:eastAsia="宋体" w:cs="宋体"/>
                <w:sz w:val="24"/>
                <w:szCs w:val="24"/>
                <w:shd w:val="clear" w:color="auto" w:fill="FFFFFF"/>
              </w:rPr>
              <w:t>适用于以工业太网通讯协议。</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三个</w:t>
            </w:r>
            <w:r>
              <w:rPr>
                <w:rFonts w:hint="eastAsia" w:ascii="宋体" w:hAnsi="宋体" w:eastAsia="宋体" w:cs="宋体"/>
                <w:sz w:val="24"/>
                <w:szCs w:val="24"/>
              </w:rPr>
              <w:t>深海油田开发的大型发电机组动力负荷测试系统的PLC与三台计算之间的通讯，三台计算机之间的互联通讯。</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rPr>
            </w:pPr>
            <w:r>
              <w:rPr>
                <w:rFonts w:hint="eastAsia" w:ascii="宋体" w:hAnsi="宋体" w:eastAsia="宋体" w:cs="宋体"/>
                <w:bCs/>
                <w:sz w:val="24"/>
                <w:szCs w:val="24"/>
              </w:rPr>
              <w:t>支持工业TCP/IP协议，通讯速率不低于100 Mbit/s</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rPr>
              <w:t>技术标准：</w:t>
            </w:r>
          </w:p>
          <w:tbl>
            <w:tblPr>
              <w:tblStyle w:val="35"/>
              <w:tblW w:w="8244" w:type="dxa"/>
              <w:tblCellSpacing w:w="0" w:type="dxa"/>
              <w:tblInd w:w="0" w:type="dxa"/>
              <w:shd w:val="clear" w:color="auto" w:fill="FFFFFF"/>
              <w:tblLayout w:type="fixed"/>
              <w:tblCellMar>
                <w:top w:w="0" w:type="dxa"/>
                <w:left w:w="0" w:type="dxa"/>
                <w:bottom w:w="0" w:type="dxa"/>
                <w:right w:w="0" w:type="dxa"/>
              </w:tblCellMar>
            </w:tblPr>
            <w:tblGrid>
              <w:gridCol w:w="619"/>
              <w:gridCol w:w="618"/>
              <w:gridCol w:w="2885"/>
              <w:gridCol w:w="2061"/>
              <w:gridCol w:w="2061"/>
            </w:tblGrid>
            <w:tr>
              <w:tblPrEx>
                <w:shd w:val="clear" w:color="auto" w:fill="FFFFFF"/>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使用温度范围</w:t>
                  </w: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－5℃至＋60℃</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特性阻抗</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100 Ohm ± 15%</w:t>
                  </w:r>
                </w:p>
              </w:tc>
            </w:tr>
            <w:tr>
              <w:tblPrEx>
                <w:shd w:val="clear" w:color="auto" w:fill="FFFFFF"/>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（移动安装）</w:t>
                  </w: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弯曲半径为10×d</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导体</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VDE 0295/IEC 60228 第6类规定</w:t>
                  </w:r>
                </w:p>
              </w:tc>
            </w:tr>
            <w:tr>
              <w:tblPrEx>
                <w:shd w:val="clear" w:color="auto" w:fill="FFFFFF"/>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使用温度范围</w:t>
                  </w: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－20℃至＋60℃</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绝缘材料</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芯线绝缘为特种PE混合料</w:t>
                  </w:r>
                </w:p>
              </w:tc>
            </w:tr>
            <w:tr>
              <w:tblPrEx>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（固定安装）</w:t>
                  </w: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弯曲半径为5×d</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芯线绞合方式</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每两根芯线对绞.以短节距与高强度</w:t>
                  </w:r>
                </w:p>
              </w:tc>
            </w:tr>
            <w:tr>
              <w:tblPrEx>
                <w:shd w:val="clear" w:color="auto" w:fill="FFFFFF"/>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最大速度</w:t>
                  </w: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架空2.0米/秒</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 </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中心线绞合在一起</w:t>
                  </w:r>
                </w:p>
              </w:tc>
            </w:tr>
            <w:tr>
              <w:tblPrEx>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滑行1.0米/秒</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p>
              </w:tc>
            </w:tr>
            <w:tr>
              <w:tblPrEx>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最大加速度</w:t>
                  </w: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10米/秒2</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中间包覆</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铝箔带缠在芯线束外</w:t>
                  </w:r>
                </w:p>
              </w:tc>
            </w:tr>
            <w:tr>
              <w:tblPrEx>
                <w:shd w:val="clear" w:color="auto" w:fill="FFFFFF"/>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行程距离</w:t>
                  </w: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架空最大20米，可用于滑行</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总屏蔽</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镀锡铜丝编织屏蔽</w:t>
                  </w:r>
                </w:p>
              </w:tc>
            </w:tr>
            <w:tr>
              <w:tblPrEx>
                <w:shd w:val="clear" w:color="auto" w:fill="FFFFFF"/>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峰值工作电压</w:t>
                  </w: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（非动力应用）125 V</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外护套</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PVC</w:t>
                  </w:r>
                </w:p>
              </w:tc>
            </w:tr>
            <w:tr>
              <w:tblPrEx>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测试电压</w:t>
                  </w: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芯线 / 芯线：1000 V</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颜色</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灰色 </w:t>
                  </w:r>
                </w:p>
              </w:tc>
            </w:tr>
            <w:tr>
              <w:tblPrEx>
                <w:shd w:val="clear" w:color="auto" w:fill="FFFFFF"/>
                <w:tblLayout w:type="fixed"/>
                <w:tblCellMar>
                  <w:top w:w="0" w:type="dxa"/>
                  <w:left w:w="0" w:type="dxa"/>
                  <w:bottom w:w="0" w:type="dxa"/>
                  <w:right w:w="0" w:type="dxa"/>
                </w:tblCellMar>
              </w:tblPrEx>
              <w:trPr>
                <w:tblCellSpacing w:w="0" w:type="dxa"/>
              </w:trPr>
              <w:tc>
                <w:tcPr>
                  <w:tcW w:w="1237" w:type="dxa"/>
                  <w:gridSpan w:val="2"/>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p>
              </w:tc>
              <w:tc>
                <w:tcPr>
                  <w:tcW w:w="2885"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芯线 / 绝缘：500V</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耐油性</w:t>
                  </w:r>
                </w:p>
              </w:tc>
              <w:tc>
                <w:tcPr>
                  <w:tcW w:w="2061"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耐油</w:t>
                  </w:r>
                </w:p>
              </w:tc>
            </w:tr>
            <w:tr>
              <w:tblPrEx>
                <w:shd w:val="clear" w:color="auto" w:fill="FFFFFF"/>
                <w:tblLayout w:type="fixed"/>
                <w:tblCellMar>
                  <w:top w:w="0" w:type="dxa"/>
                  <w:left w:w="0" w:type="dxa"/>
                  <w:bottom w:w="0" w:type="dxa"/>
                  <w:right w:w="0" w:type="dxa"/>
                </w:tblCellMar>
              </w:tblPrEx>
              <w:trPr>
                <w:gridAfter w:val="3"/>
                <w:wAfter w:w="7007" w:type="dxa"/>
                <w:tblCellSpacing w:w="0" w:type="dxa"/>
              </w:trPr>
              <w:tc>
                <w:tcPr>
                  <w:tcW w:w="619"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p>
              </w:tc>
              <w:tc>
                <w:tcPr>
                  <w:tcW w:w="618" w:type="dxa"/>
                  <w:shd w:val="clear" w:color="auto" w:fill="FFFFFF"/>
                  <w:vAlign w:val="center"/>
                </w:tcPr>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color w:val="333333"/>
                      <w:kern w:val="0"/>
                      <w:sz w:val="24"/>
                      <w:szCs w:val="24"/>
                    </w:rPr>
                  </w:pPr>
                </w:p>
              </w:tc>
            </w:tr>
          </w:tbl>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p>
        </w:tc>
      </w:tr>
    </w:tbl>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tbl>
      <w:tblPr>
        <w:tblStyle w:val="35"/>
        <w:tblW w:w="84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jc w:val="center"/>
        </w:trPr>
        <w:tc>
          <w:tcPr>
            <w:tcW w:w="6300" w:type="dxa"/>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材料名称：</w:t>
            </w:r>
            <w:r>
              <w:rPr>
                <w:rFonts w:hint="eastAsia" w:ascii="宋体" w:hAnsi="宋体" w:eastAsia="宋体" w:cs="宋体"/>
                <w:color w:val="333333"/>
                <w:kern w:val="0"/>
                <w:sz w:val="24"/>
                <w:szCs w:val="24"/>
              </w:rPr>
              <w:t>网络通讯接口</w:t>
            </w:r>
          </w:p>
        </w:tc>
        <w:tc>
          <w:tcPr>
            <w:tcW w:w="2160" w:type="dxa"/>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数量：3件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jc w:val="center"/>
        </w:trPr>
        <w:tc>
          <w:tcPr>
            <w:tcW w:w="8460" w:type="dxa"/>
            <w:gridSpan w:val="2"/>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用途：深海油田开发的大型发电机组动力负荷测试系统的控制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6" w:hRule="atLeast"/>
          <w:jc w:val="center"/>
        </w:trPr>
        <w:tc>
          <w:tcPr>
            <w:tcW w:w="8460" w:type="dxa"/>
            <w:gridSpan w:val="2"/>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rPr>
              <w:t>主要参数及需求：</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rPr>
              <w:t>材料应用于深海油田开发的大型发电机组动力负荷测试系统的PLC与控制计算机之间的通讯接口，</w:t>
            </w:r>
            <w:r>
              <w:rPr>
                <w:rFonts w:hint="eastAsia" w:ascii="宋体" w:hAnsi="宋体" w:eastAsia="宋体" w:cs="宋体"/>
                <w:sz w:val="24"/>
                <w:szCs w:val="24"/>
                <w:shd w:val="clear" w:color="auto" w:fill="FFFFFF"/>
              </w:rPr>
              <w:t>适用于西门子PROFIBUS-DP通讯协议。</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rPr>
            </w:pP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rPr>
              <w:t>技术标准：</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技术规范</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传输速率： 9.6Kbps ～ 12Mbps ，对应的最大通信距离符合 PROFIBUS 标准</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接口：连接 PROFIBUS/MPI/PPI ，隔离的 9 针 Sub-D 插口，板卡设计，PCI插槽</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隔离电压： 1000VDC</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RS485 端口具有防雷击浪涌保护器，可重复性浪涌容量： Ipp= 100A （ 10/700us ， 4KV ）</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符合标准： ITU-TK20/21 、 VDE 0433 。± 15KV ESD （静电）保护</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自恢复过流保护： RS485 端口能承受高达 60V 的电压引起的持续过电流</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连接 PG/PC ： PCI2.1 标准插槽  </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标准电压：  +5VDC </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功耗： 2.0W </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工作温度： 0 ～ + 70 ℃  </w:t>
            </w:r>
          </w:p>
        </w:tc>
      </w:tr>
    </w:tbl>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tbl>
      <w:tblPr>
        <w:tblStyle w:val="35"/>
        <w:tblW w:w="84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atLeast"/>
          <w:jc w:val="center"/>
        </w:trPr>
        <w:tc>
          <w:tcPr>
            <w:tcW w:w="6300" w:type="dxa"/>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材料名称：</w:t>
            </w:r>
            <w:r>
              <w:rPr>
                <w:rFonts w:hint="eastAsia" w:ascii="宋体" w:hAnsi="宋体" w:eastAsia="宋体" w:cs="宋体"/>
                <w:color w:val="333333"/>
                <w:kern w:val="0"/>
                <w:sz w:val="24"/>
                <w:szCs w:val="24"/>
              </w:rPr>
              <w:t xml:space="preserve"> PLC CPU、电源模块、存储卡</w:t>
            </w:r>
          </w:p>
        </w:tc>
        <w:tc>
          <w:tcPr>
            <w:tcW w:w="2160" w:type="dxa"/>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数量：4套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6" w:hRule="atLeast"/>
          <w:jc w:val="center"/>
        </w:trPr>
        <w:tc>
          <w:tcPr>
            <w:tcW w:w="8460" w:type="dxa"/>
            <w:gridSpan w:val="2"/>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用途：深海油田开发的大型发电机组动力负荷测试系统的控制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6" w:hRule="atLeast"/>
          <w:jc w:val="center"/>
        </w:trPr>
        <w:tc>
          <w:tcPr>
            <w:tcW w:w="8460" w:type="dxa"/>
            <w:gridSpan w:val="2"/>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rPr>
              <w:t>主要参数及需求：</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rPr>
              <w:t>材料应用于深海油田开发的大型发电机组动力负荷测试系统的PLC与控制计算机之间的通讯接口，</w:t>
            </w:r>
            <w:r>
              <w:rPr>
                <w:rFonts w:hint="eastAsia" w:ascii="宋体" w:hAnsi="宋体" w:eastAsia="宋体" w:cs="宋体"/>
                <w:sz w:val="24"/>
                <w:szCs w:val="24"/>
                <w:shd w:val="clear" w:color="auto" w:fill="FFFFFF"/>
              </w:rPr>
              <w:t>适用于西门子PROFIBUS-DP、MPI和工业以太网通讯协议。可以通过STEP7编程组态。所有元件的工作温度0-60摄氏度，湿度&lt;95%。</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b/>
                <w:sz w:val="24"/>
                <w:szCs w:val="24"/>
              </w:rPr>
            </w:pPr>
            <w:r>
              <w:rPr>
                <w:rFonts w:hint="eastAsia" w:ascii="宋体" w:hAnsi="宋体" w:eastAsia="宋体" w:cs="宋体"/>
                <w:b/>
                <w:sz w:val="24"/>
                <w:szCs w:val="24"/>
              </w:rPr>
              <w:t>CPU至少满足以下功能：</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CPU-处理时间</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对于位运算，最小值</w:t>
            </w:r>
            <w:r>
              <w:rPr>
                <w:rFonts w:hint="eastAsia" w:ascii="宋体" w:hAnsi="宋体" w:eastAsia="宋体" w:cs="宋体"/>
                <w:sz w:val="24"/>
                <w:szCs w:val="24"/>
              </w:rPr>
              <w:tab/>
            </w:r>
            <w:r>
              <w:rPr>
                <w:rFonts w:hint="eastAsia" w:ascii="宋体" w:hAnsi="宋体" w:eastAsia="宋体" w:cs="宋体"/>
                <w:sz w:val="24"/>
                <w:szCs w:val="24"/>
              </w:rPr>
              <w:t>0.05 μs</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对于词运算，最小值</w:t>
            </w:r>
            <w:r>
              <w:rPr>
                <w:rFonts w:hint="eastAsia" w:ascii="宋体" w:hAnsi="宋体" w:eastAsia="宋体" w:cs="宋体"/>
                <w:sz w:val="24"/>
                <w:szCs w:val="24"/>
              </w:rPr>
              <w:tab/>
            </w:r>
            <w:r>
              <w:rPr>
                <w:rFonts w:hint="eastAsia" w:ascii="宋体" w:hAnsi="宋体" w:eastAsia="宋体" w:cs="宋体"/>
                <w:sz w:val="24"/>
                <w:szCs w:val="24"/>
              </w:rPr>
              <w:t>0.09 μs</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对于定点计算，最小值</w:t>
            </w:r>
            <w:r>
              <w:rPr>
                <w:rFonts w:hint="eastAsia" w:ascii="宋体" w:hAnsi="宋体" w:eastAsia="宋体" w:cs="宋体"/>
                <w:sz w:val="24"/>
                <w:szCs w:val="24"/>
              </w:rPr>
              <w:tab/>
            </w:r>
            <w:r>
              <w:rPr>
                <w:rFonts w:hint="eastAsia" w:ascii="宋体" w:hAnsi="宋体" w:eastAsia="宋体" w:cs="宋体"/>
                <w:sz w:val="24"/>
                <w:szCs w:val="24"/>
              </w:rPr>
              <w:t>0.12 μs</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对于浮点计算，最小值</w:t>
            </w:r>
            <w:r>
              <w:rPr>
                <w:rFonts w:hint="eastAsia" w:ascii="宋体" w:hAnsi="宋体" w:eastAsia="宋体" w:cs="宋体"/>
                <w:sz w:val="24"/>
                <w:szCs w:val="24"/>
              </w:rPr>
              <w:tab/>
            </w:r>
            <w:r>
              <w:rPr>
                <w:rFonts w:hint="eastAsia" w:ascii="宋体" w:hAnsi="宋体" w:eastAsia="宋体" w:cs="宋体"/>
                <w:sz w:val="24"/>
                <w:szCs w:val="24"/>
              </w:rPr>
              <w:t>0.45 μs</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CPU-组件</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组件数量（总计）</w:t>
            </w:r>
            <w:r>
              <w:rPr>
                <w:rFonts w:hint="eastAsia" w:ascii="宋体" w:hAnsi="宋体" w:eastAsia="宋体" w:cs="宋体"/>
                <w:sz w:val="24"/>
                <w:szCs w:val="24"/>
              </w:rPr>
              <w:tab/>
            </w:r>
            <w:r>
              <w:rPr>
                <w:rFonts w:hint="eastAsia" w:ascii="宋体" w:hAnsi="宋体" w:eastAsia="宋体" w:cs="宋体"/>
                <w:sz w:val="24"/>
                <w:szCs w:val="24"/>
              </w:rPr>
              <w:t xml:space="preserve">1024; </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DB数量，最大值</w:t>
            </w:r>
            <w:r>
              <w:rPr>
                <w:rFonts w:hint="eastAsia" w:ascii="宋体" w:hAnsi="宋体" w:eastAsia="宋体" w:cs="宋体"/>
                <w:sz w:val="24"/>
                <w:szCs w:val="24"/>
              </w:rPr>
              <w:tab/>
            </w:r>
            <w:r>
              <w:rPr>
                <w:rFonts w:hint="eastAsia" w:ascii="宋体" w:hAnsi="宋体" w:eastAsia="宋体" w:cs="宋体"/>
                <w:sz w:val="24"/>
                <w:szCs w:val="24"/>
              </w:rPr>
              <w:t>1024; 数字条：1 至 16000</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容量，最大值</w:t>
            </w:r>
            <w:r>
              <w:rPr>
                <w:rFonts w:hint="eastAsia" w:ascii="宋体" w:hAnsi="宋体" w:eastAsia="宋体" w:cs="宋体"/>
                <w:sz w:val="24"/>
                <w:szCs w:val="24"/>
              </w:rPr>
              <w:tab/>
            </w:r>
            <w:r>
              <w:rPr>
                <w:rFonts w:hint="eastAsia" w:ascii="宋体" w:hAnsi="宋体" w:eastAsia="宋体" w:cs="宋体"/>
                <w:sz w:val="24"/>
                <w:szCs w:val="24"/>
              </w:rPr>
              <w:t>64 kbyte</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FB数量，最大值</w:t>
            </w:r>
            <w:r>
              <w:rPr>
                <w:rFonts w:hint="eastAsia" w:ascii="宋体" w:hAnsi="宋体" w:eastAsia="宋体" w:cs="宋体"/>
                <w:sz w:val="24"/>
                <w:szCs w:val="24"/>
              </w:rPr>
              <w:tab/>
            </w:r>
            <w:r>
              <w:rPr>
                <w:rFonts w:hint="eastAsia" w:ascii="宋体" w:hAnsi="宋体" w:eastAsia="宋体" w:cs="宋体"/>
                <w:sz w:val="24"/>
                <w:szCs w:val="24"/>
              </w:rPr>
              <w:t>1024; 数字条：0 至 7999</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容量，最大值</w:t>
            </w:r>
            <w:r>
              <w:rPr>
                <w:rFonts w:hint="eastAsia" w:ascii="宋体" w:hAnsi="宋体" w:eastAsia="宋体" w:cs="宋体"/>
                <w:sz w:val="24"/>
                <w:szCs w:val="24"/>
              </w:rPr>
              <w:tab/>
            </w:r>
            <w:r>
              <w:rPr>
                <w:rFonts w:hint="eastAsia" w:ascii="宋体" w:hAnsi="宋体" w:eastAsia="宋体" w:cs="宋体"/>
                <w:sz w:val="24"/>
                <w:szCs w:val="24"/>
              </w:rPr>
              <w:t>64 kbyte</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FC数量，最大值</w:t>
            </w:r>
            <w:r>
              <w:rPr>
                <w:rFonts w:hint="eastAsia" w:ascii="宋体" w:hAnsi="宋体" w:eastAsia="宋体" w:cs="宋体"/>
                <w:sz w:val="24"/>
                <w:szCs w:val="24"/>
              </w:rPr>
              <w:tab/>
            </w:r>
            <w:r>
              <w:rPr>
                <w:rFonts w:hint="eastAsia" w:ascii="宋体" w:hAnsi="宋体" w:eastAsia="宋体" w:cs="宋体"/>
                <w:sz w:val="24"/>
                <w:szCs w:val="24"/>
              </w:rPr>
              <w:t>1024; 数字条：0 至 7999</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容量，最大值</w:t>
            </w:r>
            <w:r>
              <w:rPr>
                <w:rFonts w:hint="eastAsia" w:ascii="宋体" w:hAnsi="宋体" w:eastAsia="宋体" w:cs="宋体"/>
                <w:sz w:val="24"/>
                <w:szCs w:val="24"/>
              </w:rPr>
              <w:tab/>
            </w:r>
            <w:r>
              <w:rPr>
                <w:rFonts w:hint="eastAsia" w:ascii="宋体" w:hAnsi="宋体" w:eastAsia="宋体" w:cs="宋体"/>
                <w:sz w:val="24"/>
                <w:szCs w:val="24"/>
              </w:rPr>
              <w:t>64 kbyte</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OB容量，最大值</w:t>
            </w:r>
            <w:r>
              <w:rPr>
                <w:rFonts w:hint="eastAsia" w:ascii="宋体" w:hAnsi="宋体" w:eastAsia="宋体" w:cs="宋体"/>
                <w:sz w:val="24"/>
                <w:szCs w:val="24"/>
              </w:rPr>
              <w:tab/>
            </w:r>
            <w:r>
              <w:rPr>
                <w:rFonts w:hint="eastAsia" w:ascii="宋体" w:hAnsi="宋体" w:eastAsia="宋体" w:cs="宋体"/>
                <w:sz w:val="24"/>
                <w:szCs w:val="24"/>
              </w:rPr>
              <w:t>64 kbyte</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可用循环 OB 数量</w:t>
            </w:r>
            <w:r>
              <w:rPr>
                <w:rFonts w:hint="eastAsia" w:ascii="宋体" w:hAnsi="宋体" w:eastAsia="宋体" w:cs="宋体"/>
                <w:sz w:val="24"/>
                <w:szCs w:val="24"/>
              </w:rPr>
              <w:tab/>
            </w:r>
            <w:r>
              <w:rPr>
                <w:rFonts w:hint="eastAsia" w:ascii="宋体" w:hAnsi="宋体" w:eastAsia="宋体" w:cs="宋体"/>
                <w:sz w:val="24"/>
                <w:szCs w:val="24"/>
              </w:rPr>
              <w:t>1; OB 1</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时间报警 OB 数量</w:t>
            </w:r>
            <w:r>
              <w:rPr>
                <w:rFonts w:hint="eastAsia" w:ascii="宋体" w:hAnsi="宋体" w:eastAsia="宋体" w:cs="宋体"/>
                <w:sz w:val="24"/>
                <w:szCs w:val="24"/>
              </w:rPr>
              <w:tab/>
            </w:r>
            <w:r>
              <w:rPr>
                <w:rFonts w:hint="eastAsia" w:ascii="宋体" w:hAnsi="宋体" w:eastAsia="宋体" w:cs="宋体"/>
                <w:sz w:val="24"/>
                <w:szCs w:val="24"/>
              </w:rPr>
              <w:t>1; OB 10</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延迟报警 OB 数量</w:t>
            </w:r>
            <w:r>
              <w:rPr>
                <w:rFonts w:hint="eastAsia" w:ascii="宋体" w:hAnsi="宋体" w:eastAsia="宋体" w:cs="宋体"/>
                <w:sz w:val="24"/>
                <w:szCs w:val="24"/>
              </w:rPr>
              <w:tab/>
            </w:r>
            <w:r>
              <w:rPr>
                <w:rFonts w:hint="eastAsia" w:ascii="宋体" w:hAnsi="宋体" w:eastAsia="宋体" w:cs="宋体"/>
                <w:sz w:val="24"/>
                <w:szCs w:val="24"/>
              </w:rPr>
              <w:t>2; OB 20, 21</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唤醒警告 OB 数量</w:t>
            </w:r>
            <w:r>
              <w:rPr>
                <w:rFonts w:hint="eastAsia" w:ascii="宋体" w:hAnsi="宋体" w:eastAsia="宋体" w:cs="宋体"/>
                <w:sz w:val="24"/>
                <w:szCs w:val="24"/>
              </w:rPr>
              <w:tab/>
            </w:r>
            <w:r>
              <w:rPr>
                <w:rFonts w:hint="eastAsia" w:ascii="宋体" w:hAnsi="宋体" w:eastAsia="宋体" w:cs="宋体"/>
                <w:sz w:val="24"/>
                <w:szCs w:val="24"/>
              </w:rPr>
              <w:t>4; OB 32、33、34、35</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过程报警 OB 数量</w:t>
            </w:r>
            <w:r>
              <w:rPr>
                <w:rFonts w:hint="eastAsia" w:ascii="宋体" w:hAnsi="宋体" w:eastAsia="宋体" w:cs="宋体"/>
                <w:sz w:val="24"/>
                <w:szCs w:val="24"/>
              </w:rPr>
              <w:tab/>
            </w:r>
            <w:r>
              <w:rPr>
                <w:rFonts w:hint="eastAsia" w:ascii="宋体" w:hAnsi="宋体" w:eastAsia="宋体" w:cs="宋体"/>
                <w:sz w:val="24"/>
                <w:szCs w:val="24"/>
              </w:rPr>
              <w:t>1; OB 40</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DPV1 报警 OB 的数量</w:t>
            </w:r>
            <w:r>
              <w:rPr>
                <w:rFonts w:hint="eastAsia" w:ascii="宋体" w:hAnsi="宋体" w:eastAsia="宋体" w:cs="宋体"/>
                <w:sz w:val="24"/>
                <w:szCs w:val="24"/>
              </w:rPr>
              <w:tab/>
            </w:r>
            <w:r>
              <w:rPr>
                <w:rFonts w:hint="eastAsia" w:ascii="宋体" w:hAnsi="宋体" w:eastAsia="宋体" w:cs="宋体"/>
                <w:sz w:val="24"/>
                <w:szCs w:val="24"/>
              </w:rPr>
              <w:t>3; OB 55、56、57</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等时模式 Ob 数量</w:t>
            </w:r>
            <w:r>
              <w:rPr>
                <w:rFonts w:hint="eastAsia" w:ascii="宋体" w:hAnsi="宋体" w:eastAsia="宋体" w:cs="宋体"/>
                <w:sz w:val="24"/>
                <w:szCs w:val="24"/>
              </w:rPr>
              <w:tab/>
            </w:r>
            <w:r>
              <w:rPr>
                <w:rFonts w:hint="eastAsia" w:ascii="宋体" w:hAnsi="宋体" w:eastAsia="宋体" w:cs="宋体"/>
                <w:sz w:val="24"/>
                <w:szCs w:val="24"/>
              </w:rPr>
              <w:t>1; OB 61</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启动 OB 数量</w:t>
            </w:r>
            <w:r>
              <w:rPr>
                <w:rFonts w:hint="eastAsia" w:ascii="宋体" w:hAnsi="宋体" w:eastAsia="宋体" w:cs="宋体"/>
                <w:sz w:val="24"/>
                <w:szCs w:val="24"/>
              </w:rPr>
              <w:tab/>
            </w:r>
            <w:r>
              <w:rPr>
                <w:rFonts w:hint="eastAsia" w:ascii="宋体" w:hAnsi="宋体" w:eastAsia="宋体" w:cs="宋体"/>
                <w:sz w:val="24"/>
                <w:szCs w:val="24"/>
              </w:rPr>
              <w:t>1; OB 100</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异步错误 OB 数量</w:t>
            </w:r>
            <w:r>
              <w:rPr>
                <w:rFonts w:hint="eastAsia" w:ascii="宋体" w:hAnsi="宋体" w:eastAsia="宋体" w:cs="宋体"/>
                <w:sz w:val="24"/>
                <w:szCs w:val="24"/>
              </w:rPr>
              <w:tab/>
            </w:r>
            <w:r>
              <w:rPr>
                <w:rFonts w:hint="eastAsia" w:ascii="宋体" w:hAnsi="宋体" w:eastAsia="宋体" w:cs="宋体"/>
                <w:sz w:val="24"/>
                <w:szCs w:val="24"/>
              </w:rPr>
              <w:t>6; OB 80, 82, 83, 85, 86, 87（OB83 只用于 PROFINET IO）</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同步错误 OB 数量</w:t>
            </w:r>
            <w:r>
              <w:rPr>
                <w:rFonts w:hint="eastAsia" w:ascii="宋体" w:hAnsi="宋体" w:eastAsia="宋体" w:cs="宋体"/>
                <w:sz w:val="24"/>
                <w:szCs w:val="24"/>
              </w:rPr>
              <w:tab/>
            </w:r>
            <w:r>
              <w:rPr>
                <w:rFonts w:hint="eastAsia" w:ascii="宋体" w:hAnsi="宋体" w:eastAsia="宋体" w:cs="宋体"/>
                <w:sz w:val="24"/>
                <w:szCs w:val="24"/>
              </w:rPr>
              <w:t>2; OB 121、122</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嵌套深度</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每个优先等级</w:t>
            </w:r>
            <w:r>
              <w:rPr>
                <w:rFonts w:hint="eastAsia" w:ascii="宋体" w:hAnsi="宋体" w:eastAsia="宋体" w:cs="宋体"/>
                <w:sz w:val="24"/>
                <w:szCs w:val="24"/>
              </w:rPr>
              <w:tab/>
            </w:r>
            <w:r>
              <w:rPr>
                <w:rFonts w:hint="eastAsia" w:ascii="宋体" w:hAnsi="宋体" w:eastAsia="宋体" w:cs="宋体"/>
                <w:sz w:val="24"/>
                <w:szCs w:val="24"/>
              </w:rPr>
              <w:t>16</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错误 OB 中的附加等级</w:t>
            </w:r>
            <w:r>
              <w:rPr>
                <w:rFonts w:hint="eastAsia" w:ascii="宋体" w:hAnsi="宋体" w:eastAsia="宋体" w:cs="宋体"/>
                <w:sz w:val="24"/>
                <w:szCs w:val="24"/>
              </w:rPr>
              <w:tab/>
            </w:r>
            <w:r>
              <w:rPr>
                <w:rFonts w:hint="eastAsia" w:ascii="宋体" w:hAnsi="宋体" w:eastAsia="宋体" w:cs="宋体"/>
                <w:sz w:val="24"/>
                <w:szCs w:val="24"/>
              </w:rPr>
              <w:t>4</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计数器、定时器及其剩磁</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S7 计数器 数量</w:t>
            </w:r>
            <w:r>
              <w:rPr>
                <w:rFonts w:hint="eastAsia" w:ascii="宋体" w:hAnsi="宋体" w:eastAsia="宋体" w:cs="宋体"/>
                <w:sz w:val="24"/>
                <w:szCs w:val="24"/>
              </w:rPr>
              <w:tab/>
            </w:r>
            <w:r>
              <w:rPr>
                <w:rFonts w:hint="eastAsia" w:ascii="宋体" w:hAnsi="宋体" w:eastAsia="宋体" w:cs="宋体"/>
                <w:sz w:val="24"/>
                <w:szCs w:val="24"/>
              </w:rPr>
              <w:t>256</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b/>
                <w:color w:val="333333"/>
                <w:kern w:val="0"/>
                <w:sz w:val="24"/>
                <w:szCs w:val="24"/>
              </w:rPr>
            </w:pPr>
            <w:r>
              <w:rPr>
                <w:rFonts w:hint="eastAsia" w:ascii="宋体" w:hAnsi="宋体" w:eastAsia="宋体" w:cs="宋体"/>
                <w:b/>
                <w:color w:val="333333"/>
                <w:kern w:val="0"/>
                <w:sz w:val="24"/>
                <w:szCs w:val="24"/>
              </w:rPr>
              <w:t>电源模块功能要求：</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具有 短路保护功能， 电子式变压</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输入额定值 残余纹波 最大 150 mVss</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输入电压其它参数</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额定值120 / 230 VAC 按照IEC 536 (DIN VDE I，有保护性接地导体</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系统频率 0106，Part 1)保护等级</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额定值50 Hz ∼60 Hz 隔离</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容许误差47 Hz ∼63 Hz 额定隔离电平250 VAC</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额定输入电流 (24V 对L1)</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230 V 时1.7 A 测试2800 VDC</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120 V 时3.5 A 可靠的隔离 SELV 电路</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起动电流(在25C 时) 55 A 电源故障的过渡最少 20 ms</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I2t (在起动电流时) 9 A2s (在93 和/或187V 时)</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输出额定值 重复率最少 1s</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输出电压效率 89％</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额定值24 VDC 输入功率270 W</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允许误差 24 V 5％，空载状态功率消耗 典型值 30W</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上升时间最大 2.5 s</w:t>
            </w:r>
          </w:p>
          <w:p>
            <w:pPr>
              <w:pageBreakBefore w:val="0"/>
              <w:kinsoku/>
              <w:wordWrap/>
              <w:overflowPunct/>
              <w:topLinePunct w:val="0"/>
              <w:autoSpaceDE w:val="0"/>
              <w:autoSpaceDN w:val="0"/>
              <w:bidi w:val="0"/>
              <w:adjustRightInd w:val="0"/>
              <w:snapToGrid/>
              <w:spacing w:line="460" w:lineRule="exact"/>
              <w:ind w:right="0" w:right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输出电流诊断</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r>
              <w:rPr>
                <w:rFonts w:hint="eastAsia" w:ascii="宋体" w:hAnsi="宋体" w:eastAsia="宋体" w:cs="宋体"/>
                <w:color w:val="auto"/>
                <w:kern w:val="0"/>
                <w:sz w:val="24"/>
                <w:szCs w:val="24"/>
              </w:rPr>
              <w:t>额定值 10A，不能以并联方式连接输出电压有效时指示灯 有，绿色 LED</w:t>
            </w: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b/>
                <w:color w:val="333333"/>
                <w:kern w:val="0"/>
                <w:sz w:val="24"/>
                <w:szCs w:val="24"/>
              </w:rPr>
            </w:pPr>
            <w:r>
              <w:rPr>
                <w:rFonts w:hint="eastAsia" w:ascii="宋体" w:hAnsi="宋体" w:eastAsia="宋体" w:cs="宋体"/>
                <w:b/>
                <w:color w:val="333333"/>
                <w:kern w:val="0"/>
                <w:sz w:val="24"/>
                <w:szCs w:val="24"/>
              </w:rPr>
              <w:t>存储卡技术要求</w:t>
            </w:r>
          </w:p>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深海油田开发的大型发电机组动力负荷测试系统的控制存储要求，不低于32MB的储存空间，能够与PLC之间完全兼容。运行中的环境温度•最小值</w:t>
            </w:r>
            <w:r>
              <w:rPr>
                <w:rFonts w:hint="eastAsia" w:ascii="宋体" w:hAnsi="宋体" w:eastAsia="宋体" w:cs="宋体"/>
                <w:sz w:val="24"/>
                <w:szCs w:val="24"/>
              </w:rPr>
              <w:tab/>
            </w:r>
            <w:r>
              <w:rPr>
                <w:rFonts w:hint="eastAsia" w:ascii="宋体" w:hAnsi="宋体" w:eastAsia="宋体" w:cs="宋体"/>
                <w:sz w:val="24"/>
                <w:szCs w:val="24"/>
              </w:rPr>
              <w:t>0 °C，•最大值</w:t>
            </w:r>
            <w:r>
              <w:rPr>
                <w:rFonts w:hint="eastAsia" w:ascii="宋体" w:hAnsi="宋体" w:eastAsia="宋体" w:cs="宋体"/>
                <w:sz w:val="24"/>
                <w:szCs w:val="24"/>
              </w:rPr>
              <w:tab/>
            </w:r>
            <w:r>
              <w:rPr>
                <w:rFonts w:hint="eastAsia" w:ascii="宋体" w:hAnsi="宋体" w:eastAsia="宋体" w:cs="宋体"/>
                <w:sz w:val="24"/>
                <w:szCs w:val="24"/>
              </w:rPr>
              <w:t>60 °C</w:t>
            </w:r>
          </w:p>
        </w:tc>
      </w:tr>
    </w:tbl>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tbl>
      <w:tblPr>
        <w:tblStyle w:val="35"/>
        <w:tblW w:w="84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jc w:val="center"/>
        </w:trPr>
        <w:tc>
          <w:tcPr>
            <w:tcW w:w="6300" w:type="dxa"/>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材料名称：</w:t>
            </w:r>
            <w:r>
              <w:rPr>
                <w:rFonts w:hint="eastAsia" w:ascii="宋体" w:hAnsi="宋体" w:eastAsia="宋体" w:cs="宋体"/>
                <w:color w:val="333333"/>
                <w:kern w:val="0"/>
                <w:sz w:val="24"/>
                <w:szCs w:val="24"/>
              </w:rPr>
              <w:t xml:space="preserve"> PLC  IO卡件</w:t>
            </w:r>
          </w:p>
        </w:tc>
        <w:tc>
          <w:tcPr>
            <w:tcW w:w="2160" w:type="dxa"/>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数量：50件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jc w:val="center"/>
        </w:trPr>
        <w:tc>
          <w:tcPr>
            <w:tcW w:w="8460" w:type="dxa"/>
            <w:gridSpan w:val="2"/>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用途：深海油田开发的大型发电机组动力负荷测试系统的控制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6" w:hRule="atLeast"/>
          <w:jc w:val="center"/>
        </w:trPr>
        <w:tc>
          <w:tcPr>
            <w:tcW w:w="8460" w:type="dxa"/>
            <w:gridSpan w:val="2"/>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rPr>
              <w:t>主要参数及需求：</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rPr>
            </w:pPr>
            <w:r>
              <w:rPr>
                <w:rFonts w:hint="eastAsia" w:ascii="宋体" w:hAnsi="宋体" w:eastAsia="宋体" w:cs="宋体"/>
                <w:sz w:val="24"/>
                <w:szCs w:val="24"/>
              </w:rPr>
              <w:t>材料应用于深海油田开发的大型发电机组动力负荷测试系统的PLC输入输出 控制</w:t>
            </w:r>
            <w:r>
              <w:rPr>
                <w:rFonts w:hint="eastAsia" w:ascii="宋体" w:hAnsi="宋体" w:eastAsia="宋体" w:cs="宋体"/>
                <w:sz w:val="24"/>
                <w:szCs w:val="24"/>
                <w:shd w:val="clear" w:color="auto" w:fill="FFFFFF"/>
              </w:rPr>
              <w:t>。</w:t>
            </w:r>
            <w:r>
              <w:rPr>
                <w:rFonts w:hint="eastAsia" w:ascii="宋体" w:hAnsi="宋体" w:eastAsia="宋体" w:cs="宋体"/>
                <w:sz w:val="24"/>
                <w:szCs w:val="24"/>
              </w:rPr>
              <w:t>PLC  IO卡件总数量为50件，其中各类模块的数量根据设计图纸最终确定。</w:t>
            </w:r>
          </w:p>
          <w:p>
            <w:pPr>
              <w:pageBreakBefore w:val="0"/>
              <w:widowControl/>
              <w:shd w:val="clear" w:color="auto" w:fill="FFFFFF"/>
              <w:tabs>
                <w:tab w:val="left" w:pos="7560"/>
              </w:tabs>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32点输入DI模块技术要求</w:t>
            </w:r>
            <w:r>
              <w:rPr>
                <w:rFonts w:hint="eastAsia" w:ascii="宋体" w:hAnsi="宋体" w:eastAsia="宋体" w:cs="宋体"/>
                <w:sz w:val="24"/>
                <w:szCs w:val="24"/>
              </w:rPr>
              <w:t>：</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可同时驱动的输入点数，</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水平安装</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直到 40°C有32点</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直到 60°C 有16点</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垂直安装直到 40°C 有32点</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通道与背板总线之间有隔离</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每组通道之间有16组隔离</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不同电路之间允许的电位差 75 VDC/60 V AC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隔离测试 500 VDC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电流输出从背板总线最大15mA</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模板功率损耗典型值 6.5W</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每个通道有绿色 LED状态显示</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p>
          <w:p>
            <w:pPr>
              <w:pageBreakBefore w:val="0"/>
              <w:widowControl/>
              <w:shd w:val="clear" w:color="auto" w:fill="FFFFFF"/>
              <w:tabs>
                <w:tab w:val="left" w:pos="7560"/>
              </w:tabs>
              <w:kinsoku/>
              <w:wordWrap/>
              <w:overflowPunct/>
              <w:topLinePunct w:val="0"/>
              <w:bidi w:val="0"/>
              <w:snapToGrid/>
              <w:spacing w:line="460" w:lineRule="exact"/>
              <w:ind w:right="0" w:rightChars="0" w:firstLine="602" w:firstLineChars="250"/>
              <w:textAlignment w:val="auto"/>
              <w:rPr>
                <w:rFonts w:hint="eastAsia" w:ascii="宋体" w:hAnsi="宋体" w:eastAsia="宋体" w:cs="宋体"/>
                <w:b/>
                <w:sz w:val="24"/>
                <w:szCs w:val="24"/>
              </w:rPr>
            </w:pPr>
            <w:r>
              <w:rPr>
                <w:rFonts w:hint="eastAsia" w:ascii="宋体" w:hAnsi="宋体" w:eastAsia="宋体" w:cs="宋体"/>
                <w:b/>
                <w:sz w:val="24"/>
                <w:szCs w:val="24"/>
              </w:rPr>
              <w:t>32点输出DO模块技术要求：</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额定负载电压 L＋ 24 VDC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每组输出电流总和</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水平安装</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直到 40°C 最大 4A</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直到 60°C 最大 3A</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垂直安装</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直到 40°C 最大 2A</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通道与背板总线之间有隔离</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每组通道之间有隔离</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允许的电位差</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在不同电路之间 75 VDC/60 V AC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隔离测试</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电流消耗 500 VDC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从背板总线 最大 110 mA</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从负载总线 L+(空载) 最大 160 mA</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模板功耗 典型值 6.6 W</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每个通道有绿色 LED状态显示</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b/>
                <w:sz w:val="24"/>
                <w:szCs w:val="24"/>
              </w:rPr>
            </w:pPr>
            <w:r>
              <w:rPr>
                <w:rFonts w:hint="eastAsia" w:ascii="宋体" w:hAnsi="宋体" w:eastAsia="宋体" w:cs="宋体"/>
                <w:b/>
                <w:sz w:val="24"/>
                <w:szCs w:val="24"/>
              </w:rPr>
              <w:t>8点继电器输出模板技术要求：</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继电器 L+额定电源电压 24 VDC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每组输出电流总和 最大 4A</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通道和背板总线之间有隔离</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通道之间有隔离</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每组点数 2点</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允许电位差：</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Minternal和继电器电源之间 75 VDC/60 V AC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Minternal和继电器电压和输出之间 230 VAC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不同组的输出之间 400 VAC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隔离测试：</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Minternal和继电器电源 500 VDC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Minternal和继电器电压和输出之间 1500 VAC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不同组的输出之间 1500 VAC</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电流消耗</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从背板总线 最大 40 mA</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 从电源电压 L+ 最大 160 mA</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模板功耗 典型值 3.2 W</w:t>
            </w:r>
          </w:p>
          <w:p>
            <w:pPr>
              <w:pageBreakBefore w:val="0"/>
              <w:widowControl/>
              <w:shd w:val="clear" w:color="auto" w:fill="FFFFFF"/>
              <w:tabs>
                <w:tab w:val="left" w:pos="7560"/>
              </w:tabs>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每个通道有绿色 LED状态显示</w:t>
            </w:r>
          </w:p>
        </w:tc>
      </w:tr>
    </w:tbl>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tbl>
      <w:tblPr>
        <w:tblStyle w:val="35"/>
        <w:tblW w:w="84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0" w:hRule="atLeast"/>
          <w:jc w:val="center"/>
        </w:trPr>
        <w:tc>
          <w:tcPr>
            <w:tcW w:w="6300" w:type="dxa"/>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材料名称：</w:t>
            </w:r>
            <w:r>
              <w:rPr>
                <w:rFonts w:hint="eastAsia" w:ascii="宋体" w:hAnsi="宋体" w:eastAsia="宋体" w:cs="宋体"/>
                <w:color w:val="333333"/>
                <w:kern w:val="0"/>
                <w:sz w:val="24"/>
                <w:szCs w:val="24"/>
              </w:rPr>
              <w:t>PLC AI/AO模块</w:t>
            </w:r>
          </w:p>
        </w:tc>
        <w:tc>
          <w:tcPr>
            <w:tcW w:w="2160" w:type="dxa"/>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数量：20件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6" w:hRule="atLeast"/>
          <w:jc w:val="center"/>
        </w:trPr>
        <w:tc>
          <w:tcPr>
            <w:tcW w:w="8460" w:type="dxa"/>
            <w:gridSpan w:val="2"/>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用途：深海油田开发的大型发电机组动力负荷测试系统的控制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6" w:hRule="atLeast"/>
          <w:jc w:val="center"/>
        </w:trPr>
        <w:tc>
          <w:tcPr>
            <w:tcW w:w="8460" w:type="dxa"/>
            <w:gridSpan w:val="2"/>
            <w:vAlign w:val="top"/>
          </w:tcPr>
          <w:p>
            <w:pPr>
              <w:keepNext w:val="0"/>
              <w:keepLines w:val="0"/>
              <w:pageBreakBefore w:val="0"/>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主要参数及需求：</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firstLine="480"/>
              <w:jc w:val="both"/>
              <w:textAlignment w:val="auto"/>
              <w:outlineLvl w:val="9"/>
              <w:rPr>
                <w:rFonts w:hint="eastAsia" w:ascii="宋体" w:hAnsi="宋体" w:eastAsia="宋体" w:cs="宋体"/>
                <w:sz w:val="24"/>
                <w:szCs w:val="24"/>
                <w:shd w:val="clear" w:color="auto" w:fill="FFFFFF"/>
              </w:rPr>
            </w:pPr>
            <w:r>
              <w:rPr>
                <w:rFonts w:hint="eastAsia" w:ascii="宋体" w:hAnsi="宋体" w:eastAsia="宋体" w:cs="宋体"/>
                <w:sz w:val="24"/>
                <w:szCs w:val="24"/>
              </w:rPr>
              <w:t>材料应用于深海油田开发的大型发电机组动力负荷测试系统的PLC与控制计算机之间的通讯接口，</w:t>
            </w:r>
            <w:r>
              <w:rPr>
                <w:rFonts w:hint="eastAsia" w:ascii="宋体" w:hAnsi="宋体" w:eastAsia="宋体" w:cs="宋体"/>
                <w:sz w:val="24"/>
                <w:szCs w:val="24"/>
                <w:shd w:val="clear" w:color="auto" w:fill="FFFFFF"/>
              </w:rPr>
              <w:t>适用于西门子PROFIBUS-DP通讯协议。</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firstLine="48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PLC AI/AO模块总数量为20件，其中各类模块具体数量根据图纸最终确定。</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b/>
                <w:color w:val="auto"/>
                <w:sz w:val="24"/>
                <w:szCs w:val="24"/>
              </w:rPr>
              <w:t>模拟量输 入AI模块要求</w:t>
            </w:r>
            <w:r>
              <w:rPr>
                <w:rFonts w:hint="eastAsia" w:ascii="宋体" w:hAnsi="宋体" w:eastAsia="宋体" w:cs="宋体"/>
                <w:color w:val="auto"/>
                <w:sz w:val="24"/>
                <w:szCs w:val="24"/>
              </w:rPr>
              <w:t>：</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额定电压L+ 24VDC</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有反极性保护</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通道和背板总线间有隔离</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通道和电源之间有隔离</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通道间（组数）有2组隔离</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允许的电位差</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·输入（ECM）之间 75VDC/60VAC</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·MANA和Minternal （UISO）之间 75VDC/60VAC</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隔离测试 500 VAC</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电流消耗</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·从背板总线最大100mA</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·从电源L+最大200mA</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模板功耗典型值3W</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干扰抑制</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·共模干扰（UCM &lt; AC60V）   &gt; 100dB</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·串模干扰(干扰峰值&lt;输入范围的额定值)  &gt; 90dB</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输入间的串扰 &gt; 100dB</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运行极限（整个温度范围，参考输入范围）</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·电压输入 ±0.1%</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·电流输入 ±0.1%</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基本误差（工作温度限制为25°C，对应于输入范围）</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·电压输入 ±0.05%</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·电流输入 ±0.05%</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温度误差（对应于输入范围）±0.005%/K</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线性误差（对应于输入范围）±0.01%</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重复度（稳态为25°C，对应于输入范围）±0.01%</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中断</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·超出极限时的硬件中断  可对通道 0-7 编程</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·循环结束时硬件中断  参数可赋值</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·诊断中断 参数可赋值</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诊断功能 参数可赋值</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·组故障显示 红色 LED(SF)</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FF0000"/>
                <w:sz w:val="24"/>
                <w:szCs w:val="24"/>
              </w:rPr>
            </w:pPr>
            <w:r>
              <w:rPr>
                <w:rFonts w:hint="eastAsia" w:ascii="宋体" w:hAnsi="宋体" w:eastAsia="宋体" w:cs="宋体"/>
                <w:color w:val="auto"/>
                <w:sz w:val="24"/>
                <w:szCs w:val="24"/>
              </w:rPr>
              <w:t>·读取诊断信息 可以</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b/>
                <w:color w:val="auto"/>
                <w:sz w:val="24"/>
                <w:szCs w:val="24"/>
              </w:rPr>
              <w:t>模拟量输出AI模块要求</w:t>
            </w:r>
            <w:r>
              <w:rPr>
                <w:rFonts w:hint="eastAsia" w:ascii="宋体" w:hAnsi="宋体" w:eastAsia="宋体" w:cs="宋体"/>
                <w:color w:val="auto"/>
                <w:sz w:val="24"/>
                <w:szCs w:val="24"/>
              </w:rPr>
              <w:t>：</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额定负载电压L+ 24 VDC</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有反极性保护</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通道和底板总线间有隔离</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通道和电子装置的电源之间有隔离</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通道之间有隔离</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通道和负载电压L+之间有隔离</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允许的电位差</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·输出（UCM）之间 200 VDC / 120 VAC</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·MANA和Minternal （UISO）之间 200 VDC / 120 VAC</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隔离测试 500 VDC</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电流消耗</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·从底板总线 最大100mA</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·从负载电压 L+ （无负载）最大240mA</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模板的功率耗散 3 W</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模拟值的产生中：</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转换时间（每个通道）</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·标准模式 0.8 ms</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·时钟模式 1.6 ms</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设定时间</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模板的基本响应时间</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·标准模式 3.2 ms</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·时钟模式 2.4 ms</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建立时间</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·阻性负载 0.2 ms</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·容性负载 3.3 ms</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·感性负载 0.5 ms</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输出间的串扰 &gt; 100 dB</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运行极限（整个温度范围，参考输出范围）</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·电压输出 ±0.12 %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·电流输出 ±0.18 %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基本误差（工作温度限制为25°C，对应于输出范围）</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·电压输出</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 V      ±0.02 %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 – 10 V   ±0.02 %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1-5 V       ±0.04 %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·电流输出</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±20 mA     ±0.02 %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0 – 20 mA  ±0.02 %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 – 20 mA  ±0.04 %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温度误差（对应于输出范围）  ±0.004 %/K</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线性度误差（对应于输出范围）±0.004 %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重复精度（稳态为25°C，对应于输出范围）±0.002 %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输出纹波范围0到50KHz（相对于输出范围） ±0.05 %</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中断</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·诊断中断 可编程</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诊断功能 可编程</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·组错误显示 红色指示灯（SF）</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·读取诊断信息 可以</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color w:val="auto"/>
                <w:sz w:val="24"/>
                <w:szCs w:val="24"/>
              </w:rPr>
              <w:t>可以使用替代值 可编程</w:t>
            </w:r>
          </w:p>
        </w:tc>
      </w:tr>
    </w:tbl>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tbl>
      <w:tblPr>
        <w:tblStyle w:val="35"/>
        <w:tblW w:w="84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jc w:val="center"/>
        </w:trPr>
        <w:tc>
          <w:tcPr>
            <w:tcW w:w="6300" w:type="dxa"/>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材料名称：</w:t>
            </w:r>
            <w:r>
              <w:rPr>
                <w:rFonts w:hint="eastAsia" w:ascii="宋体" w:hAnsi="宋体" w:eastAsia="宋体" w:cs="宋体"/>
                <w:color w:val="333333"/>
                <w:kern w:val="0"/>
                <w:sz w:val="24"/>
                <w:szCs w:val="24"/>
              </w:rPr>
              <w:t xml:space="preserve"> PLC 通讯组件</w:t>
            </w:r>
          </w:p>
        </w:tc>
        <w:tc>
          <w:tcPr>
            <w:tcW w:w="2160" w:type="dxa"/>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数量：6件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5" w:hRule="atLeast"/>
          <w:jc w:val="center"/>
        </w:trPr>
        <w:tc>
          <w:tcPr>
            <w:tcW w:w="8460" w:type="dxa"/>
            <w:gridSpan w:val="2"/>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用途：深海油田开发的大型发电机组动力负荷测试系统的控制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6" w:hRule="atLeast"/>
          <w:jc w:val="center"/>
        </w:trPr>
        <w:tc>
          <w:tcPr>
            <w:tcW w:w="8460" w:type="dxa"/>
            <w:gridSpan w:val="2"/>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rPr>
              <w:t>主要参数及需求：</w:t>
            </w:r>
          </w:p>
          <w:p>
            <w:pPr>
              <w:keepNext w:val="0"/>
              <w:keepLines w:val="0"/>
              <w:pageBreakBefore w:val="0"/>
              <w:widowControl/>
              <w:shd w:val="clear" w:color="auto" w:fill="FFFFFF"/>
              <w:tabs>
                <w:tab w:val="left" w:pos="7560"/>
              </w:tabs>
              <w:kinsoku/>
              <w:wordWrap/>
              <w:overflowPunct/>
              <w:topLinePunct w:val="0"/>
              <w:autoSpaceDE/>
              <w:autoSpaceDN/>
              <w:bidi w:val="0"/>
              <w:adjustRightInd/>
              <w:snapToGrid/>
              <w:spacing w:line="420" w:lineRule="exact"/>
              <w:ind w:right="0" w:rightChars="0" w:firstLine="480"/>
              <w:jc w:val="both"/>
              <w:textAlignment w:val="auto"/>
              <w:outlineLvl w:val="9"/>
              <w:rPr>
                <w:rFonts w:hint="eastAsia" w:ascii="宋体" w:hAnsi="宋体" w:eastAsia="宋体" w:cs="宋体"/>
                <w:sz w:val="24"/>
                <w:szCs w:val="24"/>
                <w:shd w:val="clear" w:color="auto" w:fill="FFFFFF"/>
              </w:rPr>
            </w:pPr>
            <w:r>
              <w:rPr>
                <w:rFonts w:hint="eastAsia" w:ascii="宋体" w:hAnsi="宋体" w:eastAsia="宋体" w:cs="宋体"/>
                <w:sz w:val="24"/>
                <w:szCs w:val="24"/>
              </w:rPr>
              <w:t>材料应用于深海油田开发的大型发电机组动力负荷测试系统的PLC与控制计算机之间的通讯接口，</w:t>
            </w:r>
            <w:r>
              <w:rPr>
                <w:rFonts w:hint="eastAsia" w:ascii="宋体" w:hAnsi="宋体" w:eastAsia="宋体" w:cs="宋体"/>
                <w:sz w:val="24"/>
                <w:szCs w:val="24"/>
                <w:shd w:val="clear" w:color="auto" w:fill="FFFFFF"/>
              </w:rPr>
              <w:t>适用于西门子PROFIBUS-DP通讯协议。</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IM接口模块要求</w:t>
            </w:r>
            <w:r>
              <w:rPr>
                <w:rFonts w:hint="eastAsia" w:ascii="宋体" w:hAnsi="宋体" w:eastAsia="宋体" w:cs="宋体"/>
                <w:sz w:val="24"/>
                <w:szCs w:val="24"/>
              </w:rPr>
              <w:t>：</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电源电压额定电压 DC 24 V</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•允许范围，下限 DC 20.4 V</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•允许范围，上限 DC 28.8 V</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停电/断电跨接时间 5 ms</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耗用电流，最大值350 mA; 24 V DC 时</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接通电流，典型值 2.5 A</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输出电压额定值5 V</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输出电流用于背板总线 (DC 5 V)，最大值1 A</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功率损失，典型值 3W</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地址容量</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•输入端</w:t>
            </w:r>
            <w:r>
              <w:rPr>
                <w:rFonts w:hint="eastAsia" w:ascii="宋体" w:hAnsi="宋体" w:eastAsia="宋体" w:cs="宋体"/>
                <w:sz w:val="24"/>
                <w:szCs w:val="24"/>
              </w:rPr>
              <w:tab/>
            </w:r>
            <w:r>
              <w:rPr>
                <w:rFonts w:hint="eastAsia" w:ascii="宋体" w:hAnsi="宋体" w:eastAsia="宋体" w:cs="宋体"/>
                <w:sz w:val="24"/>
                <w:szCs w:val="24"/>
              </w:rPr>
              <w:t>128 byte</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•输出端</w:t>
            </w:r>
            <w:r>
              <w:rPr>
                <w:rFonts w:hint="eastAsia" w:ascii="宋体" w:hAnsi="宋体" w:eastAsia="宋体" w:cs="宋体"/>
                <w:sz w:val="24"/>
                <w:szCs w:val="24"/>
              </w:rPr>
              <w:tab/>
            </w:r>
            <w:r>
              <w:rPr>
                <w:rFonts w:hint="eastAsia" w:ascii="宋体" w:hAnsi="宋体" w:eastAsia="宋体" w:cs="宋体"/>
                <w:sz w:val="24"/>
                <w:szCs w:val="24"/>
              </w:rPr>
              <w:t>128 byte</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每个 DP 从站接口模块的组件数量，最大值8</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PROFIBUS DP</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用户地址</w:t>
            </w:r>
            <w:r>
              <w:rPr>
                <w:rFonts w:hint="eastAsia" w:ascii="宋体" w:hAnsi="宋体" w:eastAsia="宋体" w:cs="宋体"/>
                <w:sz w:val="24"/>
                <w:szCs w:val="24"/>
              </w:rPr>
              <w:tab/>
            </w:r>
            <w:r>
              <w:rPr>
                <w:rFonts w:hint="eastAsia" w:ascii="宋体" w:hAnsi="宋体" w:eastAsia="宋体" w:cs="宋体"/>
                <w:sz w:val="24"/>
                <w:szCs w:val="24"/>
              </w:rPr>
              <w:t>允许 1 至 125</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•传输速率的自动计算</w:t>
            </w:r>
            <w:r>
              <w:rPr>
                <w:rFonts w:hint="eastAsia" w:ascii="宋体" w:hAnsi="宋体" w:eastAsia="宋体" w:cs="宋体"/>
                <w:sz w:val="24"/>
                <w:szCs w:val="24"/>
              </w:rPr>
              <w:tab/>
            </w:r>
            <w:r>
              <w:rPr>
                <w:rFonts w:hint="eastAsia" w:ascii="宋体" w:hAnsi="宋体" w:eastAsia="宋体" w:cs="宋体"/>
                <w:sz w:val="24"/>
                <w:szCs w:val="24"/>
              </w:rPr>
              <w:t>是</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输出电流，最大值</w:t>
            </w:r>
            <w:r>
              <w:rPr>
                <w:rFonts w:hint="eastAsia" w:ascii="宋体" w:hAnsi="宋体" w:eastAsia="宋体" w:cs="宋体"/>
                <w:sz w:val="24"/>
                <w:szCs w:val="24"/>
              </w:rPr>
              <w:tab/>
            </w:r>
            <w:r>
              <w:rPr>
                <w:rFonts w:hint="eastAsia" w:ascii="宋体" w:hAnsi="宋体" w:eastAsia="宋体" w:cs="宋体"/>
                <w:sz w:val="24"/>
                <w:szCs w:val="24"/>
              </w:rPr>
              <w:t>90 mA</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•传输速率，最大值</w:t>
            </w:r>
            <w:r>
              <w:rPr>
                <w:rFonts w:hint="eastAsia" w:ascii="宋体" w:hAnsi="宋体" w:eastAsia="宋体" w:cs="宋体"/>
                <w:sz w:val="24"/>
                <w:szCs w:val="24"/>
              </w:rPr>
              <w:tab/>
            </w:r>
            <w:r>
              <w:rPr>
                <w:rFonts w:hint="eastAsia" w:ascii="宋体" w:hAnsi="宋体" w:eastAsia="宋体" w:cs="宋体"/>
                <w:sz w:val="24"/>
                <w:szCs w:val="24"/>
              </w:rPr>
              <w:t>12 Mbit/s</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•SYNC 能力</w:t>
            </w:r>
            <w:r>
              <w:rPr>
                <w:rFonts w:hint="eastAsia" w:ascii="宋体" w:hAnsi="宋体" w:eastAsia="宋体" w:cs="宋体"/>
                <w:sz w:val="24"/>
                <w:szCs w:val="24"/>
              </w:rPr>
              <w:tab/>
            </w:r>
            <w:r>
              <w:rPr>
                <w:rFonts w:hint="eastAsia" w:ascii="宋体" w:hAnsi="宋体" w:eastAsia="宋体" w:cs="宋体"/>
                <w:sz w:val="24"/>
                <w:szCs w:val="24"/>
              </w:rPr>
              <w:t>是</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•FREEZE 功能</w:t>
            </w:r>
            <w:r>
              <w:rPr>
                <w:rFonts w:hint="eastAsia" w:ascii="宋体" w:hAnsi="宋体" w:eastAsia="宋体" w:cs="宋体"/>
                <w:sz w:val="24"/>
                <w:szCs w:val="24"/>
              </w:rPr>
              <w:tab/>
            </w:r>
            <w:r>
              <w:rPr>
                <w:rFonts w:hint="eastAsia" w:ascii="宋体" w:hAnsi="宋体" w:eastAsia="宋体" w:cs="宋体"/>
                <w:sz w:val="24"/>
                <w:szCs w:val="24"/>
              </w:rPr>
              <w:t>是</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•直接数据交换（横向连接）</w:t>
            </w:r>
            <w:r>
              <w:rPr>
                <w:rFonts w:hint="eastAsia" w:ascii="宋体" w:hAnsi="宋体" w:eastAsia="宋体" w:cs="宋体"/>
                <w:sz w:val="24"/>
                <w:szCs w:val="24"/>
              </w:rPr>
              <w:tab/>
            </w:r>
            <w:r>
              <w:rPr>
                <w:rFonts w:hint="eastAsia" w:ascii="宋体" w:hAnsi="宋体" w:eastAsia="宋体" w:cs="宋体"/>
                <w:sz w:val="24"/>
                <w:szCs w:val="24"/>
              </w:rPr>
              <w:t>是; 发送器</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绝缘测试，使用</w:t>
            </w:r>
            <w:r>
              <w:rPr>
                <w:rFonts w:hint="eastAsia" w:ascii="宋体" w:hAnsi="宋体" w:eastAsia="宋体" w:cs="宋体"/>
                <w:sz w:val="24"/>
                <w:szCs w:val="24"/>
              </w:rPr>
              <w:tab/>
            </w:r>
            <w:r>
              <w:rPr>
                <w:rFonts w:hint="eastAsia" w:ascii="宋体" w:hAnsi="宋体" w:eastAsia="宋体" w:cs="宋体"/>
                <w:sz w:val="24"/>
                <w:szCs w:val="24"/>
              </w:rPr>
              <w:t>绝缘电压500 V</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运行中的环境温度</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•最小值</w:t>
            </w:r>
            <w:r>
              <w:rPr>
                <w:rFonts w:hint="eastAsia" w:ascii="宋体" w:hAnsi="宋体" w:eastAsia="宋体" w:cs="宋体"/>
                <w:sz w:val="24"/>
                <w:szCs w:val="24"/>
              </w:rPr>
              <w:tab/>
            </w:r>
            <w:r>
              <w:rPr>
                <w:rFonts w:hint="eastAsia" w:ascii="宋体" w:hAnsi="宋体" w:eastAsia="宋体" w:cs="宋体"/>
                <w:sz w:val="24"/>
                <w:szCs w:val="24"/>
              </w:rPr>
              <w:t>0 °C</w:t>
            </w:r>
          </w:p>
          <w:p>
            <w:pPr>
              <w:keepNext w:val="0"/>
              <w:keepLines w:val="0"/>
              <w:pageBreakBefore w:val="0"/>
              <w:kinsoku/>
              <w:wordWrap/>
              <w:overflowPunct/>
              <w:topLinePunct w:val="0"/>
              <w:autoSpaceDE/>
              <w:autoSpaceDN/>
              <w:bidi w:val="0"/>
              <w:adjustRightInd/>
              <w:snapToGrid/>
              <w:spacing w:line="420" w:lineRule="exact"/>
              <w:ind w:left="18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•最大值</w:t>
            </w:r>
            <w:r>
              <w:rPr>
                <w:rFonts w:hint="eastAsia" w:ascii="宋体" w:hAnsi="宋体" w:eastAsia="宋体" w:cs="宋体"/>
                <w:sz w:val="24"/>
                <w:szCs w:val="24"/>
              </w:rPr>
              <w:tab/>
            </w:r>
            <w:r>
              <w:rPr>
                <w:rFonts w:hint="eastAsia" w:ascii="宋体" w:hAnsi="宋体" w:eastAsia="宋体" w:cs="宋体"/>
                <w:sz w:val="24"/>
                <w:szCs w:val="24"/>
              </w:rPr>
              <w:t>60 °C</w:t>
            </w:r>
          </w:p>
        </w:tc>
      </w:tr>
    </w:tbl>
    <w:p>
      <w:pPr>
        <w:pageBreakBefore w:val="0"/>
        <w:widowControl/>
        <w:kinsoku/>
        <w:wordWrap/>
        <w:overflowPunct/>
        <w:topLinePunct w:val="0"/>
        <w:bidi w:val="0"/>
        <w:snapToGrid/>
        <w:spacing w:line="460" w:lineRule="exact"/>
        <w:ind w:right="0" w:rightChars="0"/>
        <w:jc w:val="left"/>
        <w:textAlignment w:val="auto"/>
        <w:rPr>
          <w:rFonts w:hint="eastAsia" w:ascii="宋体" w:hAnsi="宋体" w:eastAsia="宋体" w:cs="宋体"/>
          <w:sz w:val="24"/>
          <w:szCs w:val="24"/>
        </w:rPr>
      </w:pPr>
    </w:p>
    <w:tbl>
      <w:tblPr>
        <w:tblStyle w:val="35"/>
        <w:tblW w:w="84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jc w:val="center"/>
        </w:trPr>
        <w:tc>
          <w:tcPr>
            <w:tcW w:w="6300" w:type="dxa"/>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材料名称：</w:t>
            </w:r>
            <w:r>
              <w:rPr>
                <w:rFonts w:hint="eastAsia" w:ascii="宋体" w:hAnsi="宋体" w:eastAsia="宋体" w:cs="宋体"/>
                <w:color w:val="333333"/>
                <w:kern w:val="0"/>
                <w:sz w:val="24"/>
                <w:szCs w:val="24"/>
              </w:rPr>
              <w:t>电控系统整体安装调试、测试</w:t>
            </w:r>
          </w:p>
        </w:tc>
        <w:tc>
          <w:tcPr>
            <w:tcW w:w="2160" w:type="dxa"/>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数量：3套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jc w:val="center"/>
        </w:trPr>
        <w:tc>
          <w:tcPr>
            <w:tcW w:w="8460" w:type="dxa"/>
            <w:gridSpan w:val="2"/>
            <w:vAlign w:val="top"/>
          </w:tcPr>
          <w:p>
            <w:pPr>
              <w:pageBreakBefore w:val="0"/>
              <w:kinsoku/>
              <w:wordWrap/>
              <w:overflowPunct/>
              <w:topLinePunct w:val="0"/>
              <w:bidi w:val="0"/>
              <w:snapToGrid/>
              <w:spacing w:line="460" w:lineRule="exact"/>
              <w:ind w:left="180" w:right="0" w:rightChars="0"/>
              <w:textAlignment w:val="auto"/>
              <w:rPr>
                <w:rFonts w:hint="eastAsia" w:ascii="宋体" w:hAnsi="宋体" w:eastAsia="宋体" w:cs="宋体"/>
                <w:sz w:val="24"/>
                <w:szCs w:val="24"/>
              </w:rPr>
            </w:pPr>
            <w:r>
              <w:rPr>
                <w:rFonts w:hint="eastAsia" w:ascii="宋体" w:hAnsi="宋体" w:eastAsia="宋体" w:cs="宋体"/>
                <w:sz w:val="24"/>
                <w:szCs w:val="24"/>
              </w:rPr>
              <w:t>用途：深海油田开发的大型发电机组动力负荷测试系统的控制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6" w:hRule="atLeast"/>
          <w:jc w:val="center"/>
        </w:trPr>
        <w:tc>
          <w:tcPr>
            <w:tcW w:w="8460" w:type="dxa"/>
            <w:gridSpan w:val="2"/>
            <w:vAlign w:val="top"/>
          </w:tcPr>
          <w:p>
            <w:pPr>
              <w:pageBreakBefore w:val="0"/>
              <w:kinsoku/>
              <w:wordWrap/>
              <w:overflowPunct/>
              <w:topLinePunct w:val="0"/>
              <w:bidi w:val="0"/>
              <w:snapToGrid/>
              <w:spacing w:line="46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rPr>
              <w:t>主要参数及需求：</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完成</w:t>
            </w:r>
            <w:r>
              <w:rPr>
                <w:rFonts w:hint="eastAsia" w:ascii="宋体" w:hAnsi="宋体" w:eastAsia="宋体" w:cs="宋体"/>
                <w:sz w:val="24"/>
                <w:szCs w:val="24"/>
              </w:rPr>
              <w:t>深海油田开发的大型发电机组动力负荷测试系统的</w:t>
            </w:r>
            <w:r>
              <w:rPr>
                <w:rFonts w:hint="eastAsia" w:ascii="宋体" w:hAnsi="宋体" w:eastAsia="宋体" w:cs="宋体"/>
                <w:b/>
                <w:sz w:val="24"/>
                <w:szCs w:val="24"/>
              </w:rPr>
              <w:t>系统功能测试测试和软件功能测试，提交相关的测试报告。</w:t>
            </w:r>
          </w:p>
          <w:p>
            <w:pPr>
              <w:pageBreakBefore w:val="0"/>
              <w:widowControl/>
              <w:shd w:val="clear" w:color="auto" w:fill="FFFFFF"/>
              <w:tabs>
                <w:tab w:val="left" w:pos="7560"/>
              </w:tabs>
              <w:kinsoku/>
              <w:wordWrap/>
              <w:overflowPunct/>
              <w:topLinePunct w:val="0"/>
              <w:bidi w:val="0"/>
              <w:snapToGrid/>
              <w:spacing w:line="460" w:lineRule="exact"/>
              <w:ind w:right="0" w:rightChars="0" w:firstLine="480"/>
              <w:textAlignment w:val="auto"/>
              <w:rPr>
                <w:rFonts w:hint="eastAsia" w:ascii="宋体" w:hAnsi="宋体" w:eastAsia="宋体" w:cs="宋体"/>
                <w:sz w:val="24"/>
                <w:szCs w:val="24"/>
                <w:shd w:val="clear" w:color="auto" w:fill="FFFFFF"/>
              </w:rPr>
            </w:pPr>
          </w:p>
          <w:p>
            <w:pPr>
              <w:pageBreakBefore w:val="0"/>
              <w:kinsoku/>
              <w:wordWrap/>
              <w:overflowPunct/>
              <w:topLinePunct w:val="0"/>
              <w:bidi w:val="0"/>
              <w:snapToGrid/>
              <w:spacing w:line="46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rPr>
              <w:t>功能测试内容：</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（1）稳态测试：</w:t>
            </w:r>
            <w:r>
              <w:rPr>
                <w:rFonts w:hint="eastAsia" w:ascii="宋体" w:hAnsi="宋体" w:eastAsia="宋体" w:cs="宋体"/>
                <w:sz w:val="24"/>
                <w:szCs w:val="24"/>
              </w:rPr>
              <w:t>可加载额定值以内的任意功率，测量并显示发电机组稳态三相电压、电流、有功功率、无功功率、视在功率、功率因数、频率、运行时间等参数。</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（2）一键式加减载测试：</w:t>
            </w:r>
            <w:r>
              <w:rPr>
                <w:rFonts w:hint="eastAsia" w:ascii="宋体" w:hAnsi="宋体" w:eastAsia="宋体" w:cs="宋体"/>
                <w:sz w:val="24"/>
                <w:szCs w:val="24"/>
              </w:rPr>
              <w:t>无论采用手动开关或软件控制时，均可先设置好功率值，再启动总加载开关，负载才会按预设值加载，从而避免功率调整过程中造成负载波动。</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bCs/>
                <w:sz w:val="24"/>
                <w:szCs w:val="24"/>
              </w:rPr>
            </w:pPr>
            <w:r>
              <w:rPr>
                <w:rFonts w:hint="eastAsia" w:ascii="宋体" w:hAnsi="宋体" w:eastAsia="宋体" w:cs="宋体"/>
                <w:b/>
                <w:sz w:val="24"/>
                <w:szCs w:val="24"/>
              </w:rPr>
              <w:t>（3）整定测试：</w:t>
            </w:r>
            <w:r>
              <w:rPr>
                <w:rFonts w:hint="eastAsia" w:ascii="宋体" w:hAnsi="宋体" w:eastAsia="宋体" w:cs="宋体"/>
                <w:bCs/>
                <w:sz w:val="24"/>
                <w:szCs w:val="24"/>
              </w:rPr>
              <w:t>通过100秒整定时间，可捕捉电压、频率整定最大值、最小值，并计算出相对的电压、频率整定上升、下降范围及调整率。</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bCs/>
                <w:sz w:val="24"/>
                <w:szCs w:val="24"/>
              </w:rPr>
            </w:pPr>
            <w:r>
              <w:rPr>
                <w:rFonts w:hint="eastAsia" w:ascii="宋体" w:hAnsi="宋体" w:eastAsia="宋体" w:cs="宋体"/>
                <w:b/>
                <w:sz w:val="24"/>
                <w:szCs w:val="24"/>
              </w:rPr>
              <w:t>（4）波动测试：</w:t>
            </w:r>
            <w:r>
              <w:rPr>
                <w:rFonts w:hint="eastAsia" w:ascii="宋体" w:hAnsi="宋体" w:eastAsia="宋体" w:cs="宋体"/>
                <w:bCs/>
                <w:sz w:val="24"/>
                <w:szCs w:val="24"/>
              </w:rPr>
              <w:t>通过60秒波动时间，可捕捉电压、频率波动最大值、最小值，并计算出稳态频率带、稳态电压偏差、电压调制、波动率、频率。</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（5）突加测试：</w:t>
            </w:r>
            <w:r>
              <w:rPr>
                <w:rFonts w:hint="eastAsia" w:ascii="宋体" w:hAnsi="宋体" w:eastAsia="宋体" w:cs="宋体"/>
                <w:sz w:val="24"/>
                <w:szCs w:val="24"/>
              </w:rPr>
              <w:t>采样间隔40μs，可捕捉负载突变时的瞬态电压、电流、频率最大值、最小值及恢复时间，并计算出突加瞬态电压偏差、瞬态频率差。</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（6）突卸测试：</w:t>
            </w:r>
            <w:r>
              <w:rPr>
                <w:rFonts w:hint="eastAsia" w:ascii="宋体" w:hAnsi="宋体" w:eastAsia="宋体" w:cs="宋体"/>
                <w:sz w:val="24"/>
                <w:szCs w:val="24"/>
              </w:rPr>
              <w:t>采样间隔40μs，可捕捉负载突变时的瞬态电压、电流、频率最大值、最小值及恢复时间，并计算出突减瞬态电压偏差、瞬态频率差。</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（7）谐波分析测试：</w:t>
            </w:r>
            <w:r>
              <w:rPr>
                <w:rFonts w:hint="eastAsia" w:ascii="宋体" w:hAnsi="宋体" w:eastAsia="宋体" w:cs="宋体"/>
                <w:sz w:val="24"/>
                <w:szCs w:val="24"/>
              </w:rPr>
              <w:t>能同时分析电压、电流的2～50次谐波含量及总谐波含量。</w:t>
            </w:r>
          </w:p>
          <w:p>
            <w:pPr>
              <w:pStyle w:val="122"/>
              <w:pageBreakBefore w:val="0"/>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（8）录波分析测试：</w:t>
            </w:r>
            <w:r>
              <w:rPr>
                <w:rFonts w:hint="eastAsia" w:ascii="宋体" w:hAnsi="宋体" w:eastAsia="宋体" w:cs="宋体"/>
                <w:sz w:val="24"/>
                <w:szCs w:val="24"/>
              </w:rPr>
              <w:t>5种模式记录电压实时波形，记录时间不低于280秒。</w:t>
            </w:r>
          </w:p>
          <w:p>
            <w:pPr>
              <w:pStyle w:val="122"/>
              <w:pageBreakBefore w:val="0"/>
              <w:kinsoku/>
              <w:wordWrap/>
              <w:overflowPunct/>
              <w:topLinePunct w:val="0"/>
              <w:bidi w:val="0"/>
              <w:snapToGrid/>
              <w:spacing w:line="460" w:lineRule="exact"/>
              <w:ind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（9）稳态测试内容测试：按JGB1488标准执行</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稳态电压调整率、电压波动率、空载电压整定范围、稳态频率调整率、频率波动率；</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按GB/T 20136-2006稳态电压偏差、电压不平衡度、相对电压整定范围、电压调制、频率降、稳态频率带、相对的频率整定下降范围、相对的频率整定下上升范围、频率整定变化速率、相对的频率容差范围。</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(10)动态测试（瞬态）内容测试：</w:t>
            </w:r>
            <w:r>
              <w:rPr>
                <w:rFonts w:hint="eastAsia" w:ascii="宋体" w:hAnsi="宋体" w:eastAsia="宋体" w:cs="宋体"/>
                <w:sz w:val="24"/>
                <w:szCs w:val="24"/>
              </w:rPr>
              <w:t>按JGB1488标准执行</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瞬态电压调整率（含瞬态变化时最大值、最小值）、电压稳定时间；</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瞬态频率调整率（含瞬态变化时最大值、最小值）、频率稳定时间；</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瞬态变化时 U=f(t) f =f(t) 变化曲线。</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按GB/T 20136-2006</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瞬态电压偏差、电压恢复时间；</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（对初始频率的）瞬态频率偏差、频率恢复时间；</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（对额定频率的）瞬态频率偏差、频率恢复时间；</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瞬态变化时 U=f(t) f =f(t) 变化曲线。</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(11)连续运行方式测试</w:t>
            </w:r>
          </w:p>
          <w:p>
            <w:pPr>
              <w:pageBreakBefore w:val="0"/>
              <w:widowControl/>
              <w:kinsoku/>
              <w:wordWrap/>
              <w:overflowPunct/>
              <w:topLinePunct w:val="0"/>
              <w:bidi w:val="0"/>
              <w:snapToGrid/>
              <w:spacing w:line="46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记录以下参数：运行时间、三相电压、电流、功率因数、功率与总功率、总功率因数、频率（转速）、电压热偏差、总电压热态偏差（冷热态电压变化）、环境温度、空气相对湿度、大气压力。</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b/>
                <w:sz w:val="24"/>
                <w:szCs w:val="24"/>
              </w:rPr>
            </w:pP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软件功能测试内容</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软件功能测试内容至少包括以下内容：</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（1）通讯方式测试：</w:t>
            </w:r>
            <w:r>
              <w:rPr>
                <w:rFonts w:hint="eastAsia" w:ascii="宋体" w:hAnsi="宋体" w:eastAsia="宋体" w:cs="宋体"/>
                <w:sz w:val="24"/>
                <w:szCs w:val="24"/>
              </w:rPr>
              <w:t>设备与电脑之间的网络连接采用以太网通讯口连接PC，抗干扰能力强，保证系统控制的稳定性。</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（2）加载方式测试：</w:t>
            </w:r>
            <w:r>
              <w:rPr>
                <w:rFonts w:hint="eastAsia" w:ascii="宋体" w:hAnsi="宋体" w:eastAsia="宋体" w:cs="宋体"/>
                <w:sz w:val="24"/>
                <w:szCs w:val="24"/>
              </w:rPr>
              <w:t>稳态加载（手动加载、预设加载、自动加载）；瞬态加载（突加突卸）。</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（3）手动加载测试：</w:t>
            </w:r>
            <w:r>
              <w:rPr>
                <w:rFonts w:hint="eastAsia" w:ascii="宋体" w:hAnsi="宋体" w:eastAsia="宋体" w:cs="宋体"/>
                <w:sz w:val="24"/>
                <w:szCs w:val="24"/>
              </w:rPr>
              <w:t>输入功率和功率因数，即按指定数值加载。</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（4）预设加载测试：</w:t>
            </w:r>
            <w:r>
              <w:rPr>
                <w:rFonts w:hint="eastAsia" w:ascii="宋体" w:hAnsi="宋体" w:eastAsia="宋体" w:cs="宋体"/>
                <w:sz w:val="24"/>
                <w:szCs w:val="24"/>
              </w:rPr>
              <w:t>输入发电机组的相关参数，即可选择0%、25%、50%、75%、100%至110%等预设比例，自动计算出相应功率，实现快速加载。</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（5）自动加载测试：</w:t>
            </w:r>
            <w:r>
              <w:rPr>
                <w:rFonts w:hint="eastAsia" w:ascii="宋体" w:hAnsi="宋体" w:eastAsia="宋体" w:cs="宋体"/>
                <w:sz w:val="24"/>
                <w:szCs w:val="24"/>
              </w:rPr>
              <w:t>测试时可设定多个加载阶段的功率与时长，自动进行阶段测试。加载过程中可随时暂停，或跳至下一阶段。</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（6）步进加载测试：</w:t>
            </w:r>
            <w:r>
              <w:rPr>
                <w:rFonts w:hint="eastAsia" w:ascii="宋体" w:hAnsi="宋体" w:eastAsia="宋体" w:cs="宋体"/>
                <w:bCs/>
                <w:sz w:val="24"/>
                <w:szCs w:val="24"/>
              </w:rPr>
              <w:t>在稳态加载过程中，负载会逐步增加或减少，平稳过渡到目标功率，避免计划外的负载突加突卸，步进值和步进间隔时间均可自由设置。</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（7）恒功率加载测试：</w:t>
            </w:r>
            <w:r>
              <w:rPr>
                <w:rFonts w:hint="eastAsia" w:ascii="宋体" w:hAnsi="宋体" w:eastAsia="宋体" w:cs="宋体"/>
                <w:bCs/>
                <w:sz w:val="24"/>
                <w:szCs w:val="24"/>
              </w:rPr>
              <w:t>在电压波动时可自动调节负载，使功率维持在设定值不变。</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（8）功率补偿测试：</w:t>
            </w:r>
            <w:r>
              <w:rPr>
                <w:rFonts w:hint="eastAsia" w:ascii="宋体" w:hAnsi="宋体" w:eastAsia="宋体" w:cs="宋体"/>
                <w:bCs/>
                <w:sz w:val="24"/>
                <w:szCs w:val="24"/>
              </w:rPr>
              <w:t>可输入阻值，通过软件补偿因线路材质、长度等原因造成的功率损耗。</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（9）并机测试：</w:t>
            </w:r>
            <w:r>
              <w:rPr>
                <w:rFonts w:hint="eastAsia" w:ascii="宋体" w:hAnsi="宋体" w:eastAsia="宋体" w:cs="宋体"/>
                <w:sz w:val="24"/>
                <w:szCs w:val="24"/>
              </w:rPr>
              <w:t>当多台负载并机时，软件可进行并机测试，既可显示、记录各台负载的参数，也可显示、记录并机后的系统总参数。</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（10）实时参数测试：</w:t>
            </w:r>
            <w:r>
              <w:rPr>
                <w:rFonts w:hint="eastAsia" w:ascii="宋体" w:hAnsi="宋体" w:eastAsia="宋体" w:cs="宋体"/>
                <w:sz w:val="24"/>
                <w:szCs w:val="24"/>
              </w:rPr>
              <w:t>测试过程中，可通过软件实时显示电压、电流、功率、功率因数、频率、时间等主要参数。</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bCs/>
                <w:sz w:val="24"/>
                <w:szCs w:val="24"/>
              </w:rPr>
            </w:pPr>
            <w:r>
              <w:rPr>
                <w:rFonts w:hint="eastAsia" w:ascii="宋体" w:hAnsi="宋体" w:eastAsia="宋体" w:cs="宋体"/>
                <w:b/>
                <w:sz w:val="24"/>
                <w:szCs w:val="24"/>
              </w:rPr>
              <w:t>（11）安全监控测试：</w:t>
            </w:r>
            <w:r>
              <w:rPr>
                <w:rFonts w:hint="eastAsia" w:ascii="宋体" w:hAnsi="宋体" w:eastAsia="宋体" w:cs="宋体"/>
                <w:bCs/>
                <w:sz w:val="24"/>
                <w:szCs w:val="24"/>
              </w:rPr>
              <w:t>可通过软件指示灯，直观监控负载状态，异常停机保护时，提示停机原因。</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（12）数据采集间隔测试：</w:t>
            </w:r>
            <w:r>
              <w:rPr>
                <w:rFonts w:hint="eastAsia" w:ascii="宋体" w:hAnsi="宋体" w:eastAsia="宋体" w:cs="宋体"/>
                <w:sz w:val="24"/>
                <w:szCs w:val="24"/>
              </w:rPr>
              <w:t>稳态数据最小分辨时间1s，瞬态数据最小分辨时间40μs。</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（13）稳态数据比较测试：</w:t>
            </w:r>
            <w:r>
              <w:rPr>
                <w:rFonts w:hint="eastAsia" w:ascii="宋体" w:hAnsi="宋体" w:eastAsia="宋体" w:cs="宋体"/>
                <w:sz w:val="24"/>
                <w:szCs w:val="24"/>
              </w:rPr>
              <w:t>软件自动列举出稳态测试中所有参数的最大值与最小值，方便用户对参数进行比较。</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（14）数据保存与查询测试：</w:t>
            </w:r>
            <w:r>
              <w:rPr>
                <w:rFonts w:hint="eastAsia" w:ascii="宋体" w:hAnsi="宋体" w:eastAsia="宋体" w:cs="宋体"/>
                <w:sz w:val="24"/>
                <w:szCs w:val="24"/>
              </w:rPr>
              <w:t>测试数据可保存在软件中，并可根据发电机组编号快速查询历史测试数据。</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（15）图形显示测试：</w:t>
            </w:r>
            <w:r>
              <w:rPr>
                <w:rFonts w:hint="eastAsia" w:ascii="宋体" w:hAnsi="宋体" w:eastAsia="宋体" w:cs="宋体"/>
                <w:sz w:val="24"/>
                <w:szCs w:val="24"/>
              </w:rPr>
              <w:t>可显示实时或历史测试数据，并支持打印为以下曲线、图形：</w:t>
            </w:r>
          </w:p>
          <w:p>
            <w:pPr>
              <w:pageBreakBefore w:val="0"/>
              <w:widowControl/>
              <w:kinsoku/>
              <w:wordWrap/>
              <w:overflowPunct/>
              <w:topLinePunct w:val="0"/>
              <w:bidi w:val="0"/>
              <w:snapToGrid/>
              <w:spacing w:line="460" w:lineRule="exact"/>
              <w:ind w:right="0" w:rightChars="0" w:firstLine="1200" w:firstLineChars="500"/>
              <w:textAlignment w:val="auto"/>
              <w:rPr>
                <w:rFonts w:hint="eastAsia" w:ascii="宋体" w:hAnsi="宋体" w:eastAsia="宋体" w:cs="宋体"/>
                <w:sz w:val="24"/>
                <w:szCs w:val="24"/>
              </w:rPr>
            </w:pPr>
            <w:r>
              <w:rPr>
                <w:rFonts w:hint="eastAsia" w:ascii="宋体" w:hAnsi="宋体" w:eastAsia="宋体" w:cs="宋体"/>
                <w:sz w:val="24"/>
                <w:szCs w:val="24"/>
              </w:rPr>
              <w:t>1）实时电压、电流、频率、功率曲线；2）电压曲线图；3）电流曲线图；</w:t>
            </w:r>
          </w:p>
          <w:p>
            <w:pPr>
              <w:pageBreakBefore w:val="0"/>
              <w:widowControl/>
              <w:kinsoku/>
              <w:wordWrap/>
              <w:overflowPunct/>
              <w:topLinePunct w:val="0"/>
              <w:bidi w:val="0"/>
              <w:snapToGrid/>
              <w:spacing w:line="460" w:lineRule="exact"/>
              <w:ind w:right="0" w:rightChars="0" w:firstLine="1200" w:firstLineChars="500"/>
              <w:textAlignment w:val="auto"/>
              <w:rPr>
                <w:rFonts w:hint="eastAsia" w:ascii="宋体" w:hAnsi="宋体" w:eastAsia="宋体" w:cs="宋体"/>
                <w:sz w:val="24"/>
                <w:szCs w:val="24"/>
              </w:rPr>
            </w:pPr>
            <w:r>
              <w:rPr>
                <w:rFonts w:hint="eastAsia" w:ascii="宋体" w:hAnsi="宋体" w:eastAsia="宋体" w:cs="宋体"/>
                <w:sz w:val="24"/>
                <w:szCs w:val="24"/>
              </w:rPr>
              <w:t>4）功率曲线图；5）频率曲线图；6）功率因数曲线图；</w:t>
            </w:r>
          </w:p>
          <w:p>
            <w:pPr>
              <w:pageBreakBefore w:val="0"/>
              <w:widowControl/>
              <w:kinsoku/>
              <w:wordWrap/>
              <w:overflowPunct/>
              <w:topLinePunct w:val="0"/>
              <w:bidi w:val="0"/>
              <w:snapToGrid/>
              <w:spacing w:line="460" w:lineRule="exact"/>
              <w:ind w:right="0" w:rightChars="0" w:firstLine="1200" w:firstLineChars="500"/>
              <w:textAlignment w:val="auto"/>
              <w:rPr>
                <w:rFonts w:hint="eastAsia" w:ascii="宋体" w:hAnsi="宋体" w:eastAsia="宋体" w:cs="宋体"/>
                <w:sz w:val="24"/>
                <w:szCs w:val="24"/>
              </w:rPr>
            </w:pPr>
            <w:r>
              <w:rPr>
                <w:rFonts w:hint="eastAsia" w:ascii="宋体" w:hAnsi="宋体" w:eastAsia="宋体" w:cs="宋体"/>
                <w:sz w:val="24"/>
                <w:szCs w:val="24"/>
              </w:rPr>
              <w:t>7）突加电压曲线；8）突加电流曲线；9）突加频率曲线；</w:t>
            </w:r>
          </w:p>
          <w:p>
            <w:pPr>
              <w:pageBreakBefore w:val="0"/>
              <w:widowControl/>
              <w:kinsoku/>
              <w:wordWrap/>
              <w:overflowPunct/>
              <w:topLinePunct w:val="0"/>
              <w:bidi w:val="0"/>
              <w:snapToGrid/>
              <w:spacing w:line="460" w:lineRule="exact"/>
              <w:ind w:right="0" w:rightChars="0" w:firstLine="1200" w:firstLineChars="500"/>
              <w:textAlignment w:val="auto"/>
              <w:rPr>
                <w:rFonts w:hint="eastAsia" w:ascii="宋体" w:hAnsi="宋体" w:eastAsia="宋体" w:cs="宋体"/>
                <w:sz w:val="24"/>
                <w:szCs w:val="24"/>
              </w:rPr>
            </w:pPr>
            <w:r>
              <w:rPr>
                <w:rFonts w:hint="eastAsia" w:ascii="宋体" w:hAnsi="宋体" w:eastAsia="宋体" w:cs="宋体"/>
                <w:sz w:val="24"/>
                <w:szCs w:val="24"/>
              </w:rPr>
              <w:t>10）突减电压曲线；11）突减电流曲线；12）突减频率曲线；</w:t>
            </w:r>
          </w:p>
          <w:p>
            <w:pPr>
              <w:pageBreakBefore w:val="0"/>
              <w:widowControl/>
              <w:kinsoku/>
              <w:wordWrap/>
              <w:overflowPunct/>
              <w:topLinePunct w:val="0"/>
              <w:bidi w:val="0"/>
              <w:snapToGrid/>
              <w:spacing w:line="460" w:lineRule="exact"/>
              <w:ind w:right="0" w:rightChars="0" w:firstLine="1200" w:firstLineChars="500"/>
              <w:textAlignment w:val="auto"/>
              <w:rPr>
                <w:rFonts w:hint="eastAsia" w:ascii="宋体" w:hAnsi="宋体" w:eastAsia="宋体" w:cs="宋体"/>
                <w:sz w:val="24"/>
                <w:szCs w:val="24"/>
              </w:rPr>
            </w:pPr>
            <w:r>
              <w:rPr>
                <w:rFonts w:hint="eastAsia" w:ascii="宋体" w:hAnsi="宋体" w:eastAsia="宋体" w:cs="宋体"/>
                <w:sz w:val="24"/>
                <w:szCs w:val="24"/>
              </w:rPr>
              <w:t>13）电压谐波曲线；14）电压谐波柱状图；15）电流谐波曲线；</w:t>
            </w:r>
          </w:p>
          <w:p>
            <w:pPr>
              <w:pageBreakBefore w:val="0"/>
              <w:widowControl/>
              <w:kinsoku/>
              <w:wordWrap/>
              <w:overflowPunct/>
              <w:topLinePunct w:val="0"/>
              <w:bidi w:val="0"/>
              <w:snapToGrid/>
              <w:spacing w:line="460" w:lineRule="exact"/>
              <w:ind w:right="0" w:rightChars="0" w:firstLine="1200" w:firstLineChars="500"/>
              <w:textAlignment w:val="auto"/>
              <w:rPr>
                <w:rFonts w:hint="eastAsia" w:ascii="宋体" w:hAnsi="宋体" w:eastAsia="宋体" w:cs="宋体"/>
                <w:sz w:val="24"/>
                <w:szCs w:val="24"/>
              </w:rPr>
            </w:pPr>
            <w:r>
              <w:rPr>
                <w:rFonts w:hint="eastAsia" w:ascii="宋体" w:hAnsi="宋体" w:eastAsia="宋体" w:cs="宋体"/>
                <w:sz w:val="24"/>
                <w:szCs w:val="24"/>
              </w:rPr>
              <w:t>16）电流谐波柱状图；17）录波曲线图。</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（16）测试报告：</w:t>
            </w:r>
            <w:r>
              <w:rPr>
                <w:rFonts w:hint="eastAsia" w:ascii="宋体" w:hAnsi="宋体" w:eastAsia="宋体" w:cs="宋体"/>
                <w:sz w:val="24"/>
                <w:szCs w:val="24"/>
              </w:rPr>
              <w:t>可显示并支持打印以下报告：</w:t>
            </w:r>
          </w:p>
          <w:p>
            <w:pPr>
              <w:pageBreakBefore w:val="0"/>
              <w:widowControl/>
              <w:kinsoku/>
              <w:wordWrap/>
              <w:overflowPunct/>
              <w:topLinePunct w:val="0"/>
              <w:bidi w:val="0"/>
              <w:snapToGrid/>
              <w:spacing w:line="460" w:lineRule="exact"/>
              <w:ind w:right="0" w:rightChars="0" w:firstLine="1200" w:firstLineChars="500"/>
              <w:textAlignment w:val="auto"/>
              <w:rPr>
                <w:rFonts w:hint="eastAsia" w:ascii="宋体" w:hAnsi="宋体" w:eastAsia="宋体" w:cs="宋体"/>
                <w:sz w:val="24"/>
                <w:szCs w:val="24"/>
              </w:rPr>
            </w:pPr>
            <w:r>
              <w:rPr>
                <w:rFonts w:hint="eastAsia" w:ascii="宋体" w:hAnsi="宋体" w:eastAsia="宋体" w:cs="宋体"/>
                <w:sz w:val="24"/>
                <w:szCs w:val="24"/>
              </w:rPr>
              <w:t>1）机组稳态性能测试报告；2）瞬态测试报告；3）检测数据报告。</w:t>
            </w:r>
          </w:p>
          <w:p>
            <w:pPr>
              <w:pStyle w:val="122"/>
              <w:pageBreakBefore w:val="0"/>
              <w:kinsoku/>
              <w:wordWrap/>
              <w:overflowPunct/>
              <w:topLinePunct w:val="0"/>
              <w:bidi w:val="0"/>
              <w:snapToGrid/>
              <w:spacing w:line="460" w:lineRule="exact"/>
              <w:ind w:right="0" w:rightChars="0" w:firstLine="480"/>
              <w:textAlignment w:val="auto"/>
              <w:rPr>
                <w:rFonts w:hint="eastAsia" w:ascii="宋体" w:hAnsi="宋体" w:eastAsia="宋体" w:cs="宋体"/>
                <w:kern w:val="2"/>
                <w:sz w:val="24"/>
                <w:szCs w:val="24"/>
              </w:rPr>
            </w:pPr>
            <w:r>
              <w:rPr>
                <w:rFonts w:hint="eastAsia" w:ascii="宋体" w:hAnsi="宋体" w:eastAsia="宋体" w:cs="宋体"/>
                <w:b/>
                <w:sz w:val="24"/>
                <w:szCs w:val="24"/>
              </w:rPr>
              <w:t>（17）数据格式：</w:t>
            </w:r>
            <w:r>
              <w:rPr>
                <w:rFonts w:hint="eastAsia" w:ascii="宋体" w:hAnsi="宋体" w:eastAsia="宋体" w:cs="宋体"/>
                <w:sz w:val="24"/>
                <w:szCs w:val="24"/>
              </w:rPr>
              <w:t>检测报告，格式待定以Excel表格格式输出，并支持打印。</w:t>
            </w:r>
          </w:p>
          <w:p>
            <w:pPr>
              <w:pStyle w:val="3"/>
              <w:pageBreakBefore w:val="0"/>
              <w:kinsoku/>
              <w:wordWrap/>
              <w:overflowPunct/>
              <w:topLinePunct w:val="0"/>
              <w:bidi w:val="0"/>
              <w:snapToGrid/>
              <w:spacing w:line="46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5保护功能</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（1）紧急停止测试：</w:t>
            </w:r>
            <w:r>
              <w:rPr>
                <w:rFonts w:hint="eastAsia" w:ascii="宋体" w:hAnsi="宋体" w:eastAsia="宋体" w:cs="宋体"/>
                <w:sz w:val="24"/>
                <w:szCs w:val="24"/>
              </w:rPr>
              <w:t>可手动一键强制卸载，急停锁定状态下不能加载。</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（2）过压保护测试：</w:t>
            </w:r>
            <w:r>
              <w:rPr>
                <w:rFonts w:hint="eastAsia" w:ascii="宋体" w:hAnsi="宋体" w:eastAsia="宋体" w:cs="宋体"/>
                <w:sz w:val="24"/>
                <w:szCs w:val="24"/>
              </w:rPr>
              <w:t>负载输入电压超过安全阈值时，自动卸载并报警。</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（3）短路保护测试：</w:t>
            </w:r>
            <w:bookmarkStart w:id="120" w:name="OLE_LINK2"/>
            <w:r>
              <w:rPr>
                <w:rFonts w:hint="eastAsia" w:ascii="宋体" w:hAnsi="宋体" w:eastAsia="宋体" w:cs="宋体"/>
                <w:sz w:val="24"/>
                <w:szCs w:val="24"/>
              </w:rPr>
              <w:t>负载电路配有熔断器，可避免负载短路或电流过大时损坏设备。</w:t>
            </w:r>
          </w:p>
          <w:bookmarkEnd w:id="120"/>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（4）温度保护测试：</w:t>
            </w:r>
            <w:r>
              <w:rPr>
                <w:rFonts w:hint="eastAsia" w:ascii="宋体" w:hAnsi="宋体" w:eastAsia="宋体" w:cs="宋体"/>
                <w:sz w:val="24"/>
                <w:szCs w:val="24"/>
              </w:rPr>
              <w:t>负载温度超过安全阈值时，自动卸载并报警。</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（5）烟雾保护测试：</w:t>
            </w:r>
            <w:r>
              <w:rPr>
                <w:rFonts w:hint="eastAsia" w:ascii="宋体" w:hAnsi="宋体" w:eastAsia="宋体" w:cs="宋体"/>
                <w:sz w:val="24"/>
                <w:szCs w:val="24"/>
              </w:rPr>
              <w:t>机箱内有烟雾时，自动卸载并报警。</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（6）风机联锁保护测试：</w:t>
            </w:r>
            <w:r>
              <w:rPr>
                <w:rFonts w:hint="eastAsia" w:ascii="宋体" w:hAnsi="宋体" w:eastAsia="宋体" w:cs="宋体"/>
                <w:sz w:val="24"/>
                <w:szCs w:val="24"/>
              </w:rPr>
              <w:t>未开启风机电源开关前，负载不能进行加载。</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（7）风机风量保护测试：</w:t>
            </w:r>
            <w:r>
              <w:rPr>
                <w:rFonts w:hint="eastAsia" w:ascii="宋体" w:hAnsi="宋体" w:eastAsia="宋体" w:cs="宋体"/>
                <w:sz w:val="24"/>
                <w:szCs w:val="24"/>
              </w:rPr>
              <w:t>任一台风机的风量不足时，自动卸载并报警。</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（8）风机热过载保护测试：</w:t>
            </w:r>
            <w:r>
              <w:rPr>
                <w:rFonts w:hint="eastAsia" w:ascii="宋体" w:hAnsi="宋体" w:eastAsia="宋体" w:cs="宋体"/>
                <w:sz w:val="24"/>
                <w:szCs w:val="24"/>
              </w:rPr>
              <w:t>任一台风机不能正常运转时，自动卸载并报警。</w:t>
            </w:r>
          </w:p>
          <w:p>
            <w:pPr>
              <w:pageBreakBefore w:val="0"/>
              <w:widowControl/>
              <w:kinsoku/>
              <w:wordWrap/>
              <w:overflowPunct/>
              <w:topLinePunct w:val="0"/>
              <w:bidi w:val="0"/>
              <w:snapToGrid/>
              <w:spacing w:line="460" w:lineRule="exact"/>
              <w:ind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（9）风机相序自动转换保护测试：</w:t>
            </w:r>
            <w:r>
              <w:rPr>
                <w:rFonts w:hint="eastAsia" w:ascii="宋体" w:hAnsi="宋体" w:eastAsia="宋体" w:cs="宋体"/>
                <w:sz w:val="24"/>
                <w:szCs w:val="24"/>
              </w:rPr>
              <w:t>当控制电源线未按正确相序连接时，三相风机也可按正常方向运转。</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b/>
                <w:sz w:val="24"/>
                <w:szCs w:val="24"/>
              </w:rPr>
              <w:t>（10）保护开关测试：</w:t>
            </w:r>
            <w:r>
              <w:rPr>
                <w:rFonts w:hint="eastAsia" w:ascii="宋体" w:hAnsi="宋体" w:eastAsia="宋体" w:cs="宋体"/>
                <w:sz w:val="24"/>
                <w:szCs w:val="24"/>
              </w:rPr>
              <w:t>部分保护功能配有开关，当误报或有特殊需要时，可临时关闭相应保护功能。</w:t>
            </w:r>
          </w:p>
          <w:p>
            <w:pPr>
              <w:pageBreakBefore w:val="0"/>
              <w:widowControl/>
              <w:shd w:val="clear" w:color="auto" w:fill="FFFFFF"/>
              <w:kinsoku/>
              <w:wordWrap/>
              <w:overflowPunct/>
              <w:topLinePunct w:val="0"/>
              <w:bidi w:val="0"/>
              <w:snapToGrid/>
              <w:spacing w:before="100" w:beforeAutospacing="1" w:after="100" w:afterAutospacing="1" w:line="460" w:lineRule="exact"/>
              <w:ind w:left="36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p>
        </w:tc>
      </w:tr>
    </w:tbl>
    <w:p>
      <w:pPr>
        <w:pStyle w:val="28"/>
        <w:pageBreakBefore w:val="0"/>
        <w:kinsoku/>
        <w:wordWrap/>
        <w:overflowPunct/>
        <w:topLinePunct w:val="0"/>
        <w:bidi w:val="0"/>
        <w:snapToGrid/>
        <w:spacing w:line="460" w:lineRule="exact"/>
        <w:ind w:right="0" w:rightChars="0"/>
        <w:jc w:val="both"/>
        <w:textAlignment w:val="auto"/>
        <w:rPr>
          <w:rFonts w:hint="eastAsia" w:ascii="宋体" w:hAnsi="宋体" w:eastAsia="宋体" w:cs="宋体"/>
          <w:sz w:val="24"/>
          <w:szCs w:val="24"/>
        </w:rPr>
      </w:pPr>
    </w:p>
    <w:p>
      <w:pPr>
        <w:pStyle w:val="28"/>
        <w:keepNext w:val="0"/>
        <w:keepLines w:val="0"/>
        <w:pageBreakBefore w:val="0"/>
        <w:kinsoku/>
        <w:wordWrap/>
        <w:overflowPunct/>
        <w:topLinePunct w:val="0"/>
        <w:bidi w:val="0"/>
        <w:spacing w:before="0" w:after="0" w:line="460" w:lineRule="exact"/>
        <w:ind w:right="0" w:rightChars="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4"/>
          <w:szCs w:val="24"/>
        </w:rPr>
        <w:br w:type="page"/>
      </w:r>
      <w:bookmarkStart w:id="121" w:name="_Toc376852376"/>
      <w:bookmarkStart w:id="122" w:name="_Toc31890"/>
      <w:bookmarkStart w:id="123" w:name="_Toc470007446"/>
      <w:bookmarkStart w:id="124" w:name="_Toc395105686"/>
      <w:bookmarkStart w:id="125" w:name="_Toc20611"/>
      <w:bookmarkStart w:id="126" w:name="_Toc395085167"/>
      <w:bookmarkStart w:id="127" w:name="_Toc115756047"/>
      <w:r>
        <w:rPr>
          <w:rFonts w:hint="eastAsia" w:ascii="宋体" w:hAnsi="宋体" w:eastAsia="宋体" w:cs="宋体"/>
          <w:color w:val="000000"/>
          <w:sz w:val="28"/>
          <w:szCs w:val="28"/>
          <w:highlight w:val="none"/>
        </w:rPr>
        <w:t>第五部分：采购合同</w:t>
      </w:r>
      <w:bookmarkEnd w:id="121"/>
      <w:bookmarkEnd w:id="122"/>
      <w:bookmarkEnd w:id="123"/>
      <w:bookmarkEnd w:id="124"/>
      <w:bookmarkEnd w:id="125"/>
      <w:bookmarkEnd w:id="126"/>
    </w:p>
    <w:p>
      <w:pPr>
        <w:pStyle w:val="28"/>
        <w:keepNext w:val="0"/>
        <w:keepLines w:val="0"/>
        <w:pageBreakBefore w:val="0"/>
        <w:kinsoku/>
        <w:wordWrap/>
        <w:overflowPunct/>
        <w:topLinePunct w:val="0"/>
        <w:bidi w:val="0"/>
        <w:spacing w:before="0" w:after="0" w:line="460" w:lineRule="exact"/>
        <w:ind w:right="0" w:rightChars="0"/>
        <w:textAlignment w:val="auto"/>
        <w:outlineLvl w:val="9"/>
        <w:rPr>
          <w:rFonts w:hint="eastAsia" w:ascii="宋体" w:hAnsi="宋体" w:eastAsia="宋体" w:cs="宋体"/>
          <w:color w:val="000000"/>
          <w:sz w:val="24"/>
          <w:szCs w:val="24"/>
          <w:highlight w:val="none"/>
        </w:rPr>
      </w:pPr>
      <w:bookmarkStart w:id="128" w:name="_Toc429312409"/>
      <w:bookmarkStart w:id="129" w:name="_Toc4405"/>
      <w:bookmarkStart w:id="130" w:name="_Toc470007447"/>
      <w:bookmarkStart w:id="131" w:name="_Toc8968"/>
      <w:r>
        <w:rPr>
          <w:rFonts w:hint="eastAsia" w:ascii="宋体" w:hAnsi="宋体" w:eastAsia="宋体" w:cs="宋体"/>
          <w:sz w:val="24"/>
          <w:szCs w:val="24"/>
          <w:highlight w:val="none"/>
        </w:rPr>
        <w:t>（具体情况以实际签订为准）</w:t>
      </w:r>
      <w:bookmarkEnd w:id="128"/>
      <w:bookmarkEnd w:id="129"/>
      <w:bookmarkEnd w:id="130"/>
      <w:bookmarkEnd w:id="131"/>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bidi w:val="0"/>
        <w:spacing w:line="460" w:lineRule="exact"/>
        <w:ind w:right="0" w:rightChars="0" w:firstLine="5760" w:firstLineChars="2400"/>
        <w:textAlignment w:val="auto"/>
        <w:outlineLvl w:val="9"/>
        <w:rPr>
          <w:rFonts w:hint="eastAsia" w:ascii="宋体" w:hAnsi="宋体" w:eastAsia="宋体" w:cs="宋体"/>
          <w:sz w:val="24"/>
          <w:szCs w:val="24"/>
        </w:rPr>
      </w:pPr>
      <w:r>
        <w:rPr>
          <w:rFonts w:hint="eastAsia" w:ascii="宋体" w:hAnsi="宋体" w:eastAsia="宋体" w:cs="宋体"/>
          <w:sz w:val="24"/>
          <w:szCs w:val="24"/>
        </w:rPr>
        <w:t>合同编号：</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签约地点：天津</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甲方：天津大学                            乙方：</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rPr>
        <w:t>天津市南开区卫津路92号</w:t>
      </w:r>
      <w:r>
        <w:rPr>
          <w:rFonts w:hint="eastAsia" w:ascii="宋体" w:hAnsi="宋体" w:eastAsia="宋体" w:cs="宋体"/>
          <w:sz w:val="24"/>
          <w:szCs w:val="24"/>
        </w:rPr>
        <w:t xml:space="preserve">             地址：</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电话：022－27406282                       电话：</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传真：022－27406282                       传真：</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邮政编码：300350                          邮政编码：</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联系人：                                  联系人：</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账号：          开户行：</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本合同由甲乙双方订立，根据本合同条款，甲方向乙方购买下述产品：</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p>
    <w:tbl>
      <w:tblPr>
        <w:tblStyle w:val="35"/>
        <w:tblW w:w="81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90"/>
        <w:gridCol w:w="1440"/>
        <w:gridCol w:w="1500"/>
        <w:gridCol w:w="900"/>
        <w:gridCol w:w="72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 w:hRule="atLeast"/>
        </w:trPr>
        <w:tc>
          <w:tcPr>
            <w:tcW w:w="720" w:type="dxa"/>
            <w:vAlign w:val="center"/>
          </w:tcPr>
          <w:p>
            <w:pPr>
              <w:keepNext w:val="0"/>
              <w:keepLines w:val="0"/>
              <w:pageBreakBefore w:val="0"/>
              <w:kinsoku/>
              <w:wordWrap/>
              <w:overflowPunct/>
              <w:topLinePunct w:val="0"/>
              <w:bidi w:val="0"/>
              <w:spacing w:line="460" w:lineRule="exact"/>
              <w:ind w:right="0" w:rightChars="0"/>
              <w:jc w:val="center"/>
              <w:textAlignment w:val="auto"/>
              <w:outlineLvl w:val="9"/>
              <w:rPr>
                <w:rFonts w:hint="eastAsia" w:ascii="宋体" w:hAnsi="宋体" w:eastAsia="宋体" w:cs="宋体"/>
              </w:rPr>
            </w:pPr>
            <w:r>
              <w:rPr>
                <w:rFonts w:hint="eastAsia" w:ascii="宋体" w:hAnsi="宋体" w:eastAsia="宋体" w:cs="宋体"/>
                <w:sz w:val="24"/>
                <w:szCs w:val="24"/>
              </w:rPr>
              <w:t>序号</w:t>
            </w:r>
          </w:p>
        </w:tc>
        <w:tc>
          <w:tcPr>
            <w:tcW w:w="1590" w:type="dxa"/>
            <w:vAlign w:val="center"/>
          </w:tcPr>
          <w:p>
            <w:pPr>
              <w:keepNext w:val="0"/>
              <w:keepLines w:val="0"/>
              <w:pageBreakBefore w:val="0"/>
              <w:kinsoku/>
              <w:wordWrap/>
              <w:overflowPunct/>
              <w:topLinePunct w:val="0"/>
              <w:bidi w:val="0"/>
              <w:spacing w:line="460" w:lineRule="exact"/>
              <w:ind w:right="0" w:rightChars="0"/>
              <w:jc w:val="center"/>
              <w:textAlignment w:val="auto"/>
              <w:outlineLvl w:val="9"/>
              <w:rPr>
                <w:rFonts w:hint="eastAsia" w:ascii="宋体" w:hAnsi="宋体" w:eastAsia="宋体" w:cs="宋体"/>
              </w:rPr>
            </w:pPr>
            <w:r>
              <w:rPr>
                <w:rFonts w:hint="eastAsia" w:ascii="宋体" w:hAnsi="宋体" w:eastAsia="宋体" w:cs="宋体"/>
                <w:sz w:val="24"/>
                <w:szCs w:val="24"/>
              </w:rPr>
              <w:t>产品名称</w:t>
            </w:r>
          </w:p>
        </w:tc>
        <w:tc>
          <w:tcPr>
            <w:tcW w:w="1440" w:type="dxa"/>
            <w:vAlign w:val="center"/>
          </w:tcPr>
          <w:p>
            <w:pPr>
              <w:keepNext w:val="0"/>
              <w:keepLines w:val="0"/>
              <w:pageBreakBefore w:val="0"/>
              <w:kinsoku/>
              <w:wordWrap/>
              <w:overflowPunct/>
              <w:topLinePunct w:val="0"/>
              <w:bidi w:val="0"/>
              <w:spacing w:line="460" w:lineRule="exact"/>
              <w:ind w:right="0" w:rightChars="0"/>
              <w:jc w:val="center"/>
              <w:textAlignment w:val="auto"/>
              <w:outlineLvl w:val="9"/>
              <w:rPr>
                <w:rFonts w:hint="eastAsia" w:ascii="宋体" w:hAnsi="宋体" w:eastAsia="宋体" w:cs="宋体"/>
              </w:rPr>
            </w:pPr>
            <w:r>
              <w:rPr>
                <w:rFonts w:hint="eastAsia" w:ascii="宋体" w:hAnsi="宋体" w:eastAsia="宋体" w:cs="宋体"/>
                <w:sz w:val="24"/>
                <w:szCs w:val="24"/>
              </w:rPr>
              <w:t>规格型号</w:t>
            </w:r>
          </w:p>
        </w:tc>
        <w:tc>
          <w:tcPr>
            <w:tcW w:w="1500" w:type="dxa"/>
            <w:vAlign w:val="center"/>
          </w:tcPr>
          <w:p>
            <w:pPr>
              <w:keepNext w:val="0"/>
              <w:keepLines w:val="0"/>
              <w:pageBreakBefore w:val="0"/>
              <w:kinsoku/>
              <w:wordWrap/>
              <w:overflowPunct/>
              <w:topLinePunct w:val="0"/>
              <w:bidi w:val="0"/>
              <w:spacing w:line="460" w:lineRule="exact"/>
              <w:ind w:right="0" w:rightChars="0"/>
              <w:jc w:val="center"/>
              <w:textAlignment w:val="auto"/>
              <w:outlineLvl w:val="9"/>
              <w:rPr>
                <w:rFonts w:hint="eastAsia" w:ascii="宋体" w:hAnsi="宋体" w:eastAsia="宋体" w:cs="宋体"/>
              </w:rPr>
            </w:pPr>
            <w:r>
              <w:rPr>
                <w:rFonts w:hint="eastAsia" w:ascii="宋体" w:hAnsi="宋体" w:eastAsia="宋体" w:cs="宋体"/>
                <w:sz w:val="24"/>
                <w:szCs w:val="24"/>
              </w:rPr>
              <w:t>生产厂家</w:t>
            </w:r>
          </w:p>
        </w:tc>
        <w:tc>
          <w:tcPr>
            <w:tcW w:w="900" w:type="dxa"/>
            <w:vAlign w:val="center"/>
          </w:tcPr>
          <w:p>
            <w:pPr>
              <w:keepNext w:val="0"/>
              <w:keepLines w:val="0"/>
              <w:pageBreakBefore w:val="0"/>
              <w:kinsoku/>
              <w:wordWrap/>
              <w:overflowPunct/>
              <w:topLinePunct w:val="0"/>
              <w:bidi w:val="0"/>
              <w:spacing w:line="460" w:lineRule="exact"/>
              <w:ind w:right="0" w:rightChars="0"/>
              <w:jc w:val="center"/>
              <w:textAlignment w:val="auto"/>
              <w:outlineLvl w:val="9"/>
              <w:rPr>
                <w:rFonts w:hint="eastAsia" w:ascii="宋体" w:hAnsi="宋体" w:eastAsia="宋体" w:cs="宋体"/>
              </w:rPr>
            </w:pPr>
            <w:r>
              <w:rPr>
                <w:rFonts w:hint="eastAsia" w:ascii="宋体" w:hAnsi="宋体" w:eastAsia="宋体" w:cs="宋体"/>
                <w:sz w:val="24"/>
                <w:szCs w:val="24"/>
              </w:rPr>
              <w:t>单价</w:t>
            </w:r>
          </w:p>
        </w:tc>
        <w:tc>
          <w:tcPr>
            <w:tcW w:w="720" w:type="dxa"/>
            <w:vAlign w:val="center"/>
          </w:tcPr>
          <w:p>
            <w:pPr>
              <w:keepNext w:val="0"/>
              <w:keepLines w:val="0"/>
              <w:pageBreakBefore w:val="0"/>
              <w:kinsoku/>
              <w:wordWrap/>
              <w:overflowPunct/>
              <w:topLinePunct w:val="0"/>
              <w:bidi w:val="0"/>
              <w:spacing w:line="460" w:lineRule="exact"/>
              <w:ind w:right="0" w:rightChars="0"/>
              <w:jc w:val="center"/>
              <w:textAlignment w:val="auto"/>
              <w:outlineLvl w:val="9"/>
              <w:rPr>
                <w:rFonts w:hint="eastAsia" w:ascii="宋体" w:hAnsi="宋体" w:eastAsia="宋体" w:cs="宋体"/>
              </w:rPr>
            </w:pPr>
            <w:r>
              <w:rPr>
                <w:rFonts w:hint="eastAsia" w:ascii="宋体" w:hAnsi="宋体" w:eastAsia="宋体" w:cs="宋体"/>
                <w:sz w:val="24"/>
                <w:szCs w:val="24"/>
              </w:rPr>
              <w:t>数量(台)</w:t>
            </w:r>
          </w:p>
        </w:tc>
        <w:tc>
          <w:tcPr>
            <w:tcW w:w="1260" w:type="dxa"/>
            <w:vAlign w:val="center"/>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r>
              <w:rPr>
                <w:rFonts w:hint="eastAsia" w:ascii="宋体" w:hAnsi="宋体" w:eastAsia="宋体" w:cs="宋体"/>
                <w:sz w:val="24"/>
                <w:szCs w:val="24"/>
              </w:rPr>
              <w:t>金额合计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5" w:hRule="atLeast"/>
        </w:trPr>
        <w:tc>
          <w:tcPr>
            <w:tcW w:w="72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r>
              <w:rPr>
                <w:rFonts w:hint="eastAsia" w:ascii="宋体" w:hAnsi="宋体" w:eastAsia="宋体" w:cs="宋体"/>
                <w:sz w:val="24"/>
                <w:szCs w:val="24"/>
              </w:rPr>
              <w:t>1</w:t>
            </w:r>
          </w:p>
        </w:tc>
        <w:tc>
          <w:tcPr>
            <w:tcW w:w="159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144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150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90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72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126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5" w:hRule="atLeast"/>
        </w:trPr>
        <w:tc>
          <w:tcPr>
            <w:tcW w:w="72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159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144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150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90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72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1260" w:type="dxa"/>
            <w:tcBorders>
              <w:bottom w:val="single" w:color="auto" w:sz="4" w:space="0"/>
            </w:tcBorders>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1" w:hRule="atLeast"/>
        </w:trPr>
        <w:tc>
          <w:tcPr>
            <w:tcW w:w="720" w:type="dxa"/>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r>
              <w:rPr>
                <w:rFonts w:hint="eastAsia" w:ascii="宋体" w:hAnsi="宋体" w:eastAsia="宋体" w:cs="宋体"/>
                <w:sz w:val="24"/>
                <w:szCs w:val="24"/>
              </w:rPr>
              <w:t>总计</w:t>
            </w:r>
          </w:p>
        </w:tc>
        <w:tc>
          <w:tcPr>
            <w:tcW w:w="5430" w:type="dxa"/>
            <w:gridSpan w:val="4"/>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720" w:type="dxa"/>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c>
          <w:tcPr>
            <w:tcW w:w="1260" w:type="dxa"/>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720" w:type="dxa"/>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r>
              <w:rPr>
                <w:rFonts w:hint="eastAsia" w:ascii="宋体" w:hAnsi="宋体" w:eastAsia="宋体" w:cs="宋体"/>
                <w:sz w:val="24"/>
                <w:szCs w:val="24"/>
              </w:rPr>
              <w:t>金额总计（大写）</w:t>
            </w:r>
          </w:p>
        </w:tc>
        <w:tc>
          <w:tcPr>
            <w:tcW w:w="7410" w:type="dxa"/>
            <w:gridSpan w:val="6"/>
          </w:tcPr>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rPr>
            </w:pPr>
          </w:p>
        </w:tc>
      </w:tr>
    </w:tbl>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p>
    <w:p>
      <w:pPr>
        <w:keepNext w:val="0"/>
        <w:keepLines w:val="0"/>
        <w:pageBreakBefore w:val="0"/>
        <w:numPr>
          <w:ilvl w:val="0"/>
          <w:numId w:val="9"/>
        </w:numPr>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付款方式：货到后付款</w:t>
      </w:r>
    </w:p>
    <w:p>
      <w:pPr>
        <w:keepNext w:val="0"/>
        <w:keepLines w:val="0"/>
        <w:pageBreakBefore w:val="0"/>
        <w:numPr>
          <w:ilvl w:val="0"/>
          <w:numId w:val="9"/>
        </w:numPr>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供货时间：自签订合同之日起7天之内</w:t>
      </w:r>
    </w:p>
    <w:p>
      <w:pPr>
        <w:keepNext w:val="0"/>
        <w:keepLines w:val="0"/>
        <w:pageBreakBefore w:val="0"/>
        <w:numPr>
          <w:ilvl w:val="0"/>
          <w:numId w:val="9"/>
        </w:numPr>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质量要求及技术标准：按产品说明书技术参数或双方签订的技术协议</w:t>
      </w:r>
    </w:p>
    <w:p>
      <w:pPr>
        <w:keepNext w:val="0"/>
        <w:keepLines w:val="0"/>
        <w:pageBreakBefore w:val="0"/>
        <w:numPr>
          <w:ilvl w:val="0"/>
          <w:numId w:val="9"/>
        </w:numPr>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运输方式及交货地点：供方负责运输费用    交货地点：天津大学</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5．安装与调试：由用户出具验收合格证明。</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6．验收标准、保修期及保修方式：按产品说明书技术参数或双方签订的技术协议验收，验收合格后保修12个月，在30天内产品出现质量问题，乙方应无条件调换。保修期内产品出现问题，乙方上门维修。</w:t>
      </w:r>
    </w:p>
    <w:p>
      <w:pPr>
        <w:keepNext w:val="0"/>
        <w:keepLines w:val="0"/>
        <w:pageBreakBefore w:val="0"/>
        <w:numPr>
          <w:ilvl w:val="0"/>
          <w:numId w:val="10"/>
        </w:numPr>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不可抗力：由天灾、人祸、政策限制等不可抗力原因直接或间接引起的任何损失、损坏、交货延迟或不能交货，责任不在乙方。</w:t>
      </w:r>
    </w:p>
    <w:p>
      <w:pPr>
        <w:keepNext w:val="0"/>
        <w:keepLines w:val="0"/>
        <w:pageBreakBefore w:val="0"/>
        <w:numPr>
          <w:ilvl w:val="0"/>
          <w:numId w:val="10"/>
        </w:numPr>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违约责任：按中华人民共和国合同法有关规定执行。</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9．仲裁：双方必须依据中华人民共和国有关法律法规严格执行本合同。在执行过程中发生的一切争执，双方应在互相谅解和友好的基础上协商解决。如经协商解决仍达不成协议，任何一方均可向相应的仲裁机构申请仲裁或调解，仲裁费用由败诉方负担。</w:t>
      </w:r>
    </w:p>
    <w:p>
      <w:pPr>
        <w:keepNext w:val="0"/>
        <w:keepLines w:val="0"/>
        <w:pageBreakBefore w:val="0"/>
        <w:numPr>
          <w:ilvl w:val="0"/>
          <w:numId w:val="11"/>
        </w:numPr>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合同的生效、终止和其他：</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10.1本合同从双方单位法人代表（或法人代理）签字盖章之日起生效。</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10.2本合同在双方的责任、义务履行完毕后终止。</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10.3本合同的修改及增补应以双方授权代表签署的书面文件为准。</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10.4在履行本合同期内，各方的所有往来通知均应采用可靠的书面方式。</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11． 本合同一式三份，甲方存留两份，乙方存留一份。</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12．备注：</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甲方                                               乙方</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签字：                                             签字：</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盖章                                               盖章：</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日期                                               日期：</w:t>
      </w:r>
    </w:p>
    <w:p>
      <w:pPr>
        <w:keepNext w:val="0"/>
        <w:keepLines w:val="0"/>
        <w:pageBreakBefore w:val="0"/>
        <w:kinsoku/>
        <w:wordWrap/>
        <w:overflowPunct/>
        <w:topLinePunct w:val="0"/>
        <w:bidi w:val="0"/>
        <w:spacing w:line="460" w:lineRule="exact"/>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注：如涉及到中央政府采购目录中的商品，则另外选用中央政府采购合同文本。</w:t>
      </w:r>
    </w:p>
    <w:p>
      <w:pPr>
        <w:pStyle w:val="28"/>
        <w:keepNext w:val="0"/>
        <w:keepLines w:val="0"/>
        <w:pageBreakBefore w:val="0"/>
        <w:kinsoku/>
        <w:wordWrap/>
        <w:overflowPunct/>
        <w:topLinePunct w:val="0"/>
        <w:bidi w:val="0"/>
        <w:spacing w:before="0" w:after="0" w:line="460" w:lineRule="exact"/>
        <w:ind w:right="0" w:rightChars="0"/>
        <w:textAlignment w:val="auto"/>
        <w:rPr>
          <w:rFonts w:hint="eastAsia" w:ascii="宋体" w:hAnsi="宋体" w:eastAsia="宋体" w:cs="宋体"/>
          <w:color w:val="000000"/>
          <w:sz w:val="28"/>
          <w:szCs w:val="28"/>
        </w:rPr>
      </w:pPr>
      <w:r>
        <w:rPr>
          <w:rFonts w:hint="eastAsia" w:ascii="宋体" w:hAnsi="宋体" w:eastAsia="宋体" w:cs="宋体"/>
          <w:color w:val="000000"/>
          <w:sz w:val="24"/>
          <w:szCs w:val="24"/>
        </w:rPr>
        <w:br w:type="page"/>
      </w:r>
      <w:bookmarkEnd w:id="127"/>
      <w:bookmarkStart w:id="132" w:name="_Toc125713436"/>
      <w:bookmarkStart w:id="133" w:name="_Toc395105687"/>
      <w:bookmarkStart w:id="134" w:name="_Toc23944"/>
      <w:bookmarkStart w:id="135" w:name="_Toc376852377"/>
      <w:bookmarkStart w:id="136" w:name="_Toc470007448"/>
      <w:bookmarkStart w:id="137" w:name="_Toc395085168"/>
      <w:bookmarkStart w:id="138" w:name="_Toc665"/>
      <w:r>
        <w:rPr>
          <w:rFonts w:hint="eastAsia" w:ascii="宋体" w:hAnsi="宋体" w:eastAsia="宋体" w:cs="宋体"/>
          <w:color w:val="000000"/>
          <w:sz w:val="28"/>
          <w:szCs w:val="28"/>
        </w:rPr>
        <w:t>第六部分：响应文件格式</w:t>
      </w:r>
      <w:bookmarkEnd w:id="132"/>
      <w:bookmarkEnd w:id="133"/>
      <w:bookmarkEnd w:id="134"/>
      <w:bookmarkEnd w:id="135"/>
      <w:bookmarkEnd w:id="136"/>
      <w:bookmarkEnd w:id="137"/>
      <w:bookmarkEnd w:id="138"/>
    </w:p>
    <w:p>
      <w:pPr>
        <w:pStyle w:val="109"/>
        <w:keepNext w:val="0"/>
        <w:keepLines w:val="0"/>
        <w:pageBreakBefore w:val="0"/>
        <w:kinsoku/>
        <w:wordWrap/>
        <w:overflowPunct/>
        <w:topLinePunct w:val="0"/>
        <w:bidi w:val="0"/>
        <w:spacing w:after="0" w:line="460" w:lineRule="exact"/>
        <w:ind w:right="0" w:rightChars="0"/>
        <w:textAlignment w:val="auto"/>
        <w:outlineLvl w:val="9"/>
        <w:rPr>
          <w:rFonts w:hint="eastAsia" w:ascii="宋体" w:hAnsi="宋体" w:eastAsia="宋体" w:cs="宋体"/>
          <w:b/>
          <w:bCs/>
          <w:color w:val="000000"/>
          <w:sz w:val="24"/>
          <w:szCs w:val="24"/>
        </w:rPr>
      </w:pPr>
    </w:p>
    <w:p>
      <w:pPr>
        <w:keepNext w:val="0"/>
        <w:keepLines w:val="0"/>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bookmarkStart w:id="139" w:name="_Toc125713437"/>
      <w:bookmarkStart w:id="140" w:name="_Toc376852378"/>
      <w:r>
        <w:rPr>
          <w:rFonts w:hint="eastAsia" w:ascii="宋体" w:hAnsi="宋体" w:eastAsia="宋体" w:cs="宋体"/>
          <w:sz w:val="24"/>
          <w:szCs w:val="24"/>
        </w:rPr>
        <w:t>投标人提交文件须知</w:t>
      </w:r>
      <w:bookmarkEnd w:id="139"/>
      <w:bookmarkEnd w:id="140"/>
    </w:p>
    <w:p>
      <w:pPr>
        <w:keepNext w:val="0"/>
        <w:keepLines w:val="0"/>
        <w:pageBreakBefore w:val="0"/>
        <w:kinsoku/>
        <w:wordWrap/>
        <w:overflowPunct/>
        <w:topLinePunct w:val="0"/>
        <w:bidi w:val="0"/>
        <w:adjustRightInd w:val="0"/>
        <w:snapToGrid w:val="0"/>
        <w:spacing w:line="460" w:lineRule="exact"/>
        <w:ind w:left="240" w:right="0" w:rightChars="0" w:hanging="240" w:hangingChars="100"/>
        <w:textAlignment w:val="auto"/>
        <w:outlineLvl w:val="9"/>
        <w:rPr>
          <w:rFonts w:hint="eastAsia" w:ascii="宋体" w:hAnsi="宋体" w:eastAsia="宋体" w:cs="宋体"/>
          <w:sz w:val="24"/>
          <w:szCs w:val="24"/>
        </w:rPr>
      </w:pPr>
      <w:r>
        <w:rPr>
          <w:rFonts w:hint="eastAsia" w:ascii="宋体" w:hAnsi="宋体" w:eastAsia="宋体" w:cs="宋体"/>
          <w:sz w:val="24"/>
          <w:szCs w:val="24"/>
        </w:rPr>
        <w:t>1.投标人应严格按照以下顺序填写和提交下述规定的全部格式文件，竞争性磋商文件第11条规定提交的其他有关资料未给出格式文件的，由投标人自行设计编写。混乱的编排导致响应文件被误读或查找不到，后果由投标人承担。</w:t>
      </w:r>
    </w:p>
    <w:p>
      <w:pPr>
        <w:keepNext w:val="0"/>
        <w:keepLines w:val="0"/>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2.所附表格中要求回答的全部问题和信息都必须正面回答。</w:t>
      </w:r>
    </w:p>
    <w:p>
      <w:pPr>
        <w:keepNext w:val="0"/>
        <w:keepLines w:val="0"/>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3.本资格声明的签字人应保证全部声明和问题的回答是真实的和准确的。</w:t>
      </w:r>
    </w:p>
    <w:p>
      <w:pPr>
        <w:keepNext w:val="0"/>
        <w:keepLines w:val="0"/>
        <w:pageBreakBefore w:val="0"/>
        <w:kinsoku/>
        <w:wordWrap/>
        <w:overflowPunct/>
        <w:topLinePunct w:val="0"/>
        <w:bidi w:val="0"/>
        <w:adjustRightInd w:val="0"/>
        <w:snapToGrid w:val="0"/>
        <w:spacing w:line="460" w:lineRule="exact"/>
        <w:ind w:left="240" w:right="0" w:rightChars="0" w:hanging="240" w:hangingChars="100"/>
        <w:textAlignment w:val="auto"/>
        <w:outlineLvl w:val="9"/>
        <w:rPr>
          <w:rFonts w:hint="eastAsia" w:ascii="宋体" w:hAnsi="宋体" w:eastAsia="宋体" w:cs="宋体"/>
          <w:sz w:val="24"/>
          <w:szCs w:val="24"/>
        </w:rPr>
      </w:pPr>
      <w:r>
        <w:rPr>
          <w:rFonts w:hint="eastAsia" w:ascii="宋体" w:hAnsi="宋体" w:eastAsia="宋体" w:cs="宋体"/>
          <w:sz w:val="24"/>
          <w:szCs w:val="24"/>
        </w:rPr>
        <w:t>4.磋商小组将应用投标人提交的资料并根据自己的判断，决定投标人履行合同的合格性及能力。</w:t>
      </w:r>
    </w:p>
    <w:p>
      <w:pPr>
        <w:keepNext w:val="0"/>
        <w:keepLines w:val="0"/>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5.投标人提交的材料将被保密保存，但不退还。</w:t>
      </w:r>
    </w:p>
    <w:p>
      <w:pPr>
        <w:keepNext w:val="0"/>
        <w:keepLines w:val="0"/>
        <w:pageBreakBefore w:val="0"/>
        <w:kinsoku/>
        <w:wordWrap/>
        <w:overflowPunct/>
        <w:topLinePunct w:val="0"/>
        <w:bidi w:val="0"/>
        <w:adjustRightInd w:val="0"/>
        <w:snapToGrid w:val="0"/>
        <w:spacing w:line="46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6.全部文件应按投标人须知中规定的语言和份数提交。</w:t>
      </w:r>
    </w:p>
    <w:p>
      <w:pPr>
        <w:keepNext w:val="0"/>
        <w:keepLines w:val="0"/>
        <w:pageBreakBefore w:val="0"/>
        <w:widowControl/>
        <w:kinsoku/>
        <w:wordWrap/>
        <w:overflowPunct/>
        <w:topLinePunct w:val="0"/>
        <w:bidi w:val="0"/>
        <w:spacing w:line="460" w:lineRule="exact"/>
        <w:ind w:right="0" w:rightChars="0"/>
        <w:jc w:val="left"/>
        <w:textAlignment w:val="auto"/>
        <w:outlineLvl w:val="9"/>
        <w:rPr>
          <w:rFonts w:hint="eastAsia" w:ascii="宋体" w:hAnsi="宋体" w:eastAsia="宋体" w:cs="宋体"/>
          <w:sz w:val="24"/>
          <w:szCs w:val="24"/>
        </w:rPr>
      </w:pPr>
      <w:bookmarkStart w:id="141" w:name="_Toc376852379"/>
      <w:bookmarkStart w:id="142" w:name="_Toc395105688"/>
      <w:bookmarkStart w:id="143" w:name="_Toc395107061"/>
      <w:r>
        <w:rPr>
          <w:rFonts w:hint="eastAsia" w:ascii="宋体" w:hAnsi="宋体" w:eastAsia="宋体" w:cs="宋体"/>
          <w:sz w:val="24"/>
          <w:szCs w:val="24"/>
        </w:rPr>
        <w:br w:type="page"/>
      </w:r>
    </w:p>
    <w:p>
      <w:pPr>
        <w:outlineLvl w:val="9"/>
        <w:rPr>
          <w:rFonts w:hint="eastAsia" w:ascii="宋体" w:hAnsi="宋体" w:eastAsia="宋体" w:cs="宋体"/>
          <w:b/>
          <w:sz w:val="24"/>
          <w:szCs w:val="24"/>
        </w:rPr>
      </w:pPr>
      <w:r>
        <w:rPr>
          <w:rFonts w:hint="eastAsia" w:ascii="宋体" w:hAnsi="宋体" w:eastAsia="宋体" w:cs="宋体"/>
          <w:b/>
          <w:sz w:val="24"/>
          <w:szCs w:val="24"/>
        </w:rPr>
        <w:t>一、封面</w:t>
      </w:r>
    </w:p>
    <w:p>
      <w:pPr>
        <w:outlineLvl w:val="9"/>
        <w:rPr>
          <w:rFonts w:hint="eastAsia" w:ascii="宋体" w:hAnsi="宋体" w:eastAsia="宋体" w:cs="宋体"/>
          <w:b/>
          <w:sz w:val="24"/>
          <w:szCs w:val="24"/>
        </w:rPr>
      </w:pPr>
    </w:p>
    <w:p>
      <w:pPr>
        <w:outlineLvl w:val="9"/>
        <w:rPr>
          <w:rFonts w:hint="eastAsia" w:ascii="宋体" w:hAnsi="宋体" w:eastAsia="宋体" w:cs="宋体"/>
          <w:b/>
          <w:sz w:val="24"/>
          <w:szCs w:val="24"/>
        </w:rPr>
      </w:pPr>
    </w:p>
    <w:bookmarkEnd w:id="141"/>
    <w:bookmarkEnd w:id="142"/>
    <w:bookmarkEnd w:id="143"/>
    <w:p>
      <w:pPr>
        <w:outlineLvl w:val="9"/>
        <w:rPr>
          <w:rFonts w:hint="eastAsia" w:ascii="宋体" w:hAnsi="宋体" w:eastAsia="宋体" w:cs="宋体"/>
          <w:b/>
          <w:sz w:val="24"/>
          <w:szCs w:val="24"/>
        </w:rPr>
      </w:pPr>
    </w:p>
    <w:p>
      <w:pPr>
        <w:outlineLvl w:val="9"/>
        <w:rPr>
          <w:rFonts w:hint="eastAsia" w:ascii="宋体" w:hAnsi="宋体" w:eastAsia="宋体" w:cs="宋体"/>
          <w:b/>
          <w:sz w:val="24"/>
          <w:szCs w:val="24"/>
        </w:rPr>
      </w:pPr>
    </w:p>
    <w:p>
      <w:pPr>
        <w:outlineLvl w:val="9"/>
        <w:rPr>
          <w:rFonts w:hint="eastAsia" w:ascii="宋体" w:hAnsi="宋体" w:eastAsia="宋体" w:cs="宋体"/>
          <w:b/>
          <w:sz w:val="24"/>
          <w:szCs w:val="24"/>
        </w:rPr>
      </w:pPr>
      <w:r>
        <w:rPr>
          <w:rFonts w:hint="eastAsia" w:ascii="宋体" w:hAnsi="宋体" w:eastAsia="宋体" w:cs="宋体"/>
          <w:b/>
          <w:sz w:val="24"/>
          <w:szCs w:val="24"/>
        </w:rPr>
        <w:pict>
          <v:rect id="_x0000_s1026" o:spid="_x0000_s1026" o:spt="1" style="position:absolute;left:0pt;margin-left:267.75pt;margin-top:8.75pt;height:31.2pt;width:126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">
            <v:path/>
            <v:fill focussize="0,0"/>
            <v:stroke/>
            <v:imagedata o:title=""/>
            <o:lock v:ext="edit"/>
            <v:textbox>
              <w:txbxContent>
                <w:p>
                  <w:pPr>
                    <w:jc w:val="center"/>
                    <w:rPr>
                      <w:sz w:val="28"/>
                    </w:rPr>
                  </w:pPr>
                  <w:r>
                    <w:rPr>
                      <w:rFonts w:hint="eastAsia"/>
                      <w:sz w:val="28"/>
                    </w:rPr>
                    <w:t>注明正本或副本</w:t>
                  </w:r>
                </w:p>
              </w:txbxContent>
            </v:textbox>
          </v:rect>
        </w:pict>
      </w:r>
    </w:p>
    <w:p>
      <w:pPr>
        <w:outlineLvl w:val="9"/>
        <w:rPr>
          <w:rFonts w:hint="eastAsia" w:ascii="宋体" w:hAnsi="宋体" w:eastAsia="宋体" w:cs="宋体"/>
          <w:b/>
          <w:sz w:val="24"/>
          <w:szCs w:val="24"/>
        </w:rPr>
      </w:pPr>
    </w:p>
    <w:p>
      <w:pPr>
        <w:outlineLvl w:val="9"/>
        <w:rPr>
          <w:rFonts w:hint="eastAsia" w:ascii="宋体" w:hAnsi="宋体" w:eastAsia="宋体" w:cs="宋体"/>
          <w:b/>
          <w:sz w:val="24"/>
          <w:szCs w:val="24"/>
        </w:rPr>
      </w:pPr>
    </w:p>
    <w:p>
      <w:pPr>
        <w:outlineLvl w:val="9"/>
        <w:rPr>
          <w:rFonts w:hint="eastAsia" w:ascii="宋体" w:hAnsi="宋体" w:eastAsia="宋体" w:cs="宋体"/>
          <w:b/>
          <w:sz w:val="24"/>
          <w:szCs w:val="24"/>
        </w:rPr>
      </w:pPr>
    </w:p>
    <w:p>
      <w:pPr>
        <w:outlineLvl w:val="9"/>
        <w:rPr>
          <w:rFonts w:hint="eastAsia" w:ascii="宋体" w:hAnsi="宋体" w:eastAsia="宋体" w:cs="宋体"/>
          <w:b/>
          <w:sz w:val="24"/>
          <w:szCs w:val="24"/>
        </w:rPr>
      </w:pPr>
    </w:p>
    <w:p>
      <w:pPr>
        <w:outlineLvl w:val="9"/>
        <w:rPr>
          <w:rFonts w:hint="eastAsia" w:ascii="宋体" w:hAnsi="宋体" w:eastAsia="宋体" w:cs="宋体"/>
          <w:b/>
          <w:sz w:val="24"/>
          <w:szCs w:val="24"/>
        </w:rPr>
      </w:pPr>
    </w:p>
    <w:p>
      <w:pPr>
        <w:outlineLvl w:val="9"/>
        <w:rPr>
          <w:rFonts w:hint="eastAsia" w:ascii="宋体" w:hAnsi="宋体" w:eastAsia="宋体" w:cs="宋体"/>
          <w:b/>
          <w:sz w:val="24"/>
          <w:szCs w:val="24"/>
        </w:rPr>
      </w:pPr>
    </w:p>
    <w:p>
      <w:pPr>
        <w:outlineLvl w:val="9"/>
        <w:rPr>
          <w:rFonts w:hint="eastAsia" w:ascii="宋体" w:hAnsi="宋体" w:eastAsia="宋体" w:cs="宋体"/>
          <w:b/>
          <w:sz w:val="24"/>
          <w:szCs w:val="24"/>
        </w:rPr>
      </w:pPr>
    </w:p>
    <w:p>
      <w:pPr>
        <w:jc w:val="center"/>
        <w:outlineLvl w:val="9"/>
        <w:rPr>
          <w:rFonts w:hint="eastAsia" w:ascii="宋体" w:hAnsi="宋体" w:eastAsia="宋体" w:cs="宋体"/>
          <w:b/>
          <w:sz w:val="72"/>
          <w:szCs w:val="24"/>
        </w:rPr>
      </w:pPr>
      <w:r>
        <w:rPr>
          <w:rFonts w:hint="eastAsia" w:ascii="宋体" w:hAnsi="宋体" w:eastAsia="宋体" w:cs="宋体"/>
          <w:b/>
          <w:sz w:val="72"/>
          <w:szCs w:val="24"/>
        </w:rPr>
        <w:t>响 应 文 件</w:t>
      </w:r>
    </w:p>
    <w:p>
      <w:pPr>
        <w:jc w:val="center"/>
        <w:outlineLvl w:val="9"/>
        <w:rPr>
          <w:rFonts w:hint="eastAsia" w:ascii="宋体" w:hAnsi="宋体" w:eastAsia="宋体" w:cs="宋体"/>
          <w:b/>
          <w:sz w:val="36"/>
          <w:szCs w:val="24"/>
        </w:rPr>
      </w:pPr>
    </w:p>
    <w:p>
      <w:pPr>
        <w:jc w:val="center"/>
        <w:outlineLvl w:val="9"/>
        <w:rPr>
          <w:rFonts w:hint="eastAsia" w:ascii="宋体" w:hAnsi="宋体" w:eastAsia="宋体" w:cs="宋体"/>
          <w:b/>
          <w:sz w:val="36"/>
          <w:szCs w:val="24"/>
        </w:rPr>
      </w:pPr>
    </w:p>
    <w:p>
      <w:pPr>
        <w:jc w:val="center"/>
        <w:outlineLvl w:val="9"/>
        <w:rPr>
          <w:rFonts w:hint="eastAsia" w:ascii="宋体" w:hAnsi="宋体" w:eastAsia="宋体" w:cs="宋体"/>
          <w:b/>
          <w:sz w:val="32"/>
          <w:szCs w:val="24"/>
          <w:highlight w:val="none"/>
        </w:rPr>
      </w:pPr>
      <w:bookmarkStart w:id="144" w:name="_Toc395085169"/>
      <w:r>
        <w:rPr>
          <w:rFonts w:hint="eastAsia" w:ascii="宋体" w:hAnsi="宋体" w:eastAsia="宋体" w:cs="宋体"/>
          <w:b/>
          <w:sz w:val="32"/>
          <w:szCs w:val="24"/>
        </w:rPr>
        <w:t>项目名称：</w:t>
      </w:r>
      <w:bookmarkEnd w:id="144"/>
      <w:r>
        <w:rPr>
          <w:rFonts w:hint="eastAsia" w:cs="宋体"/>
          <w:b/>
          <w:sz w:val="32"/>
          <w:szCs w:val="24"/>
          <w:lang w:eastAsia="zh-CN"/>
        </w:rPr>
        <w:t>天津大学PLC控制电缆等一批材料项目</w:t>
      </w:r>
    </w:p>
    <w:p>
      <w:pPr>
        <w:jc w:val="center"/>
        <w:outlineLvl w:val="9"/>
        <w:rPr>
          <w:rFonts w:hint="eastAsia" w:ascii="宋体" w:hAnsi="宋体" w:eastAsia="宋体" w:cs="宋体"/>
          <w:b/>
          <w:sz w:val="32"/>
          <w:szCs w:val="24"/>
          <w:highlight w:val="none"/>
        </w:rPr>
      </w:pPr>
    </w:p>
    <w:p>
      <w:pPr>
        <w:jc w:val="center"/>
        <w:outlineLvl w:val="9"/>
        <w:rPr>
          <w:rFonts w:hint="eastAsia" w:ascii="宋体" w:hAnsi="宋体" w:eastAsia="宋体" w:cs="宋体"/>
          <w:b/>
          <w:sz w:val="32"/>
          <w:szCs w:val="24"/>
          <w:highlight w:val="none"/>
        </w:rPr>
      </w:pPr>
      <w:r>
        <w:rPr>
          <w:rFonts w:hint="eastAsia" w:ascii="宋体" w:hAnsi="宋体" w:eastAsia="宋体" w:cs="宋体"/>
          <w:b/>
          <w:sz w:val="32"/>
          <w:szCs w:val="24"/>
          <w:highlight w:val="none"/>
        </w:rPr>
        <w:t>项目编号：</w:t>
      </w:r>
      <w:r>
        <w:rPr>
          <w:rFonts w:hint="eastAsia" w:cs="宋体"/>
          <w:b/>
          <w:sz w:val="32"/>
          <w:szCs w:val="24"/>
          <w:highlight w:val="none"/>
          <w:lang w:eastAsia="zh-CN"/>
        </w:rPr>
        <w:t>TDZC2017W0010</w:t>
      </w:r>
    </w:p>
    <w:p>
      <w:pPr>
        <w:outlineLvl w:val="9"/>
        <w:rPr>
          <w:rFonts w:hint="eastAsia" w:ascii="宋体" w:hAnsi="宋体" w:eastAsia="宋体" w:cs="宋体"/>
          <w:b/>
          <w:sz w:val="36"/>
          <w:szCs w:val="24"/>
        </w:rPr>
      </w:pPr>
    </w:p>
    <w:p>
      <w:pPr>
        <w:outlineLvl w:val="9"/>
        <w:rPr>
          <w:rFonts w:hint="eastAsia" w:ascii="宋体" w:hAnsi="宋体" w:eastAsia="宋体" w:cs="宋体"/>
          <w:b/>
          <w:sz w:val="32"/>
          <w:szCs w:val="24"/>
        </w:rPr>
      </w:pPr>
    </w:p>
    <w:p>
      <w:pPr>
        <w:outlineLvl w:val="9"/>
        <w:rPr>
          <w:rFonts w:hint="eastAsia" w:ascii="宋体" w:hAnsi="宋体" w:eastAsia="宋体" w:cs="宋体"/>
          <w:b/>
          <w:sz w:val="32"/>
          <w:szCs w:val="24"/>
        </w:rPr>
      </w:pPr>
    </w:p>
    <w:p>
      <w:pPr>
        <w:outlineLvl w:val="9"/>
        <w:rPr>
          <w:rFonts w:hint="eastAsia" w:ascii="宋体" w:hAnsi="宋体" w:eastAsia="宋体" w:cs="宋体"/>
          <w:b/>
          <w:sz w:val="32"/>
          <w:szCs w:val="24"/>
        </w:rPr>
      </w:pPr>
    </w:p>
    <w:p>
      <w:pPr>
        <w:outlineLvl w:val="9"/>
        <w:rPr>
          <w:rFonts w:hint="eastAsia" w:ascii="宋体" w:hAnsi="宋体" w:eastAsia="宋体" w:cs="宋体"/>
          <w:b/>
          <w:sz w:val="32"/>
          <w:szCs w:val="24"/>
        </w:rPr>
      </w:pPr>
    </w:p>
    <w:p>
      <w:pPr>
        <w:outlineLvl w:val="9"/>
        <w:rPr>
          <w:rFonts w:hint="eastAsia" w:ascii="宋体" w:hAnsi="宋体" w:eastAsia="宋体" w:cs="宋体"/>
          <w:b/>
          <w:sz w:val="32"/>
          <w:szCs w:val="24"/>
        </w:rPr>
      </w:pPr>
    </w:p>
    <w:p>
      <w:pPr>
        <w:outlineLvl w:val="9"/>
        <w:rPr>
          <w:rFonts w:hint="eastAsia" w:ascii="宋体" w:hAnsi="宋体" w:eastAsia="宋体" w:cs="宋体"/>
          <w:b/>
          <w:sz w:val="32"/>
          <w:szCs w:val="24"/>
        </w:rPr>
      </w:pPr>
    </w:p>
    <w:p>
      <w:pPr>
        <w:outlineLvl w:val="9"/>
        <w:rPr>
          <w:rFonts w:hint="eastAsia" w:ascii="宋体" w:hAnsi="宋体" w:eastAsia="宋体" w:cs="宋体"/>
          <w:b/>
          <w:sz w:val="32"/>
          <w:szCs w:val="24"/>
        </w:rPr>
      </w:pPr>
    </w:p>
    <w:p>
      <w:pPr>
        <w:outlineLvl w:val="9"/>
        <w:rPr>
          <w:rFonts w:hint="eastAsia" w:ascii="宋体" w:hAnsi="宋体" w:eastAsia="宋体" w:cs="宋体"/>
          <w:b/>
          <w:sz w:val="32"/>
          <w:szCs w:val="24"/>
        </w:rPr>
      </w:pPr>
    </w:p>
    <w:p>
      <w:pPr>
        <w:adjustRightInd w:val="0"/>
        <w:snapToGrid w:val="0"/>
        <w:outlineLvl w:val="9"/>
        <w:rPr>
          <w:rFonts w:hint="eastAsia" w:ascii="宋体" w:hAnsi="宋体" w:eastAsia="宋体" w:cs="宋体"/>
          <w:sz w:val="28"/>
          <w:szCs w:val="24"/>
          <w:u w:val="single"/>
        </w:rPr>
      </w:pPr>
      <w:bookmarkStart w:id="145" w:name="_Toc115756055"/>
      <w:r>
        <w:rPr>
          <w:rFonts w:hint="eastAsia" w:ascii="宋体" w:hAnsi="宋体" w:eastAsia="宋体" w:cs="宋体"/>
          <w:sz w:val="28"/>
          <w:szCs w:val="24"/>
        </w:rPr>
        <w:t>投标人全称（加盖单位公章）：</w:t>
      </w:r>
      <w:r>
        <w:rPr>
          <w:rFonts w:hint="eastAsia" w:ascii="宋体" w:hAnsi="宋体" w:eastAsia="宋体" w:cs="宋体"/>
          <w:sz w:val="28"/>
          <w:szCs w:val="24"/>
          <w:u w:val="single"/>
        </w:rPr>
        <w:t xml:space="preserve">                              </w:t>
      </w:r>
    </w:p>
    <w:p>
      <w:pPr>
        <w:adjustRightInd w:val="0"/>
        <w:snapToGrid w:val="0"/>
        <w:outlineLvl w:val="9"/>
        <w:rPr>
          <w:rFonts w:hint="eastAsia" w:ascii="宋体" w:hAnsi="宋体" w:eastAsia="宋体" w:cs="宋体"/>
          <w:sz w:val="28"/>
          <w:szCs w:val="24"/>
          <w:u w:val="single"/>
        </w:rPr>
      </w:pPr>
      <w:r>
        <w:rPr>
          <w:rFonts w:hint="eastAsia" w:ascii="宋体" w:hAnsi="宋体" w:eastAsia="宋体" w:cs="宋体"/>
          <w:sz w:val="28"/>
          <w:szCs w:val="24"/>
        </w:rPr>
        <w:t>法定代表人印刷体姓名：</w:t>
      </w:r>
      <w:r>
        <w:rPr>
          <w:rFonts w:hint="eastAsia" w:ascii="宋体" w:hAnsi="宋体" w:eastAsia="宋体" w:cs="宋体"/>
          <w:sz w:val="28"/>
          <w:szCs w:val="24"/>
          <w:u w:val="single"/>
        </w:rPr>
        <w:t xml:space="preserve">           </w:t>
      </w:r>
      <w:r>
        <w:rPr>
          <w:rFonts w:hint="eastAsia" w:ascii="宋体" w:hAnsi="宋体" w:eastAsia="宋体" w:cs="宋体"/>
          <w:sz w:val="28"/>
          <w:szCs w:val="24"/>
        </w:rPr>
        <w:t xml:space="preserve"> 签字： </w:t>
      </w:r>
      <w:r>
        <w:rPr>
          <w:rFonts w:hint="eastAsia" w:ascii="宋体" w:hAnsi="宋体" w:eastAsia="宋体" w:cs="宋体"/>
          <w:sz w:val="28"/>
          <w:szCs w:val="24"/>
          <w:u w:val="single"/>
        </w:rPr>
        <w:t xml:space="preserve">                </w:t>
      </w:r>
      <w:r>
        <w:rPr>
          <w:rFonts w:hint="eastAsia" w:ascii="宋体" w:hAnsi="宋体" w:eastAsia="宋体" w:cs="宋体"/>
          <w:sz w:val="28"/>
          <w:szCs w:val="24"/>
        </w:rPr>
        <w:t xml:space="preserve">  </w:t>
      </w:r>
    </w:p>
    <w:p>
      <w:pPr>
        <w:adjustRightInd w:val="0"/>
        <w:snapToGrid w:val="0"/>
        <w:outlineLvl w:val="9"/>
        <w:rPr>
          <w:rFonts w:hint="eastAsia" w:ascii="宋体" w:hAnsi="宋体" w:eastAsia="宋体" w:cs="宋体"/>
          <w:sz w:val="28"/>
          <w:szCs w:val="24"/>
          <w:u w:val="single"/>
        </w:rPr>
      </w:pPr>
      <w:r>
        <w:rPr>
          <w:rFonts w:hint="eastAsia" w:ascii="宋体" w:hAnsi="宋体" w:eastAsia="宋体" w:cs="宋体"/>
          <w:sz w:val="28"/>
          <w:szCs w:val="24"/>
        </w:rPr>
        <w:t>授权代表印刷体姓名：</w:t>
      </w:r>
      <w:r>
        <w:rPr>
          <w:rFonts w:hint="eastAsia" w:ascii="宋体" w:hAnsi="宋体" w:eastAsia="宋体" w:cs="宋体"/>
          <w:sz w:val="28"/>
          <w:szCs w:val="24"/>
          <w:u w:val="single"/>
        </w:rPr>
        <w:t xml:space="preserve">             </w:t>
      </w:r>
      <w:r>
        <w:rPr>
          <w:rFonts w:hint="eastAsia" w:ascii="宋体" w:hAnsi="宋体" w:eastAsia="宋体" w:cs="宋体"/>
          <w:sz w:val="28"/>
          <w:szCs w:val="24"/>
        </w:rPr>
        <w:t xml:space="preserve"> 签字： </w:t>
      </w:r>
      <w:r>
        <w:rPr>
          <w:rFonts w:hint="eastAsia" w:ascii="宋体" w:hAnsi="宋体" w:eastAsia="宋体" w:cs="宋体"/>
          <w:sz w:val="28"/>
          <w:szCs w:val="24"/>
          <w:u w:val="single"/>
        </w:rPr>
        <w:t xml:space="preserve">                </w:t>
      </w:r>
      <w:r>
        <w:rPr>
          <w:rFonts w:hint="eastAsia" w:ascii="宋体" w:hAnsi="宋体" w:eastAsia="宋体" w:cs="宋体"/>
          <w:sz w:val="28"/>
          <w:szCs w:val="24"/>
        </w:rPr>
        <w:t xml:space="preserve">    </w:t>
      </w:r>
      <w:r>
        <w:rPr>
          <w:rFonts w:hint="eastAsia" w:ascii="宋体" w:hAnsi="宋体" w:eastAsia="宋体" w:cs="宋体"/>
          <w:sz w:val="28"/>
          <w:szCs w:val="24"/>
          <w:u w:val="single"/>
        </w:rPr>
        <w:t xml:space="preserve">             </w:t>
      </w:r>
      <w:r>
        <w:rPr>
          <w:rFonts w:hint="eastAsia" w:ascii="宋体" w:hAnsi="宋体" w:eastAsia="宋体" w:cs="宋体"/>
          <w:sz w:val="28"/>
          <w:szCs w:val="24"/>
        </w:rPr>
        <w:t xml:space="preserve">  </w:t>
      </w:r>
    </w:p>
    <w:p>
      <w:pPr>
        <w:adjustRightInd w:val="0"/>
        <w:snapToGrid w:val="0"/>
        <w:outlineLvl w:val="9"/>
        <w:rPr>
          <w:rFonts w:hint="eastAsia" w:ascii="宋体" w:hAnsi="宋体" w:eastAsia="宋体" w:cs="宋体"/>
          <w:sz w:val="28"/>
          <w:szCs w:val="24"/>
          <w:u w:val="single"/>
        </w:rPr>
      </w:pPr>
      <w:r>
        <w:rPr>
          <w:rFonts w:hint="eastAsia" w:ascii="宋体" w:hAnsi="宋体" w:eastAsia="宋体" w:cs="宋体"/>
          <w:sz w:val="28"/>
          <w:szCs w:val="24"/>
        </w:rPr>
        <w:t xml:space="preserve">投标人地址：   </w:t>
      </w:r>
      <w:r>
        <w:rPr>
          <w:rFonts w:hint="eastAsia" w:ascii="宋体" w:hAnsi="宋体" w:eastAsia="宋体" w:cs="宋体"/>
          <w:sz w:val="28"/>
          <w:szCs w:val="24"/>
          <w:u w:val="single"/>
        </w:rPr>
        <w:t xml:space="preserve">                                          </w:t>
      </w:r>
    </w:p>
    <w:p>
      <w:pPr>
        <w:adjustRightInd w:val="0"/>
        <w:snapToGrid w:val="0"/>
        <w:outlineLvl w:val="9"/>
        <w:rPr>
          <w:rFonts w:hint="eastAsia" w:ascii="宋体" w:hAnsi="宋体" w:eastAsia="宋体" w:cs="宋体"/>
          <w:sz w:val="28"/>
          <w:szCs w:val="24"/>
          <w:u w:val="single"/>
        </w:rPr>
      </w:pPr>
      <w:r>
        <w:rPr>
          <w:rFonts w:hint="eastAsia" w:ascii="宋体" w:hAnsi="宋体" w:eastAsia="宋体" w:cs="宋体"/>
          <w:sz w:val="28"/>
          <w:szCs w:val="24"/>
        </w:rPr>
        <w:t>邮编：</w:t>
      </w:r>
      <w:r>
        <w:rPr>
          <w:rFonts w:hint="eastAsia" w:ascii="宋体" w:hAnsi="宋体" w:eastAsia="宋体" w:cs="宋体"/>
          <w:sz w:val="28"/>
          <w:szCs w:val="24"/>
          <w:u w:val="single"/>
        </w:rPr>
        <w:t xml:space="preserve">                                                   </w:t>
      </w:r>
    </w:p>
    <w:p>
      <w:pPr>
        <w:adjustRightInd w:val="0"/>
        <w:snapToGrid w:val="0"/>
        <w:outlineLvl w:val="9"/>
        <w:rPr>
          <w:rFonts w:hint="eastAsia" w:ascii="宋体" w:hAnsi="宋体" w:eastAsia="宋体" w:cs="宋体"/>
          <w:sz w:val="28"/>
          <w:szCs w:val="24"/>
          <w:u w:val="single"/>
        </w:rPr>
      </w:pPr>
      <w:r>
        <w:rPr>
          <w:rFonts w:hint="eastAsia" w:ascii="宋体" w:hAnsi="宋体" w:eastAsia="宋体" w:cs="宋体"/>
          <w:sz w:val="28"/>
          <w:szCs w:val="24"/>
        </w:rPr>
        <w:t xml:space="preserve">联系电话：  </w:t>
      </w:r>
      <w:r>
        <w:rPr>
          <w:rFonts w:hint="eastAsia" w:ascii="宋体" w:hAnsi="宋体" w:eastAsia="宋体" w:cs="宋体"/>
          <w:sz w:val="28"/>
          <w:szCs w:val="24"/>
          <w:u w:val="single"/>
        </w:rPr>
        <w:t xml:space="preserve">                                             </w:t>
      </w:r>
    </w:p>
    <w:p>
      <w:pPr>
        <w:adjustRightInd w:val="0"/>
        <w:snapToGrid w:val="0"/>
        <w:outlineLvl w:val="9"/>
        <w:rPr>
          <w:rFonts w:hint="eastAsia" w:ascii="宋体" w:hAnsi="宋体" w:eastAsia="宋体" w:cs="宋体"/>
          <w:sz w:val="28"/>
          <w:szCs w:val="24"/>
        </w:rPr>
      </w:pPr>
      <w:r>
        <w:rPr>
          <w:rFonts w:hint="eastAsia" w:ascii="宋体" w:hAnsi="宋体" w:eastAsia="宋体" w:cs="宋体"/>
          <w:sz w:val="28"/>
          <w:szCs w:val="24"/>
        </w:rPr>
        <w:t xml:space="preserve">开标时间：      年    月    日 </w:t>
      </w:r>
    </w:p>
    <w:p>
      <w:pPr>
        <w:widowControl/>
        <w:jc w:val="left"/>
        <w:outlineLvl w:val="9"/>
        <w:rPr>
          <w:rFonts w:hint="eastAsia" w:ascii="宋体" w:hAnsi="宋体" w:eastAsia="宋体" w:cs="宋体"/>
          <w:sz w:val="24"/>
          <w:szCs w:val="24"/>
        </w:rPr>
      </w:pPr>
      <w:bookmarkStart w:id="146" w:name="_Toc376852380"/>
      <w:bookmarkStart w:id="147" w:name="_Toc395105689"/>
      <w:bookmarkStart w:id="148" w:name="_Toc395107062"/>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b/>
          <w:sz w:val="24"/>
          <w:szCs w:val="24"/>
        </w:rPr>
      </w:pPr>
      <w:r>
        <w:rPr>
          <w:rFonts w:hint="eastAsia" w:ascii="宋体" w:hAnsi="宋体" w:eastAsia="宋体" w:cs="宋体"/>
          <w:sz w:val="24"/>
          <w:szCs w:val="24"/>
        </w:rPr>
        <w:t>*</w:t>
      </w:r>
      <w:r>
        <w:rPr>
          <w:rFonts w:hint="eastAsia" w:ascii="宋体" w:hAnsi="宋体" w:eastAsia="宋体" w:cs="宋体"/>
          <w:b/>
          <w:sz w:val="24"/>
          <w:szCs w:val="24"/>
        </w:rPr>
        <w:t>二、</w:t>
      </w:r>
      <w:bookmarkEnd w:id="145"/>
      <w:bookmarkEnd w:id="146"/>
      <w:bookmarkEnd w:id="147"/>
      <w:bookmarkEnd w:id="148"/>
      <w:r>
        <w:rPr>
          <w:rFonts w:hint="eastAsia" w:ascii="宋体" w:hAnsi="宋体" w:eastAsia="宋体" w:cs="宋体"/>
          <w:b/>
          <w:sz w:val="24"/>
          <w:szCs w:val="24"/>
        </w:rPr>
        <w:t>响应书（加盖投标人公章）</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天津大学：</w:t>
      </w:r>
      <w:r>
        <w:rPr>
          <w:rFonts w:hint="eastAsia" w:ascii="宋体" w:hAnsi="宋体" w:eastAsia="宋体" w:cs="宋体"/>
          <w:sz w:val="24"/>
          <w:szCs w:val="24"/>
        </w:rPr>
        <w:br w:type="textWrapping"/>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(投标人全称)授权</w:t>
      </w:r>
      <w:r>
        <w:rPr>
          <w:rFonts w:hint="eastAsia" w:ascii="宋体" w:hAnsi="宋体" w:eastAsia="宋体" w:cs="宋体"/>
          <w:sz w:val="24"/>
          <w:szCs w:val="24"/>
          <w:u w:val="single"/>
        </w:rPr>
        <w:t xml:space="preserve">          </w:t>
      </w:r>
      <w:r>
        <w:rPr>
          <w:rFonts w:hint="eastAsia" w:ascii="宋体" w:hAnsi="宋体" w:eastAsia="宋体" w:cs="宋体"/>
          <w:sz w:val="24"/>
          <w:szCs w:val="24"/>
        </w:rPr>
        <w:t>(投标人代表姓名)</w:t>
      </w:r>
      <w:r>
        <w:rPr>
          <w:rFonts w:hint="eastAsia" w:ascii="宋体" w:hAnsi="宋体" w:eastAsia="宋体" w:cs="宋体"/>
          <w:sz w:val="24"/>
          <w:szCs w:val="24"/>
          <w:u w:val="single"/>
        </w:rPr>
        <w:t xml:space="preserve">            </w:t>
      </w:r>
      <w:r>
        <w:rPr>
          <w:rFonts w:hint="eastAsia" w:ascii="宋体" w:hAnsi="宋体" w:eastAsia="宋体" w:cs="宋体"/>
          <w:sz w:val="24"/>
          <w:szCs w:val="24"/>
        </w:rPr>
        <w:t>(职务、职称)为我方代表，参加贵方组织的</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(项目名称、项目编号)招标的有关活动，并对此项目进行投标。为此：</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1.我方同意在本项目竞争性磋商文件中规定的开标日起</w:t>
      </w:r>
      <w:r>
        <w:rPr>
          <w:rFonts w:hint="eastAsia" w:ascii="宋体" w:hAnsi="宋体" w:eastAsia="宋体" w:cs="宋体"/>
          <w:sz w:val="24"/>
          <w:szCs w:val="24"/>
          <w:u w:val="single"/>
        </w:rPr>
        <w:t>90天内</w:t>
      </w:r>
      <w:r>
        <w:rPr>
          <w:rFonts w:hint="eastAsia" w:ascii="宋体" w:hAnsi="宋体" w:eastAsia="宋体" w:cs="宋体"/>
          <w:sz w:val="24"/>
          <w:szCs w:val="24"/>
        </w:rPr>
        <w:t>遵守本响应文件中的承诺且在此期限期满之前均具有约束力。</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2.我方承诺已经具备《中华人民共和国政府采购法》中规定的参加政府采购活动的供应商应当具备的条件：</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具有独立承担民事责任的能力；</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参加此项采购活动前三年内，在经营活动中没有重大违法记录。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3.提供投标须知规定的全部响应文件，包括</w:t>
      </w:r>
      <w:r>
        <w:rPr>
          <w:rFonts w:hint="eastAsia" w:ascii="宋体" w:hAnsi="宋体" w:eastAsia="宋体" w:cs="宋体"/>
          <w:sz w:val="24"/>
          <w:szCs w:val="24"/>
          <w:u w:val="single"/>
        </w:rPr>
        <w:t>响</w:t>
      </w:r>
      <w:r>
        <w:rPr>
          <w:rFonts w:hint="eastAsia" w:ascii="宋体" w:hAnsi="宋体" w:eastAsia="宋体" w:cs="宋体"/>
          <w:sz w:val="24"/>
          <w:szCs w:val="24"/>
          <w:highlight w:val="none"/>
          <w:u w:val="single"/>
        </w:rPr>
        <w:t>应文件正本1份，副本5份</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4.按竞争性磋商文件要求提供和交付的货物和服务的磋商报价详见报价一览表。</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5.如果在履约过程中发现任何报价遗漏或风险考虑不足，我们不再要求采购人给予补偿。</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6.保证忠实地执行双方所签订的合同，并承担合同规定的责任和义务。</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7.保证遵守竞争性磋商文件的规定。</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8.我方完全理解贵方不一定接受最低价的投标。</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9.我方愿意向贵方提供任何与本项投标有关的数据、情况和技术资料。若贵方需要，我方愿意提供我方作出的一切承诺的证明材料。</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10.我方已详细审核全部响应文件，包括响应文件修改书（如有的话）、参考资料及有关附件，确认无误。</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11.我方承诺：采购人若需追加采购本项目竞争性磋商文件所列货物及相关服务的，在不改变合同其他实质性条款的前提下，按相同或更优惠的折扣率保证供货。</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12.我方承诺接受竞争性磋商文件中采购合同的全部条款且无任何异议。</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13.我方将严格遵守《中华人民共和国政府采购法》的有关规定，若有下列情形之一的，将被列入不良行为记录名单，在一至三年内禁止参加招标采购活动；有违法所得的，并处没收违法所得；情节严重的，由工商行政管理机关吊销营业执照；构成犯罪的，依法追究刑事责任：</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提供虚假材料谋取中标、成交的；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采取不正当手段诋毁、排挤其他供应商的；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与采购人、其它供应商或者采购人工作人员恶意串通的；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向采购人、采购人工作人员行贿或者提供其他不正当利益的；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未经采购人同意，在采购过程中与采购人进行协商谈判的；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拒绝有关部门监督检查或提供虚假情况的。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14.与本投标有关的一切往来通讯请寄：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地址：____________________________________________________</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邮编：____________　</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电话：____________　</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传真：____________</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投标人代表姓名：</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投标人代表联系电话：</w:t>
      </w:r>
      <w:r>
        <w:rPr>
          <w:rFonts w:hint="eastAsia" w:ascii="宋体" w:hAnsi="宋体" w:eastAsia="宋体" w:cs="宋体"/>
          <w:sz w:val="24"/>
          <w:szCs w:val="24"/>
          <w:u w:val="single"/>
        </w:rPr>
        <w:t xml:space="preserve">              </w:t>
      </w:r>
      <w:r>
        <w:rPr>
          <w:rFonts w:hint="eastAsia" w:ascii="宋体" w:hAnsi="宋体" w:eastAsia="宋体" w:cs="宋体"/>
          <w:sz w:val="24"/>
          <w:szCs w:val="24"/>
        </w:rPr>
        <w:t>e-mail：</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b/>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投标人全称(公章)：</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法定代表人（签字）：</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b/>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投标人代表(签字)：</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b/>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日　期：</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注：除可填报项目外，对本响应书的任何修改将被视为非实质性响应投标，从而导致该投标无效。</w:t>
      </w:r>
    </w:p>
    <w:p>
      <w:pPr>
        <w:outlineLvl w:val="9"/>
        <w:rPr>
          <w:rFonts w:hint="eastAsia" w:ascii="宋体" w:hAnsi="宋体" w:eastAsia="宋体" w:cs="宋体"/>
          <w:sz w:val="24"/>
          <w:szCs w:val="24"/>
        </w:rPr>
      </w:pPr>
    </w:p>
    <w:p>
      <w:pPr>
        <w:outlineLvl w:val="9"/>
        <w:rPr>
          <w:rFonts w:hint="eastAsia" w:ascii="宋体" w:hAnsi="宋体" w:eastAsia="宋体" w:cs="宋体"/>
          <w:sz w:val="24"/>
          <w:szCs w:val="24"/>
        </w:rPr>
      </w:pPr>
    </w:p>
    <w:p>
      <w:pPr>
        <w:outlineLvl w:val="9"/>
        <w:rPr>
          <w:rFonts w:hint="eastAsia" w:ascii="宋体" w:hAnsi="宋体" w:eastAsia="宋体" w:cs="宋体"/>
          <w:sz w:val="24"/>
          <w:szCs w:val="24"/>
        </w:rPr>
      </w:pPr>
    </w:p>
    <w:p>
      <w:pPr>
        <w:outlineLvl w:val="9"/>
        <w:rPr>
          <w:rFonts w:hint="eastAsia" w:ascii="宋体" w:hAnsi="宋体" w:eastAsia="宋体" w:cs="宋体"/>
          <w:sz w:val="24"/>
          <w:szCs w:val="24"/>
        </w:rPr>
      </w:pPr>
    </w:p>
    <w:p>
      <w:pPr>
        <w:outlineLvl w:val="9"/>
        <w:rPr>
          <w:rFonts w:hint="eastAsia" w:ascii="宋体" w:hAnsi="宋体" w:eastAsia="宋体" w:cs="宋体"/>
          <w:sz w:val="24"/>
          <w:szCs w:val="24"/>
        </w:rPr>
      </w:pPr>
    </w:p>
    <w:p>
      <w:pPr>
        <w:outlineLvl w:val="9"/>
        <w:rPr>
          <w:rFonts w:hint="eastAsia" w:ascii="宋体" w:hAnsi="宋体" w:eastAsia="宋体" w:cs="宋体"/>
          <w:sz w:val="24"/>
          <w:szCs w:val="24"/>
        </w:rPr>
      </w:pPr>
    </w:p>
    <w:p>
      <w:pPr>
        <w:outlineLvl w:val="9"/>
        <w:rPr>
          <w:rFonts w:hint="eastAsia" w:ascii="宋体" w:hAnsi="宋体" w:eastAsia="宋体" w:cs="宋体"/>
          <w:b/>
          <w:sz w:val="24"/>
          <w:szCs w:val="24"/>
        </w:rPr>
        <w:sectPr>
          <w:pgSz w:w="11907" w:h="16840"/>
          <w:pgMar w:top="1440" w:right="1797" w:bottom="1440" w:left="1797" w:header="851" w:footer="992" w:gutter="0"/>
          <w:cols w:space="720" w:num="1"/>
          <w:docGrid w:linePitch="312" w:charSpace="0"/>
        </w:sectPr>
      </w:pPr>
      <w:bookmarkStart w:id="149" w:name="_Toc395105690"/>
      <w:bookmarkStart w:id="150" w:name="_Toc376852381"/>
      <w:bookmarkStart w:id="151" w:name="_Toc395107063"/>
      <w:bookmarkStart w:id="152" w:name="_Toc115756056"/>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b/>
          <w:bCs/>
          <w:sz w:val="24"/>
          <w:szCs w:val="24"/>
        </w:rPr>
      </w:pPr>
      <w:r>
        <w:rPr>
          <w:rFonts w:hint="eastAsia" w:ascii="宋体" w:hAnsi="宋体" w:eastAsia="宋体" w:cs="宋体"/>
          <w:b/>
          <w:sz w:val="24"/>
          <w:szCs w:val="24"/>
        </w:rPr>
        <w:t>*</w:t>
      </w:r>
      <w:r>
        <w:rPr>
          <w:rFonts w:hint="eastAsia" w:ascii="宋体" w:hAnsi="宋体" w:eastAsia="宋体" w:cs="宋体"/>
          <w:b/>
          <w:bCs/>
          <w:sz w:val="24"/>
          <w:szCs w:val="24"/>
        </w:rPr>
        <w:t>三、报价一览</w:t>
      </w:r>
      <w:r>
        <w:rPr>
          <w:rFonts w:hint="eastAsia" w:ascii="宋体" w:hAnsi="宋体" w:eastAsia="宋体" w:cs="宋体"/>
          <w:b/>
          <w:sz w:val="24"/>
          <w:szCs w:val="24"/>
        </w:rPr>
        <w:t>表（加盖投标人公章）；</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u w:val="single"/>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u w:val="single"/>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价格单位：人民币元</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时间单位：日历天</w:t>
      </w:r>
    </w:p>
    <w:tbl>
      <w:tblPr>
        <w:tblStyle w:val="35"/>
        <w:tblpPr w:leftFromText="180" w:rightFromText="180" w:vertAnchor="text" w:horzAnchor="margin" w:tblpXSpec="center" w:tblpY="751"/>
        <w:tblW w:w="863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498"/>
        <w:gridCol w:w="1649"/>
        <w:gridCol w:w="2126"/>
        <w:gridCol w:w="1805"/>
        <w:gridCol w:w="1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104" w:hRule="exact"/>
        </w:trPr>
        <w:tc>
          <w:tcPr>
            <w:tcW w:w="1498" w:type="dxa"/>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投标产品包号</w:t>
            </w:r>
          </w:p>
        </w:tc>
        <w:tc>
          <w:tcPr>
            <w:tcW w:w="1649"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品牌</w:t>
            </w:r>
          </w:p>
        </w:tc>
        <w:tc>
          <w:tcPr>
            <w:tcW w:w="2126"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投标总价（已优惠或折扣后）</w:t>
            </w:r>
          </w:p>
        </w:tc>
        <w:tc>
          <w:tcPr>
            <w:tcW w:w="1805" w:type="dxa"/>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开始供货时间</w:t>
            </w:r>
          </w:p>
        </w:tc>
        <w:tc>
          <w:tcPr>
            <w:tcW w:w="1560" w:type="dxa"/>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全部货物安装完毕时间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928" w:hRule="exact"/>
        </w:trPr>
        <w:tc>
          <w:tcPr>
            <w:tcW w:w="1498" w:type="dxa"/>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649"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2126"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805" w:type="dxa"/>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560" w:type="dxa"/>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090" w:hRule="exact"/>
        </w:trPr>
        <w:tc>
          <w:tcPr>
            <w:tcW w:w="1498" w:type="dxa"/>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649"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2126"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805" w:type="dxa"/>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560" w:type="dxa"/>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082" w:hRule="exact"/>
        </w:trPr>
        <w:tc>
          <w:tcPr>
            <w:tcW w:w="1498"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649" w:type="dxa"/>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2126"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805"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560" w:type="dxa"/>
            <w:tcBorders>
              <w:bottom w:val="single" w:color="auto" w:sz="4"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bl>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说明：报价一览表中的“投标总价”应是本包内所有投标货物及京内运输、安装及其他相关服务的全部费用的报价。</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投标总价大写金额：</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u w:val="single"/>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 xml:space="preserve">特别说明事项：    </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投标人全称（公章）：</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法定代表人或授权的投标人代表签字： </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b/>
          <w:bCs/>
          <w:sz w:val="24"/>
          <w:szCs w:val="24"/>
        </w:rPr>
      </w:pPr>
      <w:bookmarkStart w:id="153" w:name="_Toc395105700"/>
      <w:bookmarkStart w:id="154" w:name="_Toc376852391"/>
      <w:bookmarkStart w:id="155" w:name="_Toc395107073"/>
      <w:r>
        <w:rPr>
          <w:rFonts w:hint="eastAsia" w:ascii="宋体" w:hAnsi="宋体" w:eastAsia="宋体" w:cs="宋体"/>
          <w:b/>
          <w:sz w:val="24"/>
          <w:szCs w:val="24"/>
        </w:rPr>
        <w:t>*</w:t>
      </w:r>
      <w:r>
        <w:rPr>
          <w:rFonts w:hint="eastAsia" w:ascii="宋体" w:hAnsi="宋体" w:eastAsia="宋体" w:cs="宋体"/>
          <w:b/>
          <w:bCs/>
          <w:sz w:val="24"/>
          <w:szCs w:val="24"/>
        </w:rPr>
        <w:t>四、产品报价明细表</w:t>
      </w:r>
      <w:r>
        <w:rPr>
          <w:rFonts w:hint="eastAsia" w:ascii="宋体" w:hAnsi="宋体" w:eastAsia="宋体" w:cs="宋体"/>
          <w:b/>
          <w:sz w:val="24"/>
          <w:szCs w:val="24"/>
        </w:rPr>
        <w:t>（加盖投标人公章）</w:t>
      </w:r>
      <w:r>
        <w:rPr>
          <w:rFonts w:hint="eastAsia" w:ascii="宋体" w:hAnsi="宋体" w:eastAsia="宋体" w:cs="宋体"/>
          <w:bCs/>
          <w:sz w:val="24"/>
          <w:szCs w:val="24"/>
        </w:rPr>
        <w:t>；</w:t>
      </w:r>
      <w:bookmarkEnd w:id="153"/>
      <w:bookmarkEnd w:id="154"/>
      <w:bookmarkEnd w:id="155"/>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项目名称：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项目编号：</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价格单位：人民币元</w:t>
      </w:r>
    </w:p>
    <w:tbl>
      <w:tblPr>
        <w:tblStyle w:val="35"/>
        <w:tblW w:w="8211" w:type="dxa"/>
        <w:jc w:val="center"/>
        <w:tblInd w:w="0" w:type="dxa"/>
        <w:tblLayout w:type="fixed"/>
        <w:tblCellMar>
          <w:top w:w="0" w:type="dxa"/>
          <w:left w:w="30" w:type="dxa"/>
          <w:bottom w:w="0" w:type="dxa"/>
          <w:right w:w="30" w:type="dxa"/>
        </w:tblCellMar>
      </w:tblPr>
      <w:tblGrid>
        <w:gridCol w:w="800"/>
        <w:gridCol w:w="1775"/>
        <w:gridCol w:w="1066"/>
        <w:gridCol w:w="1066"/>
        <w:gridCol w:w="876"/>
        <w:gridCol w:w="876"/>
        <w:gridCol w:w="876"/>
        <w:gridCol w:w="876"/>
      </w:tblGrid>
      <w:tr>
        <w:tblPrEx>
          <w:tblLayout w:type="fixed"/>
          <w:tblCellMar>
            <w:top w:w="0" w:type="dxa"/>
            <w:left w:w="30" w:type="dxa"/>
            <w:bottom w:w="0" w:type="dxa"/>
            <w:right w:w="30" w:type="dxa"/>
          </w:tblCellMar>
        </w:tblPrEx>
        <w:trPr>
          <w:trHeight w:val="292" w:hRule="atLeast"/>
          <w:jc w:val="center"/>
        </w:trPr>
        <w:tc>
          <w:tcPr>
            <w:tcW w:w="8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品名</w:t>
            </w:r>
          </w:p>
        </w:tc>
        <w:tc>
          <w:tcPr>
            <w:tcW w:w="17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规格/型号</w:t>
            </w: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技术指标</w:t>
            </w:r>
          </w:p>
        </w:tc>
        <w:tc>
          <w:tcPr>
            <w:tcW w:w="106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材质说明</w:t>
            </w: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数量</w:t>
            </w: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单价</w:t>
            </w: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小计</w:t>
            </w: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备注</w:t>
            </w:r>
          </w:p>
        </w:tc>
      </w:tr>
      <w:tr>
        <w:tblPrEx>
          <w:tblLayout w:type="fixed"/>
          <w:tblCellMar>
            <w:top w:w="0" w:type="dxa"/>
            <w:left w:w="30" w:type="dxa"/>
            <w:bottom w:w="0" w:type="dxa"/>
            <w:right w:w="30" w:type="dxa"/>
          </w:tblCellMar>
        </w:tblPrEx>
        <w:trPr>
          <w:trHeight w:val="368" w:hRule="atLeast"/>
          <w:jc w:val="center"/>
        </w:trPr>
        <w:tc>
          <w:tcPr>
            <w:tcW w:w="8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7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r>
        <w:tblPrEx>
          <w:tblLayout w:type="fixed"/>
          <w:tblCellMar>
            <w:top w:w="0" w:type="dxa"/>
            <w:left w:w="30" w:type="dxa"/>
            <w:bottom w:w="0" w:type="dxa"/>
            <w:right w:w="30" w:type="dxa"/>
          </w:tblCellMar>
        </w:tblPrEx>
        <w:trPr>
          <w:trHeight w:val="368" w:hRule="atLeast"/>
          <w:jc w:val="center"/>
        </w:trPr>
        <w:tc>
          <w:tcPr>
            <w:tcW w:w="8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7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r>
        <w:tblPrEx>
          <w:tblLayout w:type="fixed"/>
          <w:tblCellMar>
            <w:top w:w="0" w:type="dxa"/>
            <w:left w:w="30" w:type="dxa"/>
            <w:bottom w:w="0" w:type="dxa"/>
            <w:right w:w="30" w:type="dxa"/>
          </w:tblCellMar>
        </w:tblPrEx>
        <w:trPr>
          <w:trHeight w:val="368" w:hRule="atLeast"/>
          <w:jc w:val="center"/>
        </w:trPr>
        <w:tc>
          <w:tcPr>
            <w:tcW w:w="8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7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r>
        <w:tblPrEx>
          <w:tblLayout w:type="fixed"/>
          <w:tblCellMar>
            <w:top w:w="0" w:type="dxa"/>
            <w:left w:w="30" w:type="dxa"/>
            <w:bottom w:w="0" w:type="dxa"/>
            <w:right w:w="30" w:type="dxa"/>
          </w:tblCellMar>
        </w:tblPrEx>
        <w:trPr>
          <w:trHeight w:val="368" w:hRule="atLeast"/>
          <w:jc w:val="center"/>
        </w:trPr>
        <w:tc>
          <w:tcPr>
            <w:tcW w:w="8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7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r>
        <w:tblPrEx>
          <w:tblLayout w:type="fixed"/>
          <w:tblCellMar>
            <w:top w:w="0" w:type="dxa"/>
            <w:left w:w="30" w:type="dxa"/>
            <w:bottom w:w="0" w:type="dxa"/>
            <w:right w:w="30" w:type="dxa"/>
          </w:tblCellMar>
        </w:tblPrEx>
        <w:trPr>
          <w:trHeight w:val="368" w:hRule="atLeast"/>
          <w:jc w:val="center"/>
        </w:trPr>
        <w:tc>
          <w:tcPr>
            <w:tcW w:w="800"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775"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r>
        <w:tblPrEx>
          <w:tblLayout w:type="fixed"/>
          <w:tblCellMar>
            <w:top w:w="0" w:type="dxa"/>
            <w:left w:w="30" w:type="dxa"/>
            <w:bottom w:w="0" w:type="dxa"/>
            <w:right w:w="30" w:type="dxa"/>
          </w:tblCellMar>
        </w:tblPrEx>
        <w:trPr>
          <w:trHeight w:val="368" w:hRule="atLeast"/>
          <w:jc w:val="center"/>
        </w:trPr>
        <w:tc>
          <w:tcPr>
            <w:tcW w:w="800"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775"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r>
        <w:tblPrEx>
          <w:tblLayout w:type="fixed"/>
          <w:tblCellMar>
            <w:top w:w="0" w:type="dxa"/>
            <w:left w:w="30" w:type="dxa"/>
            <w:bottom w:w="0" w:type="dxa"/>
            <w:right w:w="30" w:type="dxa"/>
          </w:tblCellMar>
        </w:tblPrEx>
        <w:trPr>
          <w:trHeight w:val="368" w:hRule="atLeast"/>
          <w:jc w:val="center"/>
        </w:trPr>
        <w:tc>
          <w:tcPr>
            <w:tcW w:w="800"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775"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106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r>
        <w:tblPrEx>
          <w:tblLayout w:type="fixed"/>
          <w:tblCellMar>
            <w:top w:w="0" w:type="dxa"/>
            <w:left w:w="30" w:type="dxa"/>
            <w:bottom w:w="0" w:type="dxa"/>
            <w:right w:w="30" w:type="dxa"/>
          </w:tblCellMar>
        </w:tblPrEx>
        <w:trPr>
          <w:trHeight w:val="368" w:hRule="atLeast"/>
          <w:jc w:val="center"/>
        </w:trPr>
        <w:tc>
          <w:tcPr>
            <w:tcW w:w="2575" w:type="dxa"/>
            <w:gridSpan w:val="2"/>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总计</w:t>
            </w:r>
          </w:p>
        </w:tc>
        <w:tc>
          <w:tcPr>
            <w:tcW w:w="4760" w:type="dxa"/>
            <w:gridSpan w:val="5"/>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c>
          <w:tcPr>
            <w:tcW w:w="876" w:type="dxa"/>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tc>
      </w:tr>
    </w:tbl>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投标人全称（公章）：</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法定代表人或授权的投标人代表签字： </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日期：  </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outlineLvl w:val="9"/>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*五、法定代表人证明书</w:t>
      </w:r>
      <w:bookmarkEnd w:id="149"/>
      <w:bookmarkEnd w:id="150"/>
      <w:bookmarkEnd w:id="151"/>
      <w:r>
        <w:rPr>
          <w:rFonts w:hint="eastAsia" w:ascii="宋体" w:hAnsi="宋体" w:eastAsia="宋体" w:cs="宋体"/>
          <w:b/>
          <w:sz w:val="24"/>
          <w:szCs w:val="24"/>
        </w:rPr>
        <w:t>（加盖投标人公章）；</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天津大学：</w:t>
      </w:r>
    </w:p>
    <w:p>
      <w:pPr>
        <w:keepNext w:val="0"/>
        <w:keepLines w:val="0"/>
        <w:pageBreakBefore w:val="0"/>
        <w:kinsoku/>
        <w:wordWrap/>
        <w:overflowPunct/>
        <w:topLinePunct w:val="0"/>
        <w:autoSpaceDE/>
        <w:autoSpaceDN/>
        <w:bidi w:val="0"/>
        <w:spacing w:line="460" w:lineRule="exact"/>
        <w:ind w:left="0" w:leftChars="0" w:right="0" w:rightChars="0" w:firstLine="2652" w:firstLineChars="1105"/>
        <w:textAlignment w:val="auto"/>
        <w:outlineLvl w:val="9"/>
        <w:rPr>
          <w:rFonts w:hint="eastAsia" w:ascii="宋体" w:hAnsi="宋体" w:eastAsia="宋体" w:cs="宋体"/>
          <w:sz w:val="24"/>
          <w:szCs w:val="24"/>
        </w:rPr>
      </w:pPr>
      <w:r>
        <w:rPr>
          <w:rFonts w:hint="eastAsia" w:ascii="宋体" w:hAnsi="宋体" w:eastAsia="宋体" w:cs="宋体"/>
          <w:sz w:val="24"/>
          <w:szCs w:val="24"/>
        </w:rPr>
        <w:pict>
          <v:line id="直线连接符 1" o:spid="_x0000_s1028" o:spt="20" style="position:absolute;left:0pt;margin-left:47.25pt;margin-top:11.2pt;height:0pt;width:81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">
            <v:path arrowok="t"/>
            <v:fill focussize="0,0"/>
            <v:stroke/>
            <v:imagedata o:title=""/>
            <o:lock v:ext="edit"/>
          </v:line>
        </w:pict>
      </w:r>
      <w:r>
        <w:rPr>
          <w:rFonts w:hint="eastAsia" w:ascii="宋体" w:hAnsi="宋体" w:eastAsia="宋体" w:cs="宋体"/>
          <w:sz w:val="24"/>
          <w:szCs w:val="24"/>
        </w:rPr>
        <w:t>（姓名、性别、年龄）在我单位任</w:t>
      </w:r>
      <w:r>
        <w:rPr>
          <w:rFonts w:hint="eastAsia" w:ascii="宋体" w:hAnsi="宋体" w:eastAsia="宋体" w:cs="宋体"/>
          <w:sz w:val="24"/>
          <w:szCs w:val="24"/>
          <w:u w:val="single"/>
        </w:rPr>
        <w:t xml:space="preserve">       </w:t>
      </w:r>
      <w:r>
        <w:rPr>
          <w:rFonts w:hint="eastAsia" w:ascii="宋体" w:hAnsi="宋体" w:eastAsia="宋体" w:cs="宋体"/>
          <w:sz w:val="24"/>
          <w:szCs w:val="24"/>
        </w:rPr>
        <w:t>（职务名称）职务，是我单位的法定代表人。</w:t>
      </w:r>
      <w:r>
        <w:rPr>
          <w:rFonts w:hint="eastAsia" w:ascii="宋体" w:hAnsi="宋体" w:eastAsia="宋体" w:cs="宋体"/>
          <w:sz w:val="24"/>
          <w:szCs w:val="24"/>
        </w:rPr>
        <w:br w:type="textWrapping"/>
      </w:r>
      <w:r>
        <w:rPr>
          <w:rFonts w:hint="eastAsia" w:ascii="宋体" w:hAnsi="宋体" w:eastAsia="宋体" w:cs="宋体"/>
          <w:sz w:val="24"/>
          <w:szCs w:val="24"/>
        </w:rPr>
        <w:t>　　特此证明。</w:t>
      </w:r>
      <w:r>
        <w:rPr>
          <w:rFonts w:hint="eastAsia" w:ascii="宋体" w:hAnsi="宋体" w:eastAsia="宋体" w:cs="宋体"/>
          <w:sz w:val="24"/>
          <w:szCs w:val="24"/>
        </w:rPr>
        <w:br w:type="textWrapping"/>
      </w:r>
    </w:p>
    <w:p>
      <w:pPr>
        <w:keepNext w:val="0"/>
        <w:keepLines w:val="0"/>
        <w:pageBreakBefore w:val="0"/>
        <w:kinsoku/>
        <w:wordWrap/>
        <w:overflowPunct/>
        <w:topLinePunct w:val="0"/>
        <w:autoSpaceDE/>
        <w:autoSpaceDN/>
        <w:bidi w:val="0"/>
        <w:spacing w:line="460" w:lineRule="exact"/>
        <w:ind w:left="0" w:leftChars="0" w:right="0" w:rightChars="0" w:firstLine="720" w:firstLineChars="3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法定代表人住址：</w:t>
      </w:r>
      <w:r>
        <w:rPr>
          <w:rFonts w:hint="eastAsia" w:ascii="宋体" w:hAnsi="宋体" w:eastAsia="宋体" w:cs="宋体"/>
          <w:sz w:val="24"/>
          <w:szCs w:val="24"/>
          <w:u w:val="single"/>
        </w:rPr>
        <w:t xml:space="preserve">               </w:t>
      </w:r>
      <w:r>
        <w:rPr>
          <w:rFonts w:hint="eastAsia" w:ascii="宋体" w:hAnsi="宋体" w:eastAsia="宋体" w:cs="宋体"/>
          <w:sz w:val="24"/>
          <w:szCs w:val="24"/>
        </w:rPr>
        <w:t>法定代表人身份证号：</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法定代表人电话：</w:t>
      </w:r>
      <w:r>
        <w:rPr>
          <w:rFonts w:hint="eastAsia" w:ascii="宋体" w:hAnsi="宋体" w:eastAsia="宋体" w:cs="宋体"/>
          <w:sz w:val="24"/>
          <w:szCs w:val="24"/>
          <w:u w:val="single"/>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t>投标人全称（公章）：</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日期：  年   月  日</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b/>
          <w:sz w:val="24"/>
          <w:szCs w:val="24"/>
        </w:rPr>
        <w:t>六、法定代表人身份证复印件或其他身份证明（加盖投标人公章）</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tbl>
      <w:tblPr>
        <w:tblStyle w:val="3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shd w:val="clear" w:color="auto" w:fill="auto"/>
          </w:tcPr>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法定代表人身份证正面</w:t>
            </w: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tc>
        <w:tc>
          <w:tcPr>
            <w:tcW w:w="4264" w:type="dxa"/>
            <w:shd w:val="clear" w:color="auto" w:fill="auto"/>
          </w:tcPr>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法定代表人身份证背面</w:t>
            </w:r>
          </w:p>
        </w:tc>
      </w:tr>
    </w:tbl>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bookmarkStart w:id="156" w:name="_Toc376852382"/>
      <w:bookmarkStart w:id="157" w:name="_Toc395107064"/>
      <w:bookmarkStart w:id="158" w:name="_Toc395105691"/>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七、法定代表人的授权委托书</w:t>
      </w:r>
      <w:bookmarkEnd w:id="152"/>
      <w:r>
        <w:rPr>
          <w:rFonts w:hint="eastAsia" w:ascii="宋体" w:hAnsi="宋体" w:eastAsia="宋体" w:cs="宋体"/>
          <w:b/>
          <w:sz w:val="24"/>
          <w:szCs w:val="24"/>
        </w:rPr>
        <w:t>（</w:t>
      </w:r>
      <w:r>
        <w:rPr>
          <w:rFonts w:hint="eastAsia" w:ascii="宋体" w:hAnsi="宋体" w:eastAsia="宋体" w:cs="宋体"/>
          <w:b/>
          <w:bCs/>
          <w:sz w:val="24"/>
          <w:szCs w:val="24"/>
        </w:rPr>
        <w:t>如由授权代表参与投标时必须提供，否则投标无效）</w:t>
      </w:r>
      <w:bookmarkEnd w:id="156"/>
      <w:bookmarkEnd w:id="157"/>
      <w:bookmarkEnd w:id="158"/>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天津大学：</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本授权委托书声明：注册于</w:t>
      </w:r>
      <w:r>
        <w:rPr>
          <w:rFonts w:hint="eastAsia" w:ascii="宋体" w:hAnsi="宋体" w:eastAsia="宋体" w:cs="宋体"/>
          <w:sz w:val="24"/>
          <w:szCs w:val="24"/>
          <w:u w:val="single"/>
        </w:rPr>
        <w:t xml:space="preserve">            </w:t>
      </w:r>
      <w:r>
        <w:rPr>
          <w:rFonts w:hint="eastAsia" w:ascii="宋体" w:hAnsi="宋体" w:eastAsia="宋体" w:cs="宋体"/>
          <w:sz w:val="24"/>
          <w:szCs w:val="24"/>
        </w:rPr>
        <w:t>（投标人住址）的</w:t>
      </w: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（法定代表人姓名、职务）代表本公司授权在下面签字的</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（投标人代表职务、姓名）为本公司的合法代理人，就贵方组织的</w:t>
      </w:r>
      <w:r>
        <w:rPr>
          <w:rFonts w:hint="eastAsia" w:ascii="宋体" w:hAnsi="宋体" w:eastAsia="宋体" w:cs="宋体"/>
          <w:b/>
          <w:sz w:val="24"/>
          <w:szCs w:val="24"/>
          <w:u w:val="single"/>
        </w:rPr>
        <w:t xml:space="preserve">                   </w:t>
      </w:r>
      <w:r>
        <w:rPr>
          <w:rFonts w:hint="eastAsia" w:ascii="宋体" w:hAnsi="宋体" w:eastAsia="宋体" w:cs="宋体"/>
          <w:bCs/>
          <w:sz w:val="24"/>
          <w:szCs w:val="24"/>
        </w:rPr>
        <w:t xml:space="preserve"> （项目名称）</w:t>
      </w:r>
      <w:r>
        <w:rPr>
          <w:rFonts w:hint="eastAsia" w:ascii="宋体" w:hAnsi="宋体" w:eastAsia="宋体" w:cs="宋体"/>
          <w:b/>
          <w:sz w:val="24"/>
          <w:szCs w:val="24"/>
        </w:rPr>
        <w:t xml:space="preserve"> </w:t>
      </w:r>
      <w:r>
        <w:rPr>
          <w:rFonts w:hint="eastAsia" w:ascii="宋体" w:hAnsi="宋体" w:eastAsia="宋体" w:cs="宋体"/>
          <w:sz w:val="24"/>
          <w:szCs w:val="24"/>
        </w:rPr>
        <w:t>项目，项目编号：</w:t>
      </w:r>
      <w:r>
        <w:rPr>
          <w:rFonts w:hint="eastAsia" w:ascii="宋体" w:hAnsi="宋体" w:eastAsia="宋体" w:cs="宋体"/>
          <w:b/>
          <w:sz w:val="24"/>
          <w:szCs w:val="24"/>
          <w:u w:val="single"/>
        </w:rPr>
        <w:t xml:space="preserve">          </w:t>
      </w:r>
      <w:r>
        <w:rPr>
          <w:rFonts w:hint="eastAsia" w:ascii="宋体" w:hAnsi="宋体" w:eastAsia="宋体" w:cs="宋体"/>
          <w:sz w:val="24"/>
          <w:szCs w:val="24"/>
        </w:rPr>
        <w:t>，以本公司名义参加投标。投标代表在开标、评标、谈判过程中所签署的一切文件和处理与之有关的一切事务，我公司均予以承认。投标代表无转委托权。</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本授权书于    年  月  日签字生效，特此声明。</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法定代表人印刷体姓名：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签字：</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投标人代表印刷体姓名：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联系方式:</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签字：</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职务：</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投标人代表身份证号：</w:t>
      </w:r>
      <w:r>
        <w:rPr>
          <w:rFonts w:hint="eastAsia" w:ascii="宋体" w:hAnsi="宋体" w:eastAsia="宋体" w:cs="宋体"/>
          <w:sz w:val="24"/>
          <w:szCs w:val="24"/>
          <w:u w:val="single"/>
        </w:rPr>
        <w:t xml:space="preserve">             </w:t>
      </w:r>
      <w:r>
        <w:rPr>
          <w:rFonts w:hint="eastAsia" w:ascii="宋体" w:hAnsi="宋体" w:eastAsia="宋体" w:cs="宋体"/>
          <w:sz w:val="24"/>
          <w:szCs w:val="24"/>
        </w:rPr>
        <w:t>（身份证复印件附后）</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投标人全称（公章）：</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八、授权代表身份证复印件或其他身份证明（加盖投标人公章，如由授权代表参加投标时必须提供，否则投标无效）</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p>
    <w:tbl>
      <w:tblPr>
        <w:tblStyle w:val="3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shd w:val="clear" w:color="auto" w:fill="auto"/>
          </w:tcPr>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授权代表身份证正面</w:t>
            </w: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p>
        </w:tc>
        <w:tc>
          <w:tcPr>
            <w:tcW w:w="4264" w:type="dxa"/>
            <w:shd w:val="clear" w:color="auto" w:fill="auto"/>
          </w:tcPr>
          <w:p>
            <w:pPr>
              <w:keepNext w:val="0"/>
              <w:keepLines w:val="0"/>
              <w:pageBreakBefore w:val="0"/>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授权代表身份证背面</w:t>
            </w:r>
          </w:p>
        </w:tc>
      </w:tr>
    </w:tbl>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bCs/>
          <w:sz w:val="24"/>
          <w:szCs w:val="24"/>
        </w:rPr>
        <w:sectPr>
          <w:pgSz w:w="11907" w:h="16840"/>
          <w:pgMar w:top="1440" w:right="1797" w:bottom="1440" w:left="1797" w:header="851" w:footer="992" w:gutter="0"/>
          <w:cols w:space="720" w:num="1"/>
          <w:docGrid w:linePitch="312" w:charSpace="0"/>
        </w:sectPr>
      </w:pPr>
      <w:bookmarkStart w:id="159" w:name="_Toc376852383"/>
      <w:bookmarkStart w:id="160" w:name="_Toc395107065"/>
      <w:bookmarkStart w:id="161" w:name="_Toc395105692"/>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r>
        <w:rPr>
          <w:rFonts w:hint="eastAsia" w:ascii="宋体" w:hAnsi="宋体" w:eastAsia="宋体" w:cs="宋体"/>
          <w:b/>
          <w:bCs/>
          <w:sz w:val="24"/>
          <w:szCs w:val="24"/>
        </w:rPr>
        <w:t>*</w:t>
      </w:r>
      <w:r>
        <w:rPr>
          <w:rFonts w:hint="eastAsia" w:ascii="宋体" w:hAnsi="宋体" w:eastAsia="宋体" w:cs="宋体"/>
          <w:b/>
          <w:sz w:val="24"/>
          <w:szCs w:val="24"/>
        </w:rPr>
        <w:t>九、投标人资格声明</w:t>
      </w:r>
      <w:bookmarkEnd w:id="159"/>
      <w:bookmarkEnd w:id="160"/>
      <w:bookmarkEnd w:id="161"/>
      <w:r>
        <w:rPr>
          <w:rFonts w:hint="eastAsia" w:ascii="宋体" w:hAnsi="宋体" w:eastAsia="宋体" w:cs="宋体"/>
          <w:b/>
          <w:sz w:val="24"/>
          <w:szCs w:val="24"/>
        </w:rPr>
        <w:t>（加盖投标人公章）</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1、名称及基本情况：</w:t>
      </w:r>
    </w:p>
    <w:tbl>
      <w:tblPr>
        <w:tblStyle w:val="35"/>
        <w:tblW w:w="8360" w:type="dxa"/>
        <w:tblInd w:w="108" w:type="dxa"/>
        <w:tblLayout w:type="fixed"/>
        <w:tblCellMar>
          <w:top w:w="0" w:type="dxa"/>
          <w:left w:w="108" w:type="dxa"/>
          <w:bottom w:w="0" w:type="dxa"/>
          <w:right w:w="108" w:type="dxa"/>
        </w:tblCellMar>
      </w:tblPr>
      <w:tblGrid>
        <w:gridCol w:w="1548"/>
        <w:gridCol w:w="1260"/>
        <w:gridCol w:w="1290"/>
        <w:gridCol w:w="2131"/>
        <w:gridCol w:w="2131"/>
      </w:tblGrid>
      <w:tr>
        <w:tblPrEx>
          <w:tblLayout w:type="fixed"/>
          <w:tblCellMar>
            <w:top w:w="0" w:type="dxa"/>
            <w:left w:w="108" w:type="dxa"/>
            <w:bottom w:w="0" w:type="dxa"/>
            <w:right w:w="108" w:type="dxa"/>
          </w:tblCellMar>
        </w:tblPrEx>
        <w:trPr>
          <w:trHeight w:val="435" w:hRule="atLeast"/>
        </w:trPr>
        <w:tc>
          <w:tcPr>
            <w:tcW w:w="1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投标人全称</w:t>
            </w:r>
          </w:p>
        </w:tc>
        <w:tc>
          <w:tcPr>
            <w:tcW w:w="2550"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成立和/或注册日期</w:t>
            </w: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公司性质</w:t>
            </w:r>
          </w:p>
        </w:tc>
        <w:tc>
          <w:tcPr>
            <w:tcW w:w="2550"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w:t>
            </w: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注册资本</w:t>
            </w:r>
          </w:p>
        </w:tc>
        <w:tc>
          <w:tcPr>
            <w:tcW w:w="2550"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实收资本</w:t>
            </w: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电话</w:t>
            </w:r>
          </w:p>
        </w:tc>
        <w:tc>
          <w:tcPr>
            <w:tcW w:w="2550"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传真</w:t>
            </w: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地址</w:t>
            </w:r>
          </w:p>
        </w:tc>
        <w:tc>
          <w:tcPr>
            <w:tcW w:w="2550"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邮编</w:t>
            </w: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职员人数</w:t>
            </w:r>
          </w:p>
        </w:tc>
        <w:tc>
          <w:tcPr>
            <w:tcW w:w="2550"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专业技术人员人数</w:t>
            </w:r>
          </w:p>
        </w:tc>
        <w:tc>
          <w:tcPr>
            <w:tcW w:w="21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近一年资产负债表</w:t>
            </w:r>
          </w:p>
        </w:tc>
        <w:tc>
          <w:tcPr>
            <w:tcW w:w="1260" w:type="dxa"/>
            <w:vMerge w:val="restar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固定资本</w:t>
            </w:r>
          </w:p>
        </w:tc>
        <w:tc>
          <w:tcPr>
            <w:tcW w:w="12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原值</w:t>
            </w:r>
          </w:p>
        </w:tc>
        <w:tc>
          <w:tcPr>
            <w:tcW w:w="4262"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u w:val="single"/>
              </w:rPr>
            </w:pPr>
          </w:p>
        </w:tc>
        <w:tc>
          <w:tcPr>
            <w:tcW w:w="1260" w:type="dxa"/>
            <w:vMerge w:val="continue"/>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u w:val="single"/>
              </w:rPr>
            </w:pPr>
          </w:p>
        </w:tc>
        <w:tc>
          <w:tcPr>
            <w:tcW w:w="12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净值</w:t>
            </w:r>
          </w:p>
        </w:tc>
        <w:tc>
          <w:tcPr>
            <w:tcW w:w="4262"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u w:val="single"/>
              </w:rPr>
            </w:pPr>
          </w:p>
        </w:tc>
        <w:tc>
          <w:tcPr>
            <w:tcW w:w="2550"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流动资金</w:t>
            </w:r>
          </w:p>
        </w:tc>
        <w:tc>
          <w:tcPr>
            <w:tcW w:w="4262"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u w:val="single"/>
              </w:rPr>
            </w:pPr>
          </w:p>
        </w:tc>
        <w:tc>
          <w:tcPr>
            <w:tcW w:w="2550"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长期负债</w:t>
            </w:r>
          </w:p>
        </w:tc>
        <w:tc>
          <w:tcPr>
            <w:tcW w:w="4262"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r>
        <w:tblPrEx>
          <w:tblLayout w:type="fixed"/>
          <w:tblCellMar>
            <w:top w:w="0" w:type="dxa"/>
            <w:left w:w="108" w:type="dxa"/>
            <w:bottom w:w="0" w:type="dxa"/>
            <w:right w:w="108" w:type="dxa"/>
          </w:tblCellMar>
        </w:tblPrEx>
        <w:trPr>
          <w:trHeight w:val="435" w:hRule="atLeast"/>
        </w:trPr>
        <w:tc>
          <w:tcPr>
            <w:tcW w:w="154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sz w:val="24"/>
                <w:szCs w:val="24"/>
                <w:u w:val="single"/>
              </w:rPr>
            </w:pPr>
          </w:p>
        </w:tc>
        <w:tc>
          <w:tcPr>
            <w:tcW w:w="2550"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短期负债</w:t>
            </w:r>
          </w:p>
        </w:tc>
        <w:tc>
          <w:tcPr>
            <w:tcW w:w="4262"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u w:val="single"/>
              </w:rPr>
            </w:pPr>
          </w:p>
        </w:tc>
      </w:tr>
    </w:tbl>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2、与投标货物的生产、销售和服务有关的情况： </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（1）关于制造投标货物的设施及其它情况：</w:t>
      </w:r>
    </w:p>
    <w:tbl>
      <w:tblPr>
        <w:tblStyle w:val="35"/>
        <w:tblW w:w="8370" w:type="dxa"/>
        <w:tblInd w:w="108" w:type="dxa"/>
        <w:tblLayout w:type="fixed"/>
        <w:tblCellMar>
          <w:top w:w="0" w:type="dxa"/>
          <w:left w:w="108" w:type="dxa"/>
          <w:bottom w:w="0" w:type="dxa"/>
          <w:right w:w="108" w:type="dxa"/>
        </w:tblCellMar>
      </w:tblPr>
      <w:tblGrid>
        <w:gridCol w:w="1890"/>
        <w:gridCol w:w="1440"/>
        <w:gridCol w:w="1420"/>
        <w:gridCol w:w="1280"/>
        <w:gridCol w:w="1120"/>
        <w:gridCol w:w="1220"/>
      </w:tblGrid>
      <w:tr>
        <w:tblPrEx>
          <w:tblLayout w:type="fixed"/>
          <w:tblCellMar>
            <w:top w:w="0" w:type="dxa"/>
            <w:left w:w="108" w:type="dxa"/>
            <w:bottom w:w="0" w:type="dxa"/>
            <w:right w:w="108" w:type="dxa"/>
          </w:tblCellMar>
        </w:tblPrEx>
        <w:trPr>
          <w:trHeight w:val="630" w:hRule="atLeast"/>
        </w:trPr>
        <w:tc>
          <w:tcPr>
            <w:tcW w:w="1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生产基地地址</w:t>
            </w: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生产的项目</w:t>
            </w:r>
          </w:p>
        </w:tc>
        <w:tc>
          <w:tcPr>
            <w:tcW w:w="14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年生产能力</w:t>
            </w:r>
          </w:p>
        </w:tc>
        <w:tc>
          <w:tcPr>
            <w:tcW w:w="128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厂房及展厅面积</w:t>
            </w:r>
          </w:p>
        </w:tc>
        <w:tc>
          <w:tcPr>
            <w:tcW w:w="11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职工人数</w:t>
            </w:r>
          </w:p>
        </w:tc>
        <w:tc>
          <w:tcPr>
            <w:tcW w:w="12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生产设备</w:t>
            </w:r>
          </w:p>
        </w:tc>
      </w:tr>
      <w:tr>
        <w:tblPrEx>
          <w:tblLayout w:type="fixed"/>
          <w:tblCellMar>
            <w:top w:w="0" w:type="dxa"/>
            <w:left w:w="108" w:type="dxa"/>
            <w:bottom w:w="0" w:type="dxa"/>
            <w:right w:w="108" w:type="dxa"/>
          </w:tblCellMar>
        </w:tblPrEx>
        <w:trPr>
          <w:trHeight w:val="469" w:hRule="atLeast"/>
        </w:trPr>
        <w:tc>
          <w:tcPr>
            <w:tcW w:w="1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4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28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1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2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469" w:hRule="atLeast"/>
        </w:trPr>
        <w:tc>
          <w:tcPr>
            <w:tcW w:w="1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4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28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1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2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469" w:hRule="atLeast"/>
        </w:trPr>
        <w:tc>
          <w:tcPr>
            <w:tcW w:w="1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4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28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1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2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bl>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（2）投标人不生产，需从其它制造厂家购买的原材料（包括塑粉、油漆、轴承、钢材、标准件等）：</w:t>
      </w:r>
    </w:p>
    <w:tbl>
      <w:tblPr>
        <w:tblStyle w:val="35"/>
        <w:tblW w:w="8310" w:type="dxa"/>
        <w:tblInd w:w="108" w:type="dxa"/>
        <w:tblLayout w:type="fixed"/>
        <w:tblCellMar>
          <w:top w:w="0" w:type="dxa"/>
          <w:left w:w="108" w:type="dxa"/>
          <w:bottom w:w="0" w:type="dxa"/>
          <w:right w:w="108" w:type="dxa"/>
        </w:tblCellMar>
      </w:tblPr>
      <w:tblGrid>
        <w:gridCol w:w="1995"/>
        <w:gridCol w:w="1440"/>
        <w:gridCol w:w="1620"/>
        <w:gridCol w:w="1575"/>
        <w:gridCol w:w="1680"/>
      </w:tblGrid>
      <w:tr>
        <w:tblPrEx>
          <w:tblLayout w:type="fixed"/>
          <w:tblCellMar>
            <w:top w:w="0" w:type="dxa"/>
            <w:left w:w="108" w:type="dxa"/>
            <w:bottom w:w="0" w:type="dxa"/>
            <w:right w:w="108" w:type="dxa"/>
          </w:tblCellMar>
        </w:tblPrEx>
        <w:trPr>
          <w:trHeight w:val="630" w:hRule="atLeast"/>
        </w:trPr>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原材料名称</w:t>
            </w: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原材料品牌</w:t>
            </w:r>
          </w:p>
        </w:tc>
        <w:tc>
          <w:tcPr>
            <w:tcW w:w="16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制造厂家名称</w:t>
            </w:r>
          </w:p>
        </w:tc>
        <w:tc>
          <w:tcPr>
            <w:tcW w:w="157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制造厂家地址</w:t>
            </w:r>
          </w:p>
        </w:tc>
        <w:tc>
          <w:tcPr>
            <w:tcW w:w="168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制造厂家联系方式</w:t>
            </w:r>
          </w:p>
        </w:tc>
      </w:tr>
      <w:tr>
        <w:tblPrEx>
          <w:tblLayout w:type="fixed"/>
          <w:tblCellMar>
            <w:top w:w="0" w:type="dxa"/>
            <w:left w:w="108" w:type="dxa"/>
            <w:bottom w:w="0" w:type="dxa"/>
            <w:right w:w="108" w:type="dxa"/>
          </w:tblCellMar>
        </w:tblPrEx>
        <w:trPr>
          <w:trHeight w:val="514" w:hRule="atLeast"/>
        </w:trPr>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6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57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68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514" w:hRule="atLeast"/>
        </w:trPr>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6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57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68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514" w:hRule="atLeast"/>
        </w:trPr>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6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57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168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bl>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（3）制造厂家生产此投标货物的经验（包括年限、商业运营的起始日期、业绩等）：</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（4）销售、服务网点分布：</w:t>
      </w:r>
    </w:p>
    <w:tbl>
      <w:tblPr>
        <w:tblStyle w:val="35"/>
        <w:tblW w:w="8232" w:type="dxa"/>
        <w:tblInd w:w="108" w:type="dxa"/>
        <w:tblLayout w:type="fixed"/>
        <w:tblCellMar>
          <w:top w:w="0" w:type="dxa"/>
          <w:left w:w="108" w:type="dxa"/>
          <w:bottom w:w="0" w:type="dxa"/>
          <w:right w:w="108" w:type="dxa"/>
        </w:tblCellMar>
      </w:tblPr>
      <w:tblGrid>
        <w:gridCol w:w="2988"/>
        <w:gridCol w:w="2997"/>
        <w:gridCol w:w="2247"/>
      </w:tblGrid>
      <w:tr>
        <w:tblPrEx>
          <w:tblLayout w:type="fixed"/>
          <w:tblCellMar>
            <w:top w:w="0" w:type="dxa"/>
            <w:left w:w="108" w:type="dxa"/>
            <w:bottom w:w="0" w:type="dxa"/>
            <w:right w:w="108" w:type="dxa"/>
          </w:tblCellMar>
        </w:tblPrEx>
        <w:trPr>
          <w:trHeight w:val="488" w:hRule="atLeast"/>
        </w:trPr>
        <w:tc>
          <w:tcPr>
            <w:tcW w:w="29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销售服务网点名称和地址</w:t>
            </w:r>
          </w:p>
        </w:tc>
        <w:tc>
          <w:tcPr>
            <w:tcW w:w="299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主要服务范围</w:t>
            </w:r>
          </w:p>
        </w:tc>
        <w:tc>
          <w:tcPr>
            <w:tcW w:w="224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服务人员数</w:t>
            </w:r>
          </w:p>
        </w:tc>
      </w:tr>
      <w:tr>
        <w:tblPrEx>
          <w:tblLayout w:type="fixed"/>
          <w:tblCellMar>
            <w:top w:w="0" w:type="dxa"/>
            <w:left w:w="108" w:type="dxa"/>
            <w:bottom w:w="0" w:type="dxa"/>
            <w:right w:w="108" w:type="dxa"/>
          </w:tblCellMar>
        </w:tblPrEx>
        <w:trPr>
          <w:trHeight w:val="488" w:hRule="atLeast"/>
        </w:trPr>
        <w:tc>
          <w:tcPr>
            <w:tcW w:w="29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99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24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489" w:hRule="atLeast"/>
        </w:trPr>
        <w:tc>
          <w:tcPr>
            <w:tcW w:w="29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99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24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488" w:hRule="atLeast"/>
        </w:trPr>
        <w:tc>
          <w:tcPr>
            <w:tcW w:w="29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99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24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489" w:hRule="atLeast"/>
        </w:trPr>
        <w:tc>
          <w:tcPr>
            <w:tcW w:w="29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99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24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bl>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3、易损件供应商的名称和地址：</w:t>
      </w:r>
    </w:p>
    <w:tbl>
      <w:tblPr>
        <w:tblStyle w:val="35"/>
        <w:tblW w:w="8190" w:type="dxa"/>
        <w:tblInd w:w="108" w:type="dxa"/>
        <w:tblLayout w:type="fixed"/>
        <w:tblCellMar>
          <w:top w:w="0" w:type="dxa"/>
          <w:left w:w="108" w:type="dxa"/>
          <w:bottom w:w="0" w:type="dxa"/>
          <w:right w:w="108" w:type="dxa"/>
        </w:tblCellMar>
      </w:tblPr>
      <w:tblGrid>
        <w:gridCol w:w="839"/>
        <w:gridCol w:w="2731"/>
        <w:gridCol w:w="4620"/>
      </w:tblGrid>
      <w:tr>
        <w:tblPrEx>
          <w:tblLayout w:type="fixed"/>
          <w:tblCellMar>
            <w:top w:w="0" w:type="dxa"/>
            <w:left w:w="108" w:type="dxa"/>
            <w:bottom w:w="0" w:type="dxa"/>
            <w:right w:w="108" w:type="dxa"/>
          </w:tblCellMar>
        </w:tblPrEx>
        <w:trPr>
          <w:trHeight w:val="488"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序号</w:t>
            </w:r>
          </w:p>
        </w:tc>
        <w:tc>
          <w:tcPr>
            <w:tcW w:w="27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部件名称</w:t>
            </w:r>
          </w:p>
        </w:tc>
        <w:tc>
          <w:tcPr>
            <w:tcW w:w="46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供应商名称和地址</w:t>
            </w:r>
          </w:p>
        </w:tc>
      </w:tr>
      <w:tr>
        <w:tblPrEx>
          <w:tblLayout w:type="fixed"/>
          <w:tblCellMar>
            <w:top w:w="0" w:type="dxa"/>
            <w:left w:w="108" w:type="dxa"/>
            <w:bottom w:w="0" w:type="dxa"/>
            <w:right w:w="108" w:type="dxa"/>
          </w:tblCellMar>
        </w:tblPrEx>
        <w:trPr>
          <w:trHeight w:val="488"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7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46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489"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7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46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488"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7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46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r>
        <w:tblPrEx>
          <w:tblLayout w:type="fixed"/>
          <w:tblCellMar>
            <w:top w:w="0" w:type="dxa"/>
            <w:left w:w="108" w:type="dxa"/>
            <w:bottom w:w="0" w:type="dxa"/>
            <w:right w:w="108" w:type="dxa"/>
          </w:tblCellMar>
        </w:tblPrEx>
        <w:trPr>
          <w:trHeight w:val="489"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273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c>
          <w:tcPr>
            <w:tcW w:w="462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ind w:left="0" w:leftChars="0" w:right="0" w:rightChars="0"/>
              <w:jc w:val="center"/>
              <w:textAlignment w:val="auto"/>
              <w:outlineLvl w:val="9"/>
              <w:rPr>
                <w:rFonts w:hint="eastAsia" w:ascii="宋体" w:hAnsi="宋体" w:eastAsia="宋体" w:cs="宋体"/>
                <w:sz w:val="24"/>
                <w:szCs w:val="24"/>
              </w:rPr>
            </w:pPr>
          </w:p>
        </w:tc>
      </w:tr>
    </w:tbl>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4、投标人认为需要声明的其他情况：</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兹证明上述声明是真实的、正确的，并提供了全部能提供的资料和数据，我们同意遵照贵方要求出示有关证明文件。</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投标人全称（公章）：</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法定代表人或授权代表签字：</w:t>
      </w:r>
      <w:r>
        <w:rPr>
          <w:rFonts w:hint="eastAsia" w:ascii="宋体" w:hAnsi="宋体" w:eastAsia="宋体" w:cs="宋体"/>
          <w:sz w:val="24"/>
          <w:szCs w:val="24"/>
          <w:u w:val="single"/>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日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kern w:val="0"/>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kern w:val="0"/>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kern w:val="0"/>
          <w:sz w:val="24"/>
          <w:szCs w:val="24"/>
        </w:rPr>
      </w:pPr>
      <w:r>
        <w:rPr>
          <w:rFonts w:hint="eastAsia" w:ascii="宋体" w:hAnsi="宋体" w:eastAsia="宋体" w:cs="宋体"/>
          <w:bCs/>
          <w:kern w:val="0"/>
          <w:sz w:val="24"/>
          <w:szCs w:val="24"/>
        </w:rPr>
        <w:t xml:space="preserve"> </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
          <w:kern w:val="0"/>
          <w:sz w:val="24"/>
          <w:szCs w:val="24"/>
        </w:rPr>
        <w:sectPr>
          <w:pgSz w:w="11907" w:h="16840"/>
          <w:pgMar w:top="1440" w:right="1797" w:bottom="1440" w:left="1797" w:header="851" w:footer="992" w:gutter="0"/>
          <w:cols w:space="720" w:num="1"/>
          <w:docGrid w:linePitch="312" w:charSpace="0"/>
        </w:sectPr>
      </w:pP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rPr>
        <w:t>*十、投标人有效营业执照副本复印件（加盖投标人公章）</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rPr>
        <w:t>*十一、税务登记证副本复印件（加盖投标人公章）</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rPr>
        <w:t>*十二、组织机构代码证副本复印件（加盖投标人公章）</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rPr>
        <w:t>*十三、生产厂商委托代理授权书（代理商提供）</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rPr>
        <w:t>十四、制造厂商有效营业执照副本复印件（加盖投标人公章，代理商提供）</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rPr>
        <w:t>十五、投标人开户银行开具的银行资信证明（响应文件正本须附原件，副本中提供复印件加盖投标人公章）</w:t>
      </w:r>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bCs/>
          <w:kern w:val="0"/>
          <w:sz w:val="24"/>
          <w:szCs w:val="24"/>
        </w:rPr>
      </w:pPr>
      <w:bookmarkStart w:id="162" w:name="_Toc395105695"/>
      <w:bookmarkStart w:id="163" w:name="_Toc395107068"/>
      <w:bookmarkStart w:id="164" w:name="_Toc376852386"/>
      <w:bookmarkStart w:id="165" w:name="_Toc142209832"/>
      <w:r>
        <w:rPr>
          <w:rFonts w:hint="eastAsia" w:ascii="宋体" w:hAnsi="宋体" w:eastAsia="宋体" w:cs="宋体"/>
          <w:b/>
          <w:bCs/>
          <w:kern w:val="0"/>
          <w:sz w:val="24"/>
          <w:szCs w:val="24"/>
        </w:rPr>
        <w:t>十六、</w:t>
      </w:r>
      <w:r>
        <w:rPr>
          <w:rFonts w:hint="eastAsia" w:ascii="宋体" w:hAnsi="宋体" w:eastAsia="宋体" w:cs="宋体"/>
          <w:b/>
          <w:kern w:val="0"/>
          <w:sz w:val="24"/>
          <w:szCs w:val="24"/>
        </w:rPr>
        <w:t>最近一年度经会计师事务所审计的财务报告复印件（加盖投标人公章）</w:t>
      </w:r>
      <w:bookmarkEnd w:id="162"/>
      <w:bookmarkEnd w:id="163"/>
      <w:bookmarkEnd w:id="164"/>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bCs/>
          <w:kern w:val="0"/>
          <w:sz w:val="24"/>
          <w:szCs w:val="24"/>
        </w:rPr>
      </w:pPr>
      <w:bookmarkStart w:id="166" w:name="_Toc395105696"/>
      <w:bookmarkStart w:id="167" w:name="_Toc395107069"/>
      <w:bookmarkStart w:id="168" w:name="_Toc376852387"/>
      <w:r>
        <w:rPr>
          <w:rFonts w:hint="eastAsia" w:ascii="宋体" w:hAnsi="宋体" w:eastAsia="宋体" w:cs="宋体"/>
          <w:b/>
          <w:bCs/>
          <w:kern w:val="0"/>
          <w:sz w:val="24"/>
          <w:szCs w:val="24"/>
        </w:rPr>
        <w:t>十七、最近一</w:t>
      </w:r>
      <w:r>
        <w:rPr>
          <w:rFonts w:hint="eastAsia" w:ascii="宋体" w:hAnsi="宋体" w:eastAsia="宋体" w:cs="宋体"/>
          <w:b/>
          <w:kern w:val="0"/>
          <w:sz w:val="24"/>
          <w:szCs w:val="24"/>
        </w:rPr>
        <w:t>年度依法交纳税收和社会保障资金的相关证明材料复印件（加盖投标人公章）</w:t>
      </w:r>
      <w:bookmarkEnd w:id="166"/>
      <w:bookmarkEnd w:id="167"/>
      <w:bookmarkEnd w:id="168"/>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kern w:val="0"/>
          <w:sz w:val="24"/>
          <w:szCs w:val="24"/>
        </w:rPr>
      </w:pPr>
      <w:bookmarkStart w:id="169" w:name="_Toc395105697"/>
      <w:bookmarkStart w:id="170" w:name="_Toc376852388"/>
      <w:bookmarkStart w:id="171" w:name="_Toc395107070"/>
      <w:r>
        <w:rPr>
          <w:rFonts w:hint="eastAsia" w:ascii="宋体" w:hAnsi="宋体" w:eastAsia="宋体" w:cs="宋体"/>
          <w:b/>
          <w:bCs/>
          <w:kern w:val="0"/>
          <w:sz w:val="24"/>
          <w:szCs w:val="24"/>
        </w:rPr>
        <w:t>十八、投标人近两年同类型项目业绩介绍及最终用户的有效联系方式（ 如有同类型项目业绩时，提供合同复印件并加盖投标人公章）</w:t>
      </w:r>
      <w:bookmarkEnd w:id="169"/>
      <w:bookmarkEnd w:id="170"/>
      <w:bookmarkEnd w:id="171"/>
    </w:p>
    <w:p>
      <w:pPr>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outlineLvl w:val="9"/>
        <w:rPr>
          <w:rFonts w:hint="eastAsia" w:ascii="宋体" w:hAnsi="宋体" w:eastAsia="宋体" w:cs="宋体"/>
          <w:b/>
          <w:kern w:val="0"/>
          <w:sz w:val="24"/>
          <w:szCs w:val="24"/>
        </w:rPr>
      </w:pPr>
      <w:bookmarkStart w:id="172" w:name="_Toc395105698"/>
      <w:bookmarkStart w:id="173" w:name="_Toc395107071"/>
      <w:bookmarkStart w:id="174" w:name="_Toc376852389"/>
      <w:bookmarkStart w:id="175" w:name="_Toc395085170"/>
      <w:r>
        <w:rPr>
          <w:rFonts w:hint="eastAsia" w:ascii="宋体" w:hAnsi="宋体" w:eastAsia="宋体" w:cs="宋体"/>
          <w:b/>
          <w:kern w:val="0"/>
          <w:sz w:val="24"/>
          <w:szCs w:val="24"/>
        </w:rPr>
        <w:t>十九、</w:t>
      </w:r>
      <w:bookmarkEnd w:id="165"/>
      <w:bookmarkEnd w:id="172"/>
      <w:bookmarkEnd w:id="173"/>
      <w:bookmarkEnd w:id="174"/>
      <w:bookmarkEnd w:id="175"/>
      <w:r>
        <w:rPr>
          <w:rFonts w:hint="eastAsia" w:ascii="宋体" w:hAnsi="宋体" w:eastAsia="宋体" w:cs="宋体"/>
          <w:b/>
          <w:bCs/>
          <w:sz w:val="24"/>
          <w:szCs w:val="24"/>
        </w:rPr>
        <w:t>投标产品技术情况介绍；（投标人自行编写）</w:t>
      </w: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60" w:lineRule="exact"/>
        <w:ind w:left="0" w:leftChars="0" w:right="0" w:rightChars="0"/>
        <w:textAlignment w:val="auto"/>
        <w:outlineLvl w:val="9"/>
        <w:rPr>
          <w:rFonts w:hint="eastAsia" w:ascii="宋体" w:hAnsi="宋体" w:eastAsia="宋体" w:cs="宋体"/>
          <w:bCs/>
          <w:sz w:val="24"/>
          <w:szCs w:val="24"/>
        </w:rPr>
      </w:pPr>
    </w:p>
    <w:p>
      <w:pPr>
        <w:keepNext w:val="0"/>
        <w:keepLines w:val="0"/>
        <w:pageBreakBefore w:val="0"/>
        <w:widowControl/>
        <w:kinsoku/>
        <w:wordWrap/>
        <w:overflowPunct/>
        <w:topLinePunct w:val="0"/>
        <w:autoSpaceDE/>
        <w:autoSpaceDN/>
        <w:bidi w:val="0"/>
        <w:spacing w:line="460" w:lineRule="exact"/>
        <w:ind w:left="0" w:leftChars="0" w:right="0" w:rightChars="0"/>
        <w:jc w:val="left"/>
        <w:textAlignment w:val="auto"/>
        <w:outlineLvl w:val="9"/>
        <w:rPr>
          <w:rFonts w:hint="eastAsia" w:ascii="宋体" w:hAnsi="宋体" w:eastAsia="宋体" w:cs="宋体"/>
          <w:bCs/>
          <w:sz w:val="24"/>
          <w:szCs w:val="24"/>
        </w:rPr>
      </w:pPr>
      <w:r>
        <w:rPr>
          <w:rFonts w:hint="eastAsia" w:ascii="宋体" w:hAnsi="宋体" w:eastAsia="宋体" w:cs="宋体"/>
          <w:bCs/>
          <w:sz w:val="24"/>
          <w:szCs w:val="24"/>
        </w:rPr>
        <w:br w:type="page"/>
      </w:r>
    </w:p>
    <w:p>
      <w:pPr>
        <w:keepNext w:val="0"/>
        <w:keepLines w:val="0"/>
        <w:pageBreakBefore w:val="0"/>
        <w:widowControl w:val="0"/>
        <w:kinsoku/>
        <w:wordWrap/>
        <w:overflowPunct/>
        <w:topLinePunct w:val="0"/>
        <w:autoSpaceDE/>
        <w:autoSpaceDN w:val="0"/>
        <w:bidi w:val="0"/>
        <w:spacing w:line="460" w:lineRule="exac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二十、政府采购政策情况表（加盖投标人公章）</w:t>
      </w:r>
    </w:p>
    <w:p>
      <w:pPr>
        <w:keepNext w:val="0"/>
        <w:keepLines w:val="0"/>
        <w:pageBreakBefore w:val="0"/>
        <w:widowControl w:val="0"/>
        <w:kinsoku/>
        <w:wordWrap/>
        <w:overflowPunct/>
        <w:topLinePunct w:val="0"/>
        <w:autoSpaceDE/>
        <w:bidi w:val="0"/>
        <w:spacing w:line="460" w:lineRule="exact"/>
        <w:jc w:val="center"/>
        <w:textAlignment w:val="auto"/>
        <w:outlineLvl w:val="9"/>
        <w:rPr>
          <w:rFonts w:hint="eastAsia" w:ascii="宋体" w:hAnsi="宋体" w:eastAsia="宋体" w:cs="宋体"/>
          <w:sz w:val="24"/>
          <w:szCs w:val="24"/>
          <w:highlight w:val="yellow"/>
        </w:rPr>
      </w:pPr>
    </w:p>
    <w:p>
      <w:pPr>
        <w:keepNext w:val="0"/>
        <w:keepLines w:val="0"/>
        <w:pageBreakBefore w:val="0"/>
        <w:widowControl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bidi w:val="0"/>
        <w:spacing w:line="460" w:lineRule="exac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包号：</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bidi w:val="0"/>
        <w:spacing w:line="460" w:lineRule="exact"/>
        <w:ind w:firstLine="7440" w:firstLineChars="3100"/>
        <w:textAlignment w:val="auto"/>
        <w:outlineLvl w:val="9"/>
        <w:rPr>
          <w:rFonts w:hint="eastAsia" w:ascii="宋体" w:hAnsi="宋体" w:eastAsia="宋体" w:cs="宋体"/>
          <w:sz w:val="24"/>
          <w:szCs w:val="24"/>
        </w:rPr>
      </w:pPr>
      <w:r>
        <w:rPr>
          <w:rFonts w:hint="eastAsia" w:ascii="宋体" w:hAnsi="宋体" w:eastAsia="宋体" w:cs="宋体"/>
          <w:sz w:val="24"/>
          <w:szCs w:val="24"/>
        </w:rPr>
        <w:t>单位：元</w:t>
      </w:r>
    </w:p>
    <w:tbl>
      <w:tblPr>
        <w:tblStyle w:val="35"/>
        <w:tblW w:w="81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453"/>
        <w:gridCol w:w="1482"/>
        <w:gridCol w:w="41"/>
        <w:gridCol w:w="1276"/>
        <w:gridCol w:w="1579"/>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11" w:type="dxa"/>
            <w:vMerge w:val="restart"/>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中小企业扶持政策</w:t>
            </w:r>
          </w:p>
        </w:tc>
        <w:tc>
          <w:tcPr>
            <w:tcW w:w="7287" w:type="dxa"/>
            <w:gridSpan w:val="6"/>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如属所列情形的，请在括号内打“√”：</w:t>
            </w:r>
          </w:p>
          <w:p>
            <w:pPr>
              <w:pStyle w:val="118"/>
              <w:keepNext w:val="0"/>
              <w:keepLines w:val="0"/>
              <w:pageBreakBefore w:val="0"/>
              <w:widowControl w:val="0"/>
              <w:tabs>
                <w:tab w:val="left" w:pos="1260"/>
              </w:tabs>
              <w:kinsoku/>
              <w:wordWrap/>
              <w:overflowPunct/>
              <w:topLinePunct w:val="0"/>
              <w:autoSpaceDE/>
              <w:bidi w:val="0"/>
              <w:snapToGrid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  ）小型、微型企业磋商且提供本企业制造的产品。</w:t>
            </w:r>
          </w:p>
          <w:p>
            <w:pPr>
              <w:pStyle w:val="118"/>
              <w:keepNext w:val="0"/>
              <w:keepLines w:val="0"/>
              <w:pageBreakBefore w:val="0"/>
              <w:widowControl w:val="0"/>
              <w:tabs>
                <w:tab w:val="left" w:pos="1260"/>
              </w:tabs>
              <w:kinsoku/>
              <w:wordWrap/>
              <w:overflowPunct/>
              <w:topLinePunct w:val="0"/>
              <w:autoSpaceDE/>
              <w:bidi w:val="0"/>
              <w:snapToGrid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  ）小微企业磋商且提供其它小型、微型企业产品的，请填写下表内容：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产品名称</w:t>
            </w: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品牌型号</w:t>
            </w: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制造商</w:t>
            </w: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制造商</w:t>
            </w:r>
          </w:p>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企业类型</w:t>
            </w: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5831" w:type="dxa"/>
            <w:gridSpan w:val="5"/>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rPr>
              <w:t>小型、微型企业产品</w:t>
            </w:r>
            <w:r>
              <w:rPr>
                <w:rFonts w:hint="eastAsia" w:ascii="宋体" w:hAnsi="宋体" w:eastAsia="宋体" w:cs="宋体"/>
                <w:sz w:val="24"/>
                <w:szCs w:val="24"/>
                <w:lang w:val="en-GB"/>
              </w:rPr>
              <w:t>金额合计</w:t>
            </w: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jc w:val="center"/>
        </w:trPr>
        <w:tc>
          <w:tcPr>
            <w:tcW w:w="911"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监狱企业</w:t>
            </w:r>
          </w:p>
        </w:tc>
        <w:tc>
          <w:tcPr>
            <w:tcW w:w="7287" w:type="dxa"/>
            <w:gridSpan w:val="6"/>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textAlignment w:val="auto"/>
              <w:outlineLvl w:val="9"/>
              <w:rPr>
                <w:rFonts w:hint="eastAsia" w:ascii="宋体" w:hAnsi="宋体" w:eastAsia="宋体" w:cs="宋体"/>
                <w:sz w:val="24"/>
                <w:szCs w:val="24"/>
                <w:lang w:val="en-GB"/>
              </w:rPr>
            </w:pPr>
            <w:r>
              <w:rPr>
                <w:rFonts w:hint="eastAsia" w:ascii="宋体" w:hAnsi="宋体" w:eastAsia="宋体" w:cs="宋体"/>
                <w:sz w:val="24"/>
                <w:szCs w:val="24"/>
              </w:rPr>
              <w:t>（  ）监狱企业。如属于监狱企业，</w:t>
            </w:r>
            <w:r>
              <w:rPr>
                <w:rFonts w:hint="eastAsia" w:ascii="宋体" w:hAnsi="宋体" w:eastAsia="宋体" w:cs="宋体"/>
                <w:sz w:val="24"/>
                <w:szCs w:val="24"/>
                <w:lang w:val="en-GB"/>
              </w:rPr>
              <w:t>请在括号内打“√”。同时</w:t>
            </w:r>
            <w:r>
              <w:rPr>
                <w:rFonts w:hint="eastAsia" w:ascii="宋体" w:hAnsi="宋体" w:eastAsia="宋体" w:cs="宋体"/>
                <w:sz w:val="24"/>
                <w:szCs w:val="24"/>
              </w:rPr>
              <w:t>须提供由省级以上监狱管理局、戒毒管理局（含新疆生产建设兵团）出具的属于监狱企业的证明文件。证明材料见响应文件第</w:t>
            </w:r>
            <w:r>
              <w:rPr>
                <w:rFonts w:hint="eastAsia" w:ascii="宋体" w:hAnsi="宋体" w:eastAsia="宋体" w:cs="宋体"/>
                <w:sz w:val="24"/>
                <w:szCs w:val="24"/>
                <w:u w:val="single"/>
              </w:rPr>
              <w:t xml:space="preserve">   </w:t>
            </w:r>
            <w:r>
              <w:rPr>
                <w:rFonts w:hint="eastAsia" w:ascii="宋体" w:hAnsi="宋体" w:eastAsia="宋体" w:cs="宋体"/>
                <w:sz w:val="24"/>
                <w:szCs w:val="24"/>
              </w:rPr>
              <w:t>至</w:t>
            </w:r>
            <w:r>
              <w:rPr>
                <w:rFonts w:hint="eastAsia" w:ascii="宋体" w:hAnsi="宋体" w:eastAsia="宋体" w:cs="宋体"/>
                <w:sz w:val="24"/>
                <w:szCs w:val="24"/>
                <w:u w:val="single"/>
              </w:rPr>
              <w:t xml:space="preserve">   </w:t>
            </w:r>
            <w:r>
              <w:rPr>
                <w:rFonts w:hint="eastAsia" w:ascii="宋体" w:hAnsi="宋体" w:eastAsia="宋体" w:cs="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11" w:type="dxa"/>
            <w:vMerge w:val="restart"/>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节能产品（非强制节能产品）</w:t>
            </w: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产品名称</w:t>
            </w: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品牌型号</w:t>
            </w: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制造商</w:t>
            </w: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节能认证证书编号</w:t>
            </w: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23"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27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5831" w:type="dxa"/>
            <w:gridSpan w:val="5"/>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节能产品（不包括强制节能产品）金额合计</w:t>
            </w: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5831" w:type="dxa"/>
            <w:gridSpan w:val="5"/>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比重（节能产品金额/磋商所投包总价）</w:t>
            </w: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7287" w:type="dxa"/>
            <w:gridSpan w:val="6"/>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节能产品</w:t>
            </w:r>
            <w:r>
              <w:rPr>
                <w:rFonts w:hint="eastAsia" w:ascii="宋体" w:hAnsi="宋体" w:eastAsia="宋体" w:cs="宋体"/>
                <w:sz w:val="24"/>
                <w:szCs w:val="24"/>
              </w:rPr>
              <w:t>证明材料见响应文件第</w:t>
            </w:r>
            <w:r>
              <w:rPr>
                <w:rFonts w:hint="eastAsia" w:ascii="宋体" w:hAnsi="宋体" w:eastAsia="宋体" w:cs="宋体"/>
                <w:sz w:val="24"/>
                <w:szCs w:val="24"/>
                <w:u w:val="single"/>
              </w:rPr>
              <w:t xml:space="preserve">   </w:t>
            </w:r>
            <w:r>
              <w:rPr>
                <w:rFonts w:hint="eastAsia" w:ascii="宋体" w:hAnsi="宋体" w:eastAsia="宋体" w:cs="宋体"/>
                <w:sz w:val="24"/>
                <w:szCs w:val="24"/>
              </w:rPr>
              <w:t>至</w:t>
            </w:r>
            <w:r>
              <w:rPr>
                <w:rFonts w:hint="eastAsia" w:ascii="宋体" w:hAnsi="宋体" w:eastAsia="宋体" w:cs="宋体"/>
                <w:sz w:val="24"/>
                <w:szCs w:val="24"/>
                <w:u w:val="single"/>
              </w:rPr>
              <w:t xml:space="preserve">   </w:t>
            </w:r>
            <w:r>
              <w:rPr>
                <w:rFonts w:hint="eastAsia" w:ascii="宋体" w:hAnsi="宋体" w:eastAsia="宋体" w:cs="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911" w:type="dxa"/>
            <w:vMerge w:val="restart"/>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环境标志产品</w:t>
            </w: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产品名称</w:t>
            </w:r>
          </w:p>
        </w:tc>
        <w:tc>
          <w:tcPr>
            <w:tcW w:w="1482"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品牌型号</w:t>
            </w:r>
          </w:p>
        </w:tc>
        <w:tc>
          <w:tcPr>
            <w:tcW w:w="1317"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制造商</w:t>
            </w: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环境标志认证证书编号</w:t>
            </w: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82"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317"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3"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82"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317" w:type="dxa"/>
            <w:gridSpan w:val="2"/>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579"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5831" w:type="dxa"/>
            <w:gridSpan w:val="5"/>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环境标志产品金额合计</w:t>
            </w: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5831" w:type="dxa"/>
            <w:gridSpan w:val="5"/>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比重（环境标志产品金额/所投包磋商总价）</w:t>
            </w:r>
          </w:p>
        </w:tc>
        <w:tc>
          <w:tcPr>
            <w:tcW w:w="1456" w:type="dxa"/>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11" w:type="dxa"/>
            <w:vMerge w:val="continue"/>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p>
        </w:tc>
        <w:tc>
          <w:tcPr>
            <w:tcW w:w="7287" w:type="dxa"/>
            <w:gridSpan w:val="6"/>
            <w:vAlign w:val="center"/>
          </w:tcPr>
          <w:p>
            <w:pPr>
              <w:pStyle w:val="118"/>
              <w:keepNext w:val="0"/>
              <w:keepLines w:val="0"/>
              <w:pageBreakBefore w:val="0"/>
              <w:widowControl w:val="0"/>
              <w:tabs>
                <w:tab w:val="left" w:pos="1260"/>
              </w:tabs>
              <w:kinsoku/>
              <w:wordWrap/>
              <w:overflowPunct/>
              <w:topLinePunct w:val="0"/>
              <w:autoSpaceDE/>
              <w:bidi w:val="0"/>
              <w:snapToGrid w:val="0"/>
              <w:spacing w:line="460" w:lineRule="exact"/>
              <w:jc w:val="center"/>
              <w:textAlignment w:val="auto"/>
              <w:outlineLvl w:val="9"/>
              <w:rPr>
                <w:rFonts w:hint="eastAsia" w:ascii="宋体" w:hAnsi="宋体" w:eastAsia="宋体" w:cs="宋体"/>
                <w:sz w:val="24"/>
                <w:szCs w:val="24"/>
                <w:lang w:val="en-GB"/>
              </w:rPr>
            </w:pPr>
            <w:r>
              <w:rPr>
                <w:rFonts w:hint="eastAsia" w:ascii="宋体" w:hAnsi="宋体" w:eastAsia="宋体" w:cs="宋体"/>
                <w:sz w:val="24"/>
                <w:szCs w:val="24"/>
                <w:lang w:val="en-GB"/>
              </w:rPr>
              <w:t>环境标志产品</w:t>
            </w:r>
            <w:r>
              <w:rPr>
                <w:rFonts w:hint="eastAsia" w:ascii="宋体" w:hAnsi="宋体" w:eastAsia="宋体" w:cs="宋体"/>
                <w:sz w:val="24"/>
                <w:szCs w:val="24"/>
              </w:rPr>
              <w:t>证明材料见响应文件第</w:t>
            </w:r>
            <w:r>
              <w:rPr>
                <w:rFonts w:hint="eastAsia" w:ascii="宋体" w:hAnsi="宋体" w:eastAsia="宋体" w:cs="宋体"/>
                <w:sz w:val="24"/>
                <w:szCs w:val="24"/>
                <w:u w:val="single"/>
              </w:rPr>
              <w:t xml:space="preserve">   </w:t>
            </w:r>
            <w:r>
              <w:rPr>
                <w:rFonts w:hint="eastAsia" w:ascii="宋体" w:hAnsi="宋体" w:eastAsia="宋体" w:cs="宋体"/>
                <w:sz w:val="24"/>
                <w:szCs w:val="24"/>
              </w:rPr>
              <w:t>至</w:t>
            </w:r>
            <w:r>
              <w:rPr>
                <w:rFonts w:hint="eastAsia" w:ascii="宋体" w:hAnsi="宋体" w:eastAsia="宋体" w:cs="宋体"/>
                <w:sz w:val="24"/>
                <w:szCs w:val="24"/>
                <w:u w:val="single"/>
              </w:rPr>
              <w:t xml:space="preserve">   </w:t>
            </w:r>
            <w:r>
              <w:rPr>
                <w:rFonts w:hint="eastAsia" w:ascii="宋体" w:hAnsi="宋体" w:eastAsia="宋体" w:cs="宋体"/>
                <w:sz w:val="24"/>
                <w:szCs w:val="24"/>
              </w:rPr>
              <w:t>页。</w:t>
            </w:r>
          </w:p>
        </w:tc>
      </w:tr>
    </w:tbl>
    <w:p>
      <w:pPr>
        <w:keepNext w:val="0"/>
        <w:keepLines w:val="0"/>
        <w:pageBreakBefore w:val="0"/>
        <w:widowControl w:val="0"/>
        <w:kinsoku/>
        <w:wordWrap/>
        <w:overflowPunct/>
        <w:topLinePunct w:val="0"/>
        <w:autoSpaceDE/>
        <w:bidi w:val="0"/>
        <w:adjustRightInd w:val="0"/>
        <w:snapToGrid w:val="0"/>
        <w:spacing w:line="46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填报要求：</w:t>
      </w:r>
    </w:p>
    <w:p>
      <w:pPr>
        <w:keepNext w:val="0"/>
        <w:keepLines w:val="0"/>
        <w:pageBreakBefore w:val="0"/>
        <w:widowControl w:val="0"/>
        <w:kinsoku/>
        <w:wordWrap/>
        <w:overflowPunct/>
        <w:topLinePunct w:val="0"/>
        <w:autoSpaceDE/>
        <w:bidi w:val="0"/>
        <w:adjustRightInd w:val="0"/>
        <w:snapToGrid w:val="0"/>
        <w:spacing w:line="46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 本表的产品名称、品牌型号、金额应与《产品报价明细表》一致。</w:t>
      </w:r>
    </w:p>
    <w:p>
      <w:pPr>
        <w:keepNext w:val="0"/>
        <w:keepLines w:val="0"/>
        <w:pageBreakBefore w:val="0"/>
        <w:widowControl w:val="0"/>
        <w:kinsoku/>
        <w:wordWrap/>
        <w:overflowPunct/>
        <w:topLinePunct w:val="0"/>
        <w:autoSpaceDE/>
        <w:bidi w:val="0"/>
        <w:adjustRightInd w:val="0"/>
        <w:snapToGrid w:val="0"/>
        <w:spacing w:line="46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 制造商为小型或微型企业时才需要填“制造商企业类型”栏，填写内容为“小型”或“微型”。</w:t>
      </w:r>
    </w:p>
    <w:p>
      <w:pPr>
        <w:keepNext w:val="0"/>
        <w:keepLines w:val="0"/>
        <w:pageBreakBefore w:val="0"/>
        <w:widowControl w:val="0"/>
        <w:kinsoku/>
        <w:wordWrap/>
        <w:overflowPunct/>
        <w:topLinePunct w:val="0"/>
        <w:autoSpaceDE/>
        <w:bidi w:val="0"/>
        <w:adjustRightInd w:val="0"/>
        <w:snapToGrid w:val="0"/>
        <w:spacing w:line="46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 节能产品是指财政部和国家发展改革委员会公布现行的《节能产品政府采购清单》中的产品；环境标志产品是指财政部、环境保护部发布现行的《环境标志产品政府采购清单》中的产品。请提供《清单》中相关内容页（并对相关内容作圈记）。</w:t>
      </w:r>
    </w:p>
    <w:p>
      <w:pPr>
        <w:keepNext w:val="0"/>
        <w:keepLines w:val="0"/>
        <w:pageBreakBefore w:val="0"/>
        <w:widowControl w:val="0"/>
        <w:kinsoku/>
        <w:wordWrap/>
        <w:overflowPunct/>
        <w:topLinePunct w:val="0"/>
        <w:autoSpaceDE/>
        <w:bidi w:val="0"/>
        <w:adjustRightInd w:val="0"/>
        <w:snapToGrid w:val="0"/>
        <w:spacing w:line="46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 请供应商正确填写本表，所填内容将作为评分的依据。其内容或数据应与对应的证明资料相符，如果填写不完整或有误，不再享受上述政策优惠。</w:t>
      </w:r>
    </w:p>
    <w:p>
      <w:pPr>
        <w:keepNext w:val="0"/>
        <w:keepLines w:val="0"/>
        <w:pageBreakBefore w:val="0"/>
        <w:widowControl w:val="0"/>
        <w:kinsoku/>
        <w:wordWrap/>
        <w:overflowPunct/>
        <w:topLinePunct w:val="0"/>
        <w:autoSpaceDE/>
        <w:bidi w:val="0"/>
        <w:spacing w:line="460" w:lineRule="exact"/>
        <w:ind w:firstLine="4080" w:firstLineChars="17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pacing w:line="460" w:lineRule="exact"/>
        <w:ind w:left="192" w:firstLine="3948" w:firstLineChars="1645"/>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供应商代表签字：_______________</w:t>
      </w:r>
    </w:p>
    <w:p>
      <w:pPr>
        <w:keepNext w:val="0"/>
        <w:keepLines w:val="0"/>
        <w:pageBreakBefore w:val="0"/>
        <w:widowControl w:val="0"/>
        <w:kinsoku/>
        <w:wordWrap/>
        <w:overflowPunct/>
        <w:topLinePunct w:val="0"/>
        <w:autoSpaceDE/>
        <w:bidi w:val="0"/>
        <w:spacing w:line="460" w:lineRule="exact"/>
        <w:ind w:left="192" w:firstLine="3948" w:firstLineChars="1645"/>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pacing w:line="460" w:lineRule="exact"/>
        <w:ind w:left="192" w:firstLine="3948" w:firstLineChars="1645"/>
        <w:textAlignment w:val="auto"/>
        <w:outlineLvl w:val="9"/>
        <w:rPr>
          <w:rFonts w:hint="eastAsia" w:ascii="宋体" w:hAnsi="宋体" w:eastAsia="宋体" w:cs="宋体"/>
          <w:sz w:val="24"/>
          <w:szCs w:val="24"/>
        </w:rPr>
      </w:pPr>
      <w:r>
        <w:rPr>
          <w:rFonts w:hint="eastAsia" w:ascii="宋体" w:hAnsi="宋体" w:eastAsia="宋体" w:cs="宋体"/>
          <w:sz w:val="24"/>
          <w:szCs w:val="24"/>
        </w:rPr>
        <w:t>职务：_________日期：__________</w:t>
      </w:r>
    </w:p>
    <w:p>
      <w:pPr>
        <w:keepNext w:val="0"/>
        <w:keepLines w:val="0"/>
        <w:pageBreakBefore w:val="0"/>
        <w:widowControl w:val="0"/>
        <w:kinsoku/>
        <w:wordWrap/>
        <w:overflowPunct/>
        <w:topLinePunct w:val="0"/>
        <w:autoSpaceDE/>
        <w:bidi w:val="0"/>
        <w:spacing w:line="460" w:lineRule="exact"/>
        <w:ind w:left="192" w:firstLine="3948" w:firstLineChars="1645"/>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pacing w:line="460" w:lineRule="exact"/>
        <w:ind w:right="36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供应商名称（公章）：____________</w:t>
      </w:r>
    </w:p>
    <w:p>
      <w:pPr>
        <w:keepNext w:val="0"/>
        <w:keepLines w:val="0"/>
        <w:pageBreakBefore w:val="0"/>
        <w:widowControl w:val="0"/>
        <w:kinsoku/>
        <w:wordWrap/>
        <w:overflowPunct/>
        <w:topLinePunct w:val="0"/>
        <w:autoSpaceDE/>
        <w:bidi w:val="0"/>
        <w:spacing w:line="460" w:lineRule="exact"/>
        <w:ind w:right="360"/>
        <w:jc w:val="center"/>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outlineLvl w:val="9"/>
        <w:rPr>
          <w:rFonts w:hint="eastAsia" w:ascii="宋体" w:hAnsi="宋体" w:eastAsia="宋体" w:cs="宋体"/>
          <w:b/>
          <w:sz w:val="24"/>
          <w:szCs w:val="24"/>
        </w:rPr>
        <w:sectPr>
          <w:pgSz w:w="11907" w:h="16840"/>
          <w:pgMar w:top="1440" w:right="1797" w:bottom="1440" w:left="1797" w:header="851" w:footer="992" w:gutter="0"/>
          <w:cols w:space="720" w:num="1"/>
          <w:docGrid w:linePitch="312" w:charSpace="0"/>
        </w:sectPr>
      </w:pPr>
      <w:bookmarkStart w:id="176" w:name="_Toc376852390"/>
      <w:bookmarkStart w:id="177" w:name="_Toc395107072"/>
      <w:bookmarkStart w:id="178" w:name="_Toc395105699"/>
    </w:p>
    <w:bookmarkEnd w:id="176"/>
    <w:bookmarkEnd w:id="177"/>
    <w:bookmarkEnd w:id="178"/>
    <w:p>
      <w:pPr>
        <w:keepNext w:val="0"/>
        <w:keepLines w:val="0"/>
        <w:pageBreakBefore w:val="0"/>
        <w:widowControl w:val="0"/>
        <w:kinsoku/>
        <w:wordWrap/>
        <w:overflowPunct/>
        <w:topLinePunct w:val="0"/>
        <w:autoSpaceDE/>
        <w:autoSpaceDN w:val="0"/>
        <w:bidi w:val="0"/>
        <w:spacing w:line="460" w:lineRule="exact"/>
        <w:ind w:left="0" w:leftChars="0" w:right="0" w:rightChars="0"/>
        <w:textAlignment w:val="auto"/>
        <w:outlineLvl w:val="9"/>
        <w:rPr>
          <w:rFonts w:hint="eastAsia" w:ascii="宋体" w:hAnsi="宋体" w:eastAsia="宋体" w:cs="宋体"/>
          <w:b/>
          <w:bCs/>
          <w:sz w:val="24"/>
          <w:szCs w:val="24"/>
        </w:rPr>
      </w:pPr>
      <w:bookmarkStart w:id="179" w:name="_Toc376852393"/>
      <w:bookmarkStart w:id="180" w:name="_Toc395107075"/>
      <w:bookmarkStart w:id="181" w:name="_Toc395105702"/>
      <w:bookmarkStart w:id="182" w:name="_Toc395085172"/>
      <w:r>
        <w:rPr>
          <w:rFonts w:hint="eastAsia" w:ascii="宋体" w:hAnsi="宋体" w:eastAsia="宋体" w:cs="宋体"/>
          <w:b/>
          <w:bCs/>
          <w:sz w:val="24"/>
          <w:szCs w:val="24"/>
        </w:rPr>
        <w:t>二十一、中小微企业声明函（投标人）</w:t>
      </w:r>
    </w:p>
    <w:p>
      <w:pPr>
        <w:keepNext w:val="0"/>
        <w:keepLines w:val="0"/>
        <w:pageBreakBefore w:val="0"/>
        <w:widowControl w:val="0"/>
        <w:kinsoku/>
        <w:wordWrap/>
        <w:overflowPunct/>
        <w:topLinePunct w:val="0"/>
        <w:autoSpaceDE/>
        <w:bidi w:val="0"/>
        <w:snapToGrid w:val="0"/>
        <w:spacing w:line="460" w:lineRule="exact"/>
        <w:ind w:left="0" w:leftChars="0" w:right="0" w:rightChars="0"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napToGrid w:val="0"/>
        <w:spacing w:line="460" w:lineRule="exact"/>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本公司郑重声明，根据《政府采购促进中小企业发展暂行办法》（财库[2011]181号）的规定，本公司为______（请填写：中型、小型、微型）企业。即，本公司同时满足以下条件：</w:t>
      </w:r>
    </w:p>
    <w:p>
      <w:pPr>
        <w:keepNext w:val="0"/>
        <w:keepLines w:val="0"/>
        <w:pageBreakBefore w:val="0"/>
        <w:widowControl w:val="0"/>
        <w:kinsoku/>
        <w:wordWrap/>
        <w:overflowPunct/>
        <w:topLinePunct w:val="0"/>
        <w:autoSpaceDE/>
        <w:bidi w:val="0"/>
        <w:snapToGrid w:val="0"/>
        <w:spacing w:line="460" w:lineRule="exact"/>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根据《工业和信息化部、国家统计局、国家发展和改革委员会、财政部关于印发中小企业划型标准规定的通知》（工信部联企业[2011]300号）规定的划分标准：本公司属于第四条第______项______行业，为______（请填写：中型、小型、微型）企业。</w:t>
      </w:r>
    </w:p>
    <w:p>
      <w:pPr>
        <w:keepNext w:val="0"/>
        <w:keepLines w:val="0"/>
        <w:pageBreakBefore w:val="0"/>
        <w:widowControl w:val="0"/>
        <w:kinsoku/>
        <w:wordWrap/>
        <w:overflowPunct/>
        <w:topLinePunct w:val="0"/>
        <w:autoSpaceDE/>
        <w:bidi w:val="0"/>
        <w:snapToGrid w:val="0"/>
        <w:spacing w:line="460" w:lineRule="exact"/>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 本公司参加本项目采购活动提供本企业制造的货物，由本企业承担工程、提供服务或者提供其他______（请填写：中型、小型、微型）企业制造的货物。本条所称货物不包括使用大型企业注册商标的货物。</w:t>
      </w:r>
    </w:p>
    <w:p>
      <w:pPr>
        <w:keepNext w:val="0"/>
        <w:keepLines w:val="0"/>
        <w:pageBreakBefore w:val="0"/>
        <w:widowControl w:val="0"/>
        <w:kinsoku/>
        <w:wordWrap/>
        <w:overflowPunct/>
        <w:topLinePunct w:val="0"/>
        <w:autoSpaceDE/>
        <w:bidi w:val="0"/>
        <w:snapToGrid w:val="0"/>
        <w:spacing w:line="460" w:lineRule="exact"/>
        <w:ind w:left="0" w:leftChars="0" w:right="0" w:rightChars="0" w:firstLine="480" w:firstLineChars="200"/>
        <w:textAlignment w:val="auto"/>
        <w:outlineLvl w:val="9"/>
        <w:rPr>
          <w:rFonts w:hint="eastAsia" w:ascii="宋体" w:hAnsi="宋体" w:eastAsia="宋体" w:cs="宋体"/>
          <w:spacing w:val="6"/>
          <w:sz w:val="24"/>
          <w:szCs w:val="24"/>
        </w:rPr>
      </w:pPr>
      <w:r>
        <w:rPr>
          <w:rFonts w:hint="eastAsia" w:ascii="宋体" w:hAnsi="宋体" w:eastAsia="宋体" w:cs="宋体"/>
          <w:sz w:val="24"/>
          <w:szCs w:val="24"/>
        </w:rPr>
        <w:t>本公司对上述声明的真实性负责。如有虚假，将依法承担相应责任。</w:t>
      </w: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r>
        <w:rPr>
          <w:rFonts w:hint="eastAsia" w:ascii="宋体" w:hAnsi="宋体" w:eastAsia="宋体" w:cs="宋体"/>
          <w:sz w:val="24"/>
          <w:szCs w:val="24"/>
        </w:rPr>
        <w:t>供应商名称（公章）：</w:t>
      </w: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r>
        <w:rPr>
          <w:rFonts w:hint="eastAsia" w:ascii="宋体" w:hAnsi="宋体" w:eastAsia="宋体" w:cs="宋体"/>
          <w:sz w:val="24"/>
          <w:szCs w:val="24"/>
        </w:rPr>
        <w:t>日期：20  年   月   日</w:t>
      </w: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napToGrid w:val="0"/>
        <w:spacing w:line="460" w:lineRule="exact"/>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注：提供其他中小微企业制造的货物，必须同时提供该中小微企业的声明函。</w:t>
      </w:r>
    </w:p>
    <w:p>
      <w:pPr>
        <w:keepNext w:val="0"/>
        <w:keepLines w:val="0"/>
        <w:pageBreakBefore w:val="0"/>
        <w:widowControl w:val="0"/>
        <w:kinsoku/>
        <w:wordWrap/>
        <w:overflowPunct/>
        <w:topLinePunct w:val="0"/>
        <w:autoSpaceDE/>
        <w:autoSpaceDN w:val="0"/>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val="0"/>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val="0"/>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二十二、中小微企业声明函（制造商）</w:t>
      </w: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val="0"/>
        <w:bidi w:val="0"/>
        <w:spacing w:line="460" w:lineRule="exact"/>
        <w:ind w:left="0" w:leftChars="0" w:right="0" w:rightChars="0"/>
        <w:jc w:val="center"/>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bidi w:val="0"/>
        <w:snapToGrid w:val="0"/>
        <w:spacing w:line="460" w:lineRule="exact"/>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本公司属于第四条第______项______行业，为______（请填写：中型、小型、微型）企业。</w:t>
      </w:r>
    </w:p>
    <w:p>
      <w:pPr>
        <w:keepNext w:val="0"/>
        <w:keepLines w:val="0"/>
        <w:pageBreakBefore w:val="0"/>
        <w:widowControl w:val="0"/>
        <w:kinsoku/>
        <w:wordWrap/>
        <w:overflowPunct/>
        <w:topLinePunct w:val="0"/>
        <w:autoSpaceDE/>
        <w:bidi w:val="0"/>
        <w:snapToGrid w:val="0"/>
        <w:spacing w:line="460" w:lineRule="exact"/>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本公司对上述声明的真实性负责。如有虚假，将依法承担相应责任。</w:t>
      </w: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r>
        <w:rPr>
          <w:rFonts w:hint="eastAsia" w:ascii="宋体" w:hAnsi="宋体" w:eastAsia="宋体" w:cs="宋体"/>
          <w:sz w:val="24"/>
          <w:szCs w:val="24"/>
        </w:rPr>
        <w:t>制造商（单位公章）：</w:t>
      </w: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napToGrid w:val="0"/>
        <w:spacing w:line="460" w:lineRule="exact"/>
        <w:ind w:left="0" w:leftChars="0" w:right="0" w:rightChars="0" w:firstLine="5040" w:firstLineChars="2100"/>
        <w:textAlignment w:val="auto"/>
        <w:outlineLvl w:val="9"/>
        <w:rPr>
          <w:rFonts w:hint="eastAsia" w:ascii="宋体" w:hAnsi="宋体" w:eastAsia="宋体" w:cs="宋体"/>
          <w:sz w:val="24"/>
          <w:szCs w:val="24"/>
        </w:rPr>
      </w:pPr>
      <w:r>
        <w:rPr>
          <w:rFonts w:hint="eastAsia" w:ascii="宋体" w:hAnsi="宋体" w:eastAsia="宋体" w:cs="宋体"/>
          <w:sz w:val="24"/>
          <w:szCs w:val="24"/>
        </w:rPr>
        <w:t>日期：20   年   月   日</w:t>
      </w: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spacing w:line="460" w:lineRule="exact"/>
        <w:ind w:left="0" w:leftChars="0"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bidi w:val="0"/>
        <w:adjustRightInd w:val="0"/>
        <w:snapToGrid w:val="0"/>
        <w:spacing w:line="460" w:lineRule="exact"/>
        <w:ind w:left="0" w:leftChars="0" w:right="0" w:right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注：中小微企业声明函（制造商）须在响应文件正本中提供加盖制造商公章的原件，否则不予认定。</w:t>
      </w:r>
    </w:p>
    <w:p>
      <w:pPr>
        <w:keepNext w:val="0"/>
        <w:keepLines w:val="0"/>
        <w:pageBreakBefore w:val="0"/>
        <w:widowControl w:val="0"/>
        <w:kinsoku/>
        <w:wordWrap/>
        <w:overflowPunct/>
        <w:topLinePunct w:val="0"/>
        <w:autoSpaceDE/>
        <w:autoSpaceDN w:val="0"/>
        <w:bidi w:val="0"/>
        <w:spacing w:line="460" w:lineRule="exact"/>
        <w:ind w:left="0" w:leftChars="0" w:right="0" w:right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br w:type="page"/>
      </w:r>
    </w:p>
    <w:p>
      <w:pPr>
        <w:keepNext w:val="0"/>
        <w:keepLines w:val="0"/>
        <w:pageBreakBefore w:val="0"/>
        <w:widowControl w:val="0"/>
        <w:kinsoku/>
        <w:wordWrap/>
        <w:overflowPunct/>
        <w:topLinePunct w:val="0"/>
        <w:autoSpaceDE/>
        <w:autoSpaceDN w:val="0"/>
        <w:bidi w:val="0"/>
        <w:adjustRightInd w:val="0"/>
        <w:snapToGrid w:val="0"/>
        <w:spacing w:line="460" w:lineRule="exact"/>
        <w:ind w:left="0" w:leftChars="0" w:right="0" w:rightChars="0"/>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二十三、</w:t>
      </w:r>
      <w:r>
        <w:rPr>
          <w:rFonts w:hint="eastAsia" w:ascii="宋体" w:hAnsi="宋体" w:eastAsia="宋体" w:cs="宋体"/>
          <w:b/>
          <w:color w:val="auto"/>
          <w:sz w:val="24"/>
        </w:rPr>
        <w:t>国家企业信用信息公示系统的公示内容</w:t>
      </w:r>
    </w:p>
    <w:p>
      <w:pPr>
        <w:keepNext w:val="0"/>
        <w:keepLines w:val="0"/>
        <w:pageBreakBefore w:val="0"/>
        <w:widowControl w:val="0"/>
        <w:kinsoku/>
        <w:wordWrap/>
        <w:overflowPunct/>
        <w:topLinePunct w:val="0"/>
        <w:autoSpaceDE/>
        <w:autoSpaceDN w:val="0"/>
        <w:bidi w:val="0"/>
        <w:adjustRightInd w:val="0"/>
        <w:snapToGrid w:val="0"/>
        <w:spacing w:line="460" w:lineRule="exact"/>
        <w:ind w:left="0" w:leftChars="0" w:right="0" w:rightChars="0"/>
        <w:textAlignment w:val="auto"/>
        <w:outlineLvl w:val="9"/>
        <w:rPr>
          <w:rFonts w:hint="eastAsia" w:ascii="宋体" w:hAnsi="宋体" w:eastAsia="宋体" w:cs="宋体"/>
          <w:b/>
          <w:color w:val="auto"/>
          <w:sz w:val="24"/>
          <w:szCs w:val="24"/>
        </w:rPr>
      </w:pPr>
    </w:p>
    <w:p>
      <w:pPr>
        <w:keepNext w:val="0"/>
        <w:keepLines w:val="0"/>
        <w:pageBreakBefore w:val="0"/>
        <w:widowControl w:val="0"/>
        <w:kinsoku/>
        <w:wordWrap/>
        <w:overflowPunct/>
        <w:topLinePunct w:val="0"/>
        <w:autoSpaceDE/>
        <w:autoSpaceDN w:val="0"/>
        <w:bidi w:val="0"/>
        <w:adjustRightInd w:val="0"/>
        <w:snapToGrid w:val="0"/>
        <w:spacing w:line="460" w:lineRule="exact"/>
        <w:ind w:left="0" w:leftChars="0" w:right="0" w:right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rPr>
        <w:t>国家企业信用信息公示系统的公示内容截屏示意图，</w:t>
      </w:r>
      <w:r>
        <w:rPr>
          <w:rFonts w:hint="eastAsia" w:ascii="宋体" w:hAnsi="宋体" w:eastAsia="宋体" w:cs="宋体"/>
          <w:bCs/>
          <w:color w:val="auto"/>
          <w:sz w:val="24"/>
        </w:rPr>
        <w:t>步骤如下：</w:t>
      </w:r>
    </w:p>
    <w:p>
      <w:pPr>
        <w:keepNext w:val="0"/>
        <w:keepLines w:val="0"/>
        <w:pageBreakBefore w:val="0"/>
        <w:widowControl w:val="0"/>
        <w:kinsoku/>
        <w:wordWrap/>
        <w:overflowPunct/>
        <w:topLinePunct w:val="0"/>
        <w:autoSpaceDE/>
        <w:autoSpaceDN w:val="0"/>
        <w:bidi w:val="0"/>
        <w:adjustRightInd w:val="0"/>
        <w:snapToGrid w:val="0"/>
        <w:spacing w:line="460" w:lineRule="exact"/>
        <w:ind w:left="0" w:leftChars="0" w:right="0" w:right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1、登录http://www.gsxt.gov.cn/index.html </w:t>
      </w:r>
    </w:p>
    <w:p>
      <w:pPr>
        <w:keepNext w:val="0"/>
        <w:keepLines w:val="0"/>
        <w:pageBreakBefore w:val="0"/>
        <w:widowControl w:val="0"/>
        <w:kinsoku/>
        <w:wordWrap/>
        <w:overflowPunct/>
        <w:topLinePunct w:val="0"/>
        <w:autoSpaceDE/>
        <w:autoSpaceDN w:val="0"/>
        <w:bidi w:val="0"/>
        <w:adjustRightInd w:val="0"/>
        <w:snapToGrid w:val="0"/>
        <w:spacing w:line="460" w:lineRule="exact"/>
        <w:ind w:left="0" w:leftChars="0" w:right="0" w:right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点击“小微企业名录”</w:t>
      </w:r>
    </w:p>
    <w:p>
      <w:pPr>
        <w:autoSpaceDN w:val="0"/>
        <w:adjustRightInd w:val="0"/>
        <w:snapToGrid w:val="0"/>
        <w:spacing w:line="360" w:lineRule="auto"/>
        <w:outlineLvl w:val="9"/>
        <w:rPr>
          <w:rFonts w:hint="eastAsia" w:ascii="宋体" w:hAnsi="宋体" w:eastAsia="宋体" w:cs="宋体"/>
          <w:color w:val="FF00FF"/>
          <w:sz w:val="24"/>
          <w:szCs w:val="24"/>
        </w:rPr>
      </w:pPr>
      <w:r>
        <w:rPr>
          <w:rFonts w:hint="eastAsia" w:ascii="宋体" w:hAnsi="宋体" w:eastAsia="宋体" w:cs="宋体"/>
          <w:color w:val="FF00FF"/>
          <w:sz w:val="24"/>
          <w:szCs w:val="24"/>
        </w:rPr>
        <w:drawing>
          <wp:inline distT="0" distB="0" distL="0" distR="0">
            <wp:extent cx="5372100" cy="3657600"/>
            <wp:effectExtent l="0" t="0" r="0" b="0"/>
            <wp:docPr id="7" name="图片 7" descr="QQ图片2017010916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701091645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72100" cy="3657600"/>
                    </a:xfrm>
                    <a:prstGeom prst="rect">
                      <a:avLst/>
                    </a:prstGeom>
                    <a:noFill/>
                    <a:ln>
                      <a:noFill/>
                    </a:ln>
                  </pic:spPr>
                </pic:pic>
              </a:graphicData>
            </a:graphic>
          </wp:inline>
        </w:drawing>
      </w: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2、点击“小微企业库”</w:t>
      </w:r>
    </w:p>
    <w:p>
      <w:pPr>
        <w:autoSpaceDN w:val="0"/>
        <w:adjustRightInd w:val="0"/>
        <w:snapToGrid w:val="0"/>
        <w:spacing w:line="360" w:lineRule="auto"/>
        <w:outlineLvl w:val="9"/>
        <w:rPr>
          <w:rFonts w:hint="eastAsia" w:ascii="宋体" w:hAnsi="宋体" w:eastAsia="宋体" w:cs="宋体"/>
          <w:color w:val="FF00FF"/>
          <w:sz w:val="24"/>
          <w:szCs w:val="24"/>
        </w:rPr>
      </w:pPr>
      <w:r>
        <w:rPr>
          <w:rFonts w:hint="eastAsia" w:ascii="宋体" w:hAnsi="宋体" w:eastAsia="宋体" w:cs="宋体"/>
          <w:color w:val="FF00FF"/>
          <w:sz w:val="24"/>
          <w:szCs w:val="24"/>
        </w:rPr>
        <w:drawing>
          <wp:inline distT="0" distB="0" distL="0" distR="0">
            <wp:extent cx="5400675" cy="2390775"/>
            <wp:effectExtent l="0" t="0" r="9525" b="9525"/>
            <wp:docPr id="6" name="图片 6" descr="QQ图片2017010917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701091702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00675" cy="2390775"/>
                    </a:xfrm>
                    <a:prstGeom prst="rect">
                      <a:avLst/>
                    </a:prstGeom>
                    <a:noFill/>
                    <a:ln>
                      <a:noFill/>
                    </a:ln>
                  </pic:spPr>
                </pic:pic>
              </a:graphicData>
            </a:graphic>
          </wp:inline>
        </w:drawing>
      </w: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3、点击投标人所在区域</w:t>
      </w:r>
    </w:p>
    <w:p>
      <w:pPr>
        <w:widowControl/>
        <w:jc w:val="left"/>
        <w:outlineLvl w:val="9"/>
        <w:rPr>
          <w:rFonts w:hint="eastAsia" w:ascii="宋体" w:hAnsi="宋体" w:eastAsia="宋体" w:cs="宋体"/>
          <w:color w:val="FF00FF"/>
          <w:kern w:val="0"/>
          <w:sz w:val="24"/>
          <w:szCs w:val="24"/>
        </w:rPr>
      </w:pP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"C:\\Documents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"C:\\Documents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"C:\\Documents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"C:\\Documents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"D:\\Documents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"D:\\Documents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"D:\\Documents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"D:\\Documents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"D:\\Documents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"D:\\Documents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"D:\\Documents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fldChar w:fldCharType="begin"/>
      </w:r>
      <w:r>
        <w:rPr>
          <w:rFonts w:hint="eastAsia" w:ascii="宋体" w:hAnsi="宋体" w:eastAsia="宋体" w:cs="宋体"/>
          <w:color w:val="FF00FF"/>
          <w:kern w:val="0"/>
          <w:sz w:val="24"/>
          <w:szCs w:val="24"/>
        </w:rPr>
        <w:instrText xml:space="preserve"> INCLUDEPICTURE  "D:\\Documents and Settings\\Administrator\\Application Data\\Tencent\\Users\\44615239\\QQ\\WinTemp\\RichOle\\K8YG5XAJ~7~4GB%5O_}95]U.png" \* MERGEFORMATINET </w:instrText>
      </w:r>
      <w:r>
        <w:rPr>
          <w:rFonts w:hint="eastAsia" w:ascii="宋体" w:hAnsi="宋体" w:eastAsia="宋体" w:cs="宋体"/>
          <w:color w:val="FF00FF"/>
          <w:kern w:val="0"/>
          <w:sz w:val="24"/>
          <w:szCs w:val="24"/>
        </w:rPr>
        <w:fldChar w:fldCharType="separate"/>
      </w:r>
      <w:r>
        <w:rPr>
          <w:rFonts w:hint="eastAsia" w:ascii="宋体" w:hAnsi="宋体" w:eastAsia="宋体" w:cs="宋体"/>
          <w:color w:val="FF00FF"/>
          <w:kern w:val="0"/>
          <w:sz w:val="24"/>
          <w:szCs w:val="24"/>
        </w:rPr>
        <w:pict>
          <v:shape id="_x0000_i1025" o:spt="75" type="#_x0000_t75" style="height:283.6pt;width:432pt;" filled="f" o:preferrelative="t" stroked="f" coordsize="21600,21600">
            <v:path/>
            <v:fill on="f" focussize="0,0"/>
            <v:stroke on="f" joinstyle="miter"/>
            <v:imagedata r:id="rId12" r:href="rId13" o:title=""/>
            <o:lock v:ext="edit" aspectratio="t"/>
            <w10:wrap type="none"/>
            <w10:anchorlock/>
          </v:shape>
        </w:pict>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r>
        <w:rPr>
          <w:rFonts w:hint="eastAsia" w:ascii="宋体" w:hAnsi="宋体" w:eastAsia="宋体" w:cs="宋体"/>
          <w:color w:val="FF00FF"/>
          <w:kern w:val="0"/>
          <w:sz w:val="24"/>
          <w:szCs w:val="24"/>
        </w:rPr>
        <w:fldChar w:fldCharType="end"/>
      </w: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rPr>
        <w:t>输入单位名称进行查询</w:t>
      </w:r>
    </w:p>
    <w:p>
      <w:pPr>
        <w:autoSpaceDN w:val="0"/>
        <w:adjustRightInd w:val="0"/>
        <w:snapToGrid w:val="0"/>
        <w:spacing w:line="360" w:lineRule="auto"/>
        <w:outlineLvl w:val="9"/>
        <w:rPr>
          <w:rFonts w:hint="eastAsia" w:ascii="宋体" w:hAnsi="宋体" w:eastAsia="宋体" w:cs="宋体"/>
          <w:color w:val="FF00FF"/>
          <w:sz w:val="24"/>
          <w:szCs w:val="24"/>
        </w:rPr>
      </w:pPr>
      <w:r>
        <w:rPr>
          <w:rFonts w:hint="eastAsia" w:ascii="宋体" w:hAnsi="宋体" w:eastAsia="宋体" w:cs="宋体"/>
          <w:color w:val="FF00FF"/>
          <w:sz w:val="24"/>
          <w:szCs w:val="24"/>
        </w:rPr>
        <w:drawing>
          <wp:inline distT="0" distB="0" distL="0" distR="0">
            <wp:extent cx="5391150" cy="2266950"/>
            <wp:effectExtent l="0" t="0" r="0" b="0"/>
            <wp:docPr id="5" name="图片 5" descr="QQ图片2017010917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701091708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91150" cy="2266950"/>
                    </a:xfrm>
                    <a:prstGeom prst="rect">
                      <a:avLst/>
                    </a:prstGeom>
                    <a:noFill/>
                    <a:ln>
                      <a:noFill/>
                    </a:ln>
                  </pic:spPr>
                </pic:pic>
              </a:graphicData>
            </a:graphic>
          </wp:inline>
        </w:drawing>
      </w: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rPr>
        <w:t>响应文件中提供如下截图</w:t>
      </w:r>
    </w:p>
    <w:p>
      <w:pPr>
        <w:autoSpaceDN w:val="0"/>
        <w:adjustRightInd w:val="0"/>
        <w:snapToGrid w:val="0"/>
        <w:spacing w:line="360" w:lineRule="auto"/>
        <w:outlineLvl w:val="9"/>
        <w:rPr>
          <w:rFonts w:hint="eastAsia" w:ascii="宋体" w:hAnsi="宋体" w:eastAsia="宋体" w:cs="宋体"/>
          <w:color w:val="FF00FF"/>
          <w:sz w:val="24"/>
          <w:szCs w:val="24"/>
        </w:rPr>
      </w:pPr>
      <w:r>
        <w:rPr>
          <w:rFonts w:hint="eastAsia" w:ascii="宋体" w:hAnsi="宋体" w:eastAsia="宋体" w:cs="宋体"/>
          <w:color w:val="FF00FF"/>
          <w:sz w:val="24"/>
          <w:szCs w:val="24"/>
        </w:rPr>
        <w:drawing>
          <wp:inline distT="0" distB="0" distL="0" distR="0">
            <wp:extent cx="5162550" cy="1857375"/>
            <wp:effectExtent l="0" t="0" r="0" b="9525"/>
            <wp:docPr id="4" name="图片 4" descr="QQ图片2017010917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701091717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62550" cy="1857375"/>
                    </a:xfrm>
                    <a:prstGeom prst="rect">
                      <a:avLst/>
                    </a:prstGeom>
                    <a:noFill/>
                    <a:ln>
                      <a:noFill/>
                    </a:ln>
                  </pic:spPr>
                </pic:pic>
              </a:graphicData>
            </a:graphic>
          </wp:inline>
        </w:drawing>
      </w: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rPr>
        <w:t>查询后如显示出被查询企业的信息，则证明该企业为小微企业，如查询后，无显示内容，则不能判定该企业为小微企业，如下图：</w:t>
      </w:r>
    </w:p>
    <w:p>
      <w:pPr>
        <w:autoSpaceDN w:val="0"/>
        <w:adjustRightInd w:val="0"/>
        <w:snapToGrid w:val="0"/>
        <w:spacing w:line="360" w:lineRule="auto"/>
        <w:outlineLvl w:val="9"/>
        <w:rPr>
          <w:rFonts w:hint="eastAsia" w:ascii="宋体" w:hAnsi="宋体" w:eastAsia="宋体" w:cs="宋体"/>
          <w:color w:val="FF00FF"/>
          <w:sz w:val="24"/>
          <w:szCs w:val="24"/>
        </w:rPr>
      </w:pPr>
      <w:r>
        <w:rPr>
          <w:rFonts w:hint="eastAsia" w:ascii="宋体" w:hAnsi="宋体" w:eastAsia="宋体" w:cs="宋体"/>
          <w:color w:val="FF00FF"/>
          <w:sz w:val="24"/>
          <w:szCs w:val="24"/>
        </w:rPr>
        <w:drawing>
          <wp:inline distT="0" distB="0" distL="0" distR="0">
            <wp:extent cx="5143500" cy="2085975"/>
            <wp:effectExtent l="0" t="0" r="0" b="9525"/>
            <wp:docPr id="3" name="图片 3" descr="QQ图片2017010917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701091722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143500" cy="2085975"/>
                    </a:xfrm>
                    <a:prstGeom prst="rect">
                      <a:avLst/>
                    </a:prstGeom>
                    <a:noFill/>
                    <a:ln>
                      <a:noFill/>
                    </a:ln>
                  </pic:spPr>
                </pic:pic>
              </a:graphicData>
            </a:graphic>
          </wp:inline>
        </w:drawing>
      </w:r>
    </w:p>
    <w:p>
      <w:pPr>
        <w:autoSpaceDN w:val="0"/>
        <w:adjustRightInd w:val="0"/>
        <w:snapToGrid w:val="0"/>
        <w:spacing w:line="360" w:lineRule="auto"/>
        <w:outlineLvl w:val="9"/>
        <w:rPr>
          <w:rFonts w:hint="eastAsia" w:ascii="宋体" w:hAnsi="宋体" w:eastAsia="宋体" w:cs="宋体"/>
          <w:bCs/>
          <w:color w:val="FF00FF"/>
          <w:sz w:val="24"/>
          <w:szCs w:val="24"/>
        </w:rPr>
      </w:pPr>
    </w:p>
    <w:p>
      <w:pPr>
        <w:keepNext w:val="0"/>
        <w:keepLines w:val="0"/>
        <w:pageBreakBefore w:val="0"/>
        <w:widowControl w:val="0"/>
        <w:kinsoku/>
        <w:wordWrap/>
        <w:overflowPunct/>
        <w:topLinePunct w:val="0"/>
        <w:autoSpaceDE/>
        <w:autoSpaceDN w:val="0"/>
        <w:bidi w:val="0"/>
        <w:adjustRightInd w:val="0"/>
        <w:snapToGrid w:val="0"/>
        <w:spacing w:line="460" w:lineRule="exact"/>
        <w:ind w:left="0" w:leftChars="0" w:right="0" w:rightChars="0" w:firstLine="0" w:firstLineChars="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注：提供其他中小微企业制造的货物，必须同时提供该中小微企业的</w:t>
      </w:r>
      <w:r>
        <w:rPr>
          <w:rFonts w:hint="eastAsia" w:ascii="宋体" w:hAnsi="宋体" w:eastAsia="宋体" w:cs="宋体"/>
          <w:color w:val="auto"/>
          <w:sz w:val="24"/>
        </w:rPr>
        <w:t>国家企业信用信息公示系统</w:t>
      </w:r>
      <w:r>
        <w:rPr>
          <w:rFonts w:hint="eastAsia" w:ascii="宋体" w:hAnsi="宋体" w:eastAsia="宋体" w:cs="宋体"/>
          <w:bCs/>
          <w:color w:val="auto"/>
          <w:sz w:val="24"/>
          <w:szCs w:val="24"/>
        </w:rPr>
        <w:t>截图。</w:t>
      </w:r>
    </w:p>
    <w:p>
      <w:pPr>
        <w:keepNext w:val="0"/>
        <w:keepLines w:val="0"/>
        <w:pageBreakBefore w:val="0"/>
        <w:widowControl w:val="0"/>
        <w:kinsoku/>
        <w:wordWrap/>
        <w:overflowPunct/>
        <w:topLinePunct w:val="0"/>
        <w:autoSpaceDE/>
        <w:autoSpaceDN w:val="0"/>
        <w:bidi w:val="0"/>
        <w:adjustRightInd w:val="0"/>
        <w:snapToGrid w:val="0"/>
        <w:spacing w:line="460" w:lineRule="exact"/>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bCs/>
          <w:color w:val="auto"/>
          <w:sz w:val="24"/>
          <w:szCs w:val="24"/>
        </w:rPr>
        <w:t>供应商须保证提供材料真实有效，采购人保留进一步核实的权利，一经发现虚假伪造，取消投标、中标资格。</w:t>
      </w: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autoSpaceDN w:val="0"/>
        <w:adjustRightInd w:val="0"/>
        <w:snapToGrid w:val="0"/>
        <w:spacing w:line="360" w:lineRule="auto"/>
        <w:outlineLvl w:val="9"/>
        <w:rPr>
          <w:rFonts w:hint="eastAsia" w:ascii="宋体" w:hAnsi="宋体" w:eastAsia="宋体" w:cs="宋体"/>
          <w:color w:val="FF00FF"/>
          <w:sz w:val="24"/>
          <w:szCs w:val="24"/>
        </w:rPr>
      </w:pPr>
    </w:p>
    <w:p>
      <w:pPr>
        <w:keepNext w:val="0"/>
        <w:keepLines w:val="0"/>
        <w:pageBreakBefore w:val="0"/>
        <w:kinsoku/>
        <w:wordWrap/>
        <w:overflowPunct/>
        <w:topLinePunct w:val="0"/>
        <w:autoSpaceDE/>
        <w:autoSpaceDN w:val="0"/>
        <w:bidi w:val="0"/>
        <w:spacing w:line="460" w:lineRule="exac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二十四、监狱企业的证明文件</w:t>
      </w:r>
    </w:p>
    <w:p>
      <w:pPr>
        <w:keepNext w:val="0"/>
        <w:keepLines w:val="0"/>
        <w:pageBreakBefore w:val="0"/>
        <w:kinsoku/>
        <w:wordWrap/>
        <w:overflowPunct/>
        <w:topLinePunct w:val="0"/>
        <w:autoSpaceDE/>
        <w:autoSpaceDN w:val="0"/>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jc w:val="both"/>
        <w:textAlignment w:val="auto"/>
        <w:outlineLvl w:val="9"/>
        <w:rPr>
          <w:rFonts w:hint="eastAsia" w:ascii="宋体" w:hAnsi="宋体" w:eastAsia="宋体" w:cs="宋体"/>
          <w:b/>
          <w:spacing w:val="6"/>
          <w:sz w:val="24"/>
          <w:szCs w:val="24"/>
        </w:rPr>
      </w:pPr>
      <w:r>
        <w:rPr>
          <w:rFonts w:hint="eastAsia" w:ascii="宋体" w:hAnsi="宋体" w:eastAsia="宋体" w:cs="宋体"/>
          <w:b/>
          <w:color w:val="auto"/>
          <w:sz w:val="24"/>
          <w:szCs w:val="24"/>
          <w:lang w:eastAsia="zh-CN"/>
        </w:rPr>
        <w:t>二十五、</w:t>
      </w:r>
      <w:bookmarkStart w:id="183" w:name="OLE_LINK14"/>
      <w:bookmarkStart w:id="184" w:name="OLE_LINK13"/>
      <w:r>
        <w:rPr>
          <w:rFonts w:hint="eastAsia" w:ascii="宋体" w:hAnsi="宋体" w:eastAsia="宋体" w:cs="宋体"/>
          <w:b/>
          <w:color w:val="auto"/>
          <w:sz w:val="24"/>
          <w:szCs w:val="24"/>
        </w:rPr>
        <w:t>残疾人福利性单位声明函</w:t>
      </w:r>
    </w:p>
    <w:bookmarkEnd w:id="183"/>
    <w:bookmarkEnd w:id="184"/>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spacing w:val="6"/>
          <w:sz w:val="24"/>
          <w:szCs w:val="24"/>
        </w:rPr>
      </w:pPr>
    </w:p>
    <w:p>
      <w:pPr>
        <w:keepNext w:val="0"/>
        <w:keepLines w:val="0"/>
        <w:pageBreakBefore w:val="0"/>
        <w:kinsoku/>
        <w:wordWrap/>
        <w:overflowPunct/>
        <w:topLinePunct w:val="0"/>
        <w:autoSpaceDE/>
        <w:bidi w:val="0"/>
        <w:spacing w:line="460" w:lineRule="exact"/>
        <w:ind w:firstLine="504" w:firstLineChars="200"/>
        <w:textAlignment w:val="auto"/>
        <w:outlineLvl w:val="9"/>
        <w:rPr>
          <w:rFonts w:hint="eastAsia" w:ascii="宋体" w:hAnsi="宋体" w:eastAsia="宋体" w:cs="宋体"/>
          <w:spacing w:val="6"/>
          <w:sz w:val="24"/>
          <w:szCs w:val="24"/>
        </w:rPr>
      </w:pPr>
      <w:r>
        <w:rPr>
          <w:rFonts w:hint="eastAsia" w:ascii="宋体" w:hAnsi="宋体" w:eastAsia="宋体" w:cs="宋体"/>
          <w:spacing w:val="6"/>
          <w:sz w:val="24"/>
          <w:szCs w:val="24"/>
        </w:rPr>
        <w:t>本单位郑重声明，根据《财政部 民政部 中国残疾人联合会关于促进残疾人就业政府采购政策的通知》（财库</w:t>
      </w:r>
      <w:r>
        <w:rPr>
          <w:rFonts w:hint="eastAsia" w:ascii="宋体" w:hAnsi="宋体" w:eastAsia="宋体" w:cs="宋体"/>
          <w:sz w:val="24"/>
          <w:szCs w:val="24"/>
        </w:rPr>
        <w:t>〔2017〕 141</w:t>
      </w:r>
      <w:r>
        <w:rPr>
          <w:rFonts w:hint="eastAsia" w:ascii="宋体" w:hAnsi="宋体" w:eastAsia="宋体" w:cs="宋体"/>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pageBreakBefore w:val="0"/>
        <w:kinsoku/>
        <w:wordWrap/>
        <w:overflowPunct/>
        <w:topLinePunct w:val="0"/>
        <w:autoSpaceDE/>
        <w:bidi w:val="0"/>
        <w:spacing w:line="460" w:lineRule="exact"/>
        <w:ind w:firstLine="504" w:firstLineChars="200"/>
        <w:textAlignment w:val="auto"/>
        <w:outlineLvl w:val="9"/>
        <w:rPr>
          <w:rFonts w:hint="eastAsia" w:ascii="宋体" w:hAnsi="宋体" w:eastAsia="宋体" w:cs="宋体"/>
          <w:spacing w:val="6"/>
          <w:sz w:val="24"/>
          <w:szCs w:val="24"/>
        </w:rPr>
      </w:pPr>
      <w:r>
        <w:rPr>
          <w:rFonts w:hint="eastAsia" w:ascii="宋体" w:hAnsi="宋体" w:eastAsia="宋体" w:cs="宋体"/>
          <w:spacing w:val="6"/>
          <w:sz w:val="24"/>
          <w:szCs w:val="24"/>
        </w:rPr>
        <w:t>本单位对上述声明的真实性负责。如有虚假，将依法承担相应责任。</w:t>
      </w:r>
    </w:p>
    <w:p>
      <w:pPr>
        <w:keepNext w:val="0"/>
        <w:keepLines w:val="0"/>
        <w:pageBreakBefore w:val="0"/>
        <w:kinsoku/>
        <w:wordWrap/>
        <w:overflowPunct/>
        <w:topLinePunct w:val="0"/>
        <w:autoSpaceDE/>
        <w:bidi w:val="0"/>
        <w:spacing w:line="460" w:lineRule="exact"/>
        <w:ind w:firstLine="504" w:firstLineChars="200"/>
        <w:textAlignment w:val="auto"/>
        <w:outlineLvl w:val="9"/>
        <w:rPr>
          <w:rFonts w:hint="eastAsia" w:ascii="宋体" w:hAnsi="宋体" w:eastAsia="宋体" w:cs="宋体"/>
          <w:spacing w:val="6"/>
          <w:sz w:val="24"/>
          <w:szCs w:val="24"/>
        </w:rPr>
      </w:pPr>
    </w:p>
    <w:p>
      <w:pPr>
        <w:keepNext w:val="0"/>
        <w:keepLines w:val="0"/>
        <w:pageBreakBefore w:val="0"/>
        <w:kinsoku/>
        <w:wordWrap/>
        <w:overflowPunct/>
        <w:topLinePunct w:val="0"/>
        <w:autoSpaceDE/>
        <w:bidi w:val="0"/>
        <w:spacing w:line="460" w:lineRule="exact"/>
        <w:ind w:firstLine="504" w:firstLineChars="200"/>
        <w:textAlignment w:val="auto"/>
        <w:outlineLvl w:val="9"/>
        <w:rPr>
          <w:rFonts w:hint="eastAsia" w:ascii="宋体" w:hAnsi="宋体" w:eastAsia="宋体" w:cs="宋体"/>
          <w:spacing w:val="6"/>
          <w:sz w:val="24"/>
          <w:szCs w:val="24"/>
        </w:rPr>
      </w:pPr>
    </w:p>
    <w:p>
      <w:pPr>
        <w:keepNext w:val="0"/>
        <w:keepLines w:val="0"/>
        <w:pageBreakBefore w:val="0"/>
        <w:tabs>
          <w:tab w:val="left" w:pos="4860"/>
        </w:tabs>
        <w:kinsoku/>
        <w:wordWrap/>
        <w:overflowPunct/>
        <w:topLinePunct w:val="0"/>
        <w:autoSpaceDE/>
        <w:bidi w:val="0"/>
        <w:spacing w:line="460" w:lineRule="exact"/>
        <w:ind w:right="1560" w:firstLine="504" w:firstLineChars="200"/>
        <w:jc w:val="center"/>
        <w:textAlignment w:val="auto"/>
        <w:outlineLvl w:val="9"/>
        <w:rPr>
          <w:rFonts w:hint="eastAsia" w:ascii="宋体" w:hAnsi="宋体" w:eastAsia="宋体" w:cs="宋体"/>
          <w:spacing w:val="6"/>
          <w:sz w:val="24"/>
          <w:szCs w:val="24"/>
        </w:rPr>
      </w:pP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 xml:space="preserve">                 </w:t>
      </w:r>
      <w:r>
        <w:rPr>
          <w:rFonts w:hint="eastAsia" w:ascii="宋体" w:hAnsi="宋体" w:eastAsia="宋体" w:cs="宋体"/>
          <w:spacing w:val="6"/>
          <w:sz w:val="24"/>
          <w:szCs w:val="24"/>
        </w:rPr>
        <w:t>单位名称（盖章）：</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pacing w:val="6"/>
          <w:sz w:val="24"/>
          <w:szCs w:val="24"/>
        </w:rPr>
      </w:pP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 xml:space="preserve">                                     </w:t>
      </w:r>
      <w:r>
        <w:rPr>
          <w:rFonts w:hint="eastAsia" w:ascii="宋体" w:hAnsi="宋体" w:eastAsia="宋体" w:cs="宋体"/>
          <w:spacing w:val="6"/>
          <w:sz w:val="24"/>
          <w:szCs w:val="24"/>
        </w:rPr>
        <w:t>日  期：</w:t>
      </w: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val="en-US"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val="en-US"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val="en-US"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val="en-US" w:eastAsia="zh-CN"/>
        </w:rPr>
      </w:pPr>
    </w:p>
    <w:p>
      <w:pPr>
        <w:keepNext w:val="0"/>
        <w:keepLines w:val="0"/>
        <w:pageBreakBefore w:val="0"/>
        <w:kinsoku/>
        <w:wordWrap/>
        <w:overflowPunct/>
        <w:topLinePunct w:val="0"/>
        <w:autoSpaceDE/>
        <w:autoSpaceDN w:val="0"/>
        <w:bidi w:val="0"/>
        <w:adjustRightInd w:val="0"/>
        <w:snapToGrid w:val="0"/>
        <w:spacing w:line="460" w:lineRule="exact"/>
        <w:textAlignment w:val="auto"/>
        <w:outlineLvl w:val="9"/>
        <w:rPr>
          <w:rFonts w:hint="eastAsia" w:ascii="宋体" w:hAnsi="宋体" w:eastAsia="宋体" w:cs="宋体"/>
          <w:b/>
          <w:color w:val="auto"/>
          <w:sz w:val="24"/>
          <w:szCs w:val="24"/>
          <w:lang w:eastAsia="zh-CN"/>
        </w:rPr>
      </w:pPr>
    </w:p>
    <w:p>
      <w:pPr>
        <w:keepNext w:val="0"/>
        <w:keepLines w:val="0"/>
        <w:pageBreakBefore w:val="0"/>
        <w:kinsoku/>
        <w:wordWrap/>
        <w:overflowPunct/>
        <w:topLinePunct w:val="0"/>
        <w:autoSpaceDE/>
        <w:autoSpaceDN w:val="0"/>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autoSpaceDN w:val="0"/>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autoSpaceDN w:val="0"/>
        <w:bidi w:val="0"/>
        <w:spacing w:line="460" w:lineRule="exact"/>
        <w:textAlignment w:val="auto"/>
        <w:outlineLvl w:val="9"/>
        <w:rPr>
          <w:rFonts w:hint="eastAsia" w:ascii="宋体" w:hAnsi="宋体" w:eastAsia="宋体" w:cs="宋体"/>
          <w:b/>
          <w:sz w:val="24"/>
          <w:szCs w:val="24"/>
        </w:rPr>
      </w:pPr>
      <w:r>
        <w:rPr>
          <w:rFonts w:hint="eastAsia" w:ascii="宋体" w:hAnsi="宋体" w:eastAsia="宋体" w:cs="宋体"/>
          <w:b/>
          <w:sz w:val="24"/>
          <w:szCs w:val="24"/>
        </w:rPr>
        <w:t>*</w:t>
      </w:r>
      <w:r>
        <w:rPr>
          <w:rFonts w:hint="eastAsia" w:ascii="宋体" w:hAnsi="宋体" w:eastAsia="宋体" w:cs="宋体"/>
          <w:b/>
          <w:bCs/>
          <w:sz w:val="24"/>
          <w:szCs w:val="24"/>
        </w:rPr>
        <w:t>二十</w:t>
      </w:r>
      <w:r>
        <w:rPr>
          <w:rFonts w:hint="eastAsia" w:ascii="宋体" w:hAnsi="宋体" w:eastAsia="宋体" w:cs="宋体"/>
          <w:b/>
          <w:bCs/>
          <w:sz w:val="24"/>
          <w:szCs w:val="24"/>
          <w:lang w:val="en-US" w:eastAsia="zh-CN"/>
        </w:rPr>
        <w:t>六</w:t>
      </w:r>
      <w:r>
        <w:rPr>
          <w:rFonts w:hint="eastAsia" w:ascii="宋体" w:hAnsi="宋体" w:eastAsia="宋体" w:cs="宋体"/>
          <w:b/>
          <w:bCs/>
          <w:sz w:val="24"/>
          <w:szCs w:val="24"/>
        </w:rPr>
        <w:t>、投标产品技术偏离表</w:t>
      </w:r>
      <w:bookmarkEnd w:id="179"/>
      <w:bookmarkEnd w:id="180"/>
      <w:bookmarkEnd w:id="181"/>
      <w:bookmarkEnd w:id="182"/>
      <w:r>
        <w:rPr>
          <w:rFonts w:hint="eastAsia" w:ascii="宋体" w:hAnsi="宋体" w:eastAsia="宋体" w:cs="宋体"/>
          <w:b/>
          <w:bCs/>
          <w:sz w:val="24"/>
          <w:szCs w:val="24"/>
        </w:rPr>
        <w:t>（逐条逐项应答，加盖投标人公章）</w:t>
      </w:r>
    </w:p>
    <w:tbl>
      <w:tblPr>
        <w:tblStyle w:val="35"/>
        <w:tblW w:w="832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393"/>
        <w:gridCol w:w="840"/>
        <w:gridCol w:w="1800"/>
        <w:gridCol w:w="1980"/>
        <w:gridCol w:w="1365"/>
        <w:gridCol w:w="9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845" w:hRule="atLeast"/>
        </w:trPr>
        <w:tc>
          <w:tcPr>
            <w:tcW w:w="1393" w:type="dxa"/>
            <w:vAlign w:val="center"/>
          </w:tcPr>
          <w:p>
            <w:pPr>
              <w:keepNext w:val="0"/>
              <w:keepLines w:val="0"/>
              <w:pageBreakBefore w:val="0"/>
              <w:kinsoku/>
              <w:wordWrap/>
              <w:overflowPunct/>
              <w:topLinePunct w:val="0"/>
              <w:autoSpaceDE/>
              <w:bidi w:val="0"/>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品名</w:t>
            </w:r>
          </w:p>
        </w:tc>
        <w:tc>
          <w:tcPr>
            <w:tcW w:w="840" w:type="dxa"/>
            <w:vAlign w:val="center"/>
          </w:tcPr>
          <w:p>
            <w:pPr>
              <w:keepNext w:val="0"/>
              <w:keepLines w:val="0"/>
              <w:pageBreakBefore w:val="0"/>
              <w:kinsoku/>
              <w:wordWrap/>
              <w:overflowPunct/>
              <w:topLinePunct w:val="0"/>
              <w:autoSpaceDE/>
              <w:bidi w:val="0"/>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数量</w:t>
            </w:r>
          </w:p>
        </w:tc>
        <w:tc>
          <w:tcPr>
            <w:tcW w:w="1800" w:type="dxa"/>
            <w:vAlign w:val="center"/>
          </w:tcPr>
          <w:p>
            <w:pPr>
              <w:keepNext w:val="0"/>
              <w:keepLines w:val="0"/>
              <w:pageBreakBefore w:val="0"/>
              <w:kinsoku/>
              <w:wordWrap/>
              <w:overflowPunct/>
              <w:topLinePunct w:val="0"/>
              <w:autoSpaceDE/>
              <w:bidi w:val="0"/>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竞争性磋商文件</w:t>
            </w:r>
          </w:p>
          <w:p>
            <w:pPr>
              <w:keepNext w:val="0"/>
              <w:keepLines w:val="0"/>
              <w:pageBreakBefore w:val="0"/>
              <w:kinsoku/>
              <w:wordWrap/>
              <w:overflowPunct/>
              <w:topLinePunct w:val="0"/>
              <w:autoSpaceDE/>
              <w:bidi w:val="0"/>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技术要求</w:t>
            </w:r>
          </w:p>
        </w:tc>
        <w:tc>
          <w:tcPr>
            <w:tcW w:w="1980" w:type="dxa"/>
            <w:vAlign w:val="center"/>
          </w:tcPr>
          <w:p>
            <w:pPr>
              <w:keepNext w:val="0"/>
              <w:keepLines w:val="0"/>
              <w:pageBreakBefore w:val="0"/>
              <w:kinsoku/>
              <w:wordWrap/>
              <w:overflowPunct/>
              <w:topLinePunct w:val="0"/>
              <w:autoSpaceDE/>
              <w:bidi w:val="0"/>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响应文件</w:t>
            </w:r>
          </w:p>
          <w:p>
            <w:pPr>
              <w:keepNext w:val="0"/>
              <w:keepLines w:val="0"/>
              <w:pageBreakBefore w:val="0"/>
              <w:kinsoku/>
              <w:wordWrap/>
              <w:overflowPunct/>
              <w:topLinePunct w:val="0"/>
              <w:autoSpaceDE/>
              <w:bidi w:val="0"/>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对应技术指标</w:t>
            </w:r>
          </w:p>
        </w:tc>
        <w:tc>
          <w:tcPr>
            <w:tcW w:w="1365" w:type="dxa"/>
            <w:vAlign w:val="center"/>
          </w:tcPr>
          <w:p>
            <w:pPr>
              <w:keepNext w:val="0"/>
              <w:keepLines w:val="0"/>
              <w:pageBreakBefore w:val="0"/>
              <w:kinsoku/>
              <w:wordWrap/>
              <w:overflowPunct/>
              <w:topLinePunct w:val="0"/>
              <w:autoSpaceDE/>
              <w:bidi w:val="0"/>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偏离情况</w:t>
            </w:r>
          </w:p>
        </w:tc>
        <w:tc>
          <w:tcPr>
            <w:tcW w:w="949" w:type="dxa"/>
            <w:vAlign w:val="center"/>
          </w:tcPr>
          <w:p>
            <w:pPr>
              <w:keepNext w:val="0"/>
              <w:keepLines w:val="0"/>
              <w:pageBreakBefore w:val="0"/>
              <w:kinsoku/>
              <w:wordWrap/>
              <w:overflowPunct/>
              <w:topLinePunct w:val="0"/>
              <w:autoSpaceDE/>
              <w:bidi w:val="0"/>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67" w:hRule="atLeast"/>
        </w:trPr>
        <w:tc>
          <w:tcPr>
            <w:tcW w:w="1393"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84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80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98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365"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949"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67" w:hRule="atLeast"/>
        </w:trPr>
        <w:tc>
          <w:tcPr>
            <w:tcW w:w="1393"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84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80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98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365"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949"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67" w:hRule="atLeast"/>
        </w:trPr>
        <w:tc>
          <w:tcPr>
            <w:tcW w:w="1393"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84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80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98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365"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949"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67" w:hRule="atLeast"/>
        </w:trPr>
        <w:tc>
          <w:tcPr>
            <w:tcW w:w="1393"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84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80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98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365"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949"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67" w:hRule="atLeast"/>
        </w:trPr>
        <w:tc>
          <w:tcPr>
            <w:tcW w:w="1393"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84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80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98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365"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949"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67" w:hRule="atLeast"/>
        </w:trPr>
        <w:tc>
          <w:tcPr>
            <w:tcW w:w="1393"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84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80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980"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1365"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c>
          <w:tcPr>
            <w:tcW w:w="949" w:type="dxa"/>
            <w:vAlign w:val="center"/>
          </w:tcPr>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tc>
      </w:tr>
    </w:tbl>
    <w:p>
      <w:pPr>
        <w:keepNext w:val="0"/>
        <w:keepLines w:val="0"/>
        <w:pageBreakBefore w:val="0"/>
        <w:kinsoku/>
        <w:wordWrap/>
        <w:overflowPunct/>
        <w:topLinePunct w:val="0"/>
        <w:autoSpaceDE/>
        <w:bidi w:val="0"/>
        <w:adjustRightInd w:val="0"/>
        <w:snapToGrid w:val="0"/>
        <w:spacing w:line="460" w:lineRule="exact"/>
        <w:textAlignment w:val="auto"/>
        <w:outlineLvl w:val="9"/>
        <w:rPr>
          <w:rFonts w:hint="eastAsia" w:ascii="宋体" w:hAnsi="宋体" w:eastAsia="宋体" w:cs="宋体"/>
          <w:sz w:val="24"/>
          <w:szCs w:val="24"/>
        </w:rPr>
      </w:pPr>
      <w:bookmarkStart w:id="185" w:name="_Toc395107076"/>
      <w:bookmarkStart w:id="186" w:name="_Toc395085173"/>
      <w:bookmarkStart w:id="187" w:name="_Toc376852394"/>
      <w:bookmarkStart w:id="188" w:name="_Toc395105703"/>
      <w:r>
        <w:rPr>
          <w:rFonts w:hint="eastAsia" w:ascii="宋体" w:hAnsi="宋体" w:eastAsia="宋体" w:cs="宋体"/>
          <w:sz w:val="24"/>
          <w:szCs w:val="24"/>
        </w:rPr>
        <w:t>注：</w:t>
      </w:r>
    </w:p>
    <w:p>
      <w:pPr>
        <w:keepNext w:val="0"/>
        <w:keepLines w:val="0"/>
        <w:pageBreakBefore w:val="0"/>
        <w:numPr>
          <w:ilvl w:val="0"/>
          <w:numId w:val="12"/>
        </w:numPr>
        <w:tabs>
          <w:tab w:val="left" w:pos="840"/>
          <w:tab w:val="clear" w:pos="1320"/>
        </w:tabs>
        <w:kinsoku/>
        <w:wordWrap/>
        <w:overflowPunct/>
        <w:topLinePunct w:val="0"/>
        <w:autoSpaceDE/>
        <w:bidi w:val="0"/>
        <w:adjustRightInd w:val="0"/>
        <w:snapToGrid w:val="0"/>
        <w:spacing w:line="460" w:lineRule="exact"/>
        <w:ind w:left="840" w:hanging="360"/>
        <w:textAlignment w:val="auto"/>
        <w:outlineLvl w:val="9"/>
        <w:rPr>
          <w:rFonts w:hint="eastAsia" w:ascii="宋体" w:hAnsi="宋体" w:eastAsia="宋体" w:cs="宋体"/>
          <w:sz w:val="24"/>
          <w:szCs w:val="24"/>
        </w:rPr>
      </w:pPr>
      <w:r>
        <w:rPr>
          <w:rFonts w:hint="eastAsia" w:ascii="宋体" w:hAnsi="宋体" w:eastAsia="宋体" w:cs="宋体"/>
          <w:sz w:val="24"/>
          <w:szCs w:val="24"/>
        </w:rPr>
        <w:t>投标人应在响应文件中对所提供的产品进行技术偏离应答，并逐一做出具体响应（不可完全复制粘贴竞争性磋商文件项目技术要求）或按要求提供相关证明资料，否则将做为负偏离或不满足项对待。</w:t>
      </w:r>
    </w:p>
    <w:p>
      <w:pPr>
        <w:keepNext w:val="0"/>
        <w:keepLines w:val="0"/>
        <w:pageBreakBefore w:val="0"/>
        <w:numPr>
          <w:ilvl w:val="0"/>
          <w:numId w:val="12"/>
        </w:numPr>
        <w:tabs>
          <w:tab w:val="left" w:pos="840"/>
          <w:tab w:val="clear" w:pos="1320"/>
        </w:tabs>
        <w:kinsoku/>
        <w:wordWrap/>
        <w:overflowPunct/>
        <w:topLinePunct w:val="0"/>
        <w:autoSpaceDE/>
        <w:bidi w:val="0"/>
        <w:adjustRightInd w:val="0"/>
        <w:snapToGrid w:val="0"/>
        <w:spacing w:line="460" w:lineRule="exact"/>
        <w:ind w:left="840" w:hanging="360"/>
        <w:textAlignment w:val="auto"/>
        <w:outlineLvl w:val="9"/>
        <w:rPr>
          <w:rFonts w:hint="eastAsia" w:ascii="宋体" w:hAnsi="宋体" w:eastAsia="宋体" w:cs="宋体"/>
          <w:sz w:val="24"/>
          <w:szCs w:val="24"/>
        </w:rPr>
      </w:pPr>
      <w:r>
        <w:rPr>
          <w:rFonts w:hint="eastAsia" w:ascii="宋体" w:hAnsi="宋体" w:eastAsia="宋体" w:cs="宋体"/>
          <w:sz w:val="24"/>
          <w:szCs w:val="24"/>
        </w:rPr>
        <w:t>技术偏离表无具体内容或完全复制粘贴竞争性磋商文件项目技术要求的，为无效标。</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widowControl/>
        <w:kinsoku/>
        <w:wordWrap/>
        <w:overflowPunct/>
        <w:topLinePunct w:val="0"/>
        <w:autoSpaceDE/>
        <w:bidi w:val="0"/>
        <w:spacing w:line="460" w:lineRule="exact"/>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br w:type="page"/>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二十</w:t>
      </w:r>
      <w:r>
        <w:rPr>
          <w:rFonts w:hint="eastAsia" w:ascii="宋体" w:hAnsi="宋体" w:eastAsia="宋体" w:cs="宋体"/>
          <w:b/>
          <w:bCs/>
          <w:sz w:val="24"/>
          <w:szCs w:val="24"/>
          <w:lang w:val="en-US" w:eastAsia="zh-CN"/>
        </w:rPr>
        <w:t>七</w:t>
      </w:r>
      <w:r>
        <w:rPr>
          <w:rFonts w:hint="eastAsia" w:ascii="宋体" w:hAnsi="宋体" w:eastAsia="宋体" w:cs="宋体"/>
          <w:b/>
          <w:bCs/>
          <w:sz w:val="24"/>
          <w:szCs w:val="24"/>
        </w:rPr>
        <w:t>、投标产品彩图；</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二十</w:t>
      </w:r>
      <w:r>
        <w:rPr>
          <w:rFonts w:hint="eastAsia" w:ascii="宋体" w:hAnsi="宋体" w:eastAsia="宋体" w:cs="宋体"/>
          <w:b/>
          <w:bCs/>
          <w:sz w:val="24"/>
          <w:szCs w:val="24"/>
          <w:lang w:val="en-US" w:eastAsia="zh-CN"/>
        </w:rPr>
        <w:t>八</w:t>
      </w:r>
      <w:r>
        <w:rPr>
          <w:rFonts w:hint="eastAsia" w:ascii="宋体" w:hAnsi="宋体" w:eastAsia="宋体" w:cs="宋体"/>
          <w:b/>
          <w:bCs/>
          <w:sz w:val="24"/>
          <w:szCs w:val="24"/>
        </w:rPr>
        <w:t>、</w:t>
      </w:r>
      <w:r>
        <w:rPr>
          <w:rFonts w:hint="eastAsia" w:ascii="宋体" w:hAnsi="宋体" w:eastAsia="宋体" w:cs="宋体"/>
          <w:b/>
          <w:kern w:val="0"/>
          <w:sz w:val="24"/>
          <w:szCs w:val="24"/>
        </w:rPr>
        <w:t>投标产品通过检测、认证的相关证明文件复印件（加盖投标人公章）；</w:t>
      </w:r>
    </w:p>
    <w:bookmarkEnd w:id="185"/>
    <w:bookmarkEnd w:id="186"/>
    <w:bookmarkEnd w:id="187"/>
    <w:bookmarkEnd w:id="188"/>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jc w:val="left"/>
        <w:textAlignment w:val="auto"/>
        <w:outlineLvl w:val="9"/>
        <w:rPr>
          <w:rFonts w:hint="eastAsia" w:ascii="宋体" w:hAnsi="宋体" w:eastAsia="宋体" w:cs="宋体"/>
          <w:b/>
          <w:bCs/>
          <w:sz w:val="24"/>
          <w:szCs w:val="24"/>
        </w:rPr>
        <w:sectPr>
          <w:pgSz w:w="11907" w:h="16840"/>
          <w:pgMar w:top="1440" w:right="1797" w:bottom="1440" w:left="1797" w:header="851" w:footer="992" w:gutter="0"/>
          <w:cols w:space="720" w:num="1"/>
          <w:docGrid w:linePitch="312" w:charSpace="0"/>
        </w:sectPr>
      </w:pPr>
    </w:p>
    <w:p>
      <w:pPr>
        <w:keepNext w:val="0"/>
        <w:keepLines w:val="0"/>
        <w:pageBreakBefore w:val="0"/>
        <w:kinsoku/>
        <w:wordWrap/>
        <w:overflowPunct/>
        <w:topLinePunct w:val="0"/>
        <w:autoSpaceDE/>
        <w:bidi w:val="0"/>
        <w:spacing w:line="460" w:lineRule="exact"/>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二十</w:t>
      </w:r>
      <w:r>
        <w:rPr>
          <w:rFonts w:hint="eastAsia" w:ascii="宋体" w:hAnsi="宋体" w:eastAsia="宋体" w:cs="宋体"/>
          <w:b/>
          <w:bCs/>
          <w:sz w:val="24"/>
          <w:szCs w:val="24"/>
          <w:lang w:val="en-US" w:eastAsia="zh-CN"/>
        </w:rPr>
        <w:t>九</w:t>
      </w:r>
      <w:r>
        <w:rPr>
          <w:rFonts w:hint="eastAsia" w:ascii="宋体" w:hAnsi="宋体" w:eastAsia="宋体" w:cs="宋体"/>
          <w:b/>
          <w:bCs/>
          <w:sz w:val="24"/>
          <w:szCs w:val="24"/>
        </w:rPr>
        <w:t>、质量承诺函</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项目名称：</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项目编号：</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致：天津大学</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_____________为保证中标设备的质量特作如下承诺：</w:t>
      </w:r>
    </w:p>
    <w:p>
      <w:pPr>
        <w:pStyle w:val="92"/>
        <w:keepNext w:val="0"/>
        <w:keepLines w:val="0"/>
        <w:pageBreakBefore w:val="0"/>
        <w:kinsoku/>
        <w:wordWrap/>
        <w:overflowPunct/>
        <w:topLinePunct w:val="0"/>
        <w:autoSpaceDE/>
        <w:bidi w:val="0"/>
        <w:spacing w:line="460" w:lineRule="exact"/>
        <w:ind w:left="210" w:firstLine="0" w:firstLineChars="0"/>
        <w:textAlignment w:val="auto"/>
        <w:outlineLvl w:val="9"/>
        <w:rPr>
          <w:rFonts w:hint="eastAsia" w:ascii="宋体" w:hAnsi="宋体" w:eastAsia="宋体" w:cs="宋体"/>
          <w:color w:val="000000"/>
          <w:sz w:val="24"/>
          <w:szCs w:val="24"/>
        </w:rPr>
      </w:pPr>
    </w:p>
    <w:p>
      <w:pPr>
        <w:pStyle w:val="92"/>
        <w:keepNext w:val="0"/>
        <w:keepLines w:val="0"/>
        <w:pageBreakBefore w:val="0"/>
        <w:kinsoku/>
        <w:wordWrap/>
        <w:overflowPunct/>
        <w:topLinePunct w:val="0"/>
        <w:autoSpaceDE/>
        <w:bidi w:val="0"/>
        <w:spacing w:line="460" w:lineRule="exact"/>
        <w:ind w:left="21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投标人的质量承诺书应至少包含但不限于下列几项：                                             </w:t>
      </w:r>
    </w:p>
    <w:p>
      <w:pPr>
        <w:pStyle w:val="92"/>
        <w:keepNext w:val="0"/>
        <w:keepLines w:val="0"/>
        <w:pageBreakBefore w:val="0"/>
        <w:numPr>
          <w:ilvl w:val="0"/>
          <w:numId w:val="13"/>
        </w:numPr>
        <w:kinsoku/>
        <w:wordWrap/>
        <w:overflowPunct/>
        <w:topLinePunct w:val="0"/>
        <w:autoSpaceDE/>
        <w:bidi w:val="0"/>
        <w:spacing w:line="460" w:lineRule="exact"/>
        <w:ind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投标人为所提供投标货物给出的明确质量条款；</w:t>
      </w:r>
    </w:p>
    <w:p>
      <w:pPr>
        <w:pStyle w:val="92"/>
        <w:keepNext w:val="0"/>
        <w:keepLines w:val="0"/>
        <w:pageBreakBefore w:val="0"/>
        <w:numPr>
          <w:ilvl w:val="0"/>
          <w:numId w:val="13"/>
        </w:numPr>
        <w:kinsoku/>
        <w:wordWrap/>
        <w:overflowPunct/>
        <w:topLinePunct w:val="0"/>
        <w:autoSpaceDE/>
        <w:bidi w:val="0"/>
        <w:spacing w:line="460" w:lineRule="exact"/>
        <w:ind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投标人为所提供投标货物给出的明确性能保证条款；</w:t>
      </w:r>
    </w:p>
    <w:p>
      <w:pPr>
        <w:pStyle w:val="92"/>
        <w:keepNext w:val="0"/>
        <w:keepLines w:val="0"/>
        <w:pageBreakBefore w:val="0"/>
        <w:numPr>
          <w:ilvl w:val="0"/>
          <w:numId w:val="13"/>
        </w:numPr>
        <w:kinsoku/>
        <w:wordWrap/>
        <w:overflowPunct/>
        <w:topLinePunct w:val="0"/>
        <w:autoSpaceDE/>
        <w:bidi w:val="0"/>
        <w:spacing w:line="460" w:lineRule="exact"/>
        <w:ind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若中标，本承诺函将成为合同不可分割的部分，与合同有同等法律效力；</w:t>
      </w:r>
    </w:p>
    <w:p>
      <w:pPr>
        <w:pStyle w:val="92"/>
        <w:keepNext w:val="0"/>
        <w:keepLines w:val="0"/>
        <w:pageBreakBefore w:val="0"/>
        <w:numPr>
          <w:ilvl w:val="0"/>
          <w:numId w:val="13"/>
        </w:numPr>
        <w:kinsoku/>
        <w:wordWrap/>
        <w:overflowPunct/>
        <w:topLinePunct w:val="0"/>
        <w:autoSpaceDE/>
        <w:bidi w:val="0"/>
        <w:spacing w:line="460" w:lineRule="exact"/>
        <w:ind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w:t>
      </w:r>
    </w:p>
    <w:p>
      <w:pPr>
        <w:pStyle w:val="92"/>
        <w:keepNext w:val="0"/>
        <w:keepLines w:val="0"/>
        <w:pageBreakBefore w:val="0"/>
        <w:kinsoku/>
        <w:wordWrap/>
        <w:overflowPunct/>
        <w:topLinePunct w:val="0"/>
        <w:autoSpaceDE/>
        <w:bidi w:val="0"/>
        <w:spacing w:line="460" w:lineRule="exact"/>
        <w:ind w:left="210" w:firstLine="0" w:firstLineChars="0"/>
        <w:textAlignment w:val="auto"/>
        <w:outlineLvl w:val="9"/>
        <w:rPr>
          <w:rFonts w:hint="eastAsia" w:ascii="宋体" w:hAnsi="宋体" w:eastAsia="宋体" w:cs="宋体"/>
          <w:color w:val="000000"/>
          <w:sz w:val="24"/>
          <w:szCs w:val="24"/>
        </w:rPr>
      </w:pPr>
    </w:p>
    <w:p>
      <w:pPr>
        <w:pStyle w:val="92"/>
        <w:keepNext w:val="0"/>
        <w:keepLines w:val="0"/>
        <w:pageBreakBefore w:val="0"/>
        <w:kinsoku/>
        <w:wordWrap/>
        <w:overflowPunct/>
        <w:topLinePunct w:val="0"/>
        <w:autoSpaceDE/>
        <w:bidi w:val="0"/>
        <w:spacing w:line="460" w:lineRule="exact"/>
        <w:ind w:left="210" w:firstLine="0" w:firstLineChars="0"/>
        <w:textAlignment w:val="auto"/>
        <w:outlineLvl w:val="9"/>
        <w:rPr>
          <w:rFonts w:hint="eastAsia" w:ascii="宋体" w:hAnsi="宋体" w:eastAsia="宋体" w:cs="宋体"/>
          <w:color w:val="000000"/>
          <w:sz w:val="24"/>
          <w:szCs w:val="24"/>
        </w:rPr>
      </w:pPr>
    </w:p>
    <w:p>
      <w:pPr>
        <w:pStyle w:val="92"/>
        <w:keepNext w:val="0"/>
        <w:keepLines w:val="0"/>
        <w:pageBreakBefore w:val="0"/>
        <w:kinsoku/>
        <w:wordWrap/>
        <w:overflowPunct/>
        <w:topLinePunct w:val="0"/>
        <w:autoSpaceDE/>
        <w:bidi w:val="0"/>
        <w:spacing w:line="460" w:lineRule="exact"/>
        <w:ind w:left="21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投标申请人：__________________</w:t>
      </w:r>
    </w:p>
    <w:p>
      <w:pPr>
        <w:pStyle w:val="92"/>
        <w:keepNext w:val="0"/>
        <w:keepLines w:val="0"/>
        <w:pageBreakBefore w:val="0"/>
        <w:kinsoku/>
        <w:wordWrap/>
        <w:overflowPunct/>
        <w:topLinePunct w:val="0"/>
        <w:autoSpaceDE/>
        <w:bidi w:val="0"/>
        <w:spacing w:line="460" w:lineRule="exact"/>
        <w:ind w:left="21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法定代表人：___________________</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日      期：      年   月   日</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jc w:val="left"/>
        <w:textAlignment w:val="auto"/>
        <w:outlineLvl w:val="9"/>
        <w:rPr>
          <w:rFonts w:hint="eastAsia" w:ascii="宋体" w:hAnsi="宋体" w:eastAsia="宋体" w:cs="宋体"/>
          <w:b/>
          <w:bCs/>
          <w:sz w:val="24"/>
          <w:szCs w:val="24"/>
        </w:rPr>
        <w:sectPr>
          <w:pgSz w:w="11907" w:h="16840"/>
          <w:pgMar w:top="1440" w:right="1797" w:bottom="1440" w:left="1797" w:header="851" w:footer="992" w:gutter="0"/>
          <w:cols w:space="720" w:num="1"/>
          <w:docGrid w:linePitch="312" w:charSpace="0"/>
        </w:sectPr>
      </w:pPr>
      <w:bookmarkStart w:id="189" w:name="_Toc395105704"/>
      <w:bookmarkStart w:id="190" w:name="_Toc376852395"/>
      <w:bookmarkStart w:id="191" w:name="_Toc395085174"/>
      <w:bookmarkStart w:id="192" w:name="_Toc395107077"/>
    </w:p>
    <w:p>
      <w:pPr>
        <w:keepNext w:val="0"/>
        <w:keepLines w:val="0"/>
        <w:pageBreakBefore w:val="0"/>
        <w:kinsoku/>
        <w:wordWrap/>
        <w:overflowPunct/>
        <w:topLinePunct w:val="0"/>
        <w:autoSpaceDE/>
        <w:bidi w:val="0"/>
        <w:spacing w:line="460" w:lineRule="exact"/>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三十</w:t>
      </w:r>
      <w:r>
        <w:rPr>
          <w:rFonts w:hint="eastAsia" w:ascii="宋体" w:hAnsi="宋体" w:eastAsia="宋体" w:cs="宋体"/>
          <w:b/>
          <w:bCs/>
          <w:sz w:val="24"/>
          <w:szCs w:val="24"/>
        </w:rPr>
        <w:t>、服务承诺函</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项目名称：</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项目编号：</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日期：</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致：天津大学招投标管理办公室</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_____________对中标合同设备的服务作如下承诺：</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r>
        <w:rPr>
          <w:rFonts w:hint="eastAsia" w:ascii="宋体" w:hAnsi="宋体" w:eastAsia="宋体" w:cs="宋体"/>
          <w:sz w:val="24"/>
          <w:szCs w:val="24"/>
        </w:rPr>
        <w:t>投标人的质量承诺书应至少包含但不限于下列几项：</w:t>
      </w:r>
    </w:p>
    <w:p>
      <w:pPr>
        <w:pStyle w:val="92"/>
        <w:keepNext w:val="0"/>
        <w:keepLines w:val="0"/>
        <w:pageBreakBefore w:val="0"/>
        <w:numPr>
          <w:ilvl w:val="0"/>
          <w:numId w:val="14"/>
        </w:numPr>
        <w:kinsoku/>
        <w:wordWrap/>
        <w:overflowPunct/>
        <w:topLinePunct w:val="0"/>
        <w:autoSpaceDE/>
        <w:bidi w:val="0"/>
        <w:spacing w:line="460" w:lineRule="exact"/>
        <w:ind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投标人对自己提供服务的说明；</w:t>
      </w:r>
    </w:p>
    <w:p>
      <w:pPr>
        <w:pStyle w:val="92"/>
        <w:keepNext w:val="0"/>
        <w:keepLines w:val="0"/>
        <w:pageBreakBefore w:val="0"/>
        <w:numPr>
          <w:ilvl w:val="0"/>
          <w:numId w:val="14"/>
        </w:numPr>
        <w:kinsoku/>
        <w:wordWrap/>
        <w:overflowPunct/>
        <w:topLinePunct w:val="0"/>
        <w:autoSpaceDE/>
        <w:bidi w:val="0"/>
        <w:spacing w:line="460" w:lineRule="exact"/>
        <w:ind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投标人为保证服务的组织保障；</w:t>
      </w:r>
    </w:p>
    <w:p>
      <w:pPr>
        <w:pStyle w:val="92"/>
        <w:keepNext w:val="0"/>
        <w:keepLines w:val="0"/>
        <w:pageBreakBefore w:val="0"/>
        <w:numPr>
          <w:ilvl w:val="0"/>
          <w:numId w:val="14"/>
        </w:numPr>
        <w:kinsoku/>
        <w:wordWrap/>
        <w:overflowPunct/>
        <w:topLinePunct w:val="0"/>
        <w:autoSpaceDE/>
        <w:bidi w:val="0"/>
        <w:spacing w:line="460" w:lineRule="exact"/>
        <w:ind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w:t>
      </w:r>
    </w:p>
    <w:p>
      <w:pPr>
        <w:pStyle w:val="92"/>
        <w:keepNext w:val="0"/>
        <w:keepLines w:val="0"/>
        <w:pageBreakBefore w:val="0"/>
        <w:kinsoku/>
        <w:wordWrap/>
        <w:overflowPunct/>
        <w:topLinePunct w:val="0"/>
        <w:autoSpaceDE/>
        <w:bidi w:val="0"/>
        <w:spacing w:line="460" w:lineRule="exact"/>
        <w:ind w:firstLine="0" w:firstLineChars="0"/>
        <w:textAlignment w:val="auto"/>
        <w:outlineLvl w:val="9"/>
        <w:rPr>
          <w:rFonts w:hint="eastAsia" w:ascii="宋体" w:hAnsi="宋体" w:eastAsia="宋体" w:cs="宋体"/>
          <w:color w:val="000000"/>
          <w:sz w:val="24"/>
          <w:szCs w:val="24"/>
        </w:rPr>
      </w:pPr>
    </w:p>
    <w:p>
      <w:pPr>
        <w:pStyle w:val="92"/>
        <w:keepNext w:val="0"/>
        <w:keepLines w:val="0"/>
        <w:pageBreakBefore w:val="0"/>
        <w:kinsoku/>
        <w:wordWrap/>
        <w:overflowPunct/>
        <w:topLinePunct w:val="0"/>
        <w:autoSpaceDE/>
        <w:bidi w:val="0"/>
        <w:spacing w:line="460" w:lineRule="exact"/>
        <w:ind w:firstLine="0" w:firstLineChars="0"/>
        <w:textAlignment w:val="auto"/>
        <w:outlineLvl w:val="9"/>
        <w:rPr>
          <w:rFonts w:hint="eastAsia" w:ascii="宋体" w:hAnsi="宋体" w:eastAsia="宋体" w:cs="宋体"/>
          <w:color w:val="000000"/>
          <w:sz w:val="24"/>
          <w:szCs w:val="24"/>
        </w:rPr>
      </w:pPr>
    </w:p>
    <w:p>
      <w:pPr>
        <w:pStyle w:val="92"/>
        <w:keepNext w:val="0"/>
        <w:keepLines w:val="0"/>
        <w:pageBreakBefore w:val="0"/>
        <w:kinsoku/>
        <w:wordWrap/>
        <w:overflowPunct/>
        <w:topLinePunct w:val="0"/>
        <w:autoSpaceDE/>
        <w:bidi w:val="0"/>
        <w:spacing w:line="460" w:lineRule="exact"/>
        <w:ind w:left="21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投标申请人：______________</w:t>
      </w:r>
    </w:p>
    <w:p>
      <w:pPr>
        <w:pStyle w:val="92"/>
        <w:keepNext w:val="0"/>
        <w:keepLines w:val="0"/>
        <w:pageBreakBefore w:val="0"/>
        <w:kinsoku/>
        <w:wordWrap/>
        <w:overflowPunct/>
        <w:topLinePunct w:val="0"/>
        <w:autoSpaceDE/>
        <w:bidi w:val="0"/>
        <w:spacing w:line="460" w:lineRule="exact"/>
        <w:ind w:left="21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法定代表人：______________</w:t>
      </w:r>
    </w:p>
    <w:p>
      <w:pPr>
        <w:pStyle w:val="92"/>
        <w:keepNext w:val="0"/>
        <w:keepLines w:val="0"/>
        <w:pageBreakBefore w:val="0"/>
        <w:kinsoku/>
        <w:wordWrap/>
        <w:overflowPunct/>
        <w:topLinePunct w:val="0"/>
        <w:autoSpaceDE/>
        <w:bidi w:val="0"/>
        <w:spacing w:line="460" w:lineRule="exact"/>
        <w:ind w:left="21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日      期:   年    月  日</w:t>
      </w:r>
    </w:p>
    <w:p>
      <w:pPr>
        <w:keepNext w:val="0"/>
        <w:keepLines w:val="0"/>
        <w:pageBreakBefore w:val="0"/>
        <w:kinsoku/>
        <w:wordWrap/>
        <w:overflowPunct/>
        <w:topLinePunct w:val="0"/>
        <w:autoSpaceDE/>
        <w:bidi w:val="0"/>
        <w:spacing w:line="460" w:lineRule="exact"/>
        <w:jc w:val="lef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jc w:val="lef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jc w:val="left"/>
        <w:textAlignment w:val="auto"/>
        <w:outlineLvl w:val="9"/>
        <w:rPr>
          <w:rFonts w:hint="eastAsia" w:ascii="宋体" w:hAnsi="宋体" w:eastAsia="宋体" w:cs="宋体"/>
          <w:b/>
          <w:bCs/>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sectPr>
          <w:pgSz w:w="11907" w:h="16840"/>
          <w:pgMar w:top="1440" w:right="1797" w:bottom="1440" w:left="1797" w:header="851" w:footer="992" w:gutter="0"/>
          <w:cols w:space="720" w:num="1"/>
          <w:docGrid w:linePitch="312" w:charSpace="0"/>
        </w:sect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*三十</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、投标产品售后维修和服务方案（投标人自行编写，加盖投标人公章；如由制造商编写，需加盖制造商公章）</w:t>
      </w:r>
      <w:bookmarkEnd w:id="189"/>
      <w:bookmarkEnd w:id="190"/>
      <w:bookmarkEnd w:id="191"/>
      <w:bookmarkEnd w:id="192"/>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三十</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、投标人需要提供或说明的其他材料（包含本竞争性磋商文件要求的资料及投标人认为需要提交的其他资料）</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三十</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、更正公告确认函（如有）</w:t>
      </w: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p>
      <w:pPr>
        <w:keepNext w:val="0"/>
        <w:keepLines w:val="0"/>
        <w:pageBreakBefore w:val="0"/>
        <w:tabs>
          <w:tab w:val="left" w:pos="6090"/>
        </w:tabs>
        <w:kinsoku/>
        <w:wordWrap/>
        <w:overflowPunct/>
        <w:topLinePunct w:val="0"/>
        <w:autoSpaceDE/>
        <w:bidi w:val="0"/>
        <w:spacing w:line="460" w:lineRule="exact"/>
        <w:jc w:val="lef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bidi w:val="0"/>
        <w:spacing w:line="460" w:lineRule="exact"/>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bidi w:val="0"/>
        <w:spacing w:line="460" w:lineRule="exact"/>
        <w:textAlignment w:val="auto"/>
        <w:outlineLvl w:val="9"/>
        <w:rPr>
          <w:rFonts w:ascii="Times New Roman" w:hAnsi="Times New Roman" w:eastAsia="仿宋"/>
          <w:sz w:val="24"/>
          <w:szCs w:val="24"/>
        </w:rPr>
      </w:pPr>
    </w:p>
    <w:sectPr>
      <w:pgSz w:w="11907" w:h="16840"/>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Sim Hei">
    <w:altName w:val="宋体"/>
    <w:panose1 w:val="00000000000000000000"/>
    <w:charset w:val="86"/>
    <w:family w:val="auto"/>
    <w:pitch w:val="default"/>
    <w:sig w:usb0="00000000" w:usb1="00000000" w:usb2="00000010" w:usb3="00000000" w:csb0="00040000" w:csb1="00000000"/>
  </w:font>
  <w:font w:name="Plotter">
    <w:altName w:val="Lucida Console"/>
    <w:panose1 w:val="00000000000000000000"/>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Century Gothic">
    <w:altName w:val="Yu Gothic UI"/>
    <w:panose1 w:val="020B0502020202020204"/>
    <w:charset w:val="00"/>
    <w:family w:val="swiss"/>
    <w:pitch w:val="default"/>
    <w:sig w:usb0="00000000" w:usb1="00000000" w:usb2="00000000" w:usb3="00000000" w:csb0="0000009F" w:csb1="00000000"/>
  </w:font>
  <w:font w:name="全真中明體">
    <w:altName w:val="MingLiU-ExtB"/>
    <w:panose1 w:val="00000000000000000000"/>
    <w:charset w:val="88"/>
    <w:family w:val="modern"/>
    <w:pitch w:val="default"/>
    <w:sig w:usb0="00000000" w:usb1="00000000" w:usb2="00000010" w:usb3="00000000" w:csb0="00100000" w:csb1="00000000"/>
  </w:font>
  <w:font w:name="长城仿宋">
    <w:altName w:val="黑体"/>
    <w:panose1 w:val="00000000000000000000"/>
    <w:charset w:val="86"/>
    <w:family w:val="modern"/>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Garamond">
    <w:altName w:val="RomanS"/>
    <w:panose1 w:val="02020404030301010803"/>
    <w:charset w:val="00"/>
    <w:family w:val="roman"/>
    <w:pitch w:val="default"/>
    <w:sig w:usb0="00000000" w:usb1="00000000" w:usb2="00000000" w:usb3="00000000" w:csb0="0000009F" w:csb1="00000000"/>
  </w:font>
  <w:font w:name="¿¬Ìå">
    <w:altName w:val="Times New Roman"/>
    <w:panose1 w:val="00000000000000000000"/>
    <w:charset w:val="00"/>
    <w:family w:val="auto"/>
    <w:pitch w:val="default"/>
    <w:sig w:usb0="00000000" w:usb1="00000000" w:usb2="00000000" w:usb3="00000000" w:csb0="00000001" w:csb1="00000000"/>
  </w:font>
  <w:font w:name="方正黑体_GBK">
    <w:altName w:val="黑体"/>
    <w:panose1 w:val="00000000000000000000"/>
    <w:charset w:val="86"/>
    <w:family w:val="script"/>
    <w:pitch w:val="default"/>
    <w:sig w:usb0="00000000" w:usb1="00000000" w:usb2="00000010" w:usb3="00000000" w:csb0="00040000" w:csb1="00000000"/>
  </w:font>
  <w:font w:name="方正仿宋_GBK">
    <w:altName w:val="黑体"/>
    <w:panose1 w:val="00000000000000000000"/>
    <w:charset w:val="86"/>
    <w:family w:val="script"/>
    <w:pitch w:val="default"/>
    <w:sig w:usb0="00000000" w:usb1="00000000" w:usb2="00000010" w:usb3="00000000" w:csb0="00040000" w:csb1="00000000"/>
  </w:font>
  <w:font w:name="Optimum">
    <w:altName w:val="Times New Roman"/>
    <w:panose1 w:val="00000000000000000000"/>
    <w:charset w:val="00"/>
    <w:family w:val="auto"/>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MingLiU">
    <w:altName w:val="PMingLiU-ExtB"/>
    <w:panose1 w:val="02020509000000000000"/>
    <w:charset w:val="88"/>
    <w:family w:val="modern"/>
    <w:pitch w:val="default"/>
    <w:sig w:usb0="00000000" w:usb1="00000000" w:usb2="00000016" w:usb3="00000000" w:csb0="00100001" w:csb1="00000000"/>
  </w:font>
  <w:font w:name="华文楷体">
    <w:altName w:val="宋体"/>
    <w:panose1 w:val="02010600040101010101"/>
    <w:charset w:val="86"/>
    <w:family w:val="auto"/>
    <w:pitch w:val="default"/>
    <w:sig w:usb0="00000000" w:usb1="00000000" w:usb2="00000010" w:usb3="00000000" w:csb0="0004009F" w:csb1="00000000"/>
  </w:font>
  <w:font w:name="方正楷体简体">
    <w:altName w:val="黑体"/>
    <w:panose1 w:val="02010601030101010101"/>
    <w:charset w:val="86"/>
    <w:family w:val="auto"/>
    <w:pitch w:val="default"/>
    <w:sig w:usb0="00000000" w:usb1="00000000" w:usb2="00000010" w:usb3="00000000" w:csb0="00040000" w:csb1="00000000"/>
  </w:font>
  <w:font w:name="Taipei">
    <w:altName w:val="Times New Roman"/>
    <w:panose1 w:val="00000000000000000000"/>
    <w:charset w:val="00"/>
    <w:family w:val="roman"/>
    <w:pitch w:val="default"/>
    <w:sig w:usb0="00000000" w:usb1="00000000" w:usb2="00000000" w:usb3="00000000" w:csb0="00040001" w:csb1="00000000"/>
  </w:font>
  <w:font w:name="宋?">
    <w:altName w:val="宋体"/>
    <w:panose1 w:val="00000000000000000000"/>
    <w:charset w:val="00"/>
    <w:family w:val="auto"/>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ingLiU-ExtB">
    <w:panose1 w:val="02020500000000000000"/>
    <w:charset w:val="88"/>
    <w:family w:val="auto"/>
    <w:pitch w:val="default"/>
    <w:sig w:usb0="8000002F" w:usb1="02000008" w:usb2="00000000" w:usb3="00000000" w:csb0="00100001" w:csb1="00000000"/>
  </w:font>
  <w:font w:name="RomanS">
    <w:panose1 w:val="02000400000000000000"/>
    <w:charset w:val="00"/>
    <w:family w:val="auto"/>
    <w:pitch w:val="default"/>
    <w:sig w:usb0="00000207" w:usb1="00000000" w:usb2="00000000" w:usb3="00000000" w:csb0="000001FF" w:csb1="00000000"/>
  </w:font>
  <w:font w:name="Malgun Gothic">
    <w:panose1 w:val="020B0503020000020004"/>
    <w:charset w:val="81"/>
    <w:family w:val="auto"/>
    <w:pitch w:val="default"/>
    <w:sig w:usb0="9000002F" w:usb1="29D77CFB" w:usb2="00000012" w:usb3="00000000" w:csb0="0008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AdobeSongStd-Light">
    <w:altName w:val="宋体"/>
    <w:panose1 w:val="00000000000000000000"/>
    <w:charset w:val="86"/>
    <w:family w:val="auto"/>
    <w:pitch w:val="default"/>
    <w:sig w:usb0="00000000" w:usb1="00000000" w:usb2="00000010" w:usb3="00000000" w:csb0="00040000" w:csb1="00000000"/>
  </w:font>
  <w:font w:name="ArialMT">
    <w:altName w:val="Arial"/>
    <w:panose1 w:val="00000000000000000000"/>
    <w:charset w:val="00"/>
    <w:family w:val="swiss"/>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宋体_壵.烩..">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1"/>
      </w:rPr>
    </w:pPr>
    <w:r>
      <w:fldChar w:fldCharType="begin"/>
    </w:r>
    <w:r>
      <w:rPr>
        <w:rStyle w:val="31"/>
      </w:rPr>
      <w:instrText xml:space="preserve">PAGE  </w:instrText>
    </w:r>
    <w:r>
      <w:fldChar w:fldCharType="separate"/>
    </w:r>
    <w:r>
      <w:rPr>
        <w:rStyle w:val="31"/>
      </w:rPr>
      <w:t>6</w:t>
    </w:r>
    <w:r>
      <w:fldChar w:fldCharType="end"/>
    </w:r>
  </w:p>
  <w:p>
    <w:pPr>
      <w:pStyle w:val="21"/>
      <w:jc w:val="cente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1"/>
      </w:rPr>
    </w:pPr>
    <w:r>
      <w:fldChar w:fldCharType="begin"/>
    </w:r>
    <w:r>
      <w:rPr>
        <w:rStyle w:val="31"/>
      </w:rPr>
      <w:instrText xml:space="preserve">PAGE  </w:instrText>
    </w:r>
    <w:r>
      <w:fldChar w:fldCharType="separate"/>
    </w:r>
    <w:r>
      <w:rPr>
        <w:rStyle w:val="31"/>
      </w:rPr>
      <w:t>1</w:t>
    </w:r>
    <w:r>
      <w:fldChar w:fldCharType="end"/>
    </w:r>
  </w:p>
  <w:p>
    <w:pPr>
      <w:pStyle w:val="2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vanish/>
      </w:rPr>
    </w:pPr>
    <w:r>
      <w:rPr>
        <w:rFonts w:hint="eastAsia"/>
        <w:vanish/>
      </w:rPr>
      <w:t>标</w:t>
    </w:r>
    <w:r>
      <w:rPr>
        <w:rFonts w:hint="eastAsia"/>
        <w:vanish/>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860"/>
    <w:multiLevelType w:val="multilevel"/>
    <w:tmpl w:val="070E5860"/>
    <w:lvl w:ilvl="0" w:tentative="0">
      <w:start w:val="1"/>
      <w:numFmt w:val="chineseCountingThousand"/>
      <w:pStyle w:val="108"/>
      <w:suff w:val="nothing"/>
      <w:lvlText w:val="第%1章"/>
      <w:lvlJc w:val="left"/>
      <w:pPr>
        <w:ind w:left="640" w:firstLine="0"/>
      </w:pPr>
      <w:rPr>
        <w:rFonts w:hint="eastAsia"/>
      </w:rPr>
    </w:lvl>
    <w:lvl w:ilvl="1" w:tentative="0">
      <w:start w:val="1"/>
      <w:numFmt w:val="none"/>
      <w:suff w:val="nothing"/>
      <w:lvlText w:val=""/>
      <w:lvlJc w:val="left"/>
      <w:pPr>
        <w:ind w:left="640" w:firstLine="0"/>
      </w:pPr>
      <w:rPr>
        <w:rFonts w:hint="eastAsia"/>
      </w:rPr>
    </w:lvl>
    <w:lvl w:ilvl="2" w:tentative="0">
      <w:start w:val="1"/>
      <w:numFmt w:val="none"/>
      <w:suff w:val="nothing"/>
      <w:lvlText w:val=""/>
      <w:lvlJc w:val="left"/>
      <w:pPr>
        <w:ind w:left="640" w:firstLine="0"/>
      </w:pPr>
      <w:rPr>
        <w:rFonts w:hint="eastAsia"/>
      </w:rPr>
    </w:lvl>
    <w:lvl w:ilvl="3" w:tentative="0">
      <w:start w:val="1"/>
      <w:numFmt w:val="none"/>
      <w:suff w:val="nothing"/>
      <w:lvlText w:val=""/>
      <w:lvlJc w:val="left"/>
      <w:pPr>
        <w:ind w:left="640" w:firstLine="0"/>
      </w:pPr>
      <w:rPr>
        <w:rFonts w:hint="eastAsia"/>
      </w:rPr>
    </w:lvl>
    <w:lvl w:ilvl="4" w:tentative="0">
      <w:start w:val="1"/>
      <w:numFmt w:val="none"/>
      <w:suff w:val="nothing"/>
      <w:lvlText w:val=""/>
      <w:lvlJc w:val="left"/>
      <w:pPr>
        <w:ind w:left="640" w:firstLine="0"/>
      </w:pPr>
      <w:rPr>
        <w:rFonts w:hint="eastAsia"/>
      </w:rPr>
    </w:lvl>
    <w:lvl w:ilvl="5" w:tentative="0">
      <w:start w:val="1"/>
      <w:numFmt w:val="none"/>
      <w:suff w:val="nothing"/>
      <w:lvlText w:val=""/>
      <w:lvlJc w:val="left"/>
      <w:pPr>
        <w:ind w:left="640" w:firstLine="0"/>
      </w:pPr>
      <w:rPr>
        <w:rFonts w:hint="eastAsia"/>
      </w:rPr>
    </w:lvl>
    <w:lvl w:ilvl="6" w:tentative="0">
      <w:start w:val="1"/>
      <w:numFmt w:val="none"/>
      <w:suff w:val="nothing"/>
      <w:lvlText w:val=""/>
      <w:lvlJc w:val="left"/>
      <w:pPr>
        <w:ind w:left="640" w:firstLine="0"/>
      </w:pPr>
      <w:rPr>
        <w:rFonts w:hint="eastAsia"/>
      </w:rPr>
    </w:lvl>
    <w:lvl w:ilvl="7" w:tentative="0">
      <w:start w:val="1"/>
      <w:numFmt w:val="none"/>
      <w:suff w:val="nothing"/>
      <w:lvlText w:val=""/>
      <w:lvlJc w:val="left"/>
      <w:pPr>
        <w:ind w:left="640" w:firstLine="0"/>
      </w:pPr>
      <w:rPr>
        <w:rFonts w:hint="eastAsia"/>
      </w:rPr>
    </w:lvl>
    <w:lvl w:ilvl="8" w:tentative="0">
      <w:start w:val="1"/>
      <w:numFmt w:val="none"/>
      <w:suff w:val="nothing"/>
      <w:lvlText w:val=""/>
      <w:lvlJc w:val="left"/>
      <w:pPr>
        <w:ind w:left="640" w:firstLine="0"/>
      </w:pPr>
      <w:rPr>
        <w:rFonts w:hint="eastAsia"/>
      </w:rPr>
    </w:lvl>
  </w:abstractNum>
  <w:abstractNum w:abstractNumId="1">
    <w:nsid w:val="1B14001B"/>
    <w:multiLevelType w:val="multilevel"/>
    <w:tmpl w:val="1B14001B"/>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49108AF"/>
    <w:multiLevelType w:val="multilevel"/>
    <w:tmpl w:val="249108AF"/>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
    <w:nsid w:val="295568DC"/>
    <w:multiLevelType w:val="multilevel"/>
    <w:tmpl w:val="295568DC"/>
    <w:lvl w:ilvl="0" w:tentative="0">
      <w:start w:val="4"/>
      <w:numFmt w:val="decimal"/>
      <w:lvlText w:val="%1"/>
      <w:lvlJc w:val="left"/>
      <w:pPr>
        <w:tabs>
          <w:tab w:val="left" w:pos="360"/>
        </w:tabs>
        <w:ind w:left="360" w:hanging="360"/>
      </w:pPr>
      <w:rPr>
        <w:rFonts w:hint="eastAsia"/>
      </w:rPr>
    </w:lvl>
    <w:lvl w:ilvl="1" w:tentative="0">
      <w:start w:val="1"/>
      <w:numFmt w:val="decimal"/>
      <w:lvlText w:val="%1.%2"/>
      <w:lvlJc w:val="left"/>
      <w:pPr>
        <w:tabs>
          <w:tab w:val="left" w:pos="840"/>
        </w:tabs>
        <w:ind w:left="840" w:hanging="360"/>
      </w:pPr>
      <w:rPr>
        <w:rFonts w:hint="eastAsia"/>
      </w:rPr>
    </w:lvl>
    <w:lvl w:ilvl="2" w:tentative="0">
      <w:start w:val="1"/>
      <w:numFmt w:val="decimal"/>
      <w:lvlText w:val="%1.%2.%3"/>
      <w:lvlJc w:val="left"/>
      <w:pPr>
        <w:tabs>
          <w:tab w:val="left" w:pos="1680"/>
        </w:tabs>
        <w:ind w:left="1680" w:hanging="720"/>
      </w:pPr>
      <w:rPr>
        <w:rFonts w:hint="eastAsia"/>
      </w:rPr>
    </w:lvl>
    <w:lvl w:ilvl="3" w:tentative="0">
      <w:start w:val="1"/>
      <w:numFmt w:val="decimal"/>
      <w:lvlText w:val="%1.%2.%3.%4"/>
      <w:lvlJc w:val="left"/>
      <w:pPr>
        <w:tabs>
          <w:tab w:val="left" w:pos="2160"/>
        </w:tabs>
        <w:ind w:left="2160" w:hanging="720"/>
      </w:pPr>
      <w:rPr>
        <w:rFonts w:hint="eastAsia"/>
      </w:rPr>
    </w:lvl>
    <w:lvl w:ilvl="4" w:tentative="0">
      <w:start w:val="1"/>
      <w:numFmt w:val="decimal"/>
      <w:lvlText w:val="%1.%2.%3.%4.%5"/>
      <w:lvlJc w:val="left"/>
      <w:pPr>
        <w:tabs>
          <w:tab w:val="left" w:pos="3000"/>
        </w:tabs>
        <w:ind w:left="3000" w:hanging="1080"/>
      </w:pPr>
      <w:rPr>
        <w:rFonts w:hint="eastAsia"/>
      </w:rPr>
    </w:lvl>
    <w:lvl w:ilvl="5" w:tentative="0">
      <w:start w:val="1"/>
      <w:numFmt w:val="decimal"/>
      <w:lvlText w:val="%1.%2.%3.%4.%5.%6"/>
      <w:lvlJc w:val="left"/>
      <w:pPr>
        <w:tabs>
          <w:tab w:val="left" w:pos="3480"/>
        </w:tabs>
        <w:ind w:left="3480" w:hanging="1080"/>
      </w:pPr>
      <w:rPr>
        <w:rFonts w:hint="eastAsia"/>
      </w:rPr>
    </w:lvl>
    <w:lvl w:ilvl="6" w:tentative="0">
      <w:start w:val="1"/>
      <w:numFmt w:val="decimal"/>
      <w:lvlText w:val="%1.%2.%3.%4.%5.%6.%7"/>
      <w:lvlJc w:val="left"/>
      <w:pPr>
        <w:tabs>
          <w:tab w:val="left" w:pos="4320"/>
        </w:tabs>
        <w:ind w:left="4320" w:hanging="1440"/>
      </w:pPr>
      <w:rPr>
        <w:rFonts w:hint="eastAsia"/>
      </w:rPr>
    </w:lvl>
    <w:lvl w:ilvl="7" w:tentative="0">
      <w:start w:val="1"/>
      <w:numFmt w:val="decimal"/>
      <w:lvlText w:val="%1.%2.%3.%4.%5.%6.%7.%8"/>
      <w:lvlJc w:val="left"/>
      <w:pPr>
        <w:tabs>
          <w:tab w:val="left" w:pos="4800"/>
        </w:tabs>
        <w:ind w:left="4800" w:hanging="1440"/>
      </w:pPr>
      <w:rPr>
        <w:rFonts w:hint="eastAsia"/>
      </w:rPr>
    </w:lvl>
    <w:lvl w:ilvl="8" w:tentative="0">
      <w:start w:val="1"/>
      <w:numFmt w:val="decimal"/>
      <w:lvlText w:val="%1.%2.%3.%4.%5.%6.%7.%8.%9"/>
      <w:lvlJc w:val="left"/>
      <w:pPr>
        <w:tabs>
          <w:tab w:val="left" w:pos="5640"/>
        </w:tabs>
        <w:ind w:left="5640" w:hanging="1800"/>
      </w:pPr>
      <w:rPr>
        <w:rFonts w:hint="eastAsia"/>
      </w:rPr>
    </w:lvl>
  </w:abstractNum>
  <w:abstractNum w:abstractNumId="4">
    <w:nsid w:val="297A5D69"/>
    <w:multiLevelType w:val="multilevel"/>
    <w:tmpl w:val="297A5D69"/>
    <w:lvl w:ilvl="0" w:tentative="0">
      <w:start w:val="1"/>
      <w:numFmt w:val="decimal"/>
      <w:lvlText w:val="%1)"/>
      <w:lvlJc w:val="left"/>
      <w:pPr>
        <w:tabs>
          <w:tab w:val="left" w:pos="1260"/>
        </w:tabs>
        <w:ind w:left="1260" w:hanging="420"/>
      </w:pPr>
    </w:lvl>
    <w:lvl w:ilvl="1" w:tentative="0">
      <w:start w:val="1"/>
      <w:numFmt w:val="lowerLetter"/>
      <w:pStyle w:val="54"/>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5">
    <w:nsid w:val="31781438"/>
    <w:multiLevelType w:val="multilevel"/>
    <w:tmpl w:val="31781438"/>
    <w:lvl w:ilvl="0" w:tentative="0">
      <w:start w:val="1"/>
      <w:numFmt w:val="decimal"/>
      <w:suff w:val="nothing"/>
      <w:lvlText w:val="（%1）"/>
      <w:lvlJc w:val="left"/>
      <w:pPr>
        <w:ind w:left="1146" w:hanging="720"/>
      </w:pPr>
      <w:rPr>
        <w:rFonts w:hint="eastAsia"/>
      </w:rPr>
    </w:lvl>
    <w:lvl w:ilvl="1" w:tentative="0">
      <w:start w:val="1"/>
      <w:numFmt w:val="lowerLetter"/>
      <w:lvlText w:val="%2)"/>
      <w:lvlJc w:val="left"/>
      <w:pPr>
        <w:tabs>
          <w:tab w:val="left" w:pos="1768"/>
        </w:tabs>
        <w:ind w:left="1768" w:hanging="420"/>
      </w:pPr>
      <w:rPr>
        <w:rFonts w:hint="eastAsia"/>
      </w:rPr>
    </w:lvl>
    <w:lvl w:ilvl="2" w:tentative="0">
      <w:start w:val="1"/>
      <w:numFmt w:val="lowerRoman"/>
      <w:lvlText w:val="%3."/>
      <w:lvlJc w:val="right"/>
      <w:pPr>
        <w:tabs>
          <w:tab w:val="left" w:pos="2188"/>
        </w:tabs>
        <w:ind w:left="2188" w:hanging="420"/>
      </w:pPr>
      <w:rPr>
        <w:rFonts w:hint="eastAsia"/>
      </w:rPr>
    </w:lvl>
    <w:lvl w:ilvl="3" w:tentative="0">
      <w:start w:val="1"/>
      <w:numFmt w:val="decimal"/>
      <w:lvlText w:val="%4."/>
      <w:lvlJc w:val="left"/>
      <w:pPr>
        <w:tabs>
          <w:tab w:val="left" w:pos="2608"/>
        </w:tabs>
        <w:ind w:left="2608" w:hanging="420"/>
      </w:pPr>
      <w:rPr>
        <w:rFonts w:hint="eastAsia"/>
      </w:rPr>
    </w:lvl>
    <w:lvl w:ilvl="4" w:tentative="0">
      <w:start w:val="1"/>
      <w:numFmt w:val="lowerLetter"/>
      <w:lvlText w:val="%5)"/>
      <w:lvlJc w:val="left"/>
      <w:pPr>
        <w:tabs>
          <w:tab w:val="left" w:pos="3028"/>
        </w:tabs>
        <w:ind w:left="3028" w:hanging="420"/>
      </w:pPr>
      <w:rPr>
        <w:rFonts w:hint="eastAsia"/>
      </w:rPr>
    </w:lvl>
    <w:lvl w:ilvl="5" w:tentative="0">
      <w:start w:val="1"/>
      <w:numFmt w:val="lowerRoman"/>
      <w:lvlText w:val="%6."/>
      <w:lvlJc w:val="right"/>
      <w:pPr>
        <w:tabs>
          <w:tab w:val="left" w:pos="3448"/>
        </w:tabs>
        <w:ind w:left="3448" w:hanging="420"/>
      </w:pPr>
      <w:rPr>
        <w:rFonts w:hint="eastAsia"/>
      </w:rPr>
    </w:lvl>
    <w:lvl w:ilvl="6" w:tentative="0">
      <w:start w:val="1"/>
      <w:numFmt w:val="decimal"/>
      <w:lvlText w:val="%7."/>
      <w:lvlJc w:val="left"/>
      <w:pPr>
        <w:tabs>
          <w:tab w:val="left" w:pos="3868"/>
        </w:tabs>
        <w:ind w:left="3868" w:hanging="420"/>
      </w:pPr>
      <w:rPr>
        <w:rFonts w:hint="eastAsia"/>
      </w:rPr>
    </w:lvl>
    <w:lvl w:ilvl="7" w:tentative="0">
      <w:start w:val="1"/>
      <w:numFmt w:val="lowerLetter"/>
      <w:lvlText w:val="%8)"/>
      <w:lvlJc w:val="left"/>
      <w:pPr>
        <w:tabs>
          <w:tab w:val="left" w:pos="4288"/>
        </w:tabs>
        <w:ind w:left="4288" w:hanging="420"/>
      </w:pPr>
      <w:rPr>
        <w:rFonts w:hint="eastAsia"/>
      </w:rPr>
    </w:lvl>
    <w:lvl w:ilvl="8" w:tentative="0">
      <w:start w:val="1"/>
      <w:numFmt w:val="lowerRoman"/>
      <w:lvlText w:val="%9."/>
      <w:lvlJc w:val="right"/>
      <w:pPr>
        <w:tabs>
          <w:tab w:val="left" w:pos="4708"/>
        </w:tabs>
        <w:ind w:left="4708" w:hanging="420"/>
      </w:pPr>
      <w:rPr>
        <w:rFonts w:hint="eastAsia"/>
      </w:rPr>
    </w:lvl>
  </w:abstractNum>
  <w:abstractNum w:abstractNumId="6">
    <w:nsid w:val="46487396"/>
    <w:multiLevelType w:val="multilevel"/>
    <w:tmpl w:val="4648739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C3439D0"/>
    <w:multiLevelType w:val="multilevel"/>
    <w:tmpl w:val="4C3439D0"/>
    <w:lvl w:ilvl="0" w:tentative="0">
      <w:start w:val="10"/>
      <w:numFmt w:val="decimal"/>
      <w:lvlText w:val="%1．"/>
      <w:lvlJc w:val="left"/>
      <w:pPr>
        <w:tabs>
          <w:tab w:val="left" w:pos="480"/>
        </w:tabs>
        <w:ind w:left="480" w:hanging="4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E751DFA"/>
    <w:multiLevelType w:val="multilevel"/>
    <w:tmpl w:val="4E751DFA"/>
    <w:lvl w:ilvl="0" w:tentative="0">
      <w:start w:val="7"/>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656D6133"/>
    <w:multiLevelType w:val="multilevel"/>
    <w:tmpl w:val="656D6133"/>
    <w:lvl w:ilvl="0" w:tentative="0">
      <w:start w:val="2"/>
      <w:numFmt w:val="chineseCountingThousand"/>
      <w:pStyle w:val="77"/>
      <w:suff w:val="nothing"/>
      <w:lvlText w:val="第%1部分"/>
      <w:lvlJc w:val="center"/>
      <w:pPr>
        <w:ind w:left="432" w:firstLine="288"/>
      </w:pPr>
      <w:rPr>
        <w:rFonts w:hint="eastAsia"/>
        <w:sz w:val="28"/>
        <w:szCs w:val="28"/>
        <w:lang w:val="en-US"/>
      </w:rPr>
    </w:lvl>
    <w:lvl w:ilvl="1" w:tentative="0">
      <w:start w:val="1"/>
      <w:numFmt w:val="chineseCountingThousand"/>
      <w:suff w:val="nothing"/>
      <w:lvlText w:val="%2、"/>
      <w:lvlJc w:val="left"/>
      <w:pPr>
        <w:ind w:left="360" w:firstLine="0"/>
      </w:pPr>
      <w:rPr>
        <w:rFonts w:hint="eastAsia"/>
        <w:lang w:val="en-US"/>
      </w:rPr>
    </w:lvl>
    <w:lvl w:ilvl="2" w:tentative="0">
      <w:start w:val="1"/>
      <w:numFmt w:val="chineseCountingThousand"/>
      <w:suff w:val="nothing"/>
      <w:lvlText w:val="(%3)"/>
      <w:lvlJc w:val="left"/>
      <w:pPr>
        <w:ind w:left="0" w:firstLine="0"/>
      </w:pPr>
      <w:rPr>
        <w:rFonts w:hint="eastAsia"/>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0">
    <w:nsid w:val="6E267D64"/>
    <w:multiLevelType w:val="multilevel"/>
    <w:tmpl w:val="6E267D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797A19C0"/>
    <w:multiLevelType w:val="multilevel"/>
    <w:tmpl w:val="797A19C0"/>
    <w:lvl w:ilvl="0" w:tentative="0">
      <w:start w:val="1"/>
      <w:numFmt w:val="chineseCountingThousand"/>
      <w:pStyle w:val="81"/>
      <w:lvlText w:val="%1、"/>
      <w:lvlJc w:val="left"/>
      <w:pPr>
        <w:tabs>
          <w:tab w:val="left" w:pos="420"/>
        </w:tabs>
        <w:ind w:left="420" w:hanging="420"/>
      </w:pPr>
    </w:lvl>
    <w:lvl w:ilvl="1" w:tentative="0">
      <w:start w:val="1"/>
      <w:numFmt w:val="lowerLetter"/>
      <w:pStyle w:val="111"/>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7D711AB7"/>
    <w:multiLevelType w:val="multilevel"/>
    <w:tmpl w:val="7D711AB7"/>
    <w:lvl w:ilvl="0" w:tentative="0">
      <w:start w:val="1"/>
      <w:numFmt w:val="decimal"/>
      <w:lvlText w:val="%1、"/>
      <w:lvlJc w:val="left"/>
      <w:pPr>
        <w:tabs>
          <w:tab w:val="left" w:pos="1320"/>
        </w:tabs>
        <w:ind w:left="1320" w:hanging="840"/>
      </w:pPr>
      <w:rPr>
        <w:rFonts w:hint="default" w:ascii="Times New Roman" w:hAnsi="Times New Roman" w:cs="Times New Roman"/>
      </w:rPr>
    </w:lvl>
    <w:lvl w:ilvl="1" w:tentative="0">
      <w:start w:val="1"/>
      <w:numFmt w:val="lowerLetter"/>
      <w:lvlText w:val="%2)"/>
      <w:lvlJc w:val="left"/>
      <w:pPr>
        <w:tabs>
          <w:tab w:val="left" w:pos="1320"/>
        </w:tabs>
        <w:ind w:left="1320" w:hanging="420"/>
      </w:pPr>
      <w:rPr>
        <w:rFonts w:hint="default" w:ascii="Times New Roman" w:hAnsi="Times New Roman" w:cs="Times New Roman"/>
      </w:rPr>
    </w:lvl>
    <w:lvl w:ilvl="2" w:tentative="0">
      <w:start w:val="1"/>
      <w:numFmt w:val="lowerRoman"/>
      <w:lvlText w:val="%3."/>
      <w:lvlJc w:val="right"/>
      <w:pPr>
        <w:tabs>
          <w:tab w:val="left" w:pos="1740"/>
        </w:tabs>
        <w:ind w:left="1740" w:hanging="420"/>
      </w:pPr>
      <w:rPr>
        <w:rFonts w:hint="default" w:ascii="Times New Roman" w:hAnsi="Times New Roman" w:cs="Times New Roman"/>
      </w:rPr>
    </w:lvl>
    <w:lvl w:ilvl="3" w:tentative="0">
      <w:start w:val="1"/>
      <w:numFmt w:val="decimal"/>
      <w:lvlText w:val="%4."/>
      <w:lvlJc w:val="left"/>
      <w:pPr>
        <w:tabs>
          <w:tab w:val="left" w:pos="2160"/>
        </w:tabs>
        <w:ind w:left="2160" w:hanging="420"/>
      </w:pPr>
      <w:rPr>
        <w:rFonts w:hint="default" w:ascii="Times New Roman" w:hAnsi="Times New Roman" w:cs="Times New Roman"/>
      </w:rPr>
    </w:lvl>
    <w:lvl w:ilvl="4" w:tentative="0">
      <w:start w:val="1"/>
      <w:numFmt w:val="lowerLetter"/>
      <w:lvlText w:val="%5)"/>
      <w:lvlJc w:val="left"/>
      <w:pPr>
        <w:tabs>
          <w:tab w:val="left" w:pos="2580"/>
        </w:tabs>
        <w:ind w:left="2580" w:hanging="420"/>
      </w:pPr>
      <w:rPr>
        <w:rFonts w:hint="default" w:ascii="Times New Roman" w:hAnsi="Times New Roman" w:cs="Times New Roman"/>
      </w:rPr>
    </w:lvl>
    <w:lvl w:ilvl="5" w:tentative="0">
      <w:start w:val="1"/>
      <w:numFmt w:val="lowerRoman"/>
      <w:lvlText w:val="%6."/>
      <w:lvlJc w:val="right"/>
      <w:pPr>
        <w:tabs>
          <w:tab w:val="left" w:pos="3000"/>
        </w:tabs>
        <w:ind w:left="3000" w:hanging="420"/>
      </w:pPr>
      <w:rPr>
        <w:rFonts w:hint="default" w:ascii="Times New Roman" w:hAnsi="Times New Roman" w:cs="Times New Roman"/>
      </w:rPr>
    </w:lvl>
    <w:lvl w:ilvl="6" w:tentative="0">
      <w:start w:val="1"/>
      <w:numFmt w:val="decimal"/>
      <w:lvlText w:val="%7."/>
      <w:lvlJc w:val="left"/>
      <w:pPr>
        <w:tabs>
          <w:tab w:val="left" w:pos="3420"/>
        </w:tabs>
        <w:ind w:left="3420" w:hanging="420"/>
      </w:pPr>
      <w:rPr>
        <w:rFonts w:hint="default" w:ascii="Times New Roman" w:hAnsi="Times New Roman" w:cs="Times New Roman"/>
      </w:rPr>
    </w:lvl>
    <w:lvl w:ilvl="7" w:tentative="0">
      <w:start w:val="1"/>
      <w:numFmt w:val="lowerLetter"/>
      <w:lvlText w:val="%8)"/>
      <w:lvlJc w:val="left"/>
      <w:pPr>
        <w:tabs>
          <w:tab w:val="left" w:pos="3840"/>
        </w:tabs>
        <w:ind w:left="3840" w:hanging="420"/>
      </w:pPr>
      <w:rPr>
        <w:rFonts w:hint="default" w:ascii="Times New Roman" w:hAnsi="Times New Roman" w:cs="Times New Roman"/>
      </w:rPr>
    </w:lvl>
    <w:lvl w:ilvl="8" w:tentative="0">
      <w:start w:val="1"/>
      <w:numFmt w:val="lowerRoman"/>
      <w:lvlText w:val="%9."/>
      <w:lvlJc w:val="right"/>
      <w:pPr>
        <w:tabs>
          <w:tab w:val="left" w:pos="4260"/>
        </w:tabs>
        <w:ind w:left="4260" w:hanging="420"/>
      </w:pPr>
      <w:rPr>
        <w:rFonts w:hint="default" w:ascii="Times New Roman" w:hAnsi="Times New Roman" w:cs="Times New Roman"/>
      </w:rPr>
    </w:lvl>
  </w:abstractNum>
  <w:abstractNum w:abstractNumId="13">
    <w:nsid w:val="7DA85D50"/>
    <w:multiLevelType w:val="multilevel"/>
    <w:tmpl w:val="7DA85D50"/>
    <w:lvl w:ilvl="0" w:tentative="0">
      <w:start w:val="1"/>
      <w:numFmt w:val="decimal"/>
      <w:lvlText w:val="%1、"/>
      <w:lvlJc w:val="left"/>
      <w:pPr>
        <w:tabs>
          <w:tab w:val="left" w:pos="840"/>
        </w:tabs>
        <w:ind w:left="840" w:hanging="360"/>
      </w:pPr>
      <w:rPr>
        <w:rFonts w:hint="eastAsia"/>
      </w:rPr>
    </w:lvl>
    <w:lvl w:ilvl="1" w:tentative="0">
      <w:start w:val="1"/>
      <w:numFmt w:val="japaneseCounting"/>
      <w:lvlText w:val="%2、"/>
      <w:lvlJc w:val="left"/>
      <w:pPr>
        <w:tabs>
          <w:tab w:val="left" w:pos="1620"/>
        </w:tabs>
        <w:ind w:left="1620" w:hanging="72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4"/>
  </w:num>
  <w:num w:numId="2">
    <w:abstractNumId w:val="9"/>
  </w:num>
  <w:num w:numId="3">
    <w:abstractNumId w:val="11"/>
  </w:num>
  <w:num w:numId="4">
    <w:abstractNumId w:val="0"/>
  </w:num>
  <w:num w:numId="5">
    <w:abstractNumId w:val="13"/>
  </w:num>
  <w:num w:numId="6">
    <w:abstractNumId w:val="3"/>
  </w:num>
  <w:num w:numId="7">
    <w:abstractNumId w:val="5"/>
  </w:num>
  <w:num w:numId="8">
    <w:abstractNumId w:val="10"/>
  </w:num>
  <w:num w:numId="9">
    <w:abstractNumId w:val="1"/>
  </w:num>
  <w:num w:numId="10">
    <w:abstractNumId w:val="8"/>
  </w:num>
  <w:num w:numId="11">
    <w:abstractNumId w:val="7"/>
  </w:num>
  <w:num w:numId="12">
    <w:abstractNumId w:val="12"/>
    <w:lvlOverride w:ilvl="0">
      <w:startOverride w:val="1"/>
    </w:lvlOverride>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43D83"/>
    <w:rsid w:val="00001BB0"/>
    <w:rsid w:val="00003365"/>
    <w:rsid w:val="00032EF8"/>
    <w:rsid w:val="00051EFC"/>
    <w:rsid w:val="0007293C"/>
    <w:rsid w:val="000779EC"/>
    <w:rsid w:val="00083AC0"/>
    <w:rsid w:val="00096C73"/>
    <w:rsid w:val="000B6E3D"/>
    <w:rsid w:val="000C6279"/>
    <w:rsid w:val="000D179A"/>
    <w:rsid w:val="000E01EA"/>
    <w:rsid w:val="000E4DEF"/>
    <w:rsid w:val="00110F72"/>
    <w:rsid w:val="001218AE"/>
    <w:rsid w:val="00147F1A"/>
    <w:rsid w:val="0017279A"/>
    <w:rsid w:val="001A4074"/>
    <w:rsid w:val="001B11D8"/>
    <w:rsid w:val="001C7776"/>
    <w:rsid w:val="001F0037"/>
    <w:rsid w:val="00204688"/>
    <w:rsid w:val="00207056"/>
    <w:rsid w:val="00210D54"/>
    <w:rsid w:val="00255F99"/>
    <w:rsid w:val="00281F86"/>
    <w:rsid w:val="00293B67"/>
    <w:rsid w:val="002C063B"/>
    <w:rsid w:val="002C21B5"/>
    <w:rsid w:val="002C3FBD"/>
    <w:rsid w:val="002D12E1"/>
    <w:rsid w:val="002D6C8F"/>
    <w:rsid w:val="002F1AEC"/>
    <w:rsid w:val="00300F2A"/>
    <w:rsid w:val="003032EF"/>
    <w:rsid w:val="0030473C"/>
    <w:rsid w:val="00326116"/>
    <w:rsid w:val="00330940"/>
    <w:rsid w:val="00333C47"/>
    <w:rsid w:val="00341CE7"/>
    <w:rsid w:val="00344CAC"/>
    <w:rsid w:val="003463E5"/>
    <w:rsid w:val="0037512C"/>
    <w:rsid w:val="003978FE"/>
    <w:rsid w:val="003D2214"/>
    <w:rsid w:val="003F5C84"/>
    <w:rsid w:val="003F5EC0"/>
    <w:rsid w:val="004070A9"/>
    <w:rsid w:val="0042653F"/>
    <w:rsid w:val="0043760B"/>
    <w:rsid w:val="00443D83"/>
    <w:rsid w:val="00444AD8"/>
    <w:rsid w:val="00451FF6"/>
    <w:rsid w:val="00461144"/>
    <w:rsid w:val="00491299"/>
    <w:rsid w:val="004B07F3"/>
    <w:rsid w:val="004B4DBA"/>
    <w:rsid w:val="004D0139"/>
    <w:rsid w:val="00515E2F"/>
    <w:rsid w:val="00517D78"/>
    <w:rsid w:val="00545C3B"/>
    <w:rsid w:val="00551609"/>
    <w:rsid w:val="005725A2"/>
    <w:rsid w:val="005A19C0"/>
    <w:rsid w:val="005A2162"/>
    <w:rsid w:val="005B3F0C"/>
    <w:rsid w:val="005C4BB1"/>
    <w:rsid w:val="005D60BF"/>
    <w:rsid w:val="00601A1A"/>
    <w:rsid w:val="0061006E"/>
    <w:rsid w:val="00613B61"/>
    <w:rsid w:val="00621184"/>
    <w:rsid w:val="00625128"/>
    <w:rsid w:val="00625A72"/>
    <w:rsid w:val="006405AB"/>
    <w:rsid w:val="00655CE0"/>
    <w:rsid w:val="006725C0"/>
    <w:rsid w:val="00677909"/>
    <w:rsid w:val="00691C14"/>
    <w:rsid w:val="00693FA2"/>
    <w:rsid w:val="006A29A3"/>
    <w:rsid w:val="006A5EF2"/>
    <w:rsid w:val="006C334B"/>
    <w:rsid w:val="006C611D"/>
    <w:rsid w:val="006E31C4"/>
    <w:rsid w:val="00711C66"/>
    <w:rsid w:val="007476B3"/>
    <w:rsid w:val="00752070"/>
    <w:rsid w:val="00753763"/>
    <w:rsid w:val="0076793D"/>
    <w:rsid w:val="007860DE"/>
    <w:rsid w:val="00787138"/>
    <w:rsid w:val="00793E71"/>
    <w:rsid w:val="00796272"/>
    <w:rsid w:val="007B4966"/>
    <w:rsid w:val="007F76D5"/>
    <w:rsid w:val="00800831"/>
    <w:rsid w:val="00806BB8"/>
    <w:rsid w:val="008120E3"/>
    <w:rsid w:val="008337D8"/>
    <w:rsid w:val="008416A8"/>
    <w:rsid w:val="0085081F"/>
    <w:rsid w:val="00854398"/>
    <w:rsid w:val="008726EC"/>
    <w:rsid w:val="00882FC2"/>
    <w:rsid w:val="00885647"/>
    <w:rsid w:val="00895901"/>
    <w:rsid w:val="00895E5E"/>
    <w:rsid w:val="008C2ECF"/>
    <w:rsid w:val="0093097B"/>
    <w:rsid w:val="00956B80"/>
    <w:rsid w:val="009704CC"/>
    <w:rsid w:val="009721DB"/>
    <w:rsid w:val="009773D9"/>
    <w:rsid w:val="009B01FD"/>
    <w:rsid w:val="009B15E2"/>
    <w:rsid w:val="009C16B7"/>
    <w:rsid w:val="009D27AD"/>
    <w:rsid w:val="009F4E14"/>
    <w:rsid w:val="00A03EFE"/>
    <w:rsid w:val="00A07B3D"/>
    <w:rsid w:val="00A15C03"/>
    <w:rsid w:val="00A204DC"/>
    <w:rsid w:val="00A30DC9"/>
    <w:rsid w:val="00A404A4"/>
    <w:rsid w:val="00A5638F"/>
    <w:rsid w:val="00A64D9D"/>
    <w:rsid w:val="00A802B4"/>
    <w:rsid w:val="00A9102C"/>
    <w:rsid w:val="00AB31D3"/>
    <w:rsid w:val="00AD19D5"/>
    <w:rsid w:val="00AF7384"/>
    <w:rsid w:val="00AF78F8"/>
    <w:rsid w:val="00B021AA"/>
    <w:rsid w:val="00B154AB"/>
    <w:rsid w:val="00B31B24"/>
    <w:rsid w:val="00B35A76"/>
    <w:rsid w:val="00B42266"/>
    <w:rsid w:val="00B435CB"/>
    <w:rsid w:val="00B50F43"/>
    <w:rsid w:val="00B5181F"/>
    <w:rsid w:val="00B6386A"/>
    <w:rsid w:val="00B709C9"/>
    <w:rsid w:val="00B70DA6"/>
    <w:rsid w:val="00B76E5C"/>
    <w:rsid w:val="00B77B0D"/>
    <w:rsid w:val="00B9055B"/>
    <w:rsid w:val="00BA051C"/>
    <w:rsid w:val="00BA0CD2"/>
    <w:rsid w:val="00BA1577"/>
    <w:rsid w:val="00BB2F11"/>
    <w:rsid w:val="00BC3DC1"/>
    <w:rsid w:val="00BC5D01"/>
    <w:rsid w:val="00BC6183"/>
    <w:rsid w:val="00BD221C"/>
    <w:rsid w:val="00BD3ACF"/>
    <w:rsid w:val="00BD6BAB"/>
    <w:rsid w:val="00C0367D"/>
    <w:rsid w:val="00C16017"/>
    <w:rsid w:val="00C5566F"/>
    <w:rsid w:val="00C631BB"/>
    <w:rsid w:val="00C6541A"/>
    <w:rsid w:val="00C77852"/>
    <w:rsid w:val="00C831ED"/>
    <w:rsid w:val="00C87CA4"/>
    <w:rsid w:val="00C92C01"/>
    <w:rsid w:val="00CA27F9"/>
    <w:rsid w:val="00CD139F"/>
    <w:rsid w:val="00CD5720"/>
    <w:rsid w:val="00CF383E"/>
    <w:rsid w:val="00D010CC"/>
    <w:rsid w:val="00D03E84"/>
    <w:rsid w:val="00D11886"/>
    <w:rsid w:val="00D16E6A"/>
    <w:rsid w:val="00D2307A"/>
    <w:rsid w:val="00D368D0"/>
    <w:rsid w:val="00D54474"/>
    <w:rsid w:val="00D76A89"/>
    <w:rsid w:val="00D86460"/>
    <w:rsid w:val="00D92A62"/>
    <w:rsid w:val="00D96949"/>
    <w:rsid w:val="00DA37E7"/>
    <w:rsid w:val="00DB1BFB"/>
    <w:rsid w:val="00DC15C6"/>
    <w:rsid w:val="00DC476C"/>
    <w:rsid w:val="00DE443A"/>
    <w:rsid w:val="00E258CC"/>
    <w:rsid w:val="00E319B0"/>
    <w:rsid w:val="00E33475"/>
    <w:rsid w:val="00E46941"/>
    <w:rsid w:val="00E6763D"/>
    <w:rsid w:val="00E701A3"/>
    <w:rsid w:val="00E757F5"/>
    <w:rsid w:val="00E82371"/>
    <w:rsid w:val="00E83044"/>
    <w:rsid w:val="00EA2D33"/>
    <w:rsid w:val="00EA60AC"/>
    <w:rsid w:val="00EC0D1D"/>
    <w:rsid w:val="00EC3B98"/>
    <w:rsid w:val="00ED7CE0"/>
    <w:rsid w:val="00EE248E"/>
    <w:rsid w:val="00EF6D98"/>
    <w:rsid w:val="00F03B72"/>
    <w:rsid w:val="00F10ECF"/>
    <w:rsid w:val="00F44C4C"/>
    <w:rsid w:val="00F453EC"/>
    <w:rsid w:val="00F468A5"/>
    <w:rsid w:val="00F52D84"/>
    <w:rsid w:val="00F65A1A"/>
    <w:rsid w:val="00F714E3"/>
    <w:rsid w:val="00F72F2C"/>
    <w:rsid w:val="00F73C9E"/>
    <w:rsid w:val="00F765B3"/>
    <w:rsid w:val="00F81189"/>
    <w:rsid w:val="00F85D7A"/>
    <w:rsid w:val="00F86A80"/>
    <w:rsid w:val="00F90A81"/>
    <w:rsid w:val="00FA3A60"/>
    <w:rsid w:val="00FB47DA"/>
    <w:rsid w:val="00FC0F38"/>
    <w:rsid w:val="00FC308A"/>
    <w:rsid w:val="00FD2E92"/>
    <w:rsid w:val="00FF67BD"/>
    <w:rsid w:val="01C91779"/>
    <w:rsid w:val="06B4667C"/>
    <w:rsid w:val="0715184C"/>
    <w:rsid w:val="098044CF"/>
    <w:rsid w:val="09AC019C"/>
    <w:rsid w:val="0CB6534F"/>
    <w:rsid w:val="0DF66BFD"/>
    <w:rsid w:val="0ECF63FB"/>
    <w:rsid w:val="0FA13439"/>
    <w:rsid w:val="0FDB76DB"/>
    <w:rsid w:val="10986FB2"/>
    <w:rsid w:val="10C20CAF"/>
    <w:rsid w:val="12AE1ED7"/>
    <w:rsid w:val="14495444"/>
    <w:rsid w:val="157C453C"/>
    <w:rsid w:val="19D46284"/>
    <w:rsid w:val="1A52008B"/>
    <w:rsid w:val="1D1C356A"/>
    <w:rsid w:val="20A50896"/>
    <w:rsid w:val="22776A5E"/>
    <w:rsid w:val="22DA3B8A"/>
    <w:rsid w:val="22DD1288"/>
    <w:rsid w:val="232950A0"/>
    <w:rsid w:val="254D7D1A"/>
    <w:rsid w:val="319D774B"/>
    <w:rsid w:val="319F6A64"/>
    <w:rsid w:val="37C324F8"/>
    <w:rsid w:val="39FA341D"/>
    <w:rsid w:val="3C393EB7"/>
    <w:rsid w:val="3E635798"/>
    <w:rsid w:val="424415A2"/>
    <w:rsid w:val="4C6B5EF4"/>
    <w:rsid w:val="5266733C"/>
    <w:rsid w:val="530C0529"/>
    <w:rsid w:val="5DF71BA5"/>
    <w:rsid w:val="609A3DBB"/>
    <w:rsid w:val="6318013A"/>
    <w:rsid w:val="65AB6BBF"/>
    <w:rsid w:val="6D3549D9"/>
    <w:rsid w:val="72565FD9"/>
    <w:rsid w:val="727A48C8"/>
    <w:rsid w:val="7306762B"/>
    <w:rsid w:val="73DF263E"/>
    <w:rsid w:val="74F874E4"/>
    <w:rsid w:val="7D3D0E67"/>
    <w:rsid w:val="7EBA1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color w:val="000000"/>
      <w:kern w:val="2"/>
      <w:sz w:val="21"/>
      <w:szCs w:val="21"/>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32"/>
      <w:szCs w:val="32"/>
    </w:rPr>
  </w:style>
  <w:style w:type="paragraph" w:styleId="3">
    <w:name w:val="heading 2"/>
    <w:basedOn w:val="1"/>
    <w:next w:val="1"/>
    <w:link w:val="37"/>
    <w:qFormat/>
    <w:uiPriority w:val="0"/>
    <w:pPr>
      <w:keepNext/>
      <w:keepLines/>
      <w:spacing w:line="360"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line="360" w:lineRule="auto"/>
      <w:outlineLvl w:val="2"/>
    </w:pPr>
    <w:rPr>
      <w:sz w:val="26"/>
      <w:szCs w:val="26"/>
    </w:rPr>
  </w:style>
  <w:style w:type="paragraph" w:styleId="5">
    <w:name w:val="heading 4"/>
    <w:basedOn w:val="1"/>
    <w:next w:val="1"/>
    <w:link w:val="39"/>
    <w:qFormat/>
    <w:uiPriority w:val="0"/>
    <w:pPr>
      <w:keepNext/>
      <w:keepLines/>
      <w:spacing w:before="280" w:after="290" w:line="376" w:lineRule="auto"/>
      <w:outlineLvl w:val="3"/>
    </w:pPr>
    <w:rPr>
      <w:sz w:val="28"/>
      <w:szCs w:val="28"/>
    </w:rPr>
  </w:style>
  <w:style w:type="paragraph" w:styleId="6">
    <w:name w:val="heading 5"/>
    <w:basedOn w:val="1"/>
    <w:next w:val="1"/>
    <w:link w:val="40"/>
    <w:qFormat/>
    <w:uiPriority w:val="0"/>
    <w:pPr>
      <w:keepNext/>
      <w:keepLines/>
      <w:spacing w:before="280" w:after="290" w:line="376" w:lineRule="auto"/>
      <w:outlineLvl w:val="4"/>
    </w:pPr>
    <w:rPr>
      <w:sz w:val="26"/>
      <w:szCs w:val="26"/>
    </w:rPr>
  </w:style>
  <w:style w:type="paragraph" w:styleId="7">
    <w:name w:val="heading 6"/>
    <w:basedOn w:val="1"/>
    <w:next w:val="1"/>
    <w:link w:val="41"/>
    <w:qFormat/>
    <w:uiPriority w:val="0"/>
    <w:pPr>
      <w:keepNext/>
      <w:keepLines/>
      <w:spacing w:before="240" w:after="64" w:line="320" w:lineRule="auto"/>
      <w:outlineLvl w:val="5"/>
    </w:pPr>
    <w:rPr>
      <w:sz w:val="22"/>
      <w:szCs w:val="22"/>
    </w:rPr>
  </w:style>
  <w:style w:type="paragraph" w:styleId="8">
    <w:name w:val="heading 7"/>
    <w:basedOn w:val="1"/>
    <w:next w:val="1"/>
    <w:link w:val="42"/>
    <w:qFormat/>
    <w:uiPriority w:val="0"/>
    <w:pPr>
      <w:keepNext/>
      <w:keepLines/>
      <w:adjustRightInd w:val="0"/>
      <w:spacing w:before="240" w:after="64" w:line="320" w:lineRule="atLeast"/>
      <w:jc w:val="left"/>
      <w:textAlignment w:val="baseline"/>
      <w:outlineLvl w:val="6"/>
    </w:pPr>
    <w:rPr>
      <w:rFonts w:ascii="Times New Roman" w:hAnsi="Times New Roman"/>
      <w:b/>
      <w:bCs/>
      <w:color w:val="auto"/>
      <w:kern w:val="0"/>
      <w:sz w:val="24"/>
      <w:szCs w:val="24"/>
    </w:rPr>
  </w:style>
  <w:style w:type="paragraph" w:styleId="9">
    <w:name w:val="heading 8"/>
    <w:basedOn w:val="1"/>
    <w:next w:val="1"/>
    <w:link w:val="43"/>
    <w:qFormat/>
    <w:uiPriority w:val="0"/>
    <w:pPr>
      <w:keepNext/>
      <w:keepLines/>
      <w:adjustRightInd w:val="0"/>
      <w:spacing w:before="240" w:after="64" w:line="320" w:lineRule="atLeast"/>
      <w:jc w:val="left"/>
      <w:textAlignment w:val="baseline"/>
      <w:outlineLvl w:val="7"/>
    </w:pPr>
    <w:rPr>
      <w:rFonts w:ascii="Arial" w:hAnsi="Arial" w:eastAsia="黑体"/>
      <w:color w:val="auto"/>
      <w:kern w:val="0"/>
      <w:sz w:val="24"/>
      <w:szCs w:val="24"/>
    </w:rPr>
  </w:style>
  <w:style w:type="paragraph" w:styleId="10">
    <w:name w:val="heading 9"/>
    <w:basedOn w:val="1"/>
    <w:next w:val="1"/>
    <w:link w:val="44"/>
    <w:qFormat/>
    <w:uiPriority w:val="0"/>
    <w:pPr>
      <w:keepNext/>
      <w:keepLines/>
      <w:adjustRightInd w:val="0"/>
      <w:spacing w:before="240" w:after="64" w:line="320" w:lineRule="atLeast"/>
      <w:jc w:val="left"/>
      <w:textAlignment w:val="baseline"/>
      <w:outlineLvl w:val="8"/>
    </w:pPr>
    <w:rPr>
      <w:rFonts w:ascii="Arial" w:hAnsi="Arial" w:eastAsia="黑体"/>
      <w:color w:val="auto"/>
      <w:kern w:val="0"/>
      <w:sz w:val="24"/>
    </w:rPr>
  </w:style>
  <w:style w:type="character" w:default="1" w:styleId="29">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50"/>
    <w:qFormat/>
    <w:uiPriority w:val="0"/>
    <w:rPr>
      <w:rFonts w:eastAsiaTheme="minorEastAsia" w:cstheme="minorBidi"/>
      <w:b/>
      <w:bCs/>
    </w:rPr>
  </w:style>
  <w:style w:type="paragraph" w:styleId="12">
    <w:name w:val="annotation text"/>
    <w:basedOn w:val="1"/>
    <w:link w:val="66"/>
    <w:unhideWhenUsed/>
    <w:qFormat/>
    <w:uiPriority w:val="99"/>
    <w:pPr>
      <w:jc w:val="left"/>
    </w:pPr>
  </w:style>
  <w:style w:type="paragraph" w:styleId="13">
    <w:name w:val="Normal Indent"/>
    <w:basedOn w:val="1"/>
    <w:qFormat/>
    <w:uiPriority w:val="0"/>
    <w:pPr>
      <w:ind w:firstLine="420"/>
    </w:pPr>
    <w:rPr>
      <w:rFonts w:ascii="Times New Roman" w:hAnsi="Times New Roman"/>
      <w:color w:val="auto"/>
      <w:sz w:val="24"/>
      <w:szCs w:val="24"/>
    </w:rPr>
  </w:style>
  <w:style w:type="paragraph" w:styleId="14">
    <w:name w:val="Body Text"/>
    <w:basedOn w:val="1"/>
    <w:link w:val="78"/>
    <w:qFormat/>
    <w:uiPriority w:val="0"/>
    <w:pPr>
      <w:tabs>
        <w:tab w:val="left" w:pos="1155"/>
      </w:tabs>
      <w:spacing w:line="420" w:lineRule="exact"/>
    </w:pPr>
    <w:rPr>
      <w:rFonts w:hAnsi="Times New Roman"/>
      <w:color w:val="auto"/>
      <w:sz w:val="24"/>
      <w:szCs w:val="24"/>
    </w:rPr>
  </w:style>
  <w:style w:type="paragraph" w:styleId="15">
    <w:name w:val="Body Text Indent"/>
    <w:basedOn w:val="1"/>
    <w:link w:val="80"/>
    <w:qFormat/>
    <w:uiPriority w:val="0"/>
    <w:pPr>
      <w:widowControl/>
      <w:ind w:firstLine="360"/>
      <w:jc w:val="left"/>
    </w:pPr>
    <w:rPr>
      <w:rFonts w:ascii="Times New Roman" w:hAnsi="Times New Roman"/>
      <w:color w:val="auto"/>
      <w:kern w:val="0"/>
      <w:sz w:val="24"/>
      <w:szCs w:val="24"/>
    </w:rPr>
  </w:style>
  <w:style w:type="paragraph" w:styleId="16">
    <w:name w:val="toc 3"/>
    <w:basedOn w:val="1"/>
    <w:next w:val="1"/>
    <w:qFormat/>
    <w:uiPriority w:val="39"/>
    <w:pPr>
      <w:tabs>
        <w:tab w:val="right" w:leader="dot" w:pos="9373"/>
      </w:tabs>
      <w:ind w:left="-2" w:leftChars="-1" w:firstLine="569"/>
      <w:jc w:val="left"/>
    </w:pPr>
    <w:rPr>
      <w:rFonts w:ascii="Times New Roman" w:hAnsi="Times New Roman"/>
      <w:i/>
      <w:iCs/>
      <w:color w:val="auto"/>
      <w:sz w:val="24"/>
      <w:szCs w:val="24"/>
    </w:rPr>
  </w:style>
  <w:style w:type="paragraph" w:styleId="17">
    <w:name w:val="Plain Text"/>
    <w:basedOn w:val="1"/>
    <w:link w:val="84"/>
    <w:qFormat/>
    <w:uiPriority w:val="0"/>
    <w:rPr>
      <w:rFonts w:hAnsi="Courier New"/>
      <w:color w:val="auto"/>
      <w:sz w:val="24"/>
      <w:szCs w:val="20"/>
    </w:rPr>
  </w:style>
  <w:style w:type="paragraph" w:styleId="18">
    <w:name w:val="Date"/>
    <w:basedOn w:val="1"/>
    <w:next w:val="1"/>
    <w:link w:val="82"/>
    <w:qFormat/>
    <w:uiPriority w:val="0"/>
    <w:pPr>
      <w:adjustRightInd w:val="0"/>
      <w:spacing w:line="360" w:lineRule="atLeast"/>
    </w:pPr>
    <w:rPr>
      <w:rFonts w:hint="eastAsia" w:hAnsi="Times New Roman"/>
      <w:color w:val="auto"/>
      <w:kern w:val="0"/>
      <w:sz w:val="24"/>
      <w:szCs w:val="20"/>
    </w:rPr>
  </w:style>
  <w:style w:type="paragraph" w:styleId="19">
    <w:name w:val="Body Text Indent 2"/>
    <w:basedOn w:val="1"/>
    <w:link w:val="85"/>
    <w:qFormat/>
    <w:uiPriority w:val="0"/>
    <w:pPr>
      <w:spacing w:line="500" w:lineRule="exact"/>
      <w:ind w:left="359" w:leftChars="171" w:firstLine="540" w:firstLineChars="225"/>
    </w:pPr>
    <w:rPr>
      <w:color w:val="auto"/>
      <w:sz w:val="24"/>
      <w:szCs w:val="24"/>
    </w:rPr>
  </w:style>
  <w:style w:type="paragraph" w:styleId="20">
    <w:name w:val="Balloon Text"/>
    <w:basedOn w:val="1"/>
    <w:link w:val="45"/>
    <w:qFormat/>
    <w:uiPriority w:val="0"/>
    <w:rPr>
      <w:rFonts w:eastAsiaTheme="minorEastAsia" w:cstheme="minorBidi"/>
      <w:sz w:val="18"/>
      <w:szCs w:val="18"/>
    </w:rPr>
  </w:style>
  <w:style w:type="paragraph" w:styleId="21">
    <w:name w:val="footer"/>
    <w:basedOn w:val="1"/>
    <w:link w:val="48"/>
    <w:qFormat/>
    <w:uiPriority w:val="99"/>
    <w:pPr>
      <w:tabs>
        <w:tab w:val="center" w:pos="4153"/>
        <w:tab w:val="right" w:pos="8306"/>
      </w:tabs>
      <w:snapToGrid w:val="0"/>
      <w:jc w:val="left"/>
    </w:pPr>
    <w:rPr>
      <w:rFonts w:asciiTheme="minorHAnsi" w:hAnsiTheme="minorHAnsi" w:eastAsiaTheme="minorEastAsia" w:cstheme="minorBidi"/>
      <w:color w:val="auto"/>
      <w:sz w:val="18"/>
      <w:szCs w:val="24"/>
    </w:rPr>
  </w:style>
  <w:style w:type="paragraph" w:styleId="22">
    <w:name w:val="header"/>
    <w:basedOn w:val="1"/>
    <w:link w:val="86"/>
    <w:qFormat/>
    <w:uiPriority w:val="0"/>
    <w:pPr>
      <w:pBdr>
        <w:bottom w:val="single" w:color="auto" w:sz="6" w:space="1"/>
      </w:pBdr>
      <w:tabs>
        <w:tab w:val="center" w:pos="4153"/>
        <w:tab w:val="right" w:pos="8306"/>
      </w:tabs>
      <w:snapToGrid w:val="0"/>
      <w:jc w:val="center"/>
    </w:pPr>
    <w:rPr>
      <w:rFonts w:ascii="Times New Roman" w:hAnsi="Times New Roman"/>
      <w:color w:val="auto"/>
      <w:sz w:val="18"/>
      <w:szCs w:val="20"/>
    </w:rPr>
  </w:style>
  <w:style w:type="paragraph" w:styleId="23">
    <w:name w:val="toc 1"/>
    <w:basedOn w:val="1"/>
    <w:next w:val="1"/>
    <w:qFormat/>
    <w:uiPriority w:val="39"/>
    <w:pPr>
      <w:tabs>
        <w:tab w:val="right" w:leader="dot" w:pos="9372"/>
      </w:tabs>
      <w:spacing w:before="120" w:after="120"/>
      <w:ind w:left="567" w:hanging="569"/>
      <w:jc w:val="left"/>
    </w:pPr>
    <w:rPr>
      <w:b/>
      <w:bCs/>
      <w:caps/>
      <w:color w:val="auto"/>
      <w:sz w:val="24"/>
      <w:szCs w:val="24"/>
    </w:rPr>
  </w:style>
  <w:style w:type="paragraph" w:styleId="24">
    <w:name w:val="toc 6"/>
    <w:basedOn w:val="1"/>
    <w:next w:val="1"/>
    <w:qFormat/>
    <w:uiPriority w:val="39"/>
    <w:pPr>
      <w:tabs>
        <w:tab w:val="right" w:leader="dot" w:pos="9372"/>
      </w:tabs>
      <w:ind w:left="1050"/>
      <w:jc w:val="left"/>
    </w:pPr>
    <w:rPr>
      <w:rFonts w:ascii="Times New Roman" w:hAnsi="Times New Roman"/>
      <w:b/>
      <w:bCs/>
      <w:color w:val="auto"/>
      <w:sz w:val="24"/>
      <w:szCs w:val="28"/>
    </w:rPr>
  </w:style>
  <w:style w:type="paragraph" w:styleId="25">
    <w:name w:val="Body Text Indent 3"/>
    <w:basedOn w:val="1"/>
    <w:link w:val="87"/>
    <w:qFormat/>
    <w:uiPriority w:val="0"/>
    <w:pPr>
      <w:spacing w:line="520" w:lineRule="exact"/>
      <w:ind w:left="540" w:leftChars="257" w:firstLine="17" w:firstLineChars="7"/>
    </w:pPr>
    <w:rPr>
      <w:rFonts w:ascii="Times New Roman" w:hAnsi="Times New Roman" w:eastAsia="楷体_GB2312"/>
      <w:color w:val="auto"/>
      <w:sz w:val="24"/>
      <w:szCs w:val="24"/>
    </w:rPr>
  </w:style>
  <w:style w:type="paragraph" w:styleId="26">
    <w:name w:val="toc 2"/>
    <w:basedOn w:val="1"/>
    <w:next w:val="1"/>
    <w:qFormat/>
    <w:uiPriority w:val="39"/>
    <w:pPr>
      <w:tabs>
        <w:tab w:val="right" w:leader="dot" w:pos="9373"/>
      </w:tabs>
      <w:ind w:left="283" w:leftChars="135"/>
      <w:jc w:val="center"/>
    </w:pPr>
  </w:style>
  <w:style w:type="paragraph" w:styleId="27">
    <w:name w:val="Normal (Web)"/>
    <w:basedOn w:val="1"/>
    <w:unhideWhenUsed/>
    <w:qFormat/>
    <w:uiPriority w:val="99"/>
    <w:pPr>
      <w:widowControl/>
      <w:spacing w:after="150"/>
      <w:jc w:val="left"/>
    </w:pPr>
    <w:rPr>
      <w:rFonts w:cs="宋体"/>
      <w:color w:val="auto"/>
      <w:kern w:val="0"/>
      <w:sz w:val="24"/>
      <w:szCs w:val="24"/>
    </w:rPr>
  </w:style>
  <w:style w:type="paragraph" w:styleId="28">
    <w:name w:val="Title"/>
    <w:basedOn w:val="1"/>
    <w:link w:val="89"/>
    <w:qFormat/>
    <w:uiPriority w:val="0"/>
    <w:pPr>
      <w:spacing w:before="240" w:after="60"/>
      <w:jc w:val="center"/>
      <w:outlineLvl w:val="0"/>
    </w:pPr>
    <w:rPr>
      <w:rFonts w:ascii="Arial" w:hAnsi="Arial" w:cs="Arial"/>
      <w:b/>
      <w:bCs/>
      <w:color w:val="auto"/>
      <w:sz w:val="32"/>
      <w:szCs w:val="32"/>
    </w:rPr>
  </w:style>
  <w:style w:type="character" w:styleId="30">
    <w:name w:val="Strong"/>
    <w:qFormat/>
    <w:uiPriority w:val="22"/>
    <w:rPr>
      <w:b/>
      <w:bCs/>
    </w:rPr>
  </w:style>
  <w:style w:type="character" w:styleId="31">
    <w:name w:val="page number"/>
    <w:basedOn w:val="29"/>
    <w:qFormat/>
    <w:uiPriority w:val="0"/>
  </w:style>
  <w:style w:type="character" w:styleId="32">
    <w:name w:val="FollowedHyperlink"/>
    <w:qFormat/>
    <w:uiPriority w:val="0"/>
    <w:rPr>
      <w:color w:val="333366"/>
      <w:u w:val="single"/>
    </w:rPr>
  </w:style>
  <w:style w:type="character" w:styleId="33">
    <w:name w:val="Hyperlink"/>
    <w:qFormat/>
    <w:uiPriority w:val="99"/>
    <w:rPr>
      <w:color w:val="666633"/>
      <w:u w:val="single"/>
    </w:rPr>
  </w:style>
  <w:style w:type="character" w:styleId="34">
    <w:name w:val="annotation reference"/>
    <w:qFormat/>
    <w:uiPriority w:val="0"/>
    <w:rPr>
      <w:sz w:val="21"/>
      <w:szCs w:val="21"/>
    </w:rPr>
  </w:style>
  <w:style w:type="character" w:customStyle="1" w:styleId="36">
    <w:name w:val="标题 1 Char"/>
    <w:basedOn w:val="29"/>
    <w:link w:val="2"/>
    <w:qFormat/>
    <w:uiPriority w:val="0"/>
    <w:rPr>
      <w:rFonts w:ascii="宋体" w:hAnsi="宋体" w:eastAsia="宋体" w:cs="Times New Roman"/>
      <w:b/>
      <w:bCs/>
      <w:color w:val="000000"/>
      <w:kern w:val="44"/>
      <w:sz w:val="32"/>
      <w:szCs w:val="32"/>
    </w:rPr>
  </w:style>
  <w:style w:type="character" w:customStyle="1" w:styleId="37">
    <w:name w:val="标题 2 Char"/>
    <w:basedOn w:val="29"/>
    <w:link w:val="3"/>
    <w:qFormat/>
    <w:uiPriority w:val="0"/>
    <w:rPr>
      <w:rFonts w:ascii="Arial" w:hAnsi="Arial" w:eastAsia="黑体" w:cs="Times New Roman"/>
      <w:b/>
      <w:bCs/>
      <w:color w:val="000000"/>
      <w:sz w:val="32"/>
      <w:szCs w:val="32"/>
    </w:rPr>
  </w:style>
  <w:style w:type="character" w:customStyle="1" w:styleId="38">
    <w:name w:val="标题 3 Char"/>
    <w:basedOn w:val="29"/>
    <w:link w:val="4"/>
    <w:qFormat/>
    <w:uiPriority w:val="0"/>
    <w:rPr>
      <w:rFonts w:ascii="宋体" w:hAnsi="宋体" w:eastAsia="宋体" w:cs="Times New Roman"/>
      <w:color w:val="000000"/>
      <w:sz w:val="26"/>
      <w:szCs w:val="26"/>
    </w:rPr>
  </w:style>
  <w:style w:type="character" w:customStyle="1" w:styleId="39">
    <w:name w:val="标题 4 Char"/>
    <w:basedOn w:val="29"/>
    <w:link w:val="5"/>
    <w:qFormat/>
    <w:uiPriority w:val="0"/>
    <w:rPr>
      <w:rFonts w:ascii="宋体" w:hAnsi="宋体" w:eastAsia="宋体" w:cs="Times New Roman"/>
      <w:color w:val="000000"/>
      <w:sz w:val="28"/>
      <w:szCs w:val="28"/>
    </w:rPr>
  </w:style>
  <w:style w:type="character" w:customStyle="1" w:styleId="40">
    <w:name w:val="标题 5 Char"/>
    <w:basedOn w:val="29"/>
    <w:link w:val="6"/>
    <w:qFormat/>
    <w:uiPriority w:val="0"/>
    <w:rPr>
      <w:rFonts w:ascii="宋体" w:hAnsi="宋体" w:eastAsia="宋体" w:cs="Times New Roman"/>
      <w:color w:val="000000"/>
      <w:sz w:val="26"/>
      <w:szCs w:val="26"/>
    </w:rPr>
  </w:style>
  <w:style w:type="character" w:customStyle="1" w:styleId="41">
    <w:name w:val="标题 6 Char"/>
    <w:basedOn w:val="29"/>
    <w:link w:val="7"/>
    <w:qFormat/>
    <w:uiPriority w:val="0"/>
    <w:rPr>
      <w:rFonts w:ascii="宋体" w:hAnsi="宋体" w:eastAsia="宋体" w:cs="Times New Roman"/>
      <w:color w:val="000000"/>
      <w:sz w:val="22"/>
      <w:szCs w:val="22"/>
    </w:rPr>
  </w:style>
  <w:style w:type="character" w:customStyle="1" w:styleId="42">
    <w:name w:val="标题 7 Char"/>
    <w:basedOn w:val="29"/>
    <w:link w:val="8"/>
    <w:qFormat/>
    <w:uiPriority w:val="0"/>
    <w:rPr>
      <w:rFonts w:ascii="Times New Roman" w:hAnsi="Times New Roman" w:eastAsia="宋体" w:cs="Times New Roman"/>
      <w:b/>
      <w:bCs/>
      <w:kern w:val="0"/>
    </w:rPr>
  </w:style>
  <w:style w:type="character" w:customStyle="1" w:styleId="43">
    <w:name w:val="标题 8 Char"/>
    <w:basedOn w:val="29"/>
    <w:link w:val="9"/>
    <w:qFormat/>
    <w:uiPriority w:val="0"/>
    <w:rPr>
      <w:rFonts w:ascii="Arial" w:hAnsi="Arial" w:eastAsia="黑体" w:cs="Times New Roman"/>
      <w:kern w:val="0"/>
    </w:rPr>
  </w:style>
  <w:style w:type="character" w:customStyle="1" w:styleId="44">
    <w:name w:val="标题 9 Char"/>
    <w:basedOn w:val="29"/>
    <w:link w:val="10"/>
    <w:qFormat/>
    <w:uiPriority w:val="0"/>
    <w:rPr>
      <w:rFonts w:ascii="Arial" w:hAnsi="Arial" w:eastAsia="黑体" w:cs="Times New Roman"/>
      <w:kern w:val="0"/>
      <w:szCs w:val="21"/>
    </w:rPr>
  </w:style>
  <w:style w:type="character" w:customStyle="1" w:styleId="45">
    <w:name w:val="批注框文本 Char"/>
    <w:link w:val="20"/>
    <w:qFormat/>
    <w:uiPriority w:val="0"/>
    <w:rPr>
      <w:rFonts w:ascii="宋体" w:hAnsi="宋体"/>
      <w:color w:val="000000"/>
      <w:sz w:val="18"/>
      <w:szCs w:val="18"/>
    </w:rPr>
  </w:style>
  <w:style w:type="character" w:customStyle="1" w:styleId="46">
    <w:name w:val="s3"/>
    <w:qFormat/>
    <w:uiPriority w:val="0"/>
  </w:style>
  <w:style w:type="character" w:customStyle="1" w:styleId="47">
    <w:name w:val="aboutus"/>
    <w:basedOn w:val="29"/>
    <w:qFormat/>
    <w:uiPriority w:val="0"/>
  </w:style>
  <w:style w:type="character" w:customStyle="1" w:styleId="48">
    <w:name w:val="页脚 Char"/>
    <w:link w:val="21"/>
    <w:qFormat/>
    <w:uiPriority w:val="99"/>
    <w:rPr>
      <w:sz w:val="18"/>
    </w:rPr>
  </w:style>
  <w:style w:type="character" w:customStyle="1" w:styleId="49">
    <w:name w:val="s1"/>
    <w:qFormat/>
    <w:uiPriority w:val="0"/>
  </w:style>
  <w:style w:type="character" w:customStyle="1" w:styleId="50">
    <w:name w:val="批注主题 Char"/>
    <w:link w:val="11"/>
    <w:qFormat/>
    <w:uiPriority w:val="0"/>
    <w:rPr>
      <w:rFonts w:ascii="宋体" w:hAnsi="宋体"/>
      <w:b/>
      <w:bCs/>
      <w:color w:val="000000"/>
      <w:sz w:val="21"/>
      <w:szCs w:val="21"/>
    </w:rPr>
  </w:style>
  <w:style w:type="character" w:customStyle="1" w:styleId="51">
    <w:name w:val="批注文字字符"/>
    <w:qFormat/>
    <w:uiPriority w:val="0"/>
    <w:rPr>
      <w:rFonts w:ascii="宋体" w:hAnsi="宋体"/>
      <w:color w:val="000000"/>
      <w:kern w:val="2"/>
      <w:sz w:val="21"/>
      <w:szCs w:val="21"/>
    </w:rPr>
  </w:style>
  <w:style w:type="paragraph" w:customStyle="1" w:styleId="52">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_GB2312" w:eastAsia="楷体_GB2312" w:cs="宋体"/>
      <w:b/>
      <w:bCs/>
      <w:color w:val="auto"/>
      <w:kern w:val="0"/>
      <w:sz w:val="24"/>
    </w:rPr>
  </w:style>
  <w:style w:type="paragraph" w:customStyle="1" w:styleId="53">
    <w:name w:val="xl36"/>
    <w:basedOn w:val="1"/>
    <w:qFormat/>
    <w:uiPriority w:val="0"/>
    <w:pPr>
      <w:widowControl/>
      <w:pBdr>
        <w:top w:val="single" w:color="auto" w:sz="4" w:space="0"/>
        <w:bottom w:val="single" w:color="auto" w:sz="4" w:space="0"/>
      </w:pBdr>
      <w:spacing w:before="100" w:beforeAutospacing="1" w:after="100" w:afterAutospacing="1"/>
      <w:jc w:val="center"/>
    </w:pPr>
    <w:rPr>
      <w:rFonts w:ascii="楷体_GB2312" w:eastAsia="楷体_GB2312" w:cs="宋体"/>
      <w:color w:val="auto"/>
      <w:kern w:val="0"/>
      <w:sz w:val="24"/>
    </w:rPr>
  </w:style>
  <w:style w:type="paragraph" w:customStyle="1" w:styleId="54">
    <w:name w:val="样式 样式 样式 样式 标题 2 + 宋体 五号 非加粗 黑色 + 段前: 6 磅 段后: 0 磅 行距: 单倍行距 + 段前:..."/>
    <w:basedOn w:val="1"/>
    <w:qFormat/>
    <w:uiPriority w:val="0"/>
    <w:pPr>
      <w:keepNext/>
      <w:keepLines/>
      <w:numPr>
        <w:ilvl w:val="1"/>
        <w:numId w:val="1"/>
      </w:numPr>
      <w:adjustRightInd w:val="0"/>
      <w:spacing w:before="240"/>
      <w:jc w:val="left"/>
      <w:textAlignment w:val="baseline"/>
      <w:outlineLvl w:val="1"/>
    </w:pPr>
    <w:rPr>
      <w:b/>
      <w:bCs/>
      <w:kern w:val="0"/>
      <w:sz w:val="24"/>
      <w:szCs w:val="20"/>
    </w:rPr>
  </w:style>
  <w:style w:type="paragraph" w:customStyle="1" w:styleId="5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eastAsia="楷体_GB2312" w:cs="宋体"/>
      <w:color w:val="auto"/>
      <w:kern w:val="0"/>
      <w:sz w:val="24"/>
    </w:rPr>
  </w:style>
  <w:style w:type="paragraph" w:customStyle="1" w:styleId="56">
    <w:name w:val="xl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楷体_GB2312" w:eastAsia="楷体_GB2312" w:cs="宋体"/>
      <w:color w:val="auto"/>
      <w:kern w:val="0"/>
      <w:sz w:val="24"/>
    </w:rPr>
  </w:style>
  <w:style w:type="paragraph" w:customStyle="1" w:styleId="5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eastAsia="楷体_GB2312" w:cs="宋体"/>
      <w:b/>
      <w:bCs/>
      <w:color w:val="auto"/>
      <w:kern w:val="0"/>
      <w:sz w:val="24"/>
    </w:rPr>
  </w:style>
  <w:style w:type="paragraph" w:customStyle="1" w:styleId="58">
    <w:name w:val="大标题"/>
    <w:basedOn w:val="1"/>
    <w:qFormat/>
    <w:uiPriority w:val="0"/>
    <w:pPr>
      <w:autoSpaceDE w:val="0"/>
      <w:autoSpaceDN w:val="0"/>
      <w:adjustRightInd w:val="0"/>
      <w:spacing w:after="560"/>
      <w:jc w:val="center"/>
    </w:pPr>
    <w:rPr>
      <w:rFonts w:ascii="Arial Black" w:hAnsi="Arial Black"/>
      <w:b/>
      <w:color w:val="auto"/>
      <w:kern w:val="0"/>
      <w:sz w:val="56"/>
      <w:szCs w:val="20"/>
    </w:rPr>
  </w:style>
  <w:style w:type="character" w:customStyle="1" w:styleId="59">
    <w:name w:val="批注框文本字符1"/>
    <w:basedOn w:val="29"/>
    <w:semiHidden/>
    <w:qFormat/>
    <w:uiPriority w:val="99"/>
    <w:rPr>
      <w:rFonts w:ascii="Times New Roman" w:hAnsi="Times New Roman" w:eastAsia="宋体" w:cs="Times New Roman"/>
      <w:color w:val="000000"/>
      <w:sz w:val="18"/>
      <w:szCs w:val="18"/>
    </w:rPr>
  </w:style>
  <w:style w:type="paragraph" w:customStyle="1" w:styleId="60">
    <w:name w:val="xl4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61">
    <w:name w:val="xl3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楷体_GB2312" w:eastAsia="楷体_GB2312" w:cs="宋体"/>
      <w:color w:val="auto"/>
      <w:kern w:val="0"/>
      <w:sz w:val="24"/>
    </w:rPr>
  </w:style>
  <w:style w:type="paragraph" w:customStyle="1" w:styleId="62">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63">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楷体_GB2312" w:eastAsia="楷体_GB2312" w:cs="宋体"/>
      <w:color w:val="auto"/>
      <w:kern w:val="0"/>
      <w:sz w:val="24"/>
    </w:rPr>
  </w:style>
  <w:style w:type="paragraph" w:customStyle="1" w:styleId="6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65">
    <w:name w:val="font9"/>
    <w:basedOn w:val="1"/>
    <w:qFormat/>
    <w:uiPriority w:val="0"/>
    <w:pPr>
      <w:widowControl/>
      <w:spacing w:before="100" w:beforeAutospacing="1" w:after="100" w:afterAutospacing="1"/>
      <w:jc w:val="left"/>
    </w:pPr>
    <w:rPr>
      <w:rFonts w:ascii="楷体_GB2312" w:eastAsia="楷体_GB2312" w:cs="宋体"/>
      <w:color w:val="auto"/>
      <w:kern w:val="0"/>
      <w:sz w:val="24"/>
    </w:rPr>
  </w:style>
  <w:style w:type="character" w:customStyle="1" w:styleId="66">
    <w:name w:val="批注文字 Char"/>
    <w:basedOn w:val="29"/>
    <w:link w:val="12"/>
    <w:semiHidden/>
    <w:qFormat/>
    <w:uiPriority w:val="99"/>
    <w:rPr>
      <w:rFonts w:ascii="宋体" w:hAnsi="宋体" w:eastAsia="宋体" w:cs="Times New Roman"/>
      <w:color w:val="000000"/>
      <w:sz w:val="21"/>
      <w:szCs w:val="21"/>
    </w:rPr>
  </w:style>
  <w:style w:type="character" w:customStyle="1" w:styleId="67">
    <w:name w:val="批注主题字符1"/>
    <w:basedOn w:val="66"/>
    <w:semiHidden/>
    <w:qFormat/>
    <w:uiPriority w:val="99"/>
    <w:rPr>
      <w:rFonts w:ascii="宋体" w:hAnsi="宋体" w:eastAsia="宋体" w:cs="Times New Roman"/>
      <w:b/>
      <w:bCs/>
      <w:color w:val="000000"/>
      <w:sz w:val="21"/>
      <w:szCs w:val="21"/>
    </w:rPr>
  </w:style>
  <w:style w:type="paragraph" w:customStyle="1" w:styleId="68">
    <w:name w:val="xl24"/>
    <w:basedOn w:val="1"/>
    <w:qFormat/>
    <w:uiPriority w:val="0"/>
    <w:pPr>
      <w:widowControl/>
      <w:spacing w:before="100" w:beforeAutospacing="1" w:after="100" w:afterAutospacing="1"/>
      <w:jc w:val="left"/>
    </w:pPr>
    <w:rPr>
      <w:rFonts w:ascii="楷体_GB2312" w:eastAsia="楷体_GB2312" w:cs="宋体"/>
      <w:color w:val="auto"/>
      <w:kern w:val="0"/>
      <w:sz w:val="24"/>
    </w:rPr>
  </w:style>
  <w:style w:type="paragraph" w:customStyle="1" w:styleId="69">
    <w:name w:val="font5"/>
    <w:basedOn w:val="1"/>
    <w:qFormat/>
    <w:uiPriority w:val="0"/>
    <w:pPr>
      <w:widowControl/>
      <w:spacing w:before="100" w:beforeAutospacing="1" w:after="100" w:afterAutospacing="1"/>
      <w:jc w:val="left"/>
    </w:pPr>
    <w:rPr>
      <w:rFonts w:cs="宋体"/>
      <w:color w:val="auto"/>
      <w:kern w:val="0"/>
      <w:sz w:val="18"/>
      <w:szCs w:val="18"/>
    </w:rPr>
  </w:style>
  <w:style w:type="paragraph" w:customStyle="1" w:styleId="70">
    <w:name w:val="xl4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71">
    <w:name w:val="xl25"/>
    <w:basedOn w:val="1"/>
    <w:qFormat/>
    <w:uiPriority w:val="0"/>
    <w:pPr>
      <w:widowControl/>
      <w:spacing w:before="100" w:beforeAutospacing="1" w:after="100" w:afterAutospacing="1"/>
      <w:jc w:val="center"/>
    </w:pPr>
    <w:rPr>
      <w:rFonts w:ascii="楷体_GB2312" w:eastAsia="楷体_GB2312" w:cs="宋体"/>
      <w:color w:val="auto"/>
      <w:kern w:val="0"/>
      <w:sz w:val="24"/>
    </w:rPr>
  </w:style>
  <w:style w:type="paragraph" w:customStyle="1" w:styleId="72">
    <w:name w:val="font8"/>
    <w:basedOn w:val="1"/>
    <w:qFormat/>
    <w:uiPriority w:val="0"/>
    <w:pPr>
      <w:widowControl/>
      <w:spacing w:before="100" w:beforeAutospacing="1" w:after="100" w:afterAutospacing="1"/>
      <w:jc w:val="left"/>
    </w:pPr>
    <w:rPr>
      <w:rFonts w:ascii="楷体_GB2312" w:eastAsia="楷体_GB2312" w:cs="宋体"/>
      <w:b/>
      <w:bCs/>
      <w:color w:val="auto"/>
      <w:kern w:val="0"/>
      <w:sz w:val="24"/>
    </w:rPr>
  </w:style>
  <w:style w:type="paragraph" w:customStyle="1" w:styleId="7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74">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楷体_GB2312" w:eastAsia="楷体_GB2312" w:cs="宋体"/>
      <w:color w:val="auto"/>
      <w:kern w:val="0"/>
      <w:sz w:val="24"/>
    </w:rPr>
  </w:style>
  <w:style w:type="paragraph" w:customStyle="1" w:styleId="75">
    <w:name w:val="网格表 3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76">
    <w:name w:val="页脚字符1"/>
    <w:basedOn w:val="29"/>
    <w:semiHidden/>
    <w:qFormat/>
    <w:uiPriority w:val="99"/>
    <w:rPr>
      <w:rFonts w:ascii="宋体" w:hAnsi="宋体" w:eastAsia="宋体" w:cs="Times New Roman"/>
      <w:color w:val="000000"/>
      <w:sz w:val="18"/>
      <w:szCs w:val="18"/>
    </w:rPr>
  </w:style>
  <w:style w:type="paragraph" w:customStyle="1" w:styleId="77">
    <w:name w:val="标题1"/>
    <w:basedOn w:val="2"/>
    <w:next w:val="1"/>
    <w:qFormat/>
    <w:uiPriority w:val="0"/>
    <w:pPr>
      <w:numPr>
        <w:ilvl w:val="0"/>
        <w:numId w:val="2"/>
      </w:numPr>
      <w:adjustRightInd w:val="0"/>
      <w:spacing w:line="578" w:lineRule="atLeast"/>
      <w:jc w:val="left"/>
      <w:textAlignment w:val="baseline"/>
    </w:pPr>
    <w:rPr>
      <w:rFonts w:ascii="Times New Roman" w:hAnsi="Times New Roman"/>
      <w:color w:val="auto"/>
      <w:sz w:val="44"/>
      <w:szCs w:val="44"/>
    </w:rPr>
  </w:style>
  <w:style w:type="character" w:customStyle="1" w:styleId="78">
    <w:name w:val="正文文本 Char"/>
    <w:basedOn w:val="29"/>
    <w:link w:val="14"/>
    <w:qFormat/>
    <w:uiPriority w:val="0"/>
    <w:rPr>
      <w:rFonts w:ascii="宋体" w:hAnsi="Times New Roman" w:eastAsia="宋体" w:cs="Times New Roman"/>
    </w:rPr>
  </w:style>
  <w:style w:type="paragraph" w:customStyle="1" w:styleId="79">
    <w:name w:val="xl40"/>
    <w:basedOn w:val="1"/>
    <w:qFormat/>
    <w:uiPriority w:val="0"/>
    <w:pPr>
      <w:widowControl/>
      <w:pBdr>
        <w:left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character" w:customStyle="1" w:styleId="80">
    <w:name w:val="正文文本缩进 Char"/>
    <w:basedOn w:val="29"/>
    <w:link w:val="15"/>
    <w:qFormat/>
    <w:uiPriority w:val="0"/>
    <w:rPr>
      <w:rFonts w:ascii="Times New Roman" w:hAnsi="Times New Roman" w:eastAsia="宋体" w:cs="Times New Roman"/>
      <w:kern w:val="0"/>
    </w:rPr>
  </w:style>
  <w:style w:type="paragraph" w:customStyle="1" w:styleId="81">
    <w:name w:val="要点标题"/>
    <w:basedOn w:val="2"/>
    <w:qFormat/>
    <w:uiPriority w:val="0"/>
    <w:pPr>
      <w:keepLines w:val="0"/>
      <w:numPr>
        <w:ilvl w:val="0"/>
        <w:numId w:val="3"/>
      </w:numPr>
      <w:spacing w:before="0" w:after="0" w:line="240" w:lineRule="auto"/>
      <w:jc w:val="left"/>
    </w:pPr>
    <w:rPr>
      <w:color w:val="008000"/>
      <w:kern w:val="52"/>
      <w:szCs w:val="36"/>
    </w:rPr>
  </w:style>
  <w:style w:type="character" w:customStyle="1" w:styleId="82">
    <w:name w:val="日期 Char"/>
    <w:basedOn w:val="29"/>
    <w:link w:val="18"/>
    <w:qFormat/>
    <w:uiPriority w:val="0"/>
    <w:rPr>
      <w:rFonts w:ascii="宋体" w:hAnsi="Times New Roman" w:eastAsia="宋体" w:cs="Times New Roman"/>
      <w:kern w:val="0"/>
      <w:szCs w:val="20"/>
    </w:rPr>
  </w:style>
  <w:style w:type="paragraph" w:customStyle="1" w:styleId="8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eastAsia="楷体_GB2312" w:cs="宋体"/>
      <w:color w:val="auto"/>
      <w:kern w:val="0"/>
      <w:sz w:val="24"/>
    </w:rPr>
  </w:style>
  <w:style w:type="character" w:customStyle="1" w:styleId="84">
    <w:name w:val="纯文本 Char"/>
    <w:basedOn w:val="29"/>
    <w:link w:val="17"/>
    <w:qFormat/>
    <w:uiPriority w:val="0"/>
    <w:rPr>
      <w:rFonts w:ascii="宋体" w:hAnsi="Courier New" w:eastAsia="宋体" w:cs="Times New Roman"/>
      <w:szCs w:val="20"/>
    </w:rPr>
  </w:style>
  <w:style w:type="character" w:customStyle="1" w:styleId="85">
    <w:name w:val="正文文本缩进 2 Char"/>
    <w:basedOn w:val="29"/>
    <w:link w:val="19"/>
    <w:qFormat/>
    <w:uiPriority w:val="0"/>
    <w:rPr>
      <w:rFonts w:ascii="宋体" w:hAnsi="宋体" w:eastAsia="宋体" w:cs="Times New Roman"/>
    </w:rPr>
  </w:style>
  <w:style w:type="character" w:customStyle="1" w:styleId="86">
    <w:name w:val="页眉 Char"/>
    <w:basedOn w:val="29"/>
    <w:link w:val="22"/>
    <w:qFormat/>
    <w:uiPriority w:val="0"/>
    <w:rPr>
      <w:rFonts w:ascii="Times New Roman" w:hAnsi="Times New Roman" w:eastAsia="宋体" w:cs="Times New Roman"/>
      <w:sz w:val="18"/>
      <w:szCs w:val="20"/>
    </w:rPr>
  </w:style>
  <w:style w:type="character" w:customStyle="1" w:styleId="87">
    <w:name w:val="正文文本缩进 3 Char"/>
    <w:basedOn w:val="29"/>
    <w:link w:val="25"/>
    <w:qFormat/>
    <w:uiPriority w:val="0"/>
    <w:rPr>
      <w:rFonts w:ascii="Times New Roman" w:hAnsi="Times New Roman" w:eastAsia="楷体_GB2312" w:cs="Times New Roman"/>
    </w:rPr>
  </w:style>
  <w:style w:type="paragraph" w:customStyle="1" w:styleId="88">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character" w:customStyle="1" w:styleId="89">
    <w:name w:val="标题 Char"/>
    <w:basedOn w:val="29"/>
    <w:link w:val="28"/>
    <w:qFormat/>
    <w:uiPriority w:val="0"/>
    <w:rPr>
      <w:rFonts w:ascii="Arial" w:hAnsi="Arial" w:eastAsia="宋体" w:cs="Arial"/>
      <w:b/>
      <w:bCs/>
      <w:sz w:val="32"/>
      <w:szCs w:val="32"/>
    </w:rPr>
  </w:style>
  <w:style w:type="paragraph" w:customStyle="1" w:styleId="90">
    <w:name w:val="样式 宋体 五号 行距: 单倍行距"/>
    <w:basedOn w:val="1"/>
    <w:qFormat/>
    <w:uiPriority w:val="0"/>
    <w:pPr>
      <w:adjustRightInd w:val="0"/>
      <w:jc w:val="left"/>
      <w:textAlignment w:val="baseline"/>
    </w:pPr>
    <w:rPr>
      <w:rFonts w:cs="宋体"/>
      <w:color w:val="auto"/>
      <w:kern w:val="0"/>
      <w:szCs w:val="20"/>
    </w:rPr>
  </w:style>
  <w:style w:type="paragraph" w:customStyle="1" w:styleId="9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92">
    <w:name w:val="彩色列表 - 强调文字颜色 11"/>
    <w:basedOn w:val="1"/>
    <w:qFormat/>
    <w:uiPriority w:val="34"/>
    <w:pPr>
      <w:ind w:firstLine="420" w:firstLineChars="200"/>
    </w:pPr>
    <w:rPr>
      <w:rFonts w:ascii="Calibri" w:hAnsi="Calibri"/>
      <w:color w:val="auto"/>
      <w:szCs w:val="22"/>
    </w:rPr>
  </w:style>
  <w:style w:type="paragraph" w:customStyle="1" w:styleId="93">
    <w:name w:val="样式 标题 1 + 四号 居中 段前: 12 磅 段后: 12 磅 行距: 单倍行距"/>
    <w:basedOn w:val="2"/>
    <w:qFormat/>
    <w:uiPriority w:val="0"/>
    <w:pPr>
      <w:adjustRightInd w:val="0"/>
      <w:spacing w:before="240" w:after="240" w:line="240" w:lineRule="auto"/>
      <w:jc w:val="center"/>
      <w:textAlignment w:val="baseline"/>
    </w:pPr>
    <w:rPr>
      <w:rFonts w:ascii="Times New Roman" w:hAnsi="Times New Roman"/>
      <w:color w:val="auto"/>
      <w:sz w:val="28"/>
      <w:szCs w:val="20"/>
    </w:rPr>
  </w:style>
  <w:style w:type="paragraph" w:customStyle="1" w:styleId="94">
    <w:name w:val="font7"/>
    <w:basedOn w:val="1"/>
    <w:qFormat/>
    <w:uiPriority w:val="0"/>
    <w:pPr>
      <w:widowControl/>
      <w:spacing w:before="100" w:beforeAutospacing="1" w:after="100" w:afterAutospacing="1"/>
      <w:jc w:val="left"/>
    </w:pPr>
    <w:rPr>
      <w:rFonts w:ascii="楷体_GB2312" w:eastAsia="楷体_GB2312" w:cs="宋体"/>
      <w:color w:val="auto"/>
      <w:kern w:val="0"/>
      <w:sz w:val="24"/>
    </w:rPr>
  </w:style>
  <w:style w:type="paragraph" w:customStyle="1" w:styleId="95">
    <w:name w:val="xl26"/>
    <w:basedOn w:val="1"/>
    <w:qFormat/>
    <w:uiPriority w:val="0"/>
    <w:pPr>
      <w:widowControl/>
      <w:spacing w:before="100" w:beforeAutospacing="1" w:after="100" w:afterAutospacing="1"/>
      <w:jc w:val="left"/>
    </w:pPr>
    <w:rPr>
      <w:rFonts w:ascii="楷体_GB2312" w:eastAsia="楷体_GB2312" w:cs="宋体"/>
      <w:color w:val="auto"/>
      <w:kern w:val="0"/>
      <w:sz w:val="24"/>
    </w:rPr>
  </w:style>
  <w:style w:type="paragraph" w:customStyle="1" w:styleId="96">
    <w:name w:val="xl5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97">
    <w:name w:val="xl50"/>
    <w:basedOn w:val="1"/>
    <w:qFormat/>
    <w:uiPriority w:val="0"/>
    <w:pPr>
      <w:widowControl/>
      <w:pBdr>
        <w:left w:val="single" w:color="auto" w:sz="4" w:space="0"/>
        <w:right w:val="single" w:color="auto" w:sz="4" w:space="0"/>
      </w:pBdr>
      <w:spacing w:before="100" w:beforeAutospacing="1" w:after="100" w:afterAutospacing="1"/>
      <w:jc w:val="center"/>
    </w:pPr>
    <w:rPr>
      <w:rFonts w:ascii="楷体_GB2312" w:eastAsia="楷体_GB2312" w:cs="宋体"/>
      <w:color w:val="auto"/>
      <w:kern w:val="0"/>
      <w:sz w:val="24"/>
    </w:rPr>
  </w:style>
  <w:style w:type="paragraph" w:customStyle="1" w:styleId="98">
    <w:name w:val="xl45"/>
    <w:basedOn w:val="1"/>
    <w:qFormat/>
    <w:uiPriority w:val="0"/>
    <w:pPr>
      <w:widowControl/>
      <w:pBdr>
        <w:top w:val="single" w:color="auto" w:sz="4" w:space="0"/>
        <w:bottom w:val="single" w:color="auto" w:sz="4" w:space="0"/>
      </w:pBdr>
      <w:spacing w:before="100" w:beforeAutospacing="1" w:after="100" w:afterAutospacing="1"/>
      <w:jc w:val="center"/>
    </w:pPr>
    <w:rPr>
      <w:rFonts w:ascii="楷体_GB2312" w:eastAsia="楷体_GB2312" w:cs="宋体"/>
      <w:color w:val="auto"/>
      <w:kern w:val="0"/>
      <w:sz w:val="24"/>
    </w:rPr>
  </w:style>
  <w:style w:type="paragraph" w:customStyle="1" w:styleId="9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100">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101">
    <w:name w:val="喜"/>
    <w:basedOn w:val="4"/>
    <w:qFormat/>
    <w:uiPriority w:val="0"/>
    <w:pPr>
      <w:tabs>
        <w:tab w:val="left" w:pos="600"/>
      </w:tabs>
      <w:adjustRightInd w:val="0"/>
      <w:spacing w:line="416" w:lineRule="atLeast"/>
      <w:ind w:left="600" w:hanging="420"/>
      <w:jc w:val="left"/>
      <w:textAlignment w:val="baseline"/>
    </w:pPr>
    <w:rPr>
      <w:rFonts w:ascii="Times New Roman" w:hAnsi="Times New Roman"/>
      <w:b/>
      <w:bCs/>
      <w:color w:val="auto"/>
      <w:kern w:val="0"/>
      <w:sz w:val="28"/>
      <w:szCs w:val="28"/>
    </w:rPr>
  </w:style>
  <w:style w:type="paragraph" w:customStyle="1" w:styleId="10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eastAsia="楷体_GB2312" w:cs="宋体"/>
      <w:b/>
      <w:bCs/>
      <w:color w:val="auto"/>
      <w:kern w:val="0"/>
      <w:sz w:val="24"/>
    </w:rPr>
  </w:style>
  <w:style w:type="paragraph" w:customStyle="1" w:styleId="103">
    <w:name w:val="xl38"/>
    <w:basedOn w:val="1"/>
    <w:qFormat/>
    <w:uiPriority w:val="0"/>
    <w:pPr>
      <w:widowControl/>
      <w:pBdr>
        <w:top w:val="single" w:color="auto" w:sz="4" w:space="0"/>
        <w:bottom w:val="single" w:color="auto" w:sz="4" w:space="0"/>
      </w:pBdr>
      <w:spacing w:before="100" w:beforeAutospacing="1" w:after="100" w:afterAutospacing="1"/>
      <w:jc w:val="left"/>
    </w:pPr>
    <w:rPr>
      <w:rFonts w:ascii="楷体_GB2312" w:eastAsia="楷体_GB2312" w:cs="宋体"/>
      <w:b/>
      <w:bCs/>
      <w:color w:val="auto"/>
      <w:kern w:val="0"/>
      <w:sz w:val="28"/>
      <w:szCs w:val="28"/>
    </w:rPr>
  </w:style>
  <w:style w:type="paragraph" w:customStyle="1" w:styleId="104">
    <w:name w:val="xl52"/>
    <w:basedOn w:val="1"/>
    <w:qFormat/>
    <w:uiPriority w:val="0"/>
    <w:pPr>
      <w:widowControl/>
      <w:pBdr>
        <w:left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105">
    <w:name w:val="font6"/>
    <w:basedOn w:val="1"/>
    <w:qFormat/>
    <w:uiPriority w:val="0"/>
    <w:pPr>
      <w:widowControl/>
      <w:spacing w:before="100" w:beforeAutospacing="1" w:after="100" w:afterAutospacing="1"/>
      <w:jc w:val="left"/>
    </w:pPr>
    <w:rPr>
      <w:rFonts w:ascii="楷体_GB2312" w:eastAsia="楷体_GB2312" w:cs="宋体"/>
      <w:color w:val="auto"/>
      <w:kern w:val="0"/>
      <w:sz w:val="24"/>
    </w:rPr>
  </w:style>
  <w:style w:type="paragraph" w:customStyle="1" w:styleId="106">
    <w:name w:val="xl44"/>
    <w:basedOn w:val="1"/>
    <w:qFormat/>
    <w:uiPriority w:val="0"/>
    <w:pPr>
      <w:widowControl/>
      <w:pBdr>
        <w:left w:val="single" w:color="auto" w:sz="4" w:space="0"/>
        <w:right w:val="single" w:color="auto" w:sz="4" w:space="0"/>
      </w:pBdr>
      <w:spacing w:before="100" w:beforeAutospacing="1" w:after="100" w:afterAutospacing="1"/>
      <w:jc w:val="left"/>
    </w:pPr>
    <w:rPr>
      <w:rFonts w:ascii="楷体_GB2312" w:eastAsia="楷体_GB2312" w:cs="宋体"/>
      <w:color w:val="auto"/>
      <w:kern w:val="0"/>
      <w:sz w:val="24"/>
    </w:rPr>
  </w:style>
  <w:style w:type="paragraph" w:customStyle="1" w:styleId="107">
    <w:name w:val="xl48"/>
    <w:basedOn w:val="1"/>
    <w:qFormat/>
    <w:uiPriority w:val="0"/>
    <w:pPr>
      <w:widowControl/>
      <w:spacing w:before="100" w:beforeAutospacing="1" w:after="100" w:afterAutospacing="1"/>
      <w:jc w:val="center"/>
      <w:textAlignment w:val="top"/>
    </w:pPr>
    <w:rPr>
      <w:rFonts w:ascii="楷体_GB2312" w:eastAsia="楷体_GB2312" w:cs="宋体"/>
      <w:b/>
      <w:bCs/>
      <w:color w:val="auto"/>
      <w:kern w:val="0"/>
      <w:sz w:val="44"/>
      <w:szCs w:val="44"/>
    </w:rPr>
  </w:style>
  <w:style w:type="paragraph" w:customStyle="1" w:styleId="108">
    <w:name w:val="我的样式"/>
    <w:basedOn w:val="2"/>
    <w:next w:val="1"/>
    <w:qFormat/>
    <w:uiPriority w:val="0"/>
    <w:pPr>
      <w:numPr>
        <w:ilvl w:val="0"/>
        <w:numId w:val="4"/>
      </w:numPr>
      <w:spacing w:line="360" w:lineRule="auto"/>
    </w:pPr>
    <w:rPr>
      <w:rFonts w:ascii="仿宋_GB2312" w:hAnsi="Times New Roman" w:eastAsia="仿宋_GB2312"/>
      <w:color w:val="auto"/>
      <w:szCs w:val="30"/>
    </w:rPr>
  </w:style>
  <w:style w:type="paragraph" w:customStyle="1" w:styleId="109">
    <w:name w:val="文件标题"/>
    <w:basedOn w:val="1"/>
    <w:qFormat/>
    <w:uiPriority w:val="0"/>
    <w:pPr>
      <w:autoSpaceDE w:val="0"/>
      <w:autoSpaceDN w:val="0"/>
      <w:adjustRightInd w:val="0"/>
      <w:spacing w:after="240"/>
      <w:jc w:val="center"/>
    </w:pPr>
    <w:rPr>
      <w:rFonts w:ascii="Arial Black" w:hAnsi="Arial Black"/>
      <w:color w:val="auto"/>
      <w:kern w:val="0"/>
      <w:sz w:val="48"/>
      <w:szCs w:val="20"/>
    </w:rPr>
  </w:style>
  <w:style w:type="paragraph" w:customStyle="1" w:styleId="110">
    <w:name w:val="样式1"/>
    <w:basedOn w:val="3"/>
    <w:qFormat/>
    <w:uiPriority w:val="0"/>
    <w:pPr>
      <w:tabs>
        <w:tab w:val="left" w:pos="420"/>
      </w:tabs>
      <w:ind w:left="971" w:leftChars="100" w:hanging="761" w:hangingChars="237"/>
    </w:pPr>
    <w:rPr>
      <w:rFonts w:ascii="宋体" w:hAnsi="宋体" w:eastAsia="宋体"/>
      <w:color w:val="auto"/>
    </w:rPr>
  </w:style>
  <w:style w:type="paragraph" w:customStyle="1" w:styleId="111">
    <w:name w:val="样式 标题 2 + 宋体 五号 行距: 单倍行距"/>
    <w:basedOn w:val="3"/>
    <w:qFormat/>
    <w:uiPriority w:val="0"/>
    <w:pPr>
      <w:numPr>
        <w:ilvl w:val="1"/>
        <w:numId w:val="3"/>
      </w:numPr>
      <w:adjustRightInd w:val="0"/>
      <w:spacing w:line="240" w:lineRule="auto"/>
      <w:jc w:val="left"/>
      <w:textAlignment w:val="baseline"/>
    </w:pPr>
    <w:rPr>
      <w:rFonts w:ascii="宋体" w:hAnsi="宋体" w:eastAsia="宋体"/>
      <w:kern w:val="0"/>
      <w:sz w:val="21"/>
      <w:szCs w:val="20"/>
    </w:rPr>
  </w:style>
  <w:style w:type="paragraph" w:customStyle="1" w:styleId="112">
    <w:name w:val="缺省文本"/>
    <w:basedOn w:val="1"/>
    <w:qFormat/>
    <w:uiPriority w:val="0"/>
    <w:pPr>
      <w:autoSpaceDE w:val="0"/>
      <w:autoSpaceDN w:val="0"/>
      <w:adjustRightInd w:val="0"/>
      <w:jc w:val="left"/>
    </w:pPr>
    <w:rPr>
      <w:rFonts w:ascii="Times New Roman" w:hAnsi="Times New Roman"/>
      <w:color w:val="auto"/>
      <w:kern w:val="0"/>
      <w:sz w:val="24"/>
      <w:szCs w:val="20"/>
    </w:rPr>
  </w:style>
  <w:style w:type="paragraph" w:customStyle="1" w:styleId="113">
    <w:name w:val="Default"/>
    <w:link w:val="114"/>
    <w:qFormat/>
    <w:uiPriority w:val="0"/>
    <w:pPr>
      <w:widowControl w:val="0"/>
      <w:autoSpaceDE w:val="0"/>
      <w:autoSpaceDN w:val="0"/>
      <w:adjustRightInd w:val="0"/>
    </w:pPr>
    <w:rPr>
      <w:rFonts w:ascii="......." w:hAnsi="......." w:eastAsia="......." w:cs="......."/>
      <w:color w:val="000000"/>
      <w:kern w:val="0"/>
      <w:sz w:val="24"/>
      <w:szCs w:val="24"/>
      <w:lang w:val="en-US" w:eastAsia="zh-CN" w:bidi="ar-SA"/>
    </w:rPr>
  </w:style>
  <w:style w:type="character" w:customStyle="1" w:styleId="114">
    <w:name w:val="Default Char"/>
    <w:link w:val="113"/>
    <w:qFormat/>
    <w:locked/>
    <w:uiPriority w:val="0"/>
    <w:rPr>
      <w:rFonts w:ascii="......." w:hAnsi="......." w:eastAsia="......." w:cs="......."/>
      <w:color w:val="000000"/>
      <w:kern w:val="0"/>
    </w:rPr>
  </w:style>
  <w:style w:type="character" w:customStyle="1" w:styleId="115">
    <w:name w:val="p141"/>
    <w:qFormat/>
    <w:uiPriority w:val="0"/>
    <w:rPr>
      <w:sz w:val="21"/>
      <w:szCs w:val="21"/>
    </w:rPr>
  </w:style>
  <w:style w:type="paragraph" w:customStyle="1" w:styleId="116">
    <w:name w:val="Char"/>
    <w:basedOn w:val="1"/>
    <w:qFormat/>
    <w:uiPriority w:val="0"/>
    <w:pPr>
      <w:tabs>
        <w:tab w:val="left" w:pos="360"/>
      </w:tabs>
    </w:pPr>
    <w:rPr>
      <w:rFonts w:ascii="Times New Roman" w:hAnsi="Times New Roman"/>
      <w:color w:val="auto"/>
      <w:sz w:val="24"/>
      <w:szCs w:val="24"/>
    </w:rPr>
  </w:style>
  <w:style w:type="paragraph" w:customStyle="1" w:styleId="117">
    <w:name w:val="Char1"/>
    <w:basedOn w:val="1"/>
    <w:qFormat/>
    <w:uiPriority w:val="0"/>
    <w:pPr>
      <w:tabs>
        <w:tab w:val="left" w:pos="360"/>
      </w:tabs>
    </w:pPr>
    <w:rPr>
      <w:rFonts w:ascii="Times New Roman" w:hAnsi="Times New Roman"/>
      <w:color w:val="auto"/>
      <w:sz w:val="24"/>
      <w:szCs w:val="24"/>
    </w:rPr>
  </w:style>
  <w:style w:type="paragraph" w:customStyle="1" w:styleId="118">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
    <w:name w:val="List Paragraph"/>
    <w:basedOn w:val="1"/>
    <w:qFormat/>
    <w:uiPriority w:val="34"/>
    <w:pPr>
      <w:ind w:firstLine="420" w:firstLineChars="200"/>
    </w:pPr>
  </w:style>
  <w:style w:type="paragraph" w:customStyle="1" w:styleId="120">
    <w:name w:val="列出段落11"/>
    <w:basedOn w:val="1"/>
    <w:qFormat/>
    <w:uiPriority w:val="0"/>
    <w:pPr>
      <w:ind w:firstLine="420" w:firstLineChars="200"/>
    </w:pPr>
    <w:rPr>
      <w:rFonts w:ascii="Calibri" w:hAnsi="Calibri"/>
      <w:color w:val="auto"/>
      <w:szCs w:val="22"/>
    </w:rPr>
  </w:style>
  <w:style w:type="paragraph" w:customStyle="1" w:styleId="121">
    <w:name w:val="_Style 2"/>
    <w:basedOn w:val="1"/>
    <w:qFormat/>
    <w:uiPriority w:val="34"/>
    <w:pPr>
      <w:spacing w:line="360" w:lineRule="auto"/>
      <w:ind w:firstLine="420" w:firstLineChars="200"/>
    </w:pPr>
    <w:rPr>
      <w:rFonts w:eastAsia="宋体" w:cs="Times New Roman"/>
      <w:sz w:val="24"/>
      <w:szCs w:val="22"/>
    </w:rPr>
  </w:style>
  <w:style w:type="paragraph" w:customStyle="1" w:styleId="122">
    <w:name w:val="徽标"/>
    <w:basedOn w:val="1"/>
    <w:qFormat/>
    <w:uiPriority w:val="0"/>
    <w:pPr>
      <w:widowControl/>
      <w:jc w:val="left"/>
    </w:pPr>
    <w:rPr>
      <w:rFonts w:ascii="Times New Roman" w:hAnsi="Times New Roman"/>
      <w:color w:val="auto"/>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file:///D:\Documents%20and%20Settings\Administrator\Application%20Data\Tencent\Users\44615239\QQ\WinTemp\RichOle\K8YG5XAJ~7~4GB%255O_%7d95%5dU.png" TargetMode="Externa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4421</Words>
  <Characters>25200</Characters>
  <Lines>210</Lines>
  <Paragraphs>59</Paragraphs>
  <ScaleCrop>false</ScaleCrop>
  <LinksUpToDate>false</LinksUpToDate>
  <CharactersWithSpaces>29562</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2017-06-26T06:01:00Z</dcterms:created>
  <dc:creator>Microsoft Office 用户</dc:creator>
  <cp:lastModifiedBy>Administrator</cp:lastModifiedBy>
  <cp:lastPrinted>2017-10-25T01:23:00Z</cp:lastPrinted>
  <dcterms:modified xsi:type="dcterms:W3CDTF">2017-10-27T06:55:07Z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