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CD" w:rsidRDefault="00D277CD" w:rsidP="00D277CD">
      <w:pPr>
        <w:pStyle w:val="a5"/>
        <w:ind w:firstLineChars="1700" w:firstLine="5120"/>
        <w:rPr>
          <w:rFonts w:ascii="宋体"/>
        </w:rPr>
      </w:pPr>
      <w:r>
        <w:rPr>
          <w:rFonts w:ascii="宋体" w:hAnsi="宋体" w:cs="宋体" w:hint="eastAsia"/>
          <w:b/>
          <w:sz w:val="30"/>
          <w:szCs w:val="30"/>
        </w:rPr>
        <w:t>包件划分情况表</w:t>
      </w:r>
    </w:p>
    <w:tbl>
      <w:tblPr>
        <w:tblW w:w="137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560"/>
        <w:gridCol w:w="2126"/>
        <w:gridCol w:w="1984"/>
        <w:gridCol w:w="709"/>
        <w:gridCol w:w="1134"/>
        <w:gridCol w:w="1418"/>
        <w:gridCol w:w="1415"/>
        <w:gridCol w:w="1418"/>
        <w:gridCol w:w="994"/>
      </w:tblGrid>
      <w:tr w:rsidR="00D277CD" w:rsidTr="009E3B12">
        <w:trPr>
          <w:trHeight w:val="737"/>
        </w:trPr>
        <w:tc>
          <w:tcPr>
            <w:tcW w:w="993" w:type="dxa"/>
            <w:vAlign w:val="center"/>
          </w:tcPr>
          <w:p w:rsidR="00D277CD" w:rsidRDefault="00D277CD" w:rsidP="009E3B12">
            <w:pPr>
              <w:jc w:val="center"/>
              <w:rPr>
                <w:rFonts w:ascii="宋体"/>
                <w:color w:val="000000"/>
              </w:rPr>
            </w:pPr>
            <w:r>
              <w:rPr>
                <w:rFonts w:ascii="宋体" w:hAnsi="宋体" w:cs="宋体" w:hint="eastAsia"/>
                <w:color w:val="000000"/>
              </w:rPr>
              <w:t>包件号</w:t>
            </w:r>
          </w:p>
        </w:tc>
        <w:tc>
          <w:tcPr>
            <w:tcW w:w="1560" w:type="dxa"/>
            <w:vAlign w:val="center"/>
          </w:tcPr>
          <w:p w:rsidR="00D277CD" w:rsidRDefault="00D277CD" w:rsidP="009E3B12">
            <w:pPr>
              <w:jc w:val="center"/>
              <w:rPr>
                <w:rFonts w:ascii="宋体"/>
                <w:color w:val="000000"/>
              </w:rPr>
            </w:pPr>
            <w:r>
              <w:rPr>
                <w:rFonts w:ascii="宋体" w:hAnsi="宋体" w:cs="宋体" w:hint="eastAsia"/>
                <w:color w:val="000000"/>
              </w:rPr>
              <w:t>产品名称</w:t>
            </w:r>
          </w:p>
        </w:tc>
        <w:tc>
          <w:tcPr>
            <w:tcW w:w="2126" w:type="dxa"/>
            <w:vAlign w:val="center"/>
          </w:tcPr>
          <w:p w:rsidR="00D277CD" w:rsidRDefault="00D277CD" w:rsidP="009E3B12">
            <w:pPr>
              <w:jc w:val="center"/>
              <w:rPr>
                <w:rFonts w:ascii="宋体"/>
                <w:color w:val="000000"/>
              </w:rPr>
            </w:pPr>
            <w:r>
              <w:rPr>
                <w:rFonts w:ascii="宋体" w:hAnsi="宋体" w:cs="宋体" w:hint="eastAsia"/>
                <w:color w:val="000000"/>
              </w:rPr>
              <w:t>规格型号</w:t>
            </w:r>
          </w:p>
        </w:tc>
        <w:tc>
          <w:tcPr>
            <w:tcW w:w="1984" w:type="dxa"/>
            <w:vAlign w:val="center"/>
          </w:tcPr>
          <w:p w:rsidR="00D277CD" w:rsidRDefault="00D277CD" w:rsidP="009E3B12">
            <w:pPr>
              <w:jc w:val="center"/>
              <w:rPr>
                <w:rFonts w:ascii="宋体"/>
                <w:color w:val="000000"/>
              </w:rPr>
            </w:pPr>
            <w:r>
              <w:rPr>
                <w:rFonts w:ascii="宋体" w:hAnsi="宋体" w:cs="宋体" w:hint="eastAsia"/>
                <w:color w:val="000000"/>
              </w:rPr>
              <w:t>质量标准</w:t>
            </w:r>
          </w:p>
        </w:tc>
        <w:tc>
          <w:tcPr>
            <w:tcW w:w="709" w:type="dxa"/>
            <w:vAlign w:val="center"/>
          </w:tcPr>
          <w:p w:rsidR="00D277CD" w:rsidRDefault="00D277CD" w:rsidP="009E3B12">
            <w:pPr>
              <w:jc w:val="center"/>
              <w:rPr>
                <w:rFonts w:ascii="宋体"/>
                <w:color w:val="000000"/>
              </w:rPr>
            </w:pPr>
            <w:r>
              <w:rPr>
                <w:rFonts w:ascii="宋体" w:hAnsi="宋体" w:cs="宋体" w:hint="eastAsia"/>
                <w:color w:val="000000"/>
              </w:rPr>
              <w:t>计量单位</w:t>
            </w:r>
          </w:p>
        </w:tc>
        <w:tc>
          <w:tcPr>
            <w:tcW w:w="1134" w:type="dxa"/>
            <w:vAlign w:val="center"/>
          </w:tcPr>
          <w:p w:rsidR="00D277CD" w:rsidRDefault="00D277CD" w:rsidP="009E3B12">
            <w:pPr>
              <w:jc w:val="center"/>
              <w:rPr>
                <w:rFonts w:ascii="宋体"/>
                <w:color w:val="000000"/>
              </w:rPr>
            </w:pPr>
            <w:r>
              <w:rPr>
                <w:rFonts w:ascii="宋体" w:hAnsi="宋体" w:cs="宋体" w:hint="eastAsia"/>
                <w:color w:val="000000"/>
              </w:rPr>
              <w:t>数量</w:t>
            </w:r>
          </w:p>
        </w:tc>
        <w:tc>
          <w:tcPr>
            <w:tcW w:w="1418" w:type="dxa"/>
            <w:vAlign w:val="center"/>
          </w:tcPr>
          <w:p w:rsidR="00D277CD" w:rsidRDefault="00D277CD" w:rsidP="009E3B12">
            <w:pPr>
              <w:jc w:val="center"/>
              <w:rPr>
                <w:rFonts w:ascii="宋体"/>
                <w:color w:val="000000"/>
              </w:rPr>
            </w:pPr>
            <w:r>
              <w:rPr>
                <w:rFonts w:ascii="宋体" w:hAnsi="宋体" w:cs="宋体" w:hint="eastAsia"/>
                <w:color w:val="000000"/>
              </w:rPr>
              <w:t>到站</w:t>
            </w:r>
          </w:p>
        </w:tc>
        <w:tc>
          <w:tcPr>
            <w:tcW w:w="1415" w:type="dxa"/>
            <w:vAlign w:val="center"/>
          </w:tcPr>
          <w:p w:rsidR="00D277CD" w:rsidRDefault="00D277CD" w:rsidP="009E3B12">
            <w:pPr>
              <w:jc w:val="center"/>
              <w:rPr>
                <w:rFonts w:ascii="宋体"/>
                <w:color w:val="000000"/>
              </w:rPr>
            </w:pPr>
            <w:r>
              <w:rPr>
                <w:rFonts w:ascii="宋体" w:hAnsi="宋体" w:cs="宋体" w:hint="eastAsia"/>
                <w:color w:val="000000"/>
              </w:rPr>
              <w:t>收货人</w:t>
            </w:r>
          </w:p>
        </w:tc>
        <w:tc>
          <w:tcPr>
            <w:tcW w:w="1418" w:type="dxa"/>
            <w:vAlign w:val="center"/>
          </w:tcPr>
          <w:p w:rsidR="00D277CD" w:rsidRDefault="00D277CD" w:rsidP="009E3B12">
            <w:pPr>
              <w:jc w:val="center"/>
              <w:rPr>
                <w:rFonts w:ascii="宋体"/>
                <w:color w:val="000000"/>
              </w:rPr>
            </w:pPr>
            <w:r>
              <w:rPr>
                <w:rFonts w:ascii="宋体" w:hAnsi="宋体" w:cs="宋体" w:hint="eastAsia"/>
                <w:color w:val="000000"/>
              </w:rPr>
              <w:t>包件售价（元）</w:t>
            </w:r>
          </w:p>
        </w:tc>
        <w:tc>
          <w:tcPr>
            <w:tcW w:w="994" w:type="dxa"/>
            <w:vAlign w:val="center"/>
          </w:tcPr>
          <w:p w:rsidR="00D277CD" w:rsidRDefault="00D277CD" w:rsidP="009E3B12">
            <w:pPr>
              <w:jc w:val="center"/>
              <w:rPr>
                <w:rFonts w:ascii="宋体"/>
                <w:color w:val="000000"/>
              </w:rPr>
            </w:pPr>
            <w:r>
              <w:rPr>
                <w:rFonts w:ascii="宋体" w:hAnsi="宋体" w:cs="宋体" w:hint="eastAsia"/>
                <w:color w:val="000000"/>
              </w:rPr>
              <w:t>备注</w:t>
            </w:r>
          </w:p>
        </w:tc>
      </w:tr>
      <w:tr w:rsidR="00D277CD" w:rsidTr="009E3B12">
        <w:trPr>
          <w:trHeight w:val="680"/>
        </w:trPr>
        <w:tc>
          <w:tcPr>
            <w:tcW w:w="993" w:type="dxa"/>
            <w:vMerge w:val="restart"/>
            <w:shd w:val="clear" w:color="auto" w:fill="auto"/>
            <w:vAlign w:val="center"/>
          </w:tcPr>
          <w:p w:rsidR="00D277CD" w:rsidRDefault="00D277CD" w:rsidP="009E3B12">
            <w:pPr>
              <w:spacing w:line="440" w:lineRule="exact"/>
              <w:jc w:val="center"/>
              <w:rPr>
                <w:rFonts w:ascii="宋体" w:hAnsi="宋体" w:cs="宋体"/>
                <w:color w:val="000000"/>
              </w:rPr>
            </w:pPr>
            <w:r>
              <w:rPr>
                <w:rFonts w:ascii="宋体" w:hAnsi="宋体" w:cs="宋体" w:hint="eastAsia"/>
                <w:color w:val="000000"/>
              </w:rPr>
              <w:t>DL-1</w:t>
            </w:r>
          </w:p>
        </w:tc>
        <w:tc>
          <w:tcPr>
            <w:tcW w:w="1560" w:type="dxa"/>
            <w:shd w:val="clear" w:color="auto" w:fill="auto"/>
            <w:vAlign w:val="center"/>
          </w:tcPr>
          <w:p w:rsidR="00D277CD" w:rsidRDefault="00D277CD" w:rsidP="009E3B12">
            <w:pPr>
              <w:jc w:val="center"/>
              <w:textAlignment w:val="center"/>
              <w:rPr>
                <w:rFonts w:ascii="宋体" w:hAnsi="宋体" w:cs="Tahoma"/>
                <w:kern w:val="0"/>
                <w:sz w:val="18"/>
                <w:szCs w:val="18"/>
              </w:rPr>
            </w:pPr>
            <w:r>
              <w:rPr>
                <w:rFonts w:ascii="宋体" w:hAnsi="宋体" w:cs="宋体" w:hint="eastAsia"/>
                <w:color w:val="000000"/>
                <w:kern w:val="0"/>
                <w:sz w:val="18"/>
                <w:szCs w:val="18"/>
              </w:rPr>
              <w:t>单项油浸变压器</w:t>
            </w:r>
          </w:p>
        </w:tc>
        <w:tc>
          <w:tcPr>
            <w:tcW w:w="2126" w:type="dxa"/>
            <w:shd w:val="clear" w:color="auto" w:fill="auto"/>
            <w:vAlign w:val="center"/>
          </w:tcPr>
          <w:p w:rsidR="00D277CD" w:rsidRDefault="00D277CD" w:rsidP="009E3B12">
            <w:pPr>
              <w:jc w:val="center"/>
              <w:textAlignment w:val="center"/>
              <w:rPr>
                <w:rFonts w:ascii="宋体" w:hAnsi="宋体" w:cs="Tahoma"/>
                <w:kern w:val="0"/>
                <w:sz w:val="18"/>
                <w:szCs w:val="18"/>
              </w:rPr>
            </w:pPr>
            <w:r>
              <w:rPr>
                <w:rFonts w:ascii="宋体" w:hAnsi="宋体" w:cs="宋体" w:hint="eastAsia"/>
                <w:color w:val="000000"/>
                <w:kern w:val="0"/>
                <w:sz w:val="18"/>
                <w:szCs w:val="18"/>
              </w:rPr>
              <w:t>D13-M-5KVA</w:t>
            </w:r>
          </w:p>
        </w:tc>
        <w:tc>
          <w:tcPr>
            <w:tcW w:w="1984" w:type="dxa"/>
            <w:shd w:val="clear" w:color="auto" w:fill="auto"/>
            <w:vAlign w:val="center"/>
          </w:tcPr>
          <w:p w:rsidR="00D277CD" w:rsidRDefault="00D277CD" w:rsidP="009E3B12">
            <w:pPr>
              <w:jc w:val="center"/>
              <w:textAlignment w:val="center"/>
              <w:rPr>
                <w:rFonts w:ascii="宋体" w:hAnsi="宋体" w:cs="Tahoma"/>
                <w:kern w:val="0"/>
                <w:sz w:val="18"/>
                <w:szCs w:val="18"/>
              </w:rPr>
            </w:pPr>
            <w:r>
              <w:rPr>
                <w:rFonts w:ascii="宋体" w:hAnsi="宋体" w:cs="宋体" w:hint="eastAsia"/>
                <w:color w:val="000000"/>
                <w:kern w:val="0"/>
                <w:sz w:val="18"/>
                <w:szCs w:val="18"/>
              </w:rPr>
              <w:t xml:space="preserve">DL/T </w:t>
            </w:r>
            <w:r>
              <w:rPr>
                <w:rFonts w:ascii="宋体" w:hAnsi="宋体" w:cs="宋体"/>
                <w:color w:val="000000"/>
                <w:kern w:val="0"/>
                <w:sz w:val="18"/>
                <w:szCs w:val="18"/>
              </w:rPr>
              <w:t>GB/T1904.1-2013</w:t>
            </w:r>
          </w:p>
        </w:tc>
        <w:tc>
          <w:tcPr>
            <w:tcW w:w="709" w:type="dxa"/>
            <w:shd w:val="clear" w:color="auto" w:fill="auto"/>
            <w:vAlign w:val="center"/>
          </w:tcPr>
          <w:p w:rsidR="00D277CD" w:rsidRDefault="00D277CD" w:rsidP="009E3B12">
            <w:pPr>
              <w:jc w:val="center"/>
              <w:textAlignment w:val="center"/>
              <w:rPr>
                <w:rFonts w:ascii="宋体" w:hAnsi="宋体" w:cs="Tahoma"/>
                <w:kern w:val="0"/>
                <w:sz w:val="18"/>
                <w:szCs w:val="18"/>
              </w:rPr>
            </w:pPr>
            <w:r>
              <w:rPr>
                <w:rFonts w:ascii="宋体" w:hAnsi="宋体" w:cs="宋体" w:hint="eastAsia"/>
                <w:color w:val="000000"/>
                <w:kern w:val="0"/>
                <w:sz w:val="18"/>
                <w:szCs w:val="18"/>
              </w:rPr>
              <w:t>台</w:t>
            </w:r>
          </w:p>
        </w:tc>
        <w:tc>
          <w:tcPr>
            <w:tcW w:w="1134" w:type="dxa"/>
            <w:shd w:val="clear" w:color="auto" w:fill="auto"/>
            <w:vAlign w:val="center"/>
          </w:tcPr>
          <w:p w:rsidR="00D277CD" w:rsidRDefault="00D277CD" w:rsidP="009E3B12">
            <w:pPr>
              <w:jc w:val="center"/>
              <w:textAlignment w:val="center"/>
              <w:rPr>
                <w:rFonts w:ascii="宋体" w:hAnsi="宋体" w:cs="Tahoma"/>
                <w:kern w:val="0"/>
                <w:sz w:val="18"/>
                <w:szCs w:val="18"/>
              </w:rPr>
            </w:pPr>
            <w:r>
              <w:rPr>
                <w:rFonts w:ascii="宋体" w:hAnsi="宋体" w:cs="宋体" w:hint="eastAsia"/>
                <w:color w:val="000000"/>
                <w:kern w:val="0"/>
                <w:sz w:val="18"/>
                <w:szCs w:val="18"/>
              </w:rPr>
              <w:t>36</w:t>
            </w:r>
          </w:p>
        </w:tc>
        <w:tc>
          <w:tcPr>
            <w:tcW w:w="1418" w:type="dxa"/>
            <w:vMerge w:val="restart"/>
            <w:shd w:val="clear" w:color="auto" w:fill="auto"/>
            <w:vAlign w:val="center"/>
          </w:tcPr>
          <w:p w:rsidR="00D277CD" w:rsidRDefault="00D277CD" w:rsidP="009E3B12">
            <w:pPr>
              <w:spacing w:line="440" w:lineRule="exact"/>
              <w:jc w:val="center"/>
              <w:rPr>
                <w:rFonts w:ascii="宋体" w:hAnsi="宋体" w:cs="宋体"/>
                <w:color w:val="000000"/>
                <w:sz w:val="18"/>
                <w:szCs w:val="18"/>
              </w:rPr>
            </w:pPr>
            <w:r>
              <w:rPr>
                <w:rFonts w:ascii="宋体" w:hAnsi="宋体" w:cs="Tahoma" w:hint="eastAsia"/>
                <w:color w:val="000000"/>
                <w:kern w:val="0"/>
                <w:sz w:val="18"/>
                <w:szCs w:val="18"/>
              </w:rPr>
              <w:t>京哈线四平至蔡家沟段施工现场</w:t>
            </w:r>
          </w:p>
        </w:tc>
        <w:tc>
          <w:tcPr>
            <w:tcW w:w="1415" w:type="dxa"/>
            <w:vMerge w:val="restart"/>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中铁九局电务公司京哈线四平至蔡家沟段项目经理部</w:t>
            </w:r>
          </w:p>
          <w:p w:rsidR="00D277CD" w:rsidRDefault="00D277CD" w:rsidP="009E3B12">
            <w:pPr>
              <w:spacing w:line="440" w:lineRule="exact"/>
              <w:jc w:val="center"/>
              <w:rPr>
                <w:rFonts w:ascii="宋体" w:hAnsi="宋体" w:cs="宋体"/>
                <w:color w:val="000000"/>
                <w:sz w:val="18"/>
                <w:szCs w:val="18"/>
              </w:rPr>
            </w:pPr>
          </w:p>
        </w:tc>
        <w:tc>
          <w:tcPr>
            <w:tcW w:w="1418" w:type="dxa"/>
            <w:vMerge w:val="restart"/>
            <w:shd w:val="clear" w:color="auto" w:fill="FFFFFF"/>
            <w:vAlign w:val="center"/>
          </w:tcPr>
          <w:p w:rsidR="00D277CD" w:rsidRDefault="00D277CD" w:rsidP="009E3B1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500.00</w:t>
            </w:r>
          </w:p>
        </w:tc>
        <w:tc>
          <w:tcPr>
            <w:tcW w:w="994" w:type="dxa"/>
            <w:vAlign w:val="center"/>
          </w:tcPr>
          <w:p w:rsidR="00D277CD" w:rsidRDefault="00D277CD" w:rsidP="009E3B12">
            <w:pPr>
              <w:spacing w:line="440" w:lineRule="exact"/>
              <w:jc w:val="center"/>
              <w:rPr>
                <w:rFonts w:ascii="宋体"/>
                <w:color w:val="000000"/>
                <w:sz w:val="18"/>
                <w:szCs w:val="18"/>
              </w:rPr>
            </w:pPr>
          </w:p>
        </w:tc>
      </w:tr>
      <w:tr w:rsidR="00D277CD" w:rsidTr="009E3B12">
        <w:trPr>
          <w:trHeight w:val="680"/>
        </w:trPr>
        <w:tc>
          <w:tcPr>
            <w:tcW w:w="993" w:type="dxa"/>
            <w:vMerge/>
            <w:shd w:val="clear" w:color="auto" w:fill="auto"/>
            <w:vAlign w:val="center"/>
          </w:tcPr>
          <w:p w:rsidR="00D277CD" w:rsidRDefault="00D277CD" w:rsidP="009E3B12">
            <w:pPr>
              <w:spacing w:line="440" w:lineRule="exact"/>
              <w:jc w:val="center"/>
              <w:rPr>
                <w:rFonts w:ascii="宋体" w:hAnsi="宋体" w:cs="宋体"/>
                <w:color w:val="000000"/>
              </w:rPr>
            </w:pPr>
          </w:p>
        </w:tc>
        <w:tc>
          <w:tcPr>
            <w:tcW w:w="1560"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调压器</w:t>
            </w:r>
          </w:p>
        </w:tc>
        <w:tc>
          <w:tcPr>
            <w:tcW w:w="2126"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SZW11-400kVA</w:t>
            </w:r>
          </w:p>
        </w:tc>
        <w:tc>
          <w:tcPr>
            <w:tcW w:w="198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GB/T 19212.15-2016</w:t>
            </w:r>
          </w:p>
        </w:tc>
        <w:tc>
          <w:tcPr>
            <w:tcW w:w="709"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13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5"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8" w:type="dxa"/>
            <w:vMerge/>
            <w:shd w:val="clear" w:color="auto" w:fill="FFFFFF"/>
            <w:vAlign w:val="center"/>
          </w:tcPr>
          <w:p w:rsidR="00D277CD" w:rsidRDefault="00D277CD" w:rsidP="009E3B12">
            <w:pPr>
              <w:widowControl/>
              <w:jc w:val="center"/>
              <w:textAlignment w:val="center"/>
              <w:rPr>
                <w:rFonts w:ascii="宋体" w:hAnsi="宋体" w:cs="宋体"/>
                <w:color w:val="000000"/>
                <w:sz w:val="18"/>
                <w:szCs w:val="18"/>
              </w:rPr>
            </w:pPr>
          </w:p>
        </w:tc>
        <w:tc>
          <w:tcPr>
            <w:tcW w:w="994" w:type="dxa"/>
            <w:vAlign w:val="center"/>
          </w:tcPr>
          <w:p w:rsidR="00D277CD" w:rsidRDefault="00D277CD" w:rsidP="009E3B12">
            <w:pPr>
              <w:spacing w:line="440" w:lineRule="exact"/>
              <w:jc w:val="center"/>
              <w:rPr>
                <w:rFonts w:ascii="宋体"/>
                <w:color w:val="000000"/>
                <w:sz w:val="18"/>
                <w:szCs w:val="18"/>
              </w:rPr>
            </w:pPr>
          </w:p>
        </w:tc>
      </w:tr>
      <w:tr w:rsidR="00D277CD" w:rsidTr="009E3B12">
        <w:trPr>
          <w:trHeight w:val="680"/>
        </w:trPr>
        <w:tc>
          <w:tcPr>
            <w:tcW w:w="993" w:type="dxa"/>
            <w:vMerge/>
            <w:shd w:val="clear" w:color="auto" w:fill="auto"/>
            <w:vAlign w:val="center"/>
          </w:tcPr>
          <w:p w:rsidR="00D277CD" w:rsidRDefault="00D277CD" w:rsidP="009E3B12">
            <w:pPr>
              <w:spacing w:line="440" w:lineRule="exact"/>
              <w:jc w:val="center"/>
              <w:rPr>
                <w:rFonts w:ascii="宋体" w:hAnsi="宋体" w:cs="宋体"/>
                <w:color w:val="000000"/>
              </w:rPr>
            </w:pPr>
          </w:p>
        </w:tc>
        <w:tc>
          <w:tcPr>
            <w:tcW w:w="1560"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调压器</w:t>
            </w:r>
          </w:p>
        </w:tc>
        <w:tc>
          <w:tcPr>
            <w:tcW w:w="2126"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SZW11-315kVA</w:t>
            </w:r>
          </w:p>
        </w:tc>
        <w:tc>
          <w:tcPr>
            <w:tcW w:w="198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GB/T 19212.15-2016</w:t>
            </w:r>
          </w:p>
        </w:tc>
        <w:tc>
          <w:tcPr>
            <w:tcW w:w="709"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13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18"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5"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8" w:type="dxa"/>
            <w:vMerge/>
            <w:shd w:val="clear" w:color="auto" w:fill="FFFFFF"/>
            <w:vAlign w:val="center"/>
          </w:tcPr>
          <w:p w:rsidR="00D277CD" w:rsidRDefault="00D277CD" w:rsidP="009E3B12">
            <w:pPr>
              <w:widowControl/>
              <w:jc w:val="center"/>
              <w:textAlignment w:val="center"/>
              <w:rPr>
                <w:rFonts w:ascii="宋体" w:hAnsi="宋体" w:cs="宋体"/>
                <w:color w:val="000000"/>
                <w:sz w:val="18"/>
                <w:szCs w:val="18"/>
              </w:rPr>
            </w:pPr>
          </w:p>
        </w:tc>
        <w:tc>
          <w:tcPr>
            <w:tcW w:w="994" w:type="dxa"/>
            <w:vAlign w:val="center"/>
          </w:tcPr>
          <w:p w:rsidR="00D277CD" w:rsidRDefault="00D277CD" w:rsidP="009E3B12">
            <w:pPr>
              <w:spacing w:line="440" w:lineRule="exact"/>
              <w:jc w:val="center"/>
              <w:rPr>
                <w:rFonts w:ascii="宋体"/>
                <w:color w:val="000000"/>
                <w:sz w:val="18"/>
                <w:szCs w:val="18"/>
              </w:rPr>
            </w:pPr>
          </w:p>
        </w:tc>
      </w:tr>
      <w:tr w:rsidR="00D277CD" w:rsidTr="009E3B12">
        <w:trPr>
          <w:trHeight w:val="680"/>
        </w:trPr>
        <w:tc>
          <w:tcPr>
            <w:tcW w:w="993" w:type="dxa"/>
            <w:shd w:val="clear" w:color="auto" w:fill="auto"/>
            <w:vAlign w:val="center"/>
          </w:tcPr>
          <w:p w:rsidR="00D277CD" w:rsidRDefault="00D277CD" w:rsidP="009E3B12">
            <w:pPr>
              <w:spacing w:line="440" w:lineRule="exact"/>
              <w:jc w:val="center"/>
              <w:rPr>
                <w:rFonts w:ascii="宋体" w:hAnsi="宋体" w:cs="宋体"/>
                <w:color w:val="000000"/>
              </w:rPr>
            </w:pPr>
            <w:r>
              <w:rPr>
                <w:rFonts w:ascii="宋体" w:hAnsi="宋体" w:cs="宋体" w:hint="eastAsia"/>
                <w:color w:val="000000"/>
              </w:rPr>
              <w:t>DL-2</w:t>
            </w:r>
          </w:p>
        </w:tc>
        <w:tc>
          <w:tcPr>
            <w:tcW w:w="1560"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远动箱式变电站</w:t>
            </w:r>
          </w:p>
        </w:tc>
        <w:tc>
          <w:tcPr>
            <w:tcW w:w="2126"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（20+20）kVA</w:t>
            </w:r>
          </w:p>
        </w:tc>
        <w:tc>
          <w:tcPr>
            <w:tcW w:w="198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DL 5009.3-2013</w:t>
            </w:r>
          </w:p>
        </w:tc>
        <w:tc>
          <w:tcPr>
            <w:tcW w:w="709"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134" w:type="dxa"/>
            <w:shd w:val="clear" w:color="auto" w:fill="auto"/>
            <w:vAlign w:val="center"/>
          </w:tcPr>
          <w:p w:rsidR="00D277CD" w:rsidRDefault="00D277CD" w:rsidP="009E3B1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18"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5" w:type="dxa"/>
            <w:vMerge/>
            <w:shd w:val="clear" w:color="auto" w:fill="auto"/>
            <w:vAlign w:val="center"/>
          </w:tcPr>
          <w:p w:rsidR="00D277CD" w:rsidRDefault="00D277CD" w:rsidP="009E3B12">
            <w:pPr>
              <w:spacing w:line="440" w:lineRule="exact"/>
              <w:jc w:val="center"/>
              <w:rPr>
                <w:rFonts w:ascii="宋体" w:hAnsi="宋体" w:cs="Tahoma"/>
                <w:color w:val="000000"/>
                <w:kern w:val="0"/>
                <w:sz w:val="18"/>
                <w:szCs w:val="18"/>
              </w:rPr>
            </w:pPr>
          </w:p>
        </w:tc>
        <w:tc>
          <w:tcPr>
            <w:tcW w:w="1418" w:type="dxa"/>
            <w:shd w:val="clear" w:color="auto" w:fill="FFFFFF"/>
            <w:vAlign w:val="center"/>
          </w:tcPr>
          <w:p w:rsidR="00D277CD" w:rsidRDefault="00D277CD" w:rsidP="009E3B1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500.00</w:t>
            </w:r>
          </w:p>
        </w:tc>
        <w:tc>
          <w:tcPr>
            <w:tcW w:w="994" w:type="dxa"/>
            <w:vAlign w:val="center"/>
          </w:tcPr>
          <w:p w:rsidR="00D277CD" w:rsidRDefault="00D277CD" w:rsidP="009E3B12">
            <w:pPr>
              <w:spacing w:line="440" w:lineRule="exact"/>
              <w:jc w:val="center"/>
              <w:rPr>
                <w:rFonts w:ascii="宋体"/>
                <w:color w:val="000000"/>
                <w:sz w:val="18"/>
                <w:szCs w:val="18"/>
              </w:rPr>
            </w:pPr>
          </w:p>
        </w:tc>
      </w:tr>
      <w:tr w:rsidR="00D277CD" w:rsidTr="009E3B12">
        <w:trPr>
          <w:trHeight w:val="680"/>
        </w:trPr>
        <w:tc>
          <w:tcPr>
            <w:tcW w:w="993" w:type="dxa"/>
            <w:shd w:val="clear" w:color="auto" w:fill="auto"/>
            <w:vAlign w:val="center"/>
          </w:tcPr>
          <w:p w:rsidR="00D277CD" w:rsidRDefault="00D277CD" w:rsidP="009E3B12">
            <w:pPr>
              <w:spacing w:line="440" w:lineRule="exact"/>
              <w:jc w:val="center"/>
              <w:rPr>
                <w:rFonts w:ascii="宋体" w:hAnsi="宋体" w:cs="宋体"/>
                <w:color w:val="000000"/>
              </w:rPr>
            </w:pPr>
            <w:r>
              <w:rPr>
                <w:rFonts w:ascii="宋体" w:hAnsi="宋体" w:cs="宋体" w:hint="eastAsia"/>
                <w:color w:val="000000"/>
              </w:rPr>
              <w:t>DL-3</w:t>
            </w:r>
          </w:p>
        </w:tc>
        <w:tc>
          <w:tcPr>
            <w:tcW w:w="1560" w:type="dxa"/>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电力电缆</w:t>
            </w:r>
          </w:p>
        </w:tc>
        <w:tc>
          <w:tcPr>
            <w:tcW w:w="2126" w:type="dxa"/>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YJLV22-8.7/15kV-3* 70mm2</w:t>
            </w:r>
          </w:p>
        </w:tc>
        <w:tc>
          <w:tcPr>
            <w:tcW w:w="1984" w:type="dxa"/>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GB/T12706-2008</w:t>
            </w:r>
          </w:p>
        </w:tc>
        <w:tc>
          <w:tcPr>
            <w:tcW w:w="709" w:type="dxa"/>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米</w:t>
            </w:r>
          </w:p>
        </w:tc>
        <w:tc>
          <w:tcPr>
            <w:tcW w:w="1134" w:type="dxa"/>
            <w:shd w:val="clear" w:color="auto" w:fill="auto"/>
            <w:vAlign w:val="center"/>
          </w:tcPr>
          <w:p w:rsidR="00D277CD" w:rsidRDefault="00D277CD" w:rsidP="009E3B12">
            <w:pPr>
              <w:widowControl/>
              <w:jc w:val="center"/>
              <w:rPr>
                <w:rFonts w:ascii="宋体" w:hAnsi="宋体" w:cs="Tahoma"/>
                <w:color w:val="000000"/>
                <w:kern w:val="0"/>
                <w:sz w:val="18"/>
                <w:szCs w:val="18"/>
              </w:rPr>
            </w:pPr>
            <w:r>
              <w:rPr>
                <w:rFonts w:ascii="宋体" w:hAnsi="宋体" w:cs="Tahoma" w:hint="eastAsia"/>
                <w:color w:val="000000"/>
                <w:kern w:val="0"/>
                <w:sz w:val="18"/>
                <w:szCs w:val="18"/>
              </w:rPr>
              <w:t>12600</w:t>
            </w:r>
          </w:p>
        </w:tc>
        <w:tc>
          <w:tcPr>
            <w:tcW w:w="1418" w:type="dxa"/>
            <w:vMerge/>
            <w:shd w:val="clear" w:color="auto" w:fill="auto"/>
            <w:vAlign w:val="center"/>
          </w:tcPr>
          <w:p w:rsidR="00D277CD" w:rsidRDefault="00D277CD" w:rsidP="009E3B12">
            <w:pPr>
              <w:spacing w:line="440" w:lineRule="exact"/>
              <w:jc w:val="center"/>
              <w:rPr>
                <w:rFonts w:ascii="宋体" w:hAnsi="宋体" w:cs="宋体"/>
                <w:color w:val="000000"/>
                <w:sz w:val="18"/>
                <w:szCs w:val="18"/>
              </w:rPr>
            </w:pPr>
          </w:p>
        </w:tc>
        <w:tc>
          <w:tcPr>
            <w:tcW w:w="1415" w:type="dxa"/>
            <w:vMerge/>
            <w:shd w:val="clear" w:color="auto" w:fill="auto"/>
            <w:vAlign w:val="center"/>
          </w:tcPr>
          <w:p w:rsidR="00D277CD" w:rsidRDefault="00D277CD" w:rsidP="009E3B12">
            <w:pPr>
              <w:spacing w:line="440" w:lineRule="exact"/>
              <w:jc w:val="center"/>
              <w:rPr>
                <w:rFonts w:ascii="宋体" w:hAnsi="宋体" w:cs="宋体"/>
                <w:color w:val="000000"/>
                <w:sz w:val="18"/>
                <w:szCs w:val="18"/>
              </w:rPr>
            </w:pPr>
          </w:p>
        </w:tc>
        <w:tc>
          <w:tcPr>
            <w:tcW w:w="1418" w:type="dxa"/>
            <w:shd w:val="clear" w:color="auto" w:fill="FFFFFF"/>
            <w:vAlign w:val="center"/>
          </w:tcPr>
          <w:p w:rsidR="00D277CD" w:rsidRDefault="00D277CD" w:rsidP="009E3B1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500.00</w:t>
            </w:r>
          </w:p>
        </w:tc>
        <w:tc>
          <w:tcPr>
            <w:tcW w:w="994" w:type="dxa"/>
            <w:vAlign w:val="center"/>
          </w:tcPr>
          <w:p w:rsidR="00D277CD" w:rsidRDefault="00D277CD" w:rsidP="009E3B12">
            <w:pPr>
              <w:spacing w:line="440" w:lineRule="exact"/>
              <w:jc w:val="center"/>
              <w:rPr>
                <w:rFonts w:ascii="宋体"/>
                <w:color w:val="000000"/>
                <w:sz w:val="18"/>
                <w:szCs w:val="18"/>
              </w:rPr>
            </w:pPr>
          </w:p>
        </w:tc>
      </w:tr>
    </w:tbl>
    <w:p w:rsidR="00A636C3" w:rsidRDefault="00A636C3" w:rsidP="00D277CD">
      <w:pPr>
        <w:jc w:val="center"/>
      </w:pPr>
    </w:p>
    <w:sectPr w:rsidR="00A636C3" w:rsidSect="00D277C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C3" w:rsidRDefault="00A636C3" w:rsidP="00D277CD">
      <w:r>
        <w:separator/>
      </w:r>
    </w:p>
  </w:endnote>
  <w:endnote w:type="continuationSeparator" w:id="1">
    <w:p w:rsidR="00A636C3" w:rsidRDefault="00A636C3" w:rsidP="00D27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C3" w:rsidRDefault="00A636C3" w:rsidP="00D277CD">
      <w:r>
        <w:separator/>
      </w:r>
    </w:p>
  </w:footnote>
  <w:footnote w:type="continuationSeparator" w:id="1">
    <w:p w:rsidR="00A636C3" w:rsidRDefault="00A636C3" w:rsidP="00D27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7CD"/>
    <w:rsid w:val="00A636C3"/>
    <w:rsid w:val="00D27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C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7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7CD"/>
    <w:rPr>
      <w:sz w:val="18"/>
      <w:szCs w:val="18"/>
    </w:rPr>
  </w:style>
  <w:style w:type="paragraph" w:styleId="a4">
    <w:name w:val="footer"/>
    <w:basedOn w:val="a"/>
    <w:link w:val="Char0"/>
    <w:uiPriority w:val="99"/>
    <w:semiHidden/>
    <w:unhideWhenUsed/>
    <w:rsid w:val="00D277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7CD"/>
    <w:rPr>
      <w:sz w:val="18"/>
      <w:szCs w:val="18"/>
    </w:rPr>
  </w:style>
  <w:style w:type="paragraph" w:styleId="a5">
    <w:name w:val="Body Text"/>
    <w:aliases w:val="Corps de texte Car1 Car1,Corps de texte Car Car Car1,Corps de texte Car1 Car Car Car1,Corps de texte Car Car Car Car Car,Corps de texte Car1 Car Car Car Car Car,Corps de texte Car Car2 Car Car Car Car Car,bt"/>
    <w:basedOn w:val="a"/>
    <w:link w:val="Char1"/>
    <w:qFormat/>
    <w:rsid w:val="00D277CD"/>
    <w:pPr>
      <w:spacing w:after="120"/>
    </w:pPr>
    <w:rPr>
      <w:sz w:val="24"/>
      <w:szCs w:val="24"/>
    </w:rPr>
  </w:style>
  <w:style w:type="character" w:customStyle="1" w:styleId="Char1">
    <w:name w:val="正文文本 Char"/>
    <w:aliases w:val="Corps de texte Car1 Car1 Char,Corps de texte Car Car Car1 Char,Corps de texte Car1 Car Car Car1 Char,Corps de texte Car Car Car Car Car Char,Corps de texte Car1 Car Car Car Car Car Char,Corps de texte Car Car2 Car Car Car Car Car Char,bt Char"/>
    <w:basedOn w:val="a0"/>
    <w:link w:val="a5"/>
    <w:qFormat/>
    <w:rsid w:val="00D277CD"/>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Sky123.Org</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2017-11-15T07:03:00Z</dcterms:created>
  <dcterms:modified xsi:type="dcterms:W3CDTF">2017-11-15T07:04:00Z</dcterms:modified>
</cp:coreProperties>
</file>