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8" w:type="dxa"/>
        <w:tblInd w:w="-318" w:type="dxa"/>
        <w:tblLayout w:type="fixed"/>
        <w:tblLook w:val="0000"/>
      </w:tblPr>
      <w:tblGrid>
        <w:gridCol w:w="611"/>
        <w:gridCol w:w="915"/>
        <w:gridCol w:w="1980"/>
        <w:gridCol w:w="1981"/>
        <w:gridCol w:w="1524"/>
        <w:gridCol w:w="2133"/>
        <w:gridCol w:w="1219"/>
        <w:gridCol w:w="3225"/>
        <w:gridCol w:w="1280"/>
      </w:tblGrid>
      <w:tr w:rsidR="003119D1" w:rsidTr="003119D1">
        <w:trPr>
          <w:trHeight w:val="205"/>
        </w:trPr>
        <w:tc>
          <w:tcPr>
            <w:tcW w:w="14867" w:type="dxa"/>
            <w:gridSpan w:val="9"/>
            <w:tcBorders>
              <w:top w:val="nil"/>
              <w:left w:val="nil"/>
              <w:bottom w:val="nil"/>
              <w:right w:val="nil"/>
            </w:tcBorders>
            <w:vAlign w:val="center"/>
          </w:tcPr>
          <w:p w:rsidR="003119D1" w:rsidRDefault="003119D1" w:rsidP="007E69A9">
            <w:pPr>
              <w:widowControl/>
              <w:spacing w:line="240" w:lineRule="auto"/>
              <w:jc w:val="center"/>
              <w:rPr>
                <w:rFonts w:ascii="宋体" w:hAnsi="宋体" w:cs="宋体"/>
                <w:b/>
                <w:bCs/>
                <w:color w:val="000000"/>
                <w:kern w:val="0"/>
                <w:sz w:val="28"/>
                <w:szCs w:val="28"/>
              </w:rPr>
            </w:pPr>
            <w:r>
              <w:rPr>
                <w:rFonts w:ascii="宋体" w:hAnsi="宋体" w:cs="宋体" w:hint="eastAsia"/>
                <w:b/>
                <w:bCs/>
                <w:color w:val="000000"/>
                <w:kern w:val="0"/>
                <w:sz w:val="28"/>
                <w:szCs w:val="28"/>
              </w:rPr>
              <w:t>投标人资格要求</w:t>
            </w:r>
          </w:p>
        </w:tc>
      </w:tr>
      <w:tr w:rsidR="003119D1" w:rsidTr="003119D1">
        <w:trPr>
          <w:trHeight w:val="189"/>
        </w:trPr>
        <w:tc>
          <w:tcPr>
            <w:tcW w:w="611" w:type="dxa"/>
            <w:vMerge w:val="restart"/>
            <w:tcBorders>
              <w:top w:val="double" w:sz="6" w:space="0" w:color="auto"/>
              <w:left w:val="double" w:sz="6" w:space="0" w:color="auto"/>
              <w:bottom w:val="single" w:sz="4" w:space="0" w:color="auto"/>
              <w:right w:val="single" w:sz="4" w:space="0" w:color="auto"/>
            </w:tcBorders>
            <w:vAlign w:val="center"/>
          </w:tcPr>
          <w:p w:rsidR="003119D1" w:rsidRDefault="003119D1" w:rsidP="007E69A9">
            <w:pPr>
              <w:widowControl/>
              <w:spacing w:line="240" w:lineRule="auto"/>
              <w:rPr>
                <w:rFonts w:ascii="宋体" w:hAnsi="宋体" w:cs="宋体"/>
                <w:color w:val="000000"/>
                <w:kern w:val="0"/>
                <w:szCs w:val="21"/>
              </w:rPr>
            </w:pPr>
            <w:r>
              <w:rPr>
                <w:rFonts w:ascii="宋体" w:hAnsi="宋体" w:cs="宋体" w:hint="eastAsia"/>
                <w:color w:val="000000"/>
                <w:kern w:val="0"/>
                <w:szCs w:val="21"/>
              </w:rPr>
              <w:t>序号</w:t>
            </w:r>
          </w:p>
        </w:tc>
        <w:tc>
          <w:tcPr>
            <w:tcW w:w="915" w:type="dxa"/>
            <w:vMerge w:val="restart"/>
            <w:tcBorders>
              <w:top w:val="double" w:sz="6" w:space="0" w:color="auto"/>
              <w:left w:val="single" w:sz="4" w:space="0" w:color="auto"/>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招标物资名称</w:t>
            </w:r>
          </w:p>
        </w:tc>
        <w:tc>
          <w:tcPr>
            <w:tcW w:w="13342" w:type="dxa"/>
            <w:gridSpan w:val="7"/>
            <w:tcBorders>
              <w:top w:val="double" w:sz="6" w:space="0" w:color="auto"/>
              <w:left w:val="nil"/>
              <w:bottom w:val="single" w:sz="4" w:space="0" w:color="auto"/>
              <w:right w:val="double" w:sz="6" w:space="0" w:color="000000"/>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资格要求</w:t>
            </w:r>
          </w:p>
        </w:tc>
      </w:tr>
      <w:tr w:rsidR="003119D1" w:rsidTr="003119D1">
        <w:trPr>
          <w:trHeight w:val="331"/>
        </w:trPr>
        <w:tc>
          <w:tcPr>
            <w:tcW w:w="611" w:type="dxa"/>
            <w:vMerge/>
            <w:tcBorders>
              <w:top w:val="double" w:sz="6" w:space="0" w:color="auto"/>
              <w:left w:val="double" w:sz="6" w:space="0" w:color="auto"/>
              <w:bottom w:val="single" w:sz="4" w:space="0" w:color="auto"/>
              <w:right w:val="single" w:sz="4" w:space="0" w:color="auto"/>
            </w:tcBorders>
            <w:vAlign w:val="center"/>
          </w:tcPr>
          <w:p w:rsidR="003119D1" w:rsidRDefault="003119D1" w:rsidP="007E69A9">
            <w:pPr>
              <w:widowControl/>
              <w:spacing w:line="240" w:lineRule="auto"/>
              <w:jc w:val="left"/>
              <w:rPr>
                <w:rFonts w:ascii="宋体" w:hAnsi="宋体" w:cs="宋体"/>
                <w:color w:val="000000"/>
                <w:kern w:val="0"/>
                <w:szCs w:val="21"/>
              </w:rPr>
            </w:pPr>
          </w:p>
        </w:tc>
        <w:tc>
          <w:tcPr>
            <w:tcW w:w="915" w:type="dxa"/>
            <w:vMerge/>
            <w:tcBorders>
              <w:top w:val="double" w:sz="6" w:space="0" w:color="auto"/>
              <w:left w:val="single" w:sz="4" w:space="0" w:color="auto"/>
              <w:bottom w:val="single" w:sz="4" w:space="0" w:color="auto"/>
              <w:right w:val="single" w:sz="4" w:space="0" w:color="auto"/>
            </w:tcBorders>
            <w:vAlign w:val="center"/>
          </w:tcPr>
          <w:p w:rsidR="003119D1" w:rsidRDefault="003119D1" w:rsidP="007E69A9">
            <w:pPr>
              <w:widowControl/>
              <w:spacing w:line="240" w:lineRule="auto"/>
              <w:jc w:val="left"/>
              <w:rPr>
                <w:rFonts w:ascii="宋体" w:hAnsi="宋体" w:cs="宋体"/>
                <w:color w:val="000000"/>
                <w:kern w:val="0"/>
                <w:szCs w:val="21"/>
              </w:rPr>
            </w:pPr>
          </w:p>
        </w:tc>
        <w:tc>
          <w:tcPr>
            <w:tcW w:w="1980"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营业范围</w:t>
            </w:r>
          </w:p>
        </w:tc>
        <w:tc>
          <w:tcPr>
            <w:tcW w:w="1981"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生产能力</w:t>
            </w:r>
          </w:p>
        </w:tc>
        <w:tc>
          <w:tcPr>
            <w:tcW w:w="1524"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财务能力</w:t>
            </w:r>
          </w:p>
        </w:tc>
        <w:tc>
          <w:tcPr>
            <w:tcW w:w="2133"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质量保证能力</w:t>
            </w:r>
          </w:p>
        </w:tc>
        <w:tc>
          <w:tcPr>
            <w:tcW w:w="1219"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供货业绩</w:t>
            </w:r>
          </w:p>
        </w:tc>
        <w:tc>
          <w:tcPr>
            <w:tcW w:w="3225"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sidRPr="00752D5F">
              <w:rPr>
                <w:rFonts w:ascii="宋体" w:hAnsi="宋体" w:cs="宋体" w:hint="eastAsia"/>
                <w:color w:val="000000"/>
                <w:kern w:val="0"/>
                <w:szCs w:val="21"/>
              </w:rPr>
              <w:t>履约信用</w:t>
            </w:r>
          </w:p>
        </w:tc>
        <w:tc>
          <w:tcPr>
            <w:tcW w:w="1280" w:type="dxa"/>
            <w:tcBorders>
              <w:top w:val="nil"/>
              <w:left w:val="nil"/>
              <w:bottom w:val="single" w:sz="4" w:space="0" w:color="auto"/>
              <w:right w:val="double" w:sz="6" w:space="0" w:color="auto"/>
            </w:tcBorders>
            <w:vAlign w:val="center"/>
          </w:tcPr>
          <w:p w:rsidR="003119D1" w:rsidRDefault="003119D1" w:rsidP="007E69A9">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其他</w:t>
            </w:r>
          </w:p>
        </w:tc>
      </w:tr>
      <w:tr w:rsidR="003119D1" w:rsidTr="003119D1">
        <w:trPr>
          <w:trHeight w:val="1007"/>
        </w:trPr>
        <w:tc>
          <w:tcPr>
            <w:tcW w:w="611" w:type="dxa"/>
            <w:tcBorders>
              <w:top w:val="nil"/>
              <w:left w:val="double" w:sz="6" w:space="0" w:color="auto"/>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hint="eastAsia"/>
                <w:color w:val="000000"/>
                <w:kern w:val="0"/>
                <w:sz w:val="18"/>
                <w:szCs w:val="18"/>
              </w:rPr>
            </w:pPr>
            <w:r>
              <w:rPr>
                <w:rFonts w:ascii="宋体" w:hAnsi="宋体" w:cs="宋体" w:hint="eastAsia"/>
                <w:color w:val="000000"/>
                <w:kern w:val="0"/>
                <w:sz w:val="18"/>
                <w:szCs w:val="18"/>
              </w:rPr>
              <w:t>1</w:t>
            </w:r>
          </w:p>
        </w:tc>
        <w:tc>
          <w:tcPr>
            <w:tcW w:w="915"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hint="eastAsia"/>
                <w:color w:val="000000"/>
                <w:kern w:val="0"/>
                <w:sz w:val="18"/>
                <w:szCs w:val="18"/>
              </w:rPr>
            </w:pPr>
            <w:r>
              <w:rPr>
                <w:rFonts w:ascii="宋体" w:hAnsi="宋体" w:cs="宋体" w:hint="eastAsia"/>
                <w:color w:val="000000"/>
                <w:kern w:val="0"/>
                <w:sz w:val="18"/>
                <w:szCs w:val="18"/>
              </w:rPr>
              <w:t>细砂</w:t>
            </w:r>
          </w:p>
        </w:tc>
        <w:tc>
          <w:tcPr>
            <w:tcW w:w="1980"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在中华人民共和国境内依法注册，符合投标项目经营范围，经税务部门核准登记为一般纳税人，具有独立法人资格的生产商或代理商；</w:t>
            </w:r>
          </w:p>
        </w:tc>
        <w:tc>
          <w:tcPr>
            <w:tcW w:w="1981"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 xml:space="preserve">生产商具备河沙开采能力，生产工艺、装备必须符合国家产业发展政策的相关规定； </w:t>
            </w:r>
          </w:p>
        </w:tc>
        <w:tc>
          <w:tcPr>
            <w:tcW w:w="1524"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注册资金不低于人民币100万元；</w:t>
            </w:r>
          </w:p>
        </w:tc>
        <w:tc>
          <w:tcPr>
            <w:tcW w:w="2133" w:type="dxa"/>
            <w:tcBorders>
              <w:top w:val="nil"/>
              <w:left w:val="nil"/>
              <w:bottom w:val="single" w:sz="4"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招标产品须具有近2年（2015-2016年）由国家认可检验、检测机构出具的投标产品质量检验报告；</w:t>
            </w:r>
          </w:p>
        </w:tc>
        <w:tc>
          <w:tcPr>
            <w:tcW w:w="1219" w:type="dxa"/>
            <w:tcBorders>
              <w:top w:val="nil"/>
              <w:left w:val="nil"/>
              <w:bottom w:val="single" w:sz="4"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具有近2年（2015-2016）同类招标物资国家大中型建设项目供货业绩；</w:t>
            </w:r>
          </w:p>
        </w:tc>
        <w:tc>
          <w:tcPr>
            <w:tcW w:w="3225" w:type="dxa"/>
            <w:tcBorders>
              <w:top w:val="nil"/>
              <w:left w:val="nil"/>
              <w:bottom w:val="single" w:sz="4"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hint="eastAsia"/>
                <w:color w:val="000000"/>
                <w:kern w:val="0"/>
                <w:sz w:val="18"/>
                <w:szCs w:val="18"/>
              </w:rPr>
            </w:pPr>
            <w:r w:rsidRPr="001416CE">
              <w:rPr>
                <w:rFonts w:ascii="宋体" w:hAnsi="宋体" w:cs="宋体" w:hint="eastAsia"/>
                <w:color w:val="000000"/>
                <w:kern w:val="0"/>
                <w:sz w:val="18"/>
                <w:szCs w:val="18"/>
              </w:rPr>
              <w:t>投标人必须具有良好的社会信誉，最近两年（2015年-2016年）内没有与骗取合同有关的犯罪或严重违法行为而引起的诉讼和仲裁；近两年不曾在合同中严重违约或被逐；财产未被接管或冻结，企业未处于禁止或取消投标状态；近两年未被招标人及上级单位、业主及上级单位列入黑名单或限制交易名单；要求企业开户银行出具的信贷证明或至少三家同类投标物资已供买方或使用单位出具的履约情况证明；</w:t>
            </w:r>
          </w:p>
        </w:tc>
        <w:tc>
          <w:tcPr>
            <w:tcW w:w="1280" w:type="dxa"/>
            <w:tcBorders>
              <w:top w:val="nil"/>
              <w:left w:val="nil"/>
              <w:bottom w:val="single" w:sz="4" w:space="0" w:color="auto"/>
              <w:right w:val="double" w:sz="6"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本次招标物资运距范围必须在距离工程地址80公里以内的生产厂家，不接受联合体投标。</w:t>
            </w:r>
          </w:p>
        </w:tc>
      </w:tr>
      <w:tr w:rsidR="003119D1" w:rsidTr="003119D1">
        <w:trPr>
          <w:trHeight w:val="1024"/>
        </w:trPr>
        <w:tc>
          <w:tcPr>
            <w:tcW w:w="611" w:type="dxa"/>
            <w:tcBorders>
              <w:top w:val="nil"/>
              <w:left w:val="double" w:sz="6" w:space="0" w:color="auto"/>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hint="eastAsia"/>
                <w:color w:val="000000"/>
                <w:kern w:val="0"/>
                <w:sz w:val="18"/>
                <w:szCs w:val="18"/>
              </w:rPr>
            </w:pPr>
            <w:r>
              <w:rPr>
                <w:rFonts w:ascii="宋体" w:hAnsi="宋体" w:cs="宋体" w:hint="eastAsia"/>
                <w:color w:val="000000"/>
                <w:kern w:val="0"/>
                <w:sz w:val="18"/>
                <w:szCs w:val="18"/>
              </w:rPr>
              <w:t>2</w:t>
            </w:r>
          </w:p>
        </w:tc>
        <w:tc>
          <w:tcPr>
            <w:tcW w:w="915"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粉煤灰</w:t>
            </w:r>
          </w:p>
        </w:tc>
        <w:tc>
          <w:tcPr>
            <w:tcW w:w="1980"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在中华人民共和国境内依法注册，符合投标项目经营范围，经税务部门核准登记为一般纳税人，具有独立法人资格的生产商或代理商；</w:t>
            </w:r>
          </w:p>
        </w:tc>
        <w:tc>
          <w:tcPr>
            <w:tcW w:w="1981"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生产商具备招标物资生产能力，生产厂生产工艺、装备必须符合国家产业发展政策的相关规定，满足本项目施工需要；</w:t>
            </w:r>
          </w:p>
        </w:tc>
        <w:tc>
          <w:tcPr>
            <w:tcW w:w="1524" w:type="dxa"/>
            <w:tcBorders>
              <w:top w:val="nil"/>
              <w:left w:val="nil"/>
              <w:bottom w:val="single" w:sz="4"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注册资金不低于人民币100万元；</w:t>
            </w:r>
          </w:p>
        </w:tc>
        <w:tc>
          <w:tcPr>
            <w:tcW w:w="2133" w:type="dxa"/>
            <w:tcBorders>
              <w:top w:val="nil"/>
              <w:left w:val="nil"/>
              <w:bottom w:val="single" w:sz="4"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招标产品须具有近2年（2015-2016年）由国家认可检验、检测机构出具的投标产品质量检验报告；</w:t>
            </w:r>
          </w:p>
        </w:tc>
        <w:tc>
          <w:tcPr>
            <w:tcW w:w="1219" w:type="dxa"/>
            <w:tcBorders>
              <w:top w:val="nil"/>
              <w:left w:val="nil"/>
              <w:bottom w:val="single" w:sz="4"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具有近2年（2015-2016年）同类招标物资当地大中型建设项目或铁路重点工程的供货业绩；</w:t>
            </w:r>
          </w:p>
        </w:tc>
        <w:tc>
          <w:tcPr>
            <w:tcW w:w="3225" w:type="dxa"/>
            <w:tcBorders>
              <w:top w:val="nil"/>
              <w:left w:val="nil"/>
              <w:bottom w:val="single" w:sz="4"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投标人必须具有良好的社会信誉，最近两年（2015年-2016年）内没有与骗取合同有关的犯罪或严重违法行为而引起的诉讼和仲裁；近两年不曾在合同中严重违约或被逐；财产未被接管或冻结，企业未处于禁止或取消投标状态；近两年未被招标人及上级单位、业主及上级单位列入黑名单或限制交易名单；要求企业开户银行出具的信贷证明或至少三家同类投标物资已供买方或使用单位出具的履约情况证明；</w:t>
            </w:r>
          </w:p>
        </w:tc>
        <w:tc>
          <w:tcPr>
            <w:tcW w:w="1280" w:type="dxa"/>
            <w:tcBorders>
              <w:top w:val="nil"/>
              <w:left w:val="nil"/>
              <w:bottom w:val="single" w:sz="4" w:space="0" w:color="auto"/>
              <w:right w:val="double" w:sz="6"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 xml:space="preserve">本次招标物资运距范围必须在距离工程地址100公里以内的生产厂家，不接受联合体投标。 </w:t>
            </w:r>
          </w:p>
        </w:tc>
      </w:tr>
      <w:tr w:rsidR="003119D1" w:rsidTr="003119D1">
        <w:trPr>
          <w:trHeight w:val="1177"/>
        </w:trPr>
        <w:tc>
          <w:tcPr>
            <w:tcW w:w="611" w:type="dxa"/>
            <w:tcBorders>
              <w:top w:val="nil"/>
              <w:left w:val="double" w:sz="6" w:space="0" w:color="auto"/>
              <w:bottom w:val="double" w:sz="6" w:space="0" w:color="auto"/>
              <w:right w:val="single" w:sz="4" w:space="0" w:color="auto"/>
            </w:tcBorders>
            <w:vAlign w:val="center"/>
          </w:tcPr>
          <w:p w:rsidR="003119D1" w:rsidRDefault="003119D1" w:rsidP="007E69A9">
            <w:pPr>
              <w:widowControl/>
              <w:spacing w:line="240" w:lineRule="auto"/>
              <w:jc w:val="center"/>
              <w:rPr>
                <w:rFonts w:ascii="宋体" w:hAnsi="宋体" w:cs="宋体" w:hint="eastAsia"/>
                <w:color w:val="000000"/>
                <w:kern w:val="0"/>
                <w:sz w:val="18"/>
                <w:szCs w:val="18"/>
              </w:rPr>
            </w:pPr>
            <w:r>
              <w:rPr>
                <w:rFonts w:ascii="宋体" w:hAnsi="宋体" w:cs="宋体" w:hint="eastAsia"/>
                <w:color w:val="000000"/>
                <w:kern w:val="0"/>
                <w:sz w:val="18"/>
                <w:szCs w:val="18"/>
              </w:rPr>
              <w:lastRenderedPageBreak/>
              <w:t>3</w:t>
            </w:r>
          </w:p>
        </w:tc>
        <w:tc>
          <w:tcPr>
            <w:tcW w:w="915" w:type="dxa"/>
            <w:tcBorders>
              <w:top w:val="nil"/>
              <w:left w:val="nil"/>
              <w:bottom w:val="double" w:sz="6" w:space="0" w:color="auto"/>
              <w:right w:val="single" w:sz="4" w:space="0" w:color="auto"/>
            </w:tcBorders>
            <w:vAlign w:val="center"/>
          </w:tcPr>
          <w:p w:rsidR="003119D1" w:rsidRDefault="003119D1" w:rsidP="007E69A9">
            <w:pPr>
              <w:widowControl/>
              <w:spacing w:line="240" w:lineRule="auto"/>
              <w:jc w:val="center"/>
              <w:rPr>
                <w:rFonts w:ascii="宋体" w:hAnsi="宋体" w:cs="宋体" w:hint="eastAsia"/>
                <w:color w:val="000000"/>
                <w:kern w:val="0"/>
                <w:sz w:val="18"/>
                <w:szCs w:val="18"/>
              </w:rPr>
            </w:pPr>
            <w:r>
              <w:rPr>
                <w:rFonts w:ascii="宋体" w:hAnsi="宋体" w:cs="宋体" w:hint="eastAsia"/>
                <w:color w:val="000000"/>
                <w:kern w:val="0"/>
                <w:sz w:val="18"/>
                <w:szCs w:val="18"/>
              </w:rPr>
              <w:t>电缆</w:t>
            </w:r>
          </w:p>
        </w:tc>
        <w:tc>
          <w:tcPr>
            <w:tcW w:w="1980" w:type="dxa"/>
            <w:tcBorders>
              <w:top w:val="nil"/>
              <w:left w:val="nil"/>
              <w:bottom w:val="double" w:sz="6" w:space="0" w:color="auto"/>
              <w:right w:val="single" w:sz="4" w:space="0" w:color="auto"/>
            </w:tcBorders>
            <w:vAlign w:val="center"/>
          </w:tcPr>
          <w:p w:rsidR="003119D1" w:rsidRDefault="003119D1" w:rsidP="007E69A9">
            <w:pPr>
              <w:widowControl/>
              <w:spacing w:line="240" w:lineRule="auto"/>
              <w:jc w:val="center"/>
              <w:rPr>
                <w:rFonts w:ascii="宋体" w:hAnsi="宋体" w:cs="宋体" w:hint="eastAsia"/>
                <w:color w:val="000000"/>
                <w:kern w:val="0"/>
                <w:sz w:val="18"/>
                <w:szCs w:val="18"/>
              </w:rPr>
            </w:pPr>
            <w:r>
              <w:rPr>
                <w:rFonts w:ascii="宋体" w:hAnsi="宋体" w:cs="宋体" w:hint="eastAsia"/>
                <w:color w:val="000000"/>
                <w:kern w:val="0"/>
                <w:sz w:val="18"/>
                <w:szCs w:val="18"/>
              </w:rPr>
              <w:t>在中华人民共和国境内依法注册、具有独立法人资格、一般纳税人资质、具有招标物资生产经验的生产商 ；</w:t>
            </w:r>
          </w:p>
          <w:p w:rsidR="003119D1" w:rsidRDefault="003119D1" w:rsidP="007E69A9">
            <w:pPr>
              <w:widowControl/>
              <w:spacing w:line="240" w:lineRule="auto"/>
              <w:jc w:val="center"/>
              <w:rPr>
                <w:rFonts w:ascii="宋体" w:hAnsi="宋体" w:cs="宋体"/>
                <w:color w:val="000000"/>
                <w:kern w:val="0"/>
                <w:sz w:val="18"/>
                <w:szCs w:val="18"/>
              </w:rPr>
            </w:pPr>
          </w:p>
        </w:tc>
        <w:tc>
          <w:tcPr>
            <w:tcW w:w="1981" w:type="dxa"/>
            <w:tcBorders>
              <w:top w:val="nil"/>
              <w:left w:val="nil"/>
              <w:bottom w:val="double" w:sz="6"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 xml:space="preserve"> 须具备专业的电缆生产能力，生产工艺、装备必须符合国家产业发展政策的相关规定；年生产能力不低于10万米；</w:t>
            </w:r>
          </w:p>
        </w:tc>
        <w:tc>
          <w:tcPr>
            <w:tcW w:w="1524" w:type="dxa"/>
            <w:tcBorders>
              <w:top w:val="nil"/>
              <w:left w:val="nil"/>
              <w:bottom w:val="double" w:sz="6" w:space="0" w:color="auto"/>
              <w:right w:val="single" w:sz="4"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注册资金不低于人民币500万元；</w:t>
            </w:r>
          </w:p>
        </w:tc>
        <w:tc>
          <w:tcPr>
            <w:tcW w:w="2133" w:type="dxa"/>
            <w:tcBorders>
              <w:top w:val="nil"/>
              <w:left w:val="nil"/>
              <w:bottom w:val="double" w:sz="6"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 xml:space="preserve"> 投标产品已获得ISO9001质量管理体系认证，具有近2年（2015-2016年）由国家认可检验、检测机构出具的投标产品质量检验报告；</w:t>
            </w:r>
          </w:p>
        </w:tc>
        <w:tc>
          <w:tcPr>
            <w:tcW w:w="1219" w:type="dxa"/>
            <w:tcBorders>
              <w:top w:val="nil"/>
              <w:left w:val="nil"/>
              <w:bottom w:val="double" w:sz="6"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具有近2年（2015-2016年）投同类投标物资国家大中型建设项目工程的供货业绩，并提供相关证明材料；</w:t>
            </w:r>
          </w:p>
        </w:tc>
        <w:tc>
          <w:tcPr>
            <w:tcW w:w="3225" w:type="dxa"/>
            <w:tcBorders>
              <w:top w:val="nil"/>
              <w:left w:val="nil"/>
              <w:bottom w:val="double" w:sz="6"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投标人必须具有良好的社会信誉，最近两年（2015年-2016年）内没有与骗取合同有关的犯罪或严重违法行为而引起的诉讼和仲裁；近两年不曾在合同中严重违约或被逐；财产未被接管或冻结，企业未处于禁止或取消投标状态；近两年未被招标人及上级单位、业主及上级单位列入黑名单或限制交易名单；要求企业开户银行出具的信贷证明或至少三家同类投标物资已供买方或使用单位出具的履约情况证明；</w:t>
            </w:r>
          </w:p>
        </w:tc>
        <w:tc>
          <w:tcPr>
            <w:tcW w:w="1280" w:type="dxa"/>
            <w:tcBorders>
              <w:top w:val="nil"/>
              <w:left w:val="nil"/>
              <w:bottom w:val="double" w:sz="6" w:space="0" w:color="auto"/>
              <w:right w:val="double" w:sz="6" w:space="0" w:color="auto"/>
            </w:tcBorders>
            <w:vAlign w:val="center"/>
          </w:tcPr>
          <w:p w:rsidR="003119D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不接受联合体投标。</w:t>
            </w:r>
          </w:p>
        </w:tc>
      </w:tr>
      <w:tr w:rsidR="003119D1" w:rsidTr="003119D1">
        <w:trPr>
          <w:trHeight w:val="1177"/>
        </w:trPr>
        <w:tc>
          <w:tcPr>
            <w:tcW w:w="611" w:type="dxa"/>
            <w:tcBorders>
              <w:top w:val="nil"/>
              <w:left w:val="double" w:sz="6" w:space="0" w:color="auto"/>
              <w:bottom w:val="double" w:sz="6" w:space="0" w:color="auto"/>
              <w:right w:val="single" w:sz="4" w:space="0" w:color="auto"/>
            </w:tcBorders>
            <w:vAlign w:val="center"/>
          </w:tcPr>
          <w:p w:rsidR="003119D1" w:rsidRPr="00B559F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15" w:type="dxa"/>
            <w:tcBorders>
              <w:top w:val="nil"/>
              <w:left w:val="nil"/>
              <w:bottom w:val="double" w:sz="6" w:space="0" w:color="auto"/>
              <w:right w:val="single" w:sz="4" w:space="0" w:color="auto"/>
            </w:tcBorders>
            <w:vAlign w:val="center"/>
          </w:tcPr>
          <w:p w:rsidR="003119D1" w:rsidRPr="00B559F1" w:rsidRDefault="003119D1" w:rsidP="007E69A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油漆</w:t>
            </w:r>
          </w:p>
        </w:tc>
        <w:tc>
          <w:tcPr>
            <w:tcW w:w="1980" w:type="dxa"/>
            <w:tcBorders>
              <w:top w:val="nil"/>
              <w:left w:val="nil"/>
              <w:bottom w:val="double" w:sz="6" w:space="0" w:color="auto"/>
              <w:right w:val="single" w:sz="4" w:space="0" w:color="auto"/>
            </w:tcBorders>
            <w:vAlign w:val="center"/>
          </w:tcPr>
          <w:p w:rsidR="003119D1" w:rsidRPr="00643954" w:rsidRDefault="003119D1" w:rsidP="007E69A9">
            <w:pPr>
              <w:widowControl/>
              <w:spacing w:line="240" w:lineRule="auto"/>
              <w:jc w:val="center"/>
              <w:rPr>
                <w:rFonts w:ascii="宋体" w:hAnsi="宋体" w:cs="宋体"/>
                <w:color w:val="000000"/>
                <w:kern w:val="0"/>
                <w:sz w:val="18"/>
                <w:szCs w:val="18"/>
              </w:rPr>
            </w:pPr>
            <w:r w:rsidRPr="00643954">
              <w:rPr>
                <w:rFonts w:ascii="宋体" w:hAnsi="宋体" w:cs="宋体" w:hint="eastAsia"/>
                <w:color w:val="000000"/>
                <w:kern w:val="0"/>
                <w:sz w:val="18"/>
                <w:szCs w:val="18"/>
              </w:rPr>
              <w:t>在中华人民共和国境内依法注册，符合投标项目经营范围，经税务部门核准登记为一般纳税人，具有独立法人资格的生产商或代理商；</w:t>
            </w:r>
          </w:p>
        </w:tc>
        <w:tc>
          <w:tcPr>
            <w:tcW w:w="1981" w:type="dxa"/>
            <w:tcBorders>
              <w:top w:val="nil"/>
              <w:left w:val="nil"/>
              <w:bottom w:val="double" w:sz="6" w:space="0" w:color="auto"/>
              <w:right w:val="single" w:sz="4" w:space="0" w:color="auto"/>
            </w:tcBorders>
            <w:vAlign w:val="center"/>
          </w:tcPr>
          <w:p w:rsidR="003119D1" w:rsidRPr="00643954" w:rsidRDefault="003119D1" w:rsidP="007E69A9">
            <w:pPr>
              <w:widowControl/>
              <w:spacing w:line="240" w:lineRule="auto"/>
              <w:jc w:val="center"/>
              <w:rPr>
                <w:rFonts w:ascii="宋体" w:hAnsi="宋体" w:cs="宋体"/>
                <w:color w:val="000000"/>
                <w:kern w:val="0"/>
                <w:sz w:val="18"/>
                <w:szCs w:val="18"/>
              </w:rPr>
            </w:pPr>
            <w:r w:rsidRPr="00643954">
              <w:rPr>
                <w:rFonts w:ascii="宋体" w:hAnsi="宋体" w:cs="宋体" w:hint="eastAsia"/>
                <w:color w:val="000000"/>
                <w:kern w:val="0"/>
                <w:sz w:val="18"/>
                <w:szCs w:val="18"/>
              </w:rPr>
              <w:t>生产商须具备油漆生产能力，生产工艺、装备必须符合国家产业发展政策的相关规定</w:t>
            </w:r>
            <w:r>
              <w:rPr>
                <w:rFonts w:ascii="宋体" w:hAnsi="宋体" w:cs="宋体" w:hint="eastAsia"/>
                <w:color w:val="000000"/>
                <w:kern w:val="0"/>
                <w:sz w:val="18"/>
                <w:szCs w:val="18"/>
              </w:rPr>
              <w:t>；</w:t>
            </w:r>
            <w:r w:rsidRPr="00643954">
              <w:rPr>
                <w:rFonts w:ascii="宋体" w:hAnsi="宋体" w:cs="宋体"/>
                <w:color w:val="000000"/>
                <w:kern w:val="0"/>
                <w:sz w:val="18"/>
                <w:szCs w:val="18"/>
              </w:rPr>
              <w:t xml:space="preserve"> </w:t>
            </w:r>
          </w:p>
        </w:tc>
        <w:tc>
          <w:tcPr>
            <w:tcW w:w="1524" w:type="dxa"/>
            <w:tcBorders>
              <w:top w:val="nil"/>
              <w:left w:val="nil"/>
              <w:bottom w:val="double" w:sz="6" w:space="0" w:color="auto"/>
              <w:right w:val="single" w:sz="4" w:space="0" w:color="auto"/>
            </w:tcBorders>
            <w:vAlign w:val="center"/>
          </w:tcPr>
          <w:p w:rsidR="003119D1" w:rsidRPr="00643954" w:rsidRDefault="003119D1" w:rsidP="007E69A9">
            <w:pPr>
              <w:widowControl/>
              <w:spacing w:line="240" w:lineRule="auto"/>
              <w:jc w:val="center"/>
              <w:rPr>
                <w:rFonts w:ascii="宋体" w:hAnsi="宋体" w:cs="宋体"/>
                <w:color w:val="000000"/>
                <w:kern w:val="0"/>
                <w:sz w:val="18"/>
                <w:szCs w:val="18"/>
              </w:rPr>
            </w:pPr>
            <w:r w:rsidRPr="00643954">
              <w:rPr>
                <w:rFonts w:ascii="宋体" w:hAnsi="宋体" w:cs="宋体" w:hint="eastAsia"/>
                <w:color w:val="000000"/>
                <w:kern w:val="0"/>
                <w:sz w:val="18"/>
                <w:szCs w:val="18"/>
              </w:rPr>
              <w:t>注册资金不低于</w:t>
            </w:r>
            <w:r w:rsidRPr="00643954">
              <w:rPr>
                <w:rFonts w:ascii="宋体" w:hAnsi="宋体" w:cs="宋体"/>
                <w:color w:val="000000"/>
                <w:kern w:val="0"/>
                <w:sz w:val="18"/>
                <w:szCs w:val="18"/>
              </w:rPr>
              <w:t>200</w:t>
            </w:r>
            <w:r w:rsidRPr="00643954">
              <w:rPr>
                <w:rFonts w:ascii="宋体" w:hAnsi="宋体" w:cs="宋体" w:hint="eastAsia"/>
                <w:color w:val="000000"/>
                <w:kern w:val="0"/>
                <w:sz w:val="18"/>
                <w:szCs w:val="18"/>
              </w:rPr>
              <w:t>万元人民币；</w:t>
            </w:r>
          </w:p>
        </w:tc>
        <w:tc>
          <w:tcPr>
            <w:tcW w:w="2133" w:type="dxa"/>
            <w:tcBorders>
              <w:top w:val="nil"/>
              <w:left w:val="nil"/>
              <w:bottom w:val="double" w:sz="6"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投标产品已获得ISO9001质量管理体系认证证书，代理商提供所代理生产商的质量体系认证证书；具有近2年（2015-2016年）由国家认可检验、检测机构出具的投标产品质量检验合格报告；</w:t>
            </w:r>
          </w:p>
        </w:tc>
        <w:tc>
          <w:tcPr>
            <w:tcW w:w="1219" w:type="dxa"/>
            <w:tcBorders>
              <w:top w:val="nil"/>
              <w:left w:val="nil"/>
              <w:bottom w:val="double" w:sz="6"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具有近-年（2015-2016年）同类招标物资国家大中型建设项目供货业绩，并提供相关证明材料；</w:t>
            </w:r>
          </w:p>
        </w:tc>
        <w:tc>
          <w:tcPr>
            <w:tcW w:w="3225" w:type="dxa"/>
            <w:tcBorders>
              <w:top w:val="nil"/>
              <w:left w:val="nil"/>
              <w:bottom w:val="double" w:sz="6" w:space="0" w:color="auto"/>
              <w:right w:val="single" w:sz="4" w:space="0" w:color="auto"/>
            </w:tcBorders>
            <w:vAlign w:val="center"/>
          </w:tcPr>
          <w:p w:rsidR="003119D1" w:rsidRPr="001416CE" w:rsidRDefault="003119D1" w:rsidP="007E69A9">
            <w:pPr>
              <w:widowControl/>
              <w:spacing w:line="240" w:lineRule="auto"/>
              <w:jc w:val="center"/>
              <w:rPr>
                <w:rFonts w:ascii="宋体" w:hAnsi="宋体" w:cs="宋体"/>
                <w:color w:val="000000"/>
                <w:kern w:val="0"/>
                <w:sz w:val="18"/>
                <w:szCs w:val="18"/>
              </w:rPr>
            </w:pPr>
            <w:r w:rsidRPr="001416CE">
              <w:rPr>
                <w:rFonts w:ascii="宋体" w:hAnsi="宋体" w:cs="宋体" w:hint="eastAsia"/>
                <w:color w:val="000000"/>
                <w:kern w:val="0"/>
                <w:sz w:val="18"/>
                <w:szCs w:val="18"/>
              </w:rPr>
              <w:t>投投标人必须具有良好的社会信誉，最近两年（2015年-2016年）内没有与骗取合同有关的犯罪或严重违法行为而引起的诉讼和仲裁；近两年不曾在合同中严重违约或被逐；财产未被接管或冻结，企业未处于禁止或取消投标状态；近两年未被招标人及上级单位、业主及上级单位列入黑名单或限制交易名单；要求企业开户银行出具的信贷证明或至少三家同类投标物资已供买方或使用单位出具的履约情况证明；</w:t>
            </w:r>
          </w:p>
        </w:tc>
        <w:tc>
          <w:tcPr>
            <w:tcW w:w="1280" w:type="dxa"/>
            <w:tcBorders>
              <w:top w:val="nil"/>
              <w:left w:val="nil"/>
              <w:bottom w:val="double" w:sz="6" w:space="0" w:color="auto"/>
              <w:right w:val="double" w:sz="6" w:space="0" w:color="auto"/>
            </w:tcBorders>
            <w:vAlign w:val="center"/>
          </w:tcPr>
          <w:p w:rsidR="003119D1" w:rsidRPr="00B559F1" w:rsidRDefault="003119D1" w:rsidP="007E69A9">
            <w:pPr>
              <w:widowControl/>
              <w:spacing w:line="240" w:lineRule="auto"/>
              <w:jc w:val="center"/>
              <w:rPr>
                <w:rFonts w:ascii="宋体" w:hAnsi="宋体" w:cs="宋体"/>
                <w:color w:val="000000"/>
                <w:kern w:val="0"/>
                <w:sz w:val="18"/>
                <w:szCs w:val="18"/>
              </w:rPr>
            </w:pPr>
            <w:r w:rsidRPr="00B559F1">
              <w:rPr>
                <w:rFonts w:ascii="宋体" w:hAnsi="宋体" w:cs="宋体" w:hint="eastAsia"/>
                <w:color w:val="000000"/>
                <w:kern w:val="0"/>
                <w:sz w:val="18"/>
                <w:szCs w:val="18"/>
              </w:rPr>
              <w:t>不接受联合体投标</w:t>
            </w:r>
            <w:r>
              <w:rPr>
                <w:rFonts w:ascii="宋体" w:hAnsi="宋体" w:cs="宋体" w:hint="eastAsia"/>
                <w:color w:val="000000"/>
                <w:kern w:val="0"/>
                <w:sz w:val="18"/>
                <w:szCs w:val="18"/>
              </w:rPr>
              <w:t>。</w:t>
            </w:r>
          </w:p>
        </w:tc>
      </w:tr>
    </w:tbl>
    <w:p w:rsidR="008D0FA4" w:rsidRDefault="003119D1">
      <w:r>
        <w:rPr>
          <w:rFonts w:ascii="宋体" w:hint="eastAsia"/>
          <w:szCs w:val="21"/>
        </w:rPr>
        <w:t xml:space="preserve">    </w:t>
      </w:r>
    </w:p>
    <w:sectPr w:rsidR="008D0FA4" w:rsidSect="003119D1">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A4" w:rsidRDefault="008D0FA4" w:rsidP="003119D1">
      <w:pPr>
        <w:spacing w:line="240" w:lineRule="auto"/>
      </w:pPr>
      <w:r>
        <w:separator/>
      </w:r>
    </w:p>
  </w:endnote>
  <w:endnote w:type="continuationSeparator" w:id="1">
    <w:p w:rsidR="008D0FA4" w:rsidRDefault="008D0FA4" w:rsidP="003119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D1" w:rsidRDefault="003119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D1" w:rsidRDefault="003119D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D1" w:rsidRDefault="003119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A4" w:rsidRDefault="008D0FA4" w:rsidP="003119D1">
      <w:pPr>
        <w:spacing w:line="240" w:lineRule="auto"/>
      </w:pPr>
      <w:r>
        <w:separator/>
      </w:r>
    </w:p>
  </w:footnote>
  <w:footnote w:type="continuationSeparator" w:id="1">
    <w:p w:rsidR="008D0FA4" w:rsidRDefault="008D0FA4" w:rsidP="003119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D1" w:rsidRDefault="003119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D1" w:rsidRDefault="003119D1" w:rsidP="003119D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D1" w:rsidRDefault="003119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9D1"/>
    <w:rsid w:val="003119D1"/>
    <w:rsid w:val="008D0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D1"/>
    <w:pPr>
      <w:widowControl w:val="0"/>
      <w:spacing w:line="36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19D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19D1"/>
    <w:rPr>
      <w:sz w:val="18"/>
      <w:szCs w:val="18"/>
    </w:rPr>
  </w:style>
  <w:style w:type="paragraph" w:styleId="a4">
    <w:name w:val="footer"/>
    <w:basedOn w:val="a"/>
    <w:link w:val="Char0"/>
    <w:uiPriority w:val="99"/>
    <w:semiHidden/>
    <w:unhideWhenUsed/>
    <w:rsid w:val="003119D1"/>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119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Company>微软中国</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陈杰</dc:creator>
  <cp:keywords/>
  <dc:description/>
  <cp:lastModifiedBy>陈杰</cp:lastModifiedBy>
  <cp:revision>2</cp:revision>
  <dcterms:created xsi:type="dcterms:W3CDTF">2017-11-21T05:57:00Z</dcterms:created>
  <dcterms:modified xsi:type="dcterms:W3CDTF">2017-11-21T05:58:00Z</dcterms:modified>
</cp:coreProperties>
</file>