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新宋体" w:hAnsi="新宋体" w:eastAsia="新宋体"/>
          <w:b/>
          <w:szCs w:val="28"/>
          <w:lang w:val="zh-CN" w:eastAsia="zh-CN"/>
        </w:rPr>
      </w:pPr>
      <w:r>
        <w:rPr>
          <w:rFonts w:hint="eastAsia" w:ascii="新宋体" w:hAnsi="新宋体" w:eastAsia="新宋体"/>
          <w:b/>
          <w:szCs w:val="28"/>
          <w:lang w:val="zh-CN" w:eastAsia="zh-CN"/>
        </w:rPr>
        <w:pict>
          <v:shape id="_x0000_i1025" o:spt="75" alt="gs" type="#_x0000_t75" style="height:38pt;width:197.95pt;" filled="f" stroked="f" coordsize="21600,21600">
            <v:path/>
            <v:fill on="f" focussize="0,0"/>
            <v:stroke on="f"/>
            <v:imagedata r:id="rId16" cropright="24026f" o:title="gs"/>
            <o:lock v:ext="edit" grouping="f" rotation="f" text="f" aspectratio="t"/>
            <w10:wrap type="none"/>
            <w10:anchorlock/>
          </v:shape>
        </w:pict>
      </w:r>
    </w:p>
    <w:p>
      <w:pPr>
        <w:spacing w:line="360" w:lineRule="auto"/>
        <w:jc w:val="center"/>
        <w:rPr>
          <w:rFonts w:hint="eastAsia" w:ascii="仿宋" w:hAnsi="仿宋" w:eastAsia="仿宋" w:cs="仿宋"/>
          <w:b/>
          <w:kern w:val="0"/>
          <w:sz w:val="24"/>
          <w:szCs w:val="28"/>
          <w:lang w:val="en-US" w:eastAsia="zh-CN" w:bidi="ar-SA"/>
        </w:rPr>
      </w:pPr>
    </w:p>
    <w:p>
      <w:pPr>
        <w:spacing w:line="360" w:lineRule="auto"/>
        <w:jc w:val="center"/>
        <w:rPr>
          <w:rFonts w:hint="eastAsia" w:ascii="仿宋" w:hAnsi="仿宋" w:eastAsia="仿宋" w:cs="仿宋"/>
          <w:b/>
          <w:kern w:val="0"/>
          <w:sz w:val="24"/>
          <w:szCs w:val="28"/>
          <w:lang w:val="en-US" w:eastAsia="zh-CN" w:bidi="ar-SA"/>
        </w:rPr>
      </w:pPr>
    </w:p>
    <w:p>
      <w:pPr>
        <w:spacing w:line="360" w:lineRule="auto"/>
        <w:jc w:val="center"/>
        <w:rPr>
          <w:rFonts w:hint="eastAsia" w:ascii="仿宋" w:hAnsi="仿宋" w:eastAsia="仿宋" w:cs="仿宋"/>
          <w:b/>
          <w:kern w:val="0"/>
          <w:sz w:val="24"/>
          <w:szCs w:val="28"/>
          <w:lang w:val="en-US" w:eastAsia="zh-CN" w:bidi="ar-SA"/>
        </w:rPr>
      </w:pPr>
    </w:p>
    <w:p>
      <w:pPr>
        <w:spacing w:line="360" w:lineRule="auto"/>
        <w:jc w:val="left"/>
        <w:rPr>
          <w:rFonts w:hint="eastAsia" w:ascii="仿宋" w:hAnsi="仿宋" w:eastAsia="仿宋" w:cs="仿宋"/>
          <w:b/>
          <w:kern w:val="0"/>
          <w:sz w:val="24"/>
          <w:szCs w:val="28"/>
          <w:lang w:val="en-US" w:eastAsia="zh-CN" w:bidi="ar-SA"/>
        </w:rPr>
      </w:pPr>
    </w:p>
    <w:p>
      <w:pPr>
        <w:spacing w:line="360" w:lineRule="auto"/>
        <w:jc w:val="center"/>
        <w:rPr>
          <w:rFonts w:hint="eastAsia" w:ascii="宋体" w:hAnsi="宋体"/>
          <w:b/>
          <w:bCs/>
          <w:sz w:val="44"/>
          <w:szCs w:val="44"/>
          <w:lang w:val="en-US" w:eastAsia="zh-CN"/>
        </w:rPr>
      </w:pPr>
      <w:r>
        <w:rPr>
          <w:rFonts w:hint="eastAsia" w:ascii="宋体" w:hAnsi="宋体"/>
          <w:b/>
          <w:bCs/>
          <w:sz w:val="44"/>
          <w:szCs w:val="44"/>
        </w:rPr>
        <w:t>中建五局安徽</w:t>
      </w:r>
      <w:r>
        <w:rPr>
          <w:rFonts w:hint="eastAsia" w:ascii="宋体" w:hAnsi="宋体"/>
          <w:b/>
          <w:bCs/>
          <w:sz w:val="44"/>
          <w:szCs w:val="44"/>
          <w:lang w:eastAsia="zh-CN"/>
        </w:rPr>
        <w:t>公司</w:t>
      </w:r>
      <w:r>
        <w:rPr>
          <w:rFonts w:hint="eastAsia" w:ascii="宋体" w:hAnsi="宋体"/>
          <w:b/>
          <w:bCs/>
          <w:sz w:val="44"/>
          <w:szCs w:val="44"/>
          <w:lang w:val="en-US" w:eastAsia="zh-CN"/>
        </w:rPr>
        <w:t>2017年度</w:t>
      </w:r>
    </w:p>
    <w:p>
      <w:pPr>
        <w:spacing w:line="360" w:lineRule="auto"/>
        <w:jc w:val="center"/>
        <w:rPr>
          <w:rFonts w:ascii="宋体" w:hAnsi="宋体"/>
          <w:b/>
          <w:bCs/>
          <w:sz w:val="44"/>
          <w:szCs w:val="44"/>
        </w:rPr>
      </w:pPr>
      <w:r>
        <w:rPr>
          <w:rFonts w:hint="eastAsia" w:ascii="宋体" w:hAnsi="宋体"/>
          <w:b/>
          <w:sz w:val="44"/>
          <w:szCs w:val="44"/>
          <w:lang w:val="en-US" w:eastAsia="zh-CN"/>
        </w:rPr>
        <w:t>电线电缆</w:t>
      </w:r>
      <w:r>
        <w:rPr>
          <w:rFonts w:hint="eastAsia" w:ascii="宋体" w:hAnsi="宋体"/>
          <w:b/>
          <w:sz w:val="44"/>
          <w:szCs w:val="44"/>
          <w:lang w:eastAsia="zh-CN"/>
        </w:rPr>
        <w:t>采购</w:t>
      </w:r>
      <w:r>
        <w:rPr>
          <w:rFonts w:hint="eastAsia" w:ascii="宋体" w:hAnsi="宋体"/>
          <w:b/>
          <w:sz w:val="44"/>
          <w:szCs w:val="44"/>
        </w:rPr>
        <w:t>招标文件</w:t>
      </w:r>
    </w:p>
    <w:p>
      <w:pPr>
        <w:spacing w:line="360" w:lineRule="auto"/>
        <w:jc w:val="center"/>
        <w:rPr>
          <w:rFonts w:ascii="宋体" w:hAnsi="宋体"/>
          <w:sz w:val="30"/>
          <w:szCs w:val="30"/>
          <w:u w:val="single"/>
        </w:rPr>
      </w:pPr>
      <w:r>
        <w:rPr>
          <w:rFonts w:hint="eastAsia" w:ascii="宋体" w:hAnsi="宋体"/>
          <w:sz w:val="30"/>
          <w:szCs w:val="30"/>
        </w:rPr>
        <w:t>招标编号:</w:t>
      </w:r>
      <w:r>
        <w:rPr>
          <w:rFonts w:hint="eastAsia" w:ascii="宋体" w:hAnsi="宋体"/>
          <w:sz w:val="30"/>
          <w:szCs w:val="30"/>
          <w:u w:val="single"/>
        </w:rPr>
        <w:t xml:space="preserve"> </w:t>
      </w:r>
      <w:r>
        <w:rPr>
          <w:rFonts w:hint="eastAsia" w:ascii="宋体" w:hAnsi="宋体"/>
          <w:sz w:val="30"/>
          <w:szCs w:val="30"/>
          <w:u w:val="single"/>
          <w:lang w:val="en-US" w:eastAsia="zh-CN"/>
        </w:rPr>
        <w:t>ZJWJAHGS</w:t>
      </w:r>
    </w:p>
    <w:p>
      <w:pPr>
        <w:spacing w:line="360" w:lineRule="auto"/>
        <w:jc w:val="center"/>
        <w:rPr>
          <w:rFonts w:ascii="宋体" w:hAnsi="宋体"/>
          <w:sz w:val="30"/>
          <w:szCs w:val="30"/>
        </w:rPr>
      </w:pPr>
    </w:p>
    <w:p>
      <w:pPr>
        <w:spacing w:line="360" w:lineRule="auto"/>
        <w:jc w:val="center"/>
        <w:rPr>
          <w:rFonts w:ascii="宋体" w:hAnsi="宋体"/>
          <w:sz w:val="30"/>
          <w:szCs w:val="30"/>
        </w:rPr>
      </w:pPr>
    </w:p>
    <w:p>
      <w:pPr>
        <w:spacing w:line="360" w:lineRule="auto"/>
        <w:jc w:val="center"/>
        <w:rPr>
          <w:rFonts w:ascii="宋体" w:hAnsi="宋体"/>
          <w:sz w:val="30"/>
          <w:szCs w:val="30"/>
        </w:rPr>
      </w:pPr>
    </w:p>
    <w:p>
      <w:pPr>
        <w:tabs>
          <w:tab w:val="left" w:pos="2220"/>
        </w:tabs>
        <w:spacing w:line="360" w:lineRule="auto"/>
        <w:rPr>
          <w:rFonts w:hint="eastAsia" w:ascii="宋体" w:hAnsi="宋体"/>
          <w:sz w:val="30"/>
          <w:szCs w:val="30"/>
        </w:rPr>
      </w:pPr>
      <w:r>
        <w:rPr>
          <w:rFonts w:hint="eastAsia" w:ascii="宋体" w:hAnsi="宋体"/>
          <w:sz w:val="30"/>
          <w:szCs w:val="30"/>
        </w:rPr>
        <w:tab/>
      </w:r>
    </w:p>
    <w:p>
      <w:pPr>
        <w:tabs>
          <w:tab w:val="left" w:pos="2220"/>
        </w:tabs>
        <w:spacing w:line="360" w:lineRule="auto"/>
        <w:rPr>
          <w:rFonts w:hint="eastAsia" w:ascii="宋体" w:hAnsi="宋体"/>
          <w:sz w:val="30"/>
          <w:szCs w:val="30"/>
        </w:rPr>
      </w:pPr>
    </w:p>
    <w:p>
      <w:pPr>
        <w:tabs>
          <w:tab w:val="left" w:pos="2220"/>
        </w:tabs>
        <w:spacing w:line="360" w:lineRule="auto"/>
        <w:rPr>
          <w:rFonts w:ascii="宋体" w:hAnsi="宋体"/>
          <w:sz w:val="30"/>
          <w:szCs w:val="30"/>
        </w:rPr>
      </w:pPr>
    </w:p>
    <w:p>
      <w:pPr>
        <w:spacing w:line="360" w:lineRule="auto"/>
        <w:jc w:val="center"/>
        <w:rPr>
          <w:rFonts w:ascii="宋体" w:hAnsi="宋体"/>
          <w:sz w:val="30"/>
          <w:szCs w:val="30"/>
        </w:rPr>
      </w:pPr>
    </w:p>
    <w:p>
      <w:pPr>
        <w:spacing w:line="360" w:lineRule="auto"/>
        <w:jc w:val="center"/>
        <w:rPr>
          <w:rFonts w:ascii="宋体" w:hAnsi="宋体"/>
          <w:sz w:val="30"/>
          <w:szCs w:val="30"/>
        </w:rPr>
      </w:pPr>
    </w:p>
    <w:p>
      <w:pPr>
        <w:spacing w:line="360" w:lineRule="auto"/>
        <w:jc w:val="center"/>
        <w:rPr>
          <w:rFonts w:hint="eastAsia" w:ascii="宋体" w:hAnsi="宋体"/>
          <w:sz w:val="30"/>
          <w:szCs w:val="30"/>
        </w:rPr>
      </w:pPr>
    </w:p>
    <w:p>
      <w:pPr>
        <w:spacing w:line="360" w:lineRule="auto"/>
        <w:jc w:val="center"/>
        <w:rPr>
          <w:rFonts w:hint="eastAsia" w:ascii="宋体" w:hAnsi="宋体"/>
          <w:sz w:val="30"/>
          <w:szCs w:val="30"/>
        </w:rPr>
      </w:pPr>
    </w:p>
    <w:p>
      <w:pPr>
        <w:spacing w:line="360" w:lineRule="auto"/>
        <w:jc w:val="center"/>
        <w:rPr>
          <w:rFonts w:hint="eastAsia" w:ascii="宋体" w:hAnsi="宋体"/>
          <w:sz w:val="30"/>
          <w:szCs w:val="30"/>
        </w:rPr>
      </w:pPr>
    </w:p>
    <w:p>
      <w:pPr>
        <w:spacing w:line="360" w:lineRule="auto"/>
        <w:jc w:val="center"/>
        <w:rPr>
          <w:rFonts w:ascii="宋体" w:hAnsi="宋体"/>
          <w:sz w:val="30"/>
          <w:szCs w:val="30"/>
        </w:rPr>
      </w:pPr>
      <w:r>
        <w:rPr>
          <w:rFonts w:hint="eastAsia" w:ascii="宋体" w:hAnsi="宋体"/>
          <w:sz w:val="30"/>
          <w:szCs w:val="30"/>
        </w:rPr>
        <w:t>招标人：中建五局安徽分公司</w:t>
      </w:r>
    </w:p>
    <w:p>
      <w:pPr>
        <w:spacing w:line="360" w:lineRule="auto"/>
        <w:jc w:val="center"/>
        <w:rPr>
          <w:rFonts w:ascii="仿宋_GB2312" w:hAnsi="宋体" w:eastAsia="仿宋_GB2312"/>
          <w:b/>
          <w:bCs/>
        </w:rPr>
      </w:pPr>
      <w:r>
        <w:rPr>
          <w:rFonts w:hint="eastAsia" w:ascii="宋体" w:hAnsi="宋体"/>
          <w:sz w:val="30"/>
          <w:szCs w:val="30"/>
        </w:rPr>
        <w:t>招标日期：</w:t>
      </w:r>
      <w:r>
        <w:rPr>
          <w:rFonts w:hint="eastAsia" w:ascii="宋体" w:hAnsi="宋体"/>
          <w:sz w:val="30"/>
          <w:szCs w:val="30"/>
          <w:u w:val="single"/>
        </w:rPr>
        <w:t>201</w:t>
      </w:r>
      <w:r>
        <w:rPr>
          <w:rFonts w:hint="eastAsia" w:ascii="宋体" w:hAnsi="宋体"/>
          <w:sz w:val="30"/>
          <w:szCs w:val="30"/>
          <w:u w:val="single"/>
          <w:lang w:val="en-US" w:eastAsia="zh-CN"/>
        </w:rPr>
        <w:t>7</w:t>
      </w:r>
      <w:r>
        <w:rPr>
          <w:rFonts w:hint="eastAsia" w:ascii="宋体" w:hAnsi="宋体"/>
          <w:sz w:val="30"/>
          <w:szCs w:val="30"/>
        </w:rPr>
        <w:t>年</w:t>
      </w:r>
      <w:r>
        <w:rPr>
          <w:rFonts w:hint="eastAsia" w:ascii="宋体" w:hAnsi="宋体"/>
          <w:sz w:val="30"/>
          <w:szCs w:val="30"/>
          <w:u w:val="single"/>
          <w:lang w:val="en-US" w:eastAsia="zh-CN"/>
        </w:rPr>
        <w:t>11</w:t>
      </w:r>
      <w:r>
        <w:rPr>
          <w:rFonts w:hint="eastAsia" w:ascii="宋体" w:hAnsi="宋体"/>
          <w:sz w:val="30"/>
          <w:szCs w:val="30"/>
        </w:rPr>
        <w:t>月</w:t>
      </w:r>
    </w:p>
    <w:p>
      <w:pPr>
        <w:spacing w:line="360" w:lineRule="auto"/>
        <w:jc w:val="both"/>
        <w:rPr>
          <w:rFonts w:hint="eastAsia" w:ascii="仿宋_GB2312" w:hAnsi="宋体" w:eastAsia="仿宋_GB2312"/>
          <w:b/>
          <w:bCs/>
        </w:rPr>
      </w:pPr>
    </w:p>
    <w:p>
      <w:pPr>
        <w:pStyle w:val="2"/>
        <w:jc w:val="center"/>
      </w:pPr>
      <w:bookmarkStart w:id="0" w:name="_Toc21363"/>
      <w:bookmarkStart w:id="1" w:name="_Toc18139"/>
      <w:r>
        <w:rPr>
          <w:lang w:val="zh-CN"/>
        </w:rPr>
        <w:t>目</w:t>
      </w:r>
      <w:r>
        <w:rPr>
          <w:rFonts w:hint="eastAsia"/>
          <w:lang w:val="zh-CN"/>
        </w:rPr>
        <w:t xml:space="preserve">  </w:t>
      </w:r>
      <w:r>
        <w:rPr>
          <w:lang w:val="zh-CN"/>
        </w:rPr>
        <w:t>录</w:t>
      </w:r>
      <w:bookmarkEnd w:id="0"/>
      <w:bookmarkEnd w:id="1"/>
    </w:p>
    <w:p>
      <w:pPr>
        <w:pStyle w:val="10"/>
        <w:tabs>
          <w:tab w:val="right" w:leader="dot" w:pos="8306"/>
        </w:tabs>
        <w:rPr>
          <w:rFonts w:ascii="Calibri" w:hAnsi="Calibri" w:eastAsia="宋体" w:cs="Times New Roman"/>
          <w:kern w:val="0"/>
          <w:szCs w:val="24"/>
          <w:lang w:val="en-US" w:eastAsia="zh-CN" w:bidi="ar-SA"/>
        </w:rPr>
      </w:pPr>
      <w:bookmarkStart w:id="2" w:name="_Toc24291"/>
      <w:r>
        <w:rPr>
          <w:rFonts w:hint="eastAsia"/>
        </w:rPr>
        <w:fldChar w:fldCharType="begin"/>
      </w:r>
      <w:r>
        <w:rPr>
          <w:rFonts w:hint="eastAsia"/>
        </w:rPr>
        <w:instrText xml:space="preserve">TOC \o "1-3" \h \u </w:instrText>
      </w:r>
      <w:r>
        <w:rPr>
          <w:rFonts w:hint="eastAsia"/>
        </w:rPr>
        <w:fldChar w:fldCharType="separate"/>
      </w: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_Toc21363 </w:instrText>
      </w:r>
      <w:r>
        <w:rPr>
          <w:rFonts w:hint="eastAsia"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zh-CN" w:eastAsia="zh-CN" w:bidi="ar-SA"/>
        </w:rPr>
        <w:t>目</w:t>
      </w:r>
      <w:r>
        <w:rPr>
          <w:rFonts w:hint="eastAsia" w:ascii="Calibri" w:hAnsi="Calibri" w:eastAsia="宋体" w:cs="Times New Roman"/>
          <w:kern w:val="0"/>
          <w:szCs w:val="24"/>
          <w:lang w:val="zh-CN" w:eastAsia="zh-CN" w:bidi="ar-SA"/>
        </w:rPr>
        <w:t xml:space="preserve">  </w:t>
      </w:r>
      <w:r>
        <w:rPr>
          <w:rFonts w:ascii="Calibri" w:hAnsi="Calibri" w:eastAsia="宋体" w:cs="Times New Roman"/>
          <w:kern w:val="0"/>
          <w:szCs w:val="24"/>
          <w:lang w:val="zh-CN" w:eastAsia="zh-CN" w:bidi="ar-SA"/>
        </w:rPr>
        <w:t>录</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_Toc21363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_Toc24935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一、总      则</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_Toc24935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3</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_Toc9698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二、投标人须知</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_Toc9698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3</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_Toc15964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三、招标文件</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_Toc15964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3</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_Toc28769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3.1、招标文件的组成</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_Toc28769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3</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_Toc8296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3.2、投标人资格</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_Toc8296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4</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_Toc21696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3.3、合格的投标人</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_Toc21696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4</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_Toc26206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3.4、投标保证金说明：</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_Toc26206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5</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_Toc29125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3.5、招标文件的修改</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_Toc29125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5</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_Toc27198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4.1、投标文件的组成</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_Toc27198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5</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_Toc24181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4.2、投标文件的补充、修改和撤回</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_Toc24181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6</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_Toc8157 </w:instrText>
      </w:r>
      <w:r>
        <w:rPr>
          <w:rFonts w:hint="eastAsia" w:ascii="Calibri" w:hAnsi="Calibri" w:eastAsia="宋体" w:cs="Times New Roman"/>
          <w:kern w:val="0"/>
          <w:szCs w:val="24"/>
          <w:lang w:val="en-US" w:eastAsia="zh-CN" w:bidi="ar-SA"/>
        </w:rPr>
        <w:fldChar w:fldCharType="separate"/>
      </w:r>
      <w:r>
        <w:rPr>
          <w:rFonts w:hint="eastAsia" w:ascii="宋体" w:hAnsi="Calibri" w:eastAsia="宋体" w:cs="Times New Roman"/>
          <w:kern w:val="0"/>
          <w:szCs w:val="24"/>
          <w:lang w:val="en-US" w:eastAsia="zh-CN" w:bidi="ar-SA"/>
        </w:rPr>
        <w:t>4.</w:t>
      </w:r>
      <w:r>
        <w:rPr>
          <w:rFonts w:hint="eastAsia" w:ascii="Calibri" w:hAnsi="Calibri" w:eastAsia="宋体" w:cs="Times New Roman"/>
          <w:kern w:val="0"/>
          <w:szCs w:val="24"/>
          <w:lang w:val="en-US" w:eastAsia="zh-CN" w:bidi="ar-SA"/>
        </w:rPr>
        <w:t>3、报价原则</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_Toc8157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6</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_Toc7343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4.4、投标有效期</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_Toc7343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6</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_Toc20878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4.5、投标文件的提交</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_Toc20878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6</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_Toc9632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4.6、投标截止时间的延长</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_Toc9632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_Toc13129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五、开标、评标和定标</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_Toc13129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_Toc1756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5.1开标时间: 2017年</w:t>
      </w:r>
      <w:r>
        <w:rPr>
          <w:rFonts w:hint="eastAsia" w:cs="Times New Roman"/>
          <w:kern w:val="0"/>
          <w:szCs w:val="24"/>
          <w:lang w:val="en-US" w:eastAsia="zh-CN" w:bidi="ar-SA"/>
        </w:rPr>
        <w:t>11</w:t>
      </w:r>
      <w:r>
        <w:rPr>
          <w:rFonts w:hint="eastAsia" w:ascii="Calibri" w:hAnsi="Calibri" w:eastAsia="宋体" w:cs="Times New Roman"/>
          <w:kern w:val="0"/>
          <w:szCs w:val="24"/>
          <w:lang w:val="en-US" w:eastAsia="zh-CN" w:bidi="ar-SA"/>
        </w:rPr>
        <w:t>月时整（北京时间）</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_Toc1756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_Toc2029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5.2开标地点：</w:t>
      </w:r>
      <w:r>
        <w:rPr>
          <w:rFonts w:ascii="Calibri" w:hAnsi="Calibri" w:eastAsia="宋体" w:cs="Times New Roman"/>
          <w:kern w:val="0"/>
          <w:szCs w:val="24"/>
          <w:lang w:val="en-US" w:eastAsia="zh-CN" w:bidi="ar-SA"/>
        </w:rPr>
        <w:t>安徽省合肥市滨湖新区徽州大道与烟墩路交叉口时代广场C8#12层</w:t>
      </w:r>
      <w:r>
        <w:rPr>
          <w:rFonts w:hint="eastAsia" w:ascii="Calibri" w:hAnsi="Calibri" w:eastAsia="宋体" w:cs="Times New Roman"/>
          <w:kern w:val="0"/>
          <w:szCs w:val="24"/>
          <w:lang w:val="en-US" w:eastAsia="zh-CN" w:bidi="ar-SA"/>
        </w:rPr>
        <w:t>，中建五局安徽公司会议室</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_Toc2029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_Toc32020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5.3开标、评标</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_Toc32020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_Toc12670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5.4投标文件的符合性审查</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_Toc12670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7</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_Toc8654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5.5其它情况的处理</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_Toc8654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8</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_Toc3234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5.6投标文件的评审</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_Toc3234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8</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_Toc11145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6.1合同的授予和拒绝</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_Toc11145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8</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_Toc14497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6.2中标通知书</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_Toc14497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9</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3"/>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_Toc31778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6.3合同的签订</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_Toc31778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9</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_Toc14509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附件1</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_Toc14509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20</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_Toc22417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附件2</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_Toc22417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21</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pStyle w:val="10"/>
        <w:tabs>
          <w:tab w:val="right" w:leader="dot" w:pos="8306"/>
        </w:tabs>
        <w:rPr>
          <w:rFonts w:ascii="Calibri" w:hAnsi="Calibri" w:eastAsia="宋体" w:cs="Times New Roman"/>
          <w:kern w:val="0"/>
          <w:szCs w:val="24"/>
          <w:lang w:val="en-US" w:eastAsia="zh-CN" w:bidi="ar-SA"/>
        </w:rPr>
      </w:pPr>
      <w:r>
        <w:rPr>
          <w:rFonts w:hint="eastAsia" w:ascii="Calibri" w:hAnsi="Calibri" w:eastAsia="宋体" w:cs="Times New Roman"/>
          <w:kern w:val="0"/>
          <w:szCs w:val="24"/>
          <w:lang w:val="en-US" w:eastAsia="zh-CN" w:bidi="ar-SA"/>
        </w:rPr>
        <w:fldChar w:fldCharType="begin"/>
      </w:r>
      <w:r>
        <w:rPr>
          <w:rFonts w:hint="eastAsia" w:ascii="Calibri" w:hAnsi="Calibri" w:eastAsia="宋体" w:cs="Times New Roman"/>
          <w:kern w:val="0"/>
          <w:szCs w:val="24"/>
          <w:lang w:val="en-US" w:eastAsia="zh-CN" w:bidi="ar-SA"/>
        </w:rPr>
        <w:instrText xml:space="preserve"> HYPERLINK \l _Toc75 </w:instrText>
      </w:r>
      <w:r>
        <w:rPr>
          <w:rFonts w:hint="eastAsia" w:ascii="Calibri" w:hAnsi="Calibri" w:eastAsia="宋体" w:cs="Times New Roman"/>
          <w:kern w:val="0"/>
          <w:szCs w:val="24"/>
          <w:lang w:val="en-US" w:eastAsia="zh-CN" w:bidi="ar-SA"/>
        </w:rPr>
        <w:fldChar w:fldCharType="separate"/>
      </w:r>
      <w:r>
        <w:rPr>
          <w:rFonts w:hint="eastAsia" w:ascii="Calibri" w:hAnsi="Calibri" w:eastAsia="宋体" w:cs="Times New Roman"/>
          <w:kern w:val="0"/>
          <w:szCs w:val="24"/>
          <w:lang w:val="en-US" w:eastAsia="zh-CN" w:bidi="ar-SA"/>
        </w:rPr>
        <w:t>附件3</w:t>
      </w:r>
      <w:r>
        <w:rPr>
          <w:rFonts w:ascii="Calibri" w:hAnsi="Calibri" w:eastAsia="宋体" w:cs="Times New Roman"/>
          <w:kern w:val="0"/>
          <w:szCs w:val="24"/>
          <w:lang w:val="en-US" w:eastAsia="zh-CN" w:bidi="ar-SA"/>
        </w:rPr>
        <w:tab/>
      </w:r>
      <w:r>
        <w:rPr>
          <w:rFonts w:ascii="Calibri" w:hAnsi="Calibri" w:eastAsia="宋体" w:cs="Times New Roman"/>
          <w:kern w:val="0"/>
          <w:szCs w:val="24"/>
          <w:lang w:val="en-US" w:eastAsia="zh-CN" w:bidi="ar-SA"/>
        </w:rPr>
        <w:fldChar w:fldCharType="begin"/>
      </w:r>
      <w:r>
        <w:rPr>
          <w:rFonts w:ascii="Calibri" w:hAnsi="Calibri" w:eastAsia="宋体" w:cs="Times New Roman"/>
          <w:kern w:val="0"/>
          <w:szCs w:val="24"/>
          <w:lang w:val="en-US" w:eastAsia="zh-CN" w:bidi="ar-SA"/>
        </w:rPr>
        <w:instrText xml:space="preserve"> PAGEREF _Toc75 </w:instrText>
      </w:r>
      <w:r>
        <w:rPr>
          <w:rFonts w:ascii="Calibri" w:hAnsi="Calibri" w:eastAsia="宋体" w:cs="Times New Roman"/>
          <w:kern w:val="0"/>
          <w:szCs w:val="24"/>
          <w:lang w:val="en-US" w:eastAsia="zh-CN" w:bidi="ar-SA"/>
        </w:rPr>
        <w:fldChar w:fldCharType="separate"/>
      </w:r>
      <w:r>
        <w:rPr>
          <w:rFonts w:ascii="Calibri" w:hAnsi="Calibri" w:eastAsia="宋体" w:cs="Times New Roman"/>
          <w:kern w:val="0"/>
          <w:szCs w:val="24"/>
          <w:lang w:val="en-US" w:eastAsia="zh-CN" w:bidi="ar-SA"/>
        </w:rPr>
        <w:t>22</w:t>
      </w:r>
      <w:r>
        <w:rPr>
          <w:rFonts w:ascii="Calibri" w:hAnsi="Calibri" w:eastAsia="宋体" w:cs="Times New Roman"/>
          <w:kern w:val="0"/>
          <w:szCs w:val="24"/>
          <w:lang w:val="en-US" w:eastAsia="zh-CN" w:bidi="ar-SA"/>
        </w:rPr>
        <w:fldChar w:fldCharType="end"/>
      </w:r>
      <w:r>
        <w:rPr>
          <w:rFonts w:hint="eastAsia" w:ascii="Calibri" w:hAnsi="Calibri" w:eastAsia="宋体" w:cs="Times New Roman"/>
          <w:kern w:val="0"/>
          <w:szCs w:val="24"/>
          <w:lang w:val="en-US" w:eastAsia="zh-CN" w:bidi="ar-SA"/>
        </w:rPr>
        <w:fldChar w:fldCharType="end"/>
      </w:r>
    </w:p>
    <w:p>
      <w:pPr>
        <w:rPr>
          <w:rFonts w:hint="eastAsia"/>
        </w:rPr>
      </w:pPr>
      <w:r>
        <w:rPr>
          <w:rFonts w:hint="eastAsia" w:ascii="Calibri" w:hAnsi="Calibri" w:eastAsia="宋体" w:cs="Times New Roman"/>
          <w:kern w:val="0"/>
          <w:szCs w:val="24"/>
          <w:lang w:val="en-US" w:eastAsia="zh-CN" w:bidi="ar-SA"/>
        </w:rPr>
        <w:fldChar w:fldCharType="end"/>
      </w:r>
    </w:p>
    <w:p>
      <w:pPr>
        <w:pStyle w:val="2"/>
        <w:jc w:val="cente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rPr>
      </w:pPr>
      <w:bookmarkStart w:id="3" w:name="_Toc24935"/>
      <w:r>
        <w:rPr>
          <w:rFonts w:hint="eastAsia"/>
        </w:rPr>
        <w:t>一、总      则</w:t>
      </w:r>
      <w:bookmarkEnd w:id="2"/>
      <w:bookmarkEnd w:id="3"/>
    </w:p>
    <w:p>
      <w:pPr>
        <w:spacing w:line="360" w:lineRule="auto"/>
        <w:rPr>
          <w:rFonts w:ascii="仿宋_GB2312" w:hAnsi="楷体_GB2312" w:eastAsia="仿宋_GB2312"/>
          <w:color w:val="000000"/>
        </w:rPr>
      </w:pPr>
      <w:r>
        <w:rPr>
          <w:rFonts w:hint="eastAsia" w:ascii="仿宋_GB2312" w:hAnsi="宋体" w:eastAsia="仿宋_GB2312"/>
        </w:rPr>
        <w:t xml:space="preserve">    根据</w:t>
      </w:r>
      <w:r>
        <w:rPr>
          <w:rFonts w:hint="eastAsia" w:ascii="仿宋_GB2312" w:hAnsi="楷体_GB2312" w:eastAsia="仿宋_GB2312"/>
          <w:color w:val="000000"/>
        </w:rPr>
        <w:t>中建五局安徽分公司承建的</w:t>
      </w:r>
      <w:r>
        <w:rPr>
          <w:rFonts w:hint="eastAsia" w:ascii="仿宋_GB2312" w:hAnsi="楷体_GB2312" w:eastAsia="仿宋_GB2312"/>
          <w:color w:val="000000"/>
          <w:lang w:val="en-US" w:eastAsia="zh-CN"/>
        </w:rPr>
        <w:t>新开工</w:t>
      </w:r>
      <w:r>
        <w:rPr>
          <w:rFonts w:hint="eastAsia" w:ascii="仿宋_GB2312" w:hAnsi="楷体_GB2312" w:eastAsia="仿宋_GB2312"/>
          <w:color w:val="000000"/>
        </w:rPr>
        <w:t>项目对</w:t>
      </w:r>
      <w:r>
        <w:rPr>
          <w:rFonts w:hint="eastAsia" w:ascii="仿宋_GB2312" w:hAnsi="楷体_GB2312" w:eastAsia="仿宋_GB2312"/>
          <w:color w:val="000000"/>
          <w:lang w:val="en-US" w:eastAsia="zh-CN"/>
        </w:rPr>
        <w:t>电线电缆</w:t>
      </w:r>
      <w:r>
        <w:rPr>
          <w:rFonts w:hint="eastAsia" w:ascii="仿宋_GB2312" w:hAnsi="楷体_GB2312" w:eastAsia="仿宋_GB2312"/>
          <w:color w:val="000000"/>
          <w:lang w:eastAsia="zh-CN"/>
        </w:rPr>
        <w:t>采购</w:t>
      </w:r>
      <w:r>
        <w:rPr>
          <w:rFonts w:hint="eastAsia" w:ascii="仿宋_GB2312" w:hAnsi="宋体" w:eastAsia="仿宋_GB2312"/>
          <w:color w:val="auto"/>
        </w:rPr>
        <w:t>的</w:t>
      </w:r>
      <w:r>
        <w:rPr>
          <w:rFonts w:hint="eastAsia" w:ascii="仿宋_GB2312" w:hAnsi="楷体_GB2312" w:eastAsia="仿宋_GB2312"/>
          <w:color w:val="auto"/>
        </w:rPr>
        <w:t>需要，及五局对主材采购必须在“中国建筑</w:t>
      </w:r>
      <w:r>
        <w:rPr>
          <w:rFonts w:hint="eastAsia" w:ascii="仿宋_GB2312" w:hAnsi="楷体_GB2312" w:eastAsia="仿宋_GB2312"/>
          <w:color w:val="auto"/>
          <w:lang w:eastAsia="zh-CN"/>
        </w:rPr>
        <w:t>云筑网</w:t>
      </w:r>
      <w:r>
        <w:rPr>
          <w:rFonts w:hint="eastAsia" w:ascii="仿宋_GB2312" w:hAnsi="楷体_GB2312" w:eastAsia="仿宋_GB2312"/>
          <w:color w:val="auto"/>
        </w:rPr>
        <w:t>交易平台”的要求，诚邀有合作意愿的、具备独立法人资格的、具</w:t>
      </w:r>
      <w:r>
        <w:rPr>
          <w:rFonts w:hint="eastAsia" w:ascii="仿宋_GB2312" w:hAnsi="楷体_GB2312" w:eastAsia="仿宋_GB2312"/>
          <w:color w:val="000000"/>
        </w:rPr>
        <w:t>有良好履约能力的、具有国家或地方行业主管部门颁发的含有允许招标物资生产销售专业资质的生产企业销售企业参与公开招标。</w:t>
      </w:r>
    </w:p>
    <w:p>
      <w:pPr>
        <w:pStyle w:val="2"/>
        <w:jc w:val="center"/>
        <w:rPr>
          <w:rFonts w:hint="eastAsia"/>
        </w:rPr>
      </w:pPr>
      <w:bookmarkStart w:id="4" w:name="_Toc9698"/>
      <w:bookmarkStart w:id="5" w:name="_Toc21602"/>
    </w:p>
    <w:p>
      <w:pPr>
        <w:pStyle w:val="2"/>
        <w:jc w:val="center"/>
      </w:pPr>
      <w:r>
        <w:rPr>
          <w:rFonts w:hint="eastAsia"/>
        </w:rPr>
        <w:t>二、投标人须知</w:t>
      </w:r>
      <w:bookmarkEnd w:id="4"/>
      <w:bookmarkEnd w:id="5"/>
    </w:p>
    <w:p>
      <w:pPr>
        <w:pStyle w:val="28"/>
        <w:spacing w:line="360" w:lineRule="auto"/>
        <w:ind w:left="720" w:firstLine="0" w:firstLineChars="0"/>
        <w:rPr>
          <w:rFonts w:ascii="仿宋_GB2312" w:hAnsi="宋体" w:eastAsia="仿宋_GB2312"/>
          <w:b/>
        </w:rPr>
      </w:pPr>
    </w:p>
    <w:tbl>
      <w:tblPr>
        <w:tblStyle w:val="2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top"/>
          </w:tcPr>
          <w:p>
            <w:pPr>
              <w:spacing w:line="360" w:lineRule="auto"/>
              <w:jc w:val="center"/>
              <w:rPr>
                <w:rFonts w:ascii="仿宋_GB2312" w:hAnsi="宋体" w:eastAsia="仿宋_GB2312"/>
              </w:rPr>
            </w:pPr>
            <w:r>
              <w:rPr>
                <w:rFonts w:hint="eastAsia" w:ascii="仿宋_GB2312" w:hAnsi="宋体" w:eastAsia="仿宋_GB2312"/>
              </w:rPr>
              <w:t>类别</w:t>
            </w:r>
          </w:p>
        </w:tc>
        <w:tc>
          <w:tcPr>
            <w:tcW w:w="6657" w:type="dxa"/>
            <w:vAlign w:val="top"/>
          </w:tcPr>
          <w:p>
            <w:pPr>
              <w:spacing w:line="360" w:lineRule="auto"/>
              <w:jc w:val="center"/>
              <w:rPr>
                <w:rFonts w:ascii="仿宋_GB2312" w:hAnsi="宋体" w:eastAsia="仿宋_GB2312"/>
              </w:rPr>
            </w:pPr>
            <w:r>
              <w:rPr>
                <w:rFonts w:hint="eastAsia" w:ascii="仿宋_GB2312" w:hAnsi="宋体" w:eastAsia="仿宋_GB231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949" w:type="dxa"/>
            <w:vAlign w:val="center"/>
          </w:tcPr>
          <w:p>
            <w:pPr>
              <w:spacing w:line="360" w:lineRule="auto"/>
              <w:jc w:val="left"/>
              <w:rPr>
                <w:rFonts w:hint="eastAsia" w:ascii="仿宋_GB2312" w:hAnsi="楷体_GB2312" w:eastAsia="仿宋_GB2312"/>
                <w:color w:val="000000"/>
              </w:rPr>
            </w:pPr>
            <w:r>
              <w:rPr>
                <w:rFonts w:hint="eastAsia" w:ascii="仿宋_GB2312" w:hAnsi="楷体_GB2312" w:eastAsia="仿宋_GB2312"/>
                <w:color w:val="000000"/>
              </w:rPr>
              <w:t>2.1、使用项目</w:t>
            </w:r>
          </w:p>
        </w:tc>
        <w:tc>
          <w:tcPr>
            <w:tcW w:w="6657" w:type="dxa"/>
            <w:vAlign w:val="center"/>
          </w:tcPr>
          <w:p>
            <w:pPr>
              <w:spacing w:line="240" w:lineRule="auto"/>
              <w:jc w:val="left"/>
              <w:rPr>
                <w:rFonts w:hint="eastAsia" w:ascii="仿宋_GB2312" w:hAnsi="楷体_GB2312" w:eastAsia="仿宋_GB2312"/>
                <w:color w:val="000000"/>
                <w:lang w:eastAsia="zh-CN"/>
              </w:rPr>
            </w:pPr>
            <w:r>
              <w:rPr>
                <w:rFonts w:hint="eastAsia" w:ascii="仿宋_GB2312" w:hAnsi="楷体_GB2312" w:eastAsia="仿宋_GB2312"/>
                <w:color w:val="000000"/>
                <w:lang w:eastAsia="zh-CN"/>
              </w:rPr>
              <w:t>安徽公司各片区各项目</w:t>
            </w:r>
            <w:r>
              <w:rPr>
                <w:rFonts w:hint="eastAsia" w:ascii="仿宋_GB2312" w:hAnsi="楷体_GB2312" w:eastAsia="仿宋_GB2312"/>
                <w:color w:val="000000"/>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949" w:type="dxa"/>
            <w:vAlign w:val="center"/>
          </w:tcPr>
          <w:p>
            <w:pPr>
              <w:spacing w:line="360" w:lineRule="auto"/>
              <w:jc w:val="left"/>
              <w:rPr>
                <w:rFonts w:hint="eastAsia" w:ascii="仿宋_GB2312" w:hAnsi="宋体" w:eastAsia="仿宋_GB2312"/>
              </w:rPr>
            </w:pPr>
            <w:r>
              <w:rPr>
                <w:rFonts w:hint="eastAsia" w:ascii="仿宋_GB2312" w:hAnsi="宋体" w:eastAsia="仿宋_GB2312"/>
              </w:rPr>
              <w:t>2.2、项目地点</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lang w:eastAsia="zh-CN"/>
              </w:rPr>
              <w:t>在建需用项目（以甲方授权为准）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949" w:type="dxa"/>
            <w:vAlign w:val="center"/>
          </w:tcPr>
          <w:p>
            <w:pPr>
              <w:spacing w:line="360" w:lineRule="auto"/>
              <w:jc w:val="left"/>
              <w:rPr>
                <w:rFonts w:hint="eastAsia" w:ascii="仿宋_GB2312" w:hAnsi="宋体" w:eastAsia="仿宋_GB2312"/>
              </w:rPr>
            </w:pPr>
            <w:r>
              <w:rPr>
                <w:rFonts w:hint="eastAsia" w:ascii="仿宋_GB2312" w:hAnsi="宋体" w:eastAsia="仿宋_GB2312"/>
              </w:rPr>
              <w:t>2.3、工程概况</w:t>
            </w:r>
          </w:p>
        </w:tc>
        <w:tc>
          <w:tcPr>
            <w:tcW w:w="6657" w:type="dxa"/>
            <w:vAlign w:val="center"/>
          </w:tcPr>
          <w:p>
            <w:pPr>
              <w:spacing w:line="240" w:lineRule="auto"/>
              <w:jc w:val="left"/>
              <w:rPr>
                <w:rFonts w:hint="eastAsia" w:ascii="仿宋_GB2312" w:hAnsi="楷体_GB2312" w:eastAsia="仿宋_GB2312"/>
                <w:color w:val="000000"/>
                <w:lang w:eastAsia="zh-CN"/>
              </w:rPr>
            </w:pPr>
            <w:r>
              <w:rPr>
                <w:rFonts w:hint="eastAsia" w:ascii="仿宋_GB2312" w:hAnsi="楷体_GB2312" w:eastAsia="仿宋_GB2312"/>
                <w:color w:val="000000"/>
                <w:lang w:eastAsia="zh-CN"/>
              </w:rPr>
              <w:t>在建需用项目（以甲方授权为准）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949" w:type="dxa"/>
            <w:vAlign w:val="center"/>
          </w:tcPr>
          <w:p>
            <w:pPr>
              <w:autoSpaceDN w:val="0"/>
              <w:spacing w:line="360" w:lineRule="auto"/>
              <w:jc w:val="left"/>
              <w:rPr>
                <w:rFonts w:ascii="仿宋_GB2312" w:hAnsi="宋体" w:eastAsia="仿宋_GB2312"/>
              </w:rPr>
            </w:pPr>
            <w:r>
              <w:rPr>
                <w:rFonts w:hint="eastAsia" w:ascii="仿宋_GB2312" w:hAnsi="宋体" w:eastAsia="仿宋_GB2312"/>
              </w:rPr>
              <w:t>2.</w:t>
            </w:r>
            <w:r>
              <w:rPr>
                <w:rFonts w:hint="eastAsia" w:ascii="仿宋_GB2312" w:hAnsi="宋体" w:eastAsia="仿宋_GB2312"/>
                <w:color w:val="auto"/>
              </w:rPr>
              <w:t>4、</w:t>
            </w:r>
            <w:r>
              <w:rPr>
                <w:rFonts w:hint="eastAsia" w:ascii="仿宋_GB2312" w:hAnsi="楷体_GB2312" w:eastAsia="仿宋_GB2312"/>
                <w:color w:val="auto"/>
              </w:rPr>
              <w:t>招标内容、数量</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rPr>
              <w:t>内容：</w:t>
            </w:r>
            <w:r>
              <w:rPr>
                <w:rFonts w:hint="eastAsia" w:ascii="仿宋_GB2312" w:hAnsi="楷体_GB2312" w:eastAsia="仿宋_GB2312"/>
                <w:color w:val="000000"/>
                <w:lang w:val="en-US" w:eastAsia="zh-CN"/>
              </w:rPr>
              <w:t>电线电缆</w:t>
            </w:r>
            <w:r>
              <w:rPr>
                <w:rFonts w:hint="eastAsia" w:ascii="仿宋_GB2312" w:hAnsi="楷体_GB2312" w:eastAsia="仿宋_GB2312"/>
                <w:color w:val="000000"/>
              </w:rPr>
              <w:t xml:space="preserve">  数量：见招标物资明细表暨投标报价清单（附件1）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949" w:type="dxa"/>
            <w:vAlign w:val="center"/>
          </w:tcPr>
          <w:p>
            <w:pPr>
              <w:spacing w:line="360" w:lineRule="auto"/>
              <w:ind w:left="1080" w:hanging="1080" w:hangingChars="450"/>
              <w:jc w:val="left"/>
              <w:rPr>
                <w:rFonts w:ascii="仿宋_GB2312" w:hAnsi="宋体" w:eastAsia="仿宋_GB2312"/>
              </w:rPr>
            </w:pPr>
            <w:r>
              <w:rPr>
                <w:rFonts w:hint="eastAsia" w:ascii="仿宋_GB2312" w:hAnsi="宋体" w:eastAsia="仿宋_GB2312"/>
              </w:rPr>
              <w:t>2.5、质量要求及验收方法</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rPr>
              <w:t>1、质量要求：见合同文本</w:t>
            </w:r>
          </w:p>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rPr>
              <w:t>2、验收方法：见合同文本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949" w:type="dxa"/>
            <w:vAlign w:val="center"/>
          </w:tcPr>
          <w:p>
            <w:pPr>
              <w:spacing w:line="360" w:lineRule="auto"/>
              <w:jc w:val="left"/>
              <w:rPr>
                <w:rFonts w:ascii="仿宋_GB2312" w:hAnsi="宋体" w:eastAsia="仿宋_GB2312"/>
              </w:rPr>
            </w:pPr>
            <w:r>
              <w:rPr>
                <w:rFonts w:hint="eastAsia" w:ascii="仿宋_GB2312" w:hAnsi="宋体" w:eastAsia="仿宋_GB2312"/>
              </w:rPr>
              <w:t>2.6、招标方式</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rPr>
              <w:t>在“中国建筑</w:t>
            </w:r>
            <w:r>
              <w:rPr>
                <w:rFonts w:hint="eastAsia" w:ascii="仿宋_GB2312" w:hAnsi="楷体_GB2312" w:eastAsia="仿宋_GB2312"/>
                <w:color w:val="000000"/>
                <w:lang w:eastAsia="zh-CN"/>
              </w:rPr>
              <w:t>云筑网</w:t>
            </w:r>
            <w:r>
              <w:rPr>
                <w:rFonts w:hint="eastAsia" w:ascii="仿宋_GB2312" w:hAnsi="楷体_GB2312" w:eastAsia="仿宋_GB2312"/>
                <w:color w:val="000000"/>
              </w:rPr>
              <w:t>交易平台” 上公开招标。网址：</w:t>
            </w:r>
            <w:bookmarkStart w:id="6" w:name="OLE_LINK13"/>
            <w:bookmarkStart w:id="7" w:name="OLE_LINK14"/>
            <w:r>
              <w:rPr>
                <w:rFonts w:hint="eastAsia" w:ascii="仿宋_GB2312" w:hAnsi="楷体_GB2312" w:eastAsia="仿宋_GB2312"/>
                <w:color w:val="000000"/>
              </w:rPr>
              <w:t>http://cscec.jc.yzw.cn/Home/Index</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exact"/>
          <w:jc w:val="center"/>
        </w:trPr>
        <w:tc>
          <w:tcPr>
            <w:tcW w:w="2949" w:type="dxa"/>
            <w:vAlign w:val="center"/>
          </w:tcPr>
          <w:p>
            <w:pPr>
              <w:spacing w:line="360" w:lineRule="auto"/>
              <w:jc w:val="left"/>
              <w:rPr>
                <w:rFonts w:ascii="仿宋_GB2312" w:hAnsi="宋体" w:eastAsia="仿宋_GB2312"/>
                <w:color w:val="auto"/>
              </w:rPr>
            </w:pPr>
            <w:r>
              <w:rPr>
                <w:rFonts w:hint="eastAsia" w:ascii="仿宋_GB2312" w:hAnsi="宋体" w:eastAsia="仿宋_GB2312"/>
                <w:color w:val="auto"/>
              </w:rPr>
              <w:t>2.7、 投标保证金</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lang w:val="en-US" w:eastAsia="zh-CN"/>
              </w:rPr>
              <w:t xml:space="preserve">    </w:t>
            </w:r>
            <w:r>
              <w:rPr>
                <w:rFonts w:hint="eastAsia" w:ascii="仿宋_GB2312" w:hAnsi="楷体_GB2312" w:eastAsia="仿宋_GB2312"/>
                <w:color w:val="000000"/>
              </w:rPr>
              <w:t>凡经资格审查合格的供应商须交纳人民币</w:t>
            </w:r>
            <w:r>
              <w:rPr>
                <w:rFonts w:hint="eastAsia" w:ascii="仿宋_GB2312" w:hAnsi="楷体_GB2312" w:eastAsia="仿宋_GB2312"/>
                <w:color w:val="000000"/>
                <w:highlight w:val="yellow"/>
                <w:u w:val="single"/>
                <w:lang w:val="en-US" w:eastAsia="zh-CN"/>
              </w:rPr>
              <w:t xml:space="preserve"> 伍万 </w:t>
            </w:r>
            <w:r>
              <w:rPr>
                <w:rFonts w:hint="eastAsia" w:ascii="仿宋_GB2312" w:hAnsi="楷体_GB2312" w:eastAsia="仿宋_GB2312"/>
                <w:color w:val="000000"/>
              </w:rPr>
              <w:t>万元整作为投标保证金，中标者自动转为履约保证金。未中标者，投标保证金将在发布定标通知后14个工作日内无息退还（凭收据）。未按时投标者或中标不能按承诺签订合同者，不予退还投标保证金。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49" w:type="dxa"/>
            <w:vAlign w:val="center"/>
          </w:tcPr>
          <w:p>
            <w:pPr>
              <w:spacing w:line="360" w:lineRule="auto"/>
              <w:jc w:val="left"/>
              <w:rPr>
                <w:rFonts w:ascii="仿宋_GB2312" w:hAnsi="宋体" w:eastAsia="仿宋_GB2312"/>
                <w:color w:val="auto"/>
              </w:rPr>
            </w:pPr>
            <w:r>
              <w:rPr>
                <w:rFonts w:hint="eastAsia" w:ascii="仿宋_GB2312" w:hAnsi="宋体" w:eastAsia="仿宋_GB2312"/>
                <w:color w:val="auto"/>
              </w:rPr>
              <w:t>2.8、 投标截止时间</w:t>
            </w:r>
          </w:p>
        </w:tc>
        <w:tc>
          <w:tcPr>
            <w:tcW w:w="6657" w:type="dxa"/>
            <w:vAlign w:val="center"/>
          </w:tcPr>
          <w:p>
            <w:pPr>
              <w:spacing w:line="240" w:lineRule="auto"/>
              <w:jc w:val="left"/>
              <w:rPr>
                <w:rFonts w:hint="eastAsia" w:ascii="仿宋_GB2312" w:hAnsi="楷体_GB2312" w:eastAsia="仿宋_GB2312"/>
                <w:color w:val="auto"/>
              </w:rPr>
            </w:pPr>
            <w:r>
              <w:rPr>
                <w:rFonts w:hint="eastAsia" w:ascii="仿宋_GB2312" w:hAnsi="楷体_GB2312" w:eastAsia="仿宋_GB2312"/>
                <w:color w:val="auto"/>
              </w:rPr>
              <w:t>201</w:t>
            </w:r>
            <w:r>
              <w:rPr>
                <w:rFonts w:hint="eastAsia" w:ascii="仿宋_GB2312" w:hAnsi="楷体_GB2312" w:eastAsia="仿宋_GB2312"/>
                <w:color w:val="auto"/>
                <w:lang w:val="en-US" w:eastAsia="zh-CN"/>
              </w:rPr>
              <w:t>7</w:t>
            </w:r>
            <w:r>
              <w:rPr>
                <w:rFonts w:hint="eastAsia" w:ascii="仿宋_GB2312" w:hAnsi="楷体_GB2312" w:eastAsia="仿宋_GB2312"/>
                <w:color w:val="auto"/>
              </w:rPr>
              <w:t>年</w:t>
            </w:r>
            <w:r>
              <w:rPr>
                <w:rFonts w:hint="eastAsia" w:ascii="仿宋_GB2312" w:hAnsi="楷体_GB2312" w:eastAsia="仿宋_GB2312"/>
                <w:color w:val="auto"/>
                <w:lang w:val="en-US" w:eastAsia="zh-CN"/>
              </w:rPr>
              <w:t>11</w:t>
            </w:r>
            <w:r>
              <w:rPr>
                <w:rFonts w:hint="eastAsia" w:ascii="仿宋_GB2312" w:hAnsi="楷体_GB2312" w:eastAsia="仿宋_GB2312"/>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49" w:type="dxa"/>
            <w:vAlign w:val="center"/>
          </w:tcPr>
          <w:p>
            <w:pPr>
              <w:spacing w:line="360" w:lineRule="auto"/>
              <w:jc w:val="left"/>
              <w:rPr>
                <w:rFonts w:ascii="仿宋_GB2312" w:hAnsi="宋体" w:eastAsia="仿宋_GB2312"/>
                <w:color w:val="auto"/>
              </w:rPr>
            </w:pPr>
            <w:r>
              <w:rPr>
                <w:rFonts w:hint="eastAsia" w:ascii="仿宋_GB2312" w:hAnsi="宋体" w:eastAsia="仿宋_GB2312"/>
                <w:color w:val="auto"/>
              </w:rPr>
              <w:t>2.9、 开标时间</w:t>
            </w:r>
          </w:p>
        </w:tc>
        <w:tc>
          <w:tcPr>
            <w:tcW w:w="6657" w:type="dxa"/>
            <w:vAlign w:val="center"/>
          </w:tcPr>
          <w:p>
            <w:pPr>
              <w:spacing w:line="240" w:lineRule="auto"/>
              <w:jc w:val="left"/>
              <w:rPr>
                <w:rFonts w:hint="eastAsia" w:ascii="仿宋_GB2312" w:hAnsi="楷体_GB2312" w:eastAsia="仿宋_GB2312"/>
                <w:color w:val="auto"/>
              </w:rPr>
            </w:pPr>
            <w:r>
              <w:rPr>
                <w:rFonts w:hint="eastAsia" w:ascii="仿宋_GB2312" w:hAnsi="楷体_GB2312" w:eastAsia="仿宋_GB2312"/>
                <w:color w:val="auto"/>
              </w:rPr>
              <w:t>201</w:t>
            </w:r>
            <w:r>
              <w:rPr>
                <w:rFonts w:hint="eastAsia" w:ascii="仿宋_GB2312" w:hAnsi="楷体_GB2312" w:eastAsia="仿宋_GB2312"/>
                <w:color w:val="auto"/>
                <w:lang w:val="en-US" w:eastAsia="zh-CN"/>
              </w:rPr>
              <w:t>7</w:t>
            </w:r>
            <w:r>
              <w:rPr>
                <w:rFonts w:hint="eastAsia" w:ascii="仿宋_GB2312" w:hAnsi="楷体_GB2312" w:eastAsia="仿宋_GB2312"/>
                <w:color w:val="auto"/>
              </w:rPr>
              <w:t>年</w:t>
            </w:r>
            <w:r>
              <w:rPr>
                <w:rFonts w:hint="eastAsia" w:ascii="仿宋_GB2312" w:hAnsi="楷体_GB2312" w:eastAsia="仿宋_GB2312"/>
                <w:color w:val="auto"/>
                <w:lang w:val="en-US" w:eastAsia="zh-CN"/>
              </w:rPr>
              <w:t>11</w:t>
            </w:r>
            <w:r>
              <w:rPr>
                <w:rFonts w:hint="eastAsia" w:ascii="仿宋_GB2312" w:hAnsi="楷体_GB2312" w:eastAsia="仿宋_GB2312"/>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49" w:type="dxa"/>
            <w:vAlign w:val="center"/>
          </w:tcPr>
          <w:p>
            <w:pPr>
              <w:spacing w:line="360" w:lineRule="auto"/>
              <w:jc w:val="left"/>
              <w:rPr>
                <w:rFonts w:ascii="仿宋_GB2312" w:hAnsi="宋体" w:eastAsia="仿宋_GB2312"/>
              </w:rPr>
            </w:pPr>
            <w:r>
              <w:rPr>
                <w:rFonts w:hint="eastAsia" w:ascii="仿宋_GB2312" w:hAnsi="宋体" w:eastAsia="仿宋_GB2312"/>
              </w:rPr>
              <w:t>2.10、结算及支付方式</w:t>
            </w:r>
          </w:p>
        </w:tc>
        <w:tc>
          <w:tcPr>
            <w:tcW w:w="6657" w:type="dxa"/>
            <w:vAlign w:val="center"/>
          </w:tcPr>
          <w:p>
            <w:pPr>
              <w:spacing w:line="240" w:lineRule="auto"/>
              <w:jc w:val="left"/>
              <w:rPr>
                <w:rFonts w:hint="eastAsia" w:ascii="仿宋_GB2312" w:hAnsi="楷体_GB2312" w:eastAsia="仿宋_GB2312"/>
                <w:color w:val="000000"/>
              </w:rPr>
            </w:pPr>
            <w:r>
              <w:rPr>
                <w:rFonts w:hint="eastAsia" w:ascii="仿宋_GB2312" w:hAnsi="楷体_GB2312" w:eastAsia="仿宋_GB2312"/>
                <w:color w:val="000000"/>
              </w:rPr>
              <w:t>详情见合同文本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49" w:type="dxa"/>
            <w:vAlign w:val="center"/>
          </w:tcPr>
          <w:p>
            <w:pPr>
              <w:spacing w:line="360" w:lineRule="auto"/>
              <w:jc w:val="left"/>
              <w:rPr>
                <w:rFonts w:ascii="仿宋_GB2312" w:hAnsi="宋体" w:eastAsia="仿宋_GB2312"/>
              </w:rPr>
            </w:pPr>
            <w:r>
              <w:rPr>
                <w:rFonts w:hint="eastAsia" w:ascii="仿宋_GB2312" w:hAnsi="宋体" w:eastAsia="仿宋_GB2312"/>
              </w:rPr>
              <w:t>2.11、招标联系人及电话</w:t>
            </w:r>
          </w:p>
        </w:tc>
        <w:tc>
          <w:tcPr>
            <w:tcW w:w="6657" w:type="dxa"/>
            <w:vAlign w:val="center"/>
          </w:tcPr>
          <w:p>
            <w:pPr>
              <w:spacing w:line="240" w:lineRule="auto"/>
              <w:jc w:val="left"/>
              <w:rPr>
                <w:rFonts w:ascii="仿宋_GB2312" w:hAnsi="楷体_GB2312" w:eastAsia="仿宋_GB2312"/>
                <w:color w:val="000000"/>
              </w:rPr>
            </w:pPr>
            <w:r>
              <w:rPr>
                <w:rFonts w:hint="eastAsia" w:ascii="仿宋_GB2312" w:hAnsi="楷体_GB2312" w:eastAsia="仿宋_GB2312"/>
                <w:color w:val="000000"/>
                <w:lang w:val="en-US" w:eastAsia="zh-CN"/>
              </w:rPr>
              <w:t>王成文</w:t>
            </w:r>
            <w:r>
              <w:rPr>
                <w:rFonts w:hint="eastAsia" w:ascii="仿宋_GB2312" w:hAnsi="楷体_GB2312" w:eastAsia="仿宋_GB2312"/>
                <w:color w:val="000000"/>
              </w:rPr>
              <w:t>：</w:t>
            </w:r>
            <w:r>
              <w:rPr>
                <w:rFonts w:hint="eastAsia" w:ascii="仿宋_GB2312" w:hAnsi="楷体_GB2312" w:eastAsia="仿宋_GB2312"/>
                <w:color w:val="000000"/>
                <w:lang w:val="en-US" w:eastAsia="zh-CN"/>
              </w:rPr>
              <w:t>15156993011</w:t>
            </w:r>
          </w:p>
        </w:tc>
      </w:tr>
    </w:tbl>
    <w:p>
      <w:pPr>
        <w:pStyle w:val="2"/>
        <w:jc w:val="center"/>
      </w:pPr>
      <w:bookmarkStart w:id="8" w:name="_Toc29649"/>
      <w:bookmarkStart w:id="9" w:name="_Toc15964"/>
      <w:r>
        <w:rPr>
          <w:rFonts w:hint="eastAsia"/>
        </w:rPr>
        <w:t>三、招标文件</w:t>
      </w:r>
      <w:bookmarkEnd w:id="8"/>
      <w:bookmarkEnd w:id="9"/>
    </w:p>
    <w:p>
      <w:pPr>
        <w:pStyle w:val="15"/>
      </w:pPr>
      <w:bookmarkStart w:id="10" w:name="_Toc28769"/>
      <w:bookmarkStart w:id="11" w:name="_Toc11182"/>
      <w:r>
        <w:rPr>
          <w:rFonts w:hint="eastAsia"/>
        </w:rPr>
        <w:t>3.1、招标文件的组成</w:t>
      </w:r>
      <w:bookmarkEnd w:id="10"/>
      <w:bookmarkEnd w:id="11"/>
    </w:p>
    <w:p>
      <w:pPr>
        <w:spacing w:line="360" w:lineRule="auto"/>
        <w:ind w:firstLine="521"/>
        <w:rPr>
          <w:rFonts w:ascii="仿宋_GB2312" w:hAnsi="宋体" w:eastAsia="仿宋_GB2312"/>
        </w:rPr>
      </w:pPr>
      <w:r>
        <w:rPr>
          <w:rFonts w:hint="eastAsia" w:ascii="仿宋_GB2312" w:hAnsi="宋体" w:eastAsia="仿宋_GB2312"/>
        </w:rPr>
        <w:t>3.1.1、招标文件除以下内容外，招标人在招标期间所发出的补充通知或修订函件等，均是招标文件的组成部分，对投标人起约束作用；</w:t>
      </w:r>
    </w:p>
    <w:p>
      <w:pPr>
        <w:spacing w:line="360" w:lineRule="auto"/>
        <w:ind w:firstLine="521"/>
        <w:rPr>
          <w:rFonts w:ascii="仿宋_GB2312" w:hAnsi="宋体" w:eastAsia="仿宋_GB2312"/>
        </w:rPr>
      </w:pPr>
      <w:r>
        <w:rPr>
          <w:rFonts w:hint="eastAsia" w:ascii="仿宋_GB2312" w:hAnsi="宋体" w:eastAsia="仿宋_GB2312"/>
        </w:rPr>
        <w:t>3.1.2、招标文件包括下列内容：</w:t>
      </w:r>
    </w:p>
    <w:p>
      <w:pPr>
        <w:spacing w:line="360" w:lineRule="auto"/>
        <w:ind w:firstLine="960" w:firstLineChars="400"/>
        <w:rPr>
          <w:rFonts w:ascii="仿宋_GB2312" w:hAnsi="宋体" w:eastAsia="仿宋_GB2312"/>
        </w:rPr>
      </w:pPr>
      <w:r>
        <w:rPr>
          <w:rFonts w:hint="eastAsia" w:ascii="仿宋_GB2312" w:hAnsi="宋体" w:eastAsia="仿宋_GB2312"/>
        </w:rPr>
        <w:t>一、  总则</w:t>
      </w:r>
    </w:p>
    <w:p>
      <w:pPr>
        <w:spacing w:line="360" w:lineRule="auto"/>
        <w:ind w:firstLine="960" w:firstLineChars="400"/>
        <w:rPr>
          <w:rFonts w:ascii="仿宋_GB2312" w:hAnsi="宋体" w:eastAsia="仿宋_GB2312"/>
        </w:rPr>
      </w:pPr>
      <w:r>
        <w:rPr>
          <w:rFonts w:hint="eastAsia" w:ascii="仿宋_GB2312" w:hAnsi="宋体" w:eastAsia="仿宋_GB2312"/>
        </w:rPr>
        <w:t xml:space="preserve">二、  投标人须知 </w:t>
      </w:r>
    </w:p>
    <w:p>
      <w:pPr>
        <w:spacing w:line="360" w:lineRule="auto"/>
        <w:rPr>
          <w:rFonts w:ascii="仿宋_GB2312" w:hAnsi="宋体" w:eastAsia="仿宋_GB2312"/>
        </w:rPr>
      </w:pPr>
      <w:r>
        <w:rPr>
          <w:rFonts w:hint="eastAsia" w:ascii="仿宋_GB2312" w:hAnsi="宋体" w:eastAsia="仿宋_GB2312"/>
        </w:rPr>
        <w:t xml:space="preserve">        三、  招标文件</w:t>
      </w:r>
    </w:p>
    <w:p>
      <w:pPr>
        <w:spacing w:line="360" w:lineRule="auto"/>
        <w:rPr>
          <w:rFonts w:ascii="仿宋_GB2312" w:hAnsi="宋体" w:eastAsia="仿宋_GB2312"/>
        </w:rPr>
      </w:pPr>
      <w:r>
        <w:rPr>
          <w:rFonts w:hint="eastAsia" w:ascii="仿宋_GB2312" w:hAnsi="宋体" w:eastAsia="仿宋_GB2312"/>
        </w:rPr>
        <w:t xml:space="preserve">        四、  投标文件的编制</w:t>
      </w:r>
    </w:p>
    <w:p>
      <w:pPr>
        <w:spacing w:line="360" w:lineRule="auto"/>
        <w:rPr>
          <w:rFonts w:ascii="仿宋_GB2312" w:hAnsi="宋体" w:eastAsia="仿宋_GB2312"/>
        </w:rPr>
      </w:pPr>
      <w:r>
        <w:rPr>
          <w:rFonts w:hint="eastAsia" w:ascii="仿宋_GB2312" w:hAnsi="宋体" w:eastAsia="仿宋_GB2312"/>
        </w:rPr>
        <w:t xml:space="preserve">        五、  开标、评标和定标</w:t>
      </w:r>
    </w:p>
    <w:p>
      <w:pPr>
        <w:spacing w:line="360" w:lineRule="auto"/>
        <w:rPr>
          <w:rFonts w:ascii="仿宋_GB2312" w:hAnsi="宋体" w:eastAsia="仿宋_GB2312"/>
        </w:rPr>
      </w:pPr>
      <w:r>
        <w:rPr>
          <w:rFonts w:hint="eastAsia" w:ascii="仿宋_GB2312" w:hAnsi="宋体" w:eastAsia="仿宋_GB2312"/>
        </w:rPr>
        <w:t xml:space="preserve">        六、  合同的授予</w:t>
      </w:r>
    </w:p>
    <w:p>
      <w:pPr>
        <w:spacing w:line="360" w:lineRule="auto"/>
        <w:rPr>
          <w:rFonts w:ascii="仿宋_GB2312" w:hAnsi="宋体" w:eastAsia="仿宋_GB2312"/>
        </w:rPr>
      </w:pPr>
      <w:r>
        <w:rPr>
          <w:rFonts w:hint="eastAsia" w:ascii="仿宋_GB2312" w:hAnsi="宋体" w:eastAsia="仿宋_GB2312"/>
        </w:rPr>
        <w:t xml:space="preserve">        七、  合同文本</w:t>
      </w:r>
    </w:p>
    <w:p>
      <w:pPr>
        <w:pStyle w:val="29"/>
      </w:pPr>
      <w:bookmarkStart w:id="12" w:name="_Toc16330"/>
      <w:bookmarkStart w:id="13" w:name="_Toc8296"/>
      <w:r>
        <w:rPr>
          <w:rFonts w:hint="eastAsia"/>
        </w:rPr>
        <w:t>3.2、投标人资格</w:t>
      </w:r>
      <w:bookmarkEnd w:id="12"/>
      <w:bookmarkEnd w:id="13"/>
    </w:p>
    <w:p>
      <w:pPr>
        <w:spacing w:line="360" w:lineRule="auto"/>
        <w:ind w:firstLine="521"/>
        <w:rPr>
          <w:rFonts w:ascii="仿宋_GB2312" w:hAnsi="宋体" w:eastAsia="仿宋_GB2312"/>
        </w:rPr>
      </w:pPr>
      <w:r>
        <w:rPr>
          <w:rFonts w:hint="eastAsia" w:ascii="仿宋_GB2312" w:hAnsi="楷体_GB2312" w:eastAsia="仿宋_GB2312"/>
          <w:color w:val="000000"/>
        </w:rPr>
        <w:t>投标人应具有圆满履行合同的能力，具体应符合下列条件：</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3.2.1、投标人必须是具有独立法人资格的生产销售商；</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3.2.2、投标方应具有招标产品的生产制造或销售资质及行业准入资质。</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3.2.3、投标方必须具有五年以上的所招标产品（物资）的生产制造或销售经验，市场占有率国（省）内排名在前；</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3.2.4、注册资金</w:t>
      </w:r>
      <w:r>
        <w:rPr>
          <w:rFonts w:hint="eastAsia" w:ascii="仿宋_GB2312" w:hAnsi="楷体_GB2312" w:eastAsia="仿宋_GB2312"/>
          <w:color w:val="000000"/>
          <w:lang w:val="en-US" w:eastAsia="zh-CN"/>
        </w:rPr>
        <w:t>500</w:t>
      </w:r>
      <w:r>
        <w:rPr>
          <w:rFonts w:hint="eastAsia" w:ascii="仿宋_GB2312" w:hAnsi="楷体_GB2312" w:eastAsia="仿宋_GB2312"/>
          <w:color w:val="000000"/>
        </w:rPr>
        <w:t>万元以上</w:t>
      </w:r>
      <w:r>
        <w:rPr>
          <w:rFonts w:hint="eastAsia" w:ascii="仿宋_GB2312" w:hAnsi="楷体_GB2312" w:eastAsia="仿宋_GB2312"/>
          <w:color w:val="000000"/>
          <w:highlight w:val="yellow"/>
          <w:lang w:eastAsia="zh-CN"/>
        </w:rPr>
        <w:t>（</w:t>
      </w:r>
      <w:r>
        <w:rPr>
          <w:rFonts w:hint="eastAsia" w:ascii="仿宋_GB2312" w:hAnsi="楷体_GB2312" w:eastAsia="仿宋_GB2312"/>
          <w:color w:val="000000"/>
          <w:highlight w:val="yellow"/>
          <w:lang w:val="en-US" w:eastAsia="zh-CN"/>
        </w:rPr>
        <w:t>与我司合作单位可酌情降低标准</w:t>
      </w:r>
      <w:r>
        <w:rPr>
          <w:rFonts w:hint="eastAsia" w:ascii="仿宋_GB2312" w:hAnsi="楷体_GB2312" w:eastAsia="仿宋_GB2312"/>
          <w:color w:val="000000"/>
          <w:highlight w:val="yellow"/>
          <w:lang w:eastAsia="zh-CN"/>
        </w:rPr>
        <w:t>）</w:t>
      </w:r>
      <w:r>
        <w:rPr>
          <w:rFonts w:hint="eastAsia" w:ascii="仿宋_GB2312" w:hAnsi="楷体_GB2312" w:eastAsia="仿宋_GB2312"/>
          <w:color w:val="000000"/>
        </w:rPr>
        <w:t>；</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3.2.5、投标人须能提供良好的售后服务；</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3.2.6、投标人及产品在以往销售中无不良记录并在市场中有良好的信誉；</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3.2.7、投标人及产品已经通过有关部门认证；</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3.2.8、投标人具有完善的质量、安全保证体系；</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3.2.9、具有良好的银行资信和商业信誉，没有处于被责令停业，财产被接管、冻结、破产状态。</w:t>
      </w:r>
    </w:p>
    <w:p>
      <w:pPr>
        <w:autoSpaceDN w:val="0"/>
        <w:spacing w:line="360" w:lineRule="auto"/>
        <w:ind w:firstLine="540"/>
        <w:rPr>
          <w:rFonts w:ascii="仿宋_GB2312" w:hAnsi="楷体_GB2312" w:eastAsia="仿宋_GB2312"/>
          <w:color w:val="000000"/>
        </w:rPr>
      </w:pPr>
      <w:r>
        <w:rPr>
          <w:rFonts w:hint="eastAsia" w:ascii="仿宋_GB2312" w:hAnsi="楷体_GB2312" w:eastAsia="仿宋_GB2312"/>
          <w:color w:val="000000"/>
        </w:rPr>
        <w:t>3.2.10、未与需方发生过法律和其它不良纠纷。</w:t>
      </w:r>
    </w:p>
    <w:p>
      <w:pPr>
        <w:pStyle w:val="29"/>
      </w:pPr>
      <w:bookmarkStart w:id="14" w:name="_Toc5581"/>
      <w:bookmarkStart w:id="15" w:name="_Toc21696"/>
      <w:r>
        <w:rPr>
          <w:rFonts w:hint="eastAsia"/>
        </w:rPr>
        <w:t>3.3、合格的投标人</w:t>
      </w:r>
      <w:bookmarkEnd w:id="14"/>
      <w:bookmarkEnd w:id="15"/>
    </w:p>
    <w:p>
      <w:pPr>
        <w:spacing w:line="360" w:lineRule="auto"/>
        <w:ind w:firstLine="522"/>
        <w:rPr>
          <w:rFonts w:ascii="仿宋_GB2312" w:hAnsi="宋体" w:eastAsia="仿宋_GB2312"/>
        </w:rPr>
      </w:pPr>
      <w:r>
        <w:rPr>
          <w:rFonts w:hint="eastAsia" w:ascii="仿宋_GB2312" w:hAnsi="宋体" w:eastAsia="仿宋_GB2312"/>
        </w:rPr>
        <w:t>3.3.1、通过招标人审查，拥有</w:t>
      </w:r>
      <w:r>
        <w:rPr>
          <w:rFonts w:hint="eastAsia" w:ascii="仿宋_GB2312" w:hAnsi="楷体_GB2312" w:eastAsia="仿宋_GB2312"/>
          <w:color w:val="000000"/>
        </w:rPr>
        <w:t>“中国建筑集中采购网络交易平台</w:t>
      </w:r>
      <w:r>
        <w:rPr>
          <w:rFonts w:ascii="仿宋_GB2312" w:hAnsi="楷体_GB2312" w:eastAsia="仿宋_GB2312"/>
          <w:color w:val="000000"/>
        </w:rPr>
        <w:t>”</w:t>
      </w:r>
      <w:r>
        <w:rPr>
          <w:rFonts w:hint="eastAsia" w:ascii="仿宋_GB2312" w:hAnsi="楷体_GB2312" w:eastAsia="仿宋_GB2312"/>
          <w:color w:val="000000"/>
        </w:rPr>
        <w:t>投标资格的投标单位</w:t>
      </w:r>
      <w:r>
        <w:rPr>
          <w:rFonts w:hint="eastAsia" w:ascii="仿宋_GB2312" w:hAnsi="宋体" w:eastAsia="仿宋_GB2312"/>
        </w:rPr>
        <w:t>；</w:t>
      </w:r>
    </w:p>
    <w:p>
      <w:pPr>
        <w:spacing w:line="360" w:lineRule="auto"/>
        <w:ind w:firstLine="521"/>
        <w:rPr>
          <w:rFonts w:ascii="仿宋_GB2312" w:hAnsi="宋体" w:eastAsia="仿宋_GB2312"/>
        </w:rPr>
      </w:pPr>
      <w:r>
        <w:rPr>
          <w:rFonts w:hint="eastAsia" w:ascii="仿宋_GB2312" w:hAnsi="宋体" w:eastAsia="仿宋_GB2312"/>
        </w:rPr>
        <w:t>3.3.2、独立法人单位投标，本招标不允许联合体投标。</w:t>
      </w:r>
    </w:p>
    <w:p>
      <w:pPr>
        <w:autoSpaceDN w:val="0"/>
        <w:spacing w:line="360" w:lineRule="auto"/>
        <w:ind w:firstLine="522"/>
        <w:rPr>
          <w:rFonts w:ascii="仿宋_GB2312" w:hAnsi="楷体_GB2312" w:eastAsia="仿宋_GB2312"/>
          <w:color w:val="000000"/>
        </w:rPr>
      </w:pPr>
      <w:r>
        <w:rPr>
          <w:rFonts w:hint="eastAsia" w:ascii="仿宋_GB2312" w:hAnsi="宋体" w:eastAsia="仿宋_GB2312"/>
        </w:rPr>
        <w:t>3.3.2、</w:t>
      </w:r>
      <w:r>
        <w:rPr>
          <w:rFonts w:hint="eastAsia" w:ascii="仿宋_GB2312" w:hAnsi="楷体_GB2312" w:eastAsia="仿宋_GB2312"/>
          <w:color w:val="000000"/>
        </w:rPr>
        <w:t>投标人在中国建筑集中采购网络交易投标平台上下载招标文件之前，已将投标保证金人民币</w:t>
      </w:r>
      <w:r>
        <w:rPr>
          <w:rFonts w:hint="eastAsia" w:ascii="仿宋_GB2312" w:hAnsi="楷体_GB2312" w:eastAsia="仿宋_GB2312"/>
          <w:b/>
          <w:bCs/>
          <w:color w:val="000000"/>
          <w:highlight w:val="yellow"/>
          <w:u w:val="single"/>
          <w:lang w:val="en-US" w:eastAsia="zh-CN"/>
        </w:rPr>
        <w:t xml:space="preserve"> 伍万 </w:t>
      </w:r>
      <w:r>
        <w:rPr>
          <w:rFonts w:hint="eastAsia" w:ascii="仿宋_GB2312" w:hAnsi="楷体_GB2312" w:eastAsia="仿宋_GB2312"/>
          <w:color w:val="000000"/>
          <w:highlight w:val="yellow"/>
        </w:rPr>
        <w:t>元整（￥</w:t>
      </w:r>
      <w:r>
        <w:rPr>
          <w:rFonts w:hint="eastAsia" w:ascii="仿宋_GB2312" w:hAnsi="楷体_GB2312" w:eastAsia="仿宋_GB2312"/>
          <w:b/>
          <w:bCs/>
          <w:color w:val="000000"/>
          <w:highlight w:val="yellow"/>
          <w:u w:val="single"/>
          <w:lang w:val="en-US" w:eastAsia="zh-CN"/>
        </w:rPr>
        <w:t xml:space="preserve"> 50000  </w:t>
      </w:r>
      <w:r>
        <w:rPr>
          <w:rFonts w:hint="eastAsia" w:ascii="仿宋_GB2312" w:hAnsi="楷体_GB2312" w:eastAsia="仿宋_GB2312"/>
          <w:color w:val="000000"/>
        </w:rPr>
        <w:t>元整），以银行转帐的方式(从投标单位的基本账户转入,不接受现金及其他方式)交至甲方指定账户（见附件3），由财务资金部开具保证金收据的。</w:t>
      </w:r>
    </w:p>
    <w:p>
      <w:pPr>
        <w:autoSpaceDN w:val="0"/>
        <w:spacing w:line="360" w:lineRule="auto"/>
        <w:ind w:firstLine="522"/>
        <w:rPr>
          <w:rFonts w:ascii="仿宋_GB2312" w:hAnsi="宋体" w:eastAsia="仿宋_GB2312"/>
        </w:rPr>
      </w:pPr>
      <w:r>
        <w:rPr>
          <w:rFonts w:hint="eastAsia" w:ascii="仿宋_GB2312" w:hAnsi="宋体" w:eastAsia="仿宋_GB2312"/>
        </w:rPr>
        <w:t>3.3.4、投标人获得招标文件后，应认真审阅招标文件所有的事项、格式、条款和规范要求等，如有疑问必须及时向招标人提出，如果投标人的投标文件没有按照招标文件要求提交全部资料或投标文件没有对招标文件作出实质性响应，其投标文件有可能成为无效投标文件而失去评标资格。</w:t>
      </w:r>
    </w:p>
    <w:p>
      <w:pPr>
        <w:pStyle w:val="29"/>
      </w:pPr>
      <w:bookmarkStart w:id="16" w:name="_Toc19564"/>
      <w:bookmarkStart w:id="17" w:name="_Toc26206"/>
      <w:r>
        <w:rPr>
          <w:rFonts w:hint="eastAsia"/>
        </w:rPr>
        <w:t>3.4、投标保证金说明：</w:t>
      </w:r>
      <w:bookmarkEnd w:id="16"/>
      <w:bookmarkEnd w:id="17"/>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3.4.1、投标人出现以下行为之一，招标人将没收投标人交纳的投标保证金：</w:t>
      </w:r>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3.4.1.1、投标人被确定为中标人后放弃中标资格的；</w:t>
      </w:r>
    </w:p>
    <w:p>
      <w:pPr>
        <w:autoSpaceDN w:val="0"/>
        <w:spacing w:line="360" w:lineRule="auto"/>
        <w:ind w:left="-6" w:firstLine="522"/>
        <w:rPr>
          <w:rFonts w:ascii="仿宋_GB2312" w:hAnsi="楷体_GB2312" w:eastAsia="仿宋_GB2312"/>
          <w:color w:val="000000"/>
        </w:rPr>
      </w:pPr>
      <w:r>
        <w:rPr>
          <w:rFonts w:hint="eastAsia" w:ascii="仿宋_GB2312" w:hAnsi="楷体_GB2312" w:eastAsia="仿宋_GB2312"/>
          <w:color w:val="000000"/>
        </w:rPr>
        <w:t>3.4.1.2、投标人收到中标通知书后在规定时间内拒绝与招标人签订供货合同的。</w:t>
      </w:r>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3.4.2、未中标单位的投标保证金于定标后</w:t>
      </w:r>
      <w:r>
        <w:rPr>
          <w:rFonts w:hint="eastAsia" w:ascii="仿宋_GB2312" w:hAnsi="楷体_GB2312" w:eastAsia="仿宋_GB2312"/>
          <w:b/>
          <w:color w:val="000000"/>
          <w:u w:val="single"/>
        </w:rPr>
        <w:t xml:space="preserve"> 14个工作日</w:t>
      </w:r>
      <w:r>
        <w:rPr>
          <w:rFonts w:hint="eastAsia" w:ascii="仿宋_GB2312" w:hAnsi="楷体_GB2312" w:eastAsia="仿宋_GB2312"/>
          <w:color w:val="000000"/>
          <w:u w:val="single"/>
        </w:rPr>
        <w:t xml:space="preserve"> </w:t>
      </w:r>
      <w:r>
        <w:rPr>
          <w:rFonts w:hint="eastAsia" w:ascii="仿宋_GB2312" w:hAnsi="楷体_GB2312" w:eastAsia="仿宋_GB2312"/>
          <w:color w:val="000000"/>
        </w:rPr>
        <w:t>内无息返还，中标单位的投标保证金无息转为履约保证金。</w:t>
      </w:r>
    </w:p>
    <w:p>
      <w:pPr>
        <w:pStyle w:val="29"/>
      </w:pPr>
      <w:bookmarkStart w:id="18" w:name="_Toc29125"/>
      <w:bookmarkStart w:id="19" w:name="_Toc28552"/>
      <w:r>
        <w:rPr>
          <w:rFonts w:hint="eastAsia"/>
        </w:rPr>
        <w:t>3.5、招标文件的修改</w:t>
      </w:r>
      <w:bookmarkEnd w:id="18"/>
      <w:bookmarkEnd w:id="19"/>
    </w:p>
    <w:p>
      <w:pPr>
        <w:spacing w:line="360" w:lineRule="auto"/>
        <w:ind w:firstLine="521"/>
        <w:rPr>
          <w:rFonts w:hint="eastAsia" w:ascii="仿宋_GB2312" w:hAnsi="宋体" w:eastAsia="仿宋_GB2312"/>
        </w:rPr>
      </w:pPr>
      <w:r>
        <w:rPr>
          <w:rFonts w:hint="eastAsia" w:ascii="仿宋_GB2312" w:hAnsi="宋体" w:eastAsia="仿宋_GB2312"/>
        </w:rPr>
        <w:t>3.5.1招标文件发出后，在投标截止日期前2天的任何时候，无论出于何种原因，招标人可主动地对招标文件进行修改。招标文件一经招标人修改，将以修改后的招标文件为准，对投标人产生约束力。</w:t>
      </w:r>
    </w:p>
    <w:p>
      <w:pPr>
        <w:spacing w:line="360" w:lineRule="auto"/>
        <w:rPr>
          <w:rFonts w:hint="eastAsia" w:ascii="仿宋_GB2312" w:hAnsi="宋体" w:eastAsia="仿宋_GB2312"/>
        </w:rPr>
      </w:pPr>
    </w:p>
    <w:p>
      <w:pPr>
        <w:spacing w:line="360" w:lineRule="auto"/>
        <w:ind w:firstLine="521"/>
        <w:jc w:val="center"/>
        <w:rPr>
          <w:rFonts w:ascii="仿宋_GB2312" w:hAnsi="宋体" w:eastAsia="仿宋_GB2312"/>
          <w:b/>
          <w:bCs/>
          <w:sz w:val="32"/>
          <w:szCs w:val="32"/>
        </w:rPr>
      </w:pPr>
      <w:r>
        <w:rPr>
          <w:rFonts w:hint="eastAsia"/>
          <w:b/>
          <w:bCs/>
          <w:sz w:val="32"/>
          <w:szCs w:val="32"/>
        </w:rPr>
        <w:t>四、投标文件的编制</w:t>
      </w:r>
    </w:p>
    <w:p>
      <w:pPr>
        <w:pStyle w:val="29"/>
      </w:pPr>
      <w:bookmarkStart w:id="20" w:name="_Toc7802"/>
      <w:bookmarkStart w:id="21" w:name="_Toc27198"/>
      <w:r>
        <w:rPr>
          <w:rFonts w:hint="eastAsia"/>
        </w:rPr>
        <w:t>4.1、投标文件的组成</w:t>
      </w:r>
      <w:bookmarkEnd w:id="20"/>
      <w:bookmarkEnd w:id="21"/>
    </w:p>
    <w:p>
      <w:pPr>
        <w:autoSpaceDN w:val="0"/>
        <w:spacing w:line="360" w:lineRule="auto"/>
        <w:ind w:right="11" w:firstLine="522"/>
        <w:rPr>
          <w:rFonts w:ascii="仿宋_GB2312" w:hAnsi="楷体_GB2312" w:eastAsia="仿宋_GB2312"/>
          <w:color w:val="000000"/>
        </w:rPr>
      </w:pPr>
      <w:r>
        <w:rPr>
          <w:rFonts w:hint="eastAsia" w:ascii="仿宋_GB2312" w:hAnsi="宋体" w:eastAsia="仿宋_GB2312"/>
        </w:rPr>
        <w:t>4.1.1、投标文件由招标物资明细暨投标报价清单（附件1）、</w:t>
      </w:r>
      <w:r>
        <w:rPr>
          <w:rFonts w:hint="eastAsia" w:ascii="仿宋_GB2312" w:hAnsi="楷体_GB2312" w:eastAsia="仿宋_GB2312"/>
          <w:color w:val="000000"/>
        </w:rPr>
        <w:t>投标说明</w:t>
      </w:r>
      <w:r>
        <w:rPr>
          <w:rFonts w:hint="eastAsia" w:ascii="仿宋_GB2312" w:hAnsi="宋体" w:eastAsia="仿宋_GB2312"/>
        </w:rPr>
        <w:t>两部分组成。投标方需认真填写投标书相关要求，再以附件的形式上传至集中采购网络交易平台参与投标。</w:t>
      </w:r>
    </w:p>
    <w:p>
      <w:pPr>
        <w:spacing w:line="360" w:lineRule="auto"/>
        <w:ind w:firstLine="521"/>
        <w:rPr>
          <w:rFonts w:ascii="仿宋_GB2312" w:hAnsi="宋体" w:eastAsia="仿宋_GB2312"/>
        </w:rPr>
      </w:pPr>
      <w:r>
        <w:rPr>
          <w:rFonts w:hint="eastAsia" w:ascii="仿宋_GB2312" w:hAnsi="宋体" w:eastAsia="仿宋_GB2312"/>
        </w:rPr>
        <w:t>4.1.2、投标说明包括的内容：</w:t>
      </w:r>
    </w:p>
    <w:p>
      <w:pPr>
        <w:spacing w:line="360" w:lineRule="auto"/>
        <w:ind w:firstLine="522"/>
        <w:rPr>
          <w:rFonts w:ascii="仿宋_GB2312" w:hAnsi="宋体" w:eastAsia="仿宋_GB2312"/>
        </w:rPr>
      </w:pPr>
      <w:r>
        <w:rPr>
          <w:rFonts w:hint="eastAsia" w:ascii="仿宋_GB2312" w:hAnsi="宋体" w:eastAsia="仿宋_GB2312"/>
        </w:rPr>
        <w:t>4.1.2.1、投标人对产品质量、供应、售后服务的保证及对付款方式、</w:t>
      </w:r>
      <w:r>
        <w:rPr>
          <w:rFonts w:hint="eastAsia" w:ascii="仿宋_GB2312" w:hAnsi="楷体_GB2312" w:eastAsia="仿宋_GB2312"/>
          <w:color w:val="000000"/>
        </w:rPr>
        <w:t>优惠的商务条件</w:t>
      </w:r>
      <w:r>
        <w:rPr>
          <w:rFonts w:hint="eastAsia" w:ascii="仿宋_GB2312" w:hAnsi="宋体" w:eastAsia="仿宋_GB2312"/>
        </w:rPr>
        <w:t>等各方面的承诺；</w:t>
      </w:r>
    </w:p>
    <w:p>
      <w:pPr>
        <w:spacing w:line="360" w:lineRule="auto"/>
        <w:ind w:firstLine="522"/>
        <w:rPr>
          <w:rFonts w:ascii="仿宋_GB2312" w:hAnsi="宋体" w:eastAsia="仿宋_GB2312"/>
        </w:rPr>
      </w:pPr>
      <w:r>
        <w:rPr>
          <w:rFonts w:hint="eastAsia" w:ascii="仿宋_GB2312" w:hAnsi="宋体" w:eastAsia="仿宋_GB2312"/>
        </w:rPr>
        <w:t>4.1.2.2、产品质量证明、产品合格证、产品检测报告、</w:t>
      </w:r>
      <w:bookmarkStart w:id="22" w:name="OLE_LINK16"/>
      <w:bookmarkStart w:id="23" w:name="OLE_LINK15"/>
      <w:r>
        <w:rPr>
          <w:rFonts w:hint="eastAsia" w:ascii="仿宋_GB2312" w:hAnsi="宋体" w:eastAsia="仿宋_GB2312"/>
        </w:rPr>
        <w:t>准入证明</w:t>
      </w:r>
      <w:bookmarkEnd w:id="22"/>
      <w:bookmarkEnd w:id="23"/>
      <w:r>
        <w:rPr>
          <w:rFonts w:hint="eastAsia" w:ascii="仿宋_GB2312" w:hAnsi="宋体" w:eastAsia="仿宋_GB2312"/>
        </w:rPr>
        <w:t>等证明材料；</w:t>
      </w:r>
    </w:p>
    <w:p>
      <w:pPr>
        <w:spacing w:line="360" w:lineRule="auto"/>
        <w:ind w:firstLine="522"/>
        <w:rPr>
          <w:rFonts w:ascii="仿宋_GB2312" w:hAnsi="宋体" w:eastAsia="仿宋_GB2312"/>
        </w:rPr>
      </w:pPr>
      <w:r>
        <w:rPr>
          <w:rFonts w:hint="eastAsia" w:ascii="仿宋_GB2312" w:hAnsi="宋体" w:eastAsia="仿宋_GB2312"/>
        </w:rPr>
        <w:t>4.1.2.3、其它优惠条件。</w:t>
      </w:r>
    </w:p>
    <w:p>
      <w:pPr>
        <w:pStyle w:val="29"/>
      </w:pPr>
      <w:bookmarkStart w:id="24" w:name="_Toc16714"/>
      <w:bookmarkStart w:id="25" w:name="_Toc24181"/>
      <w:r>
        <w:rPr>
          <w:rFonts w:hint="eastAsia"/>
        </w:rPr>
        <w:t>4.2、投标文件的补充、修改和撤回</w:t>
      </w:r>
      <w:bookmarkEnd w:id="24"/>
      <w:bookmarkEnd w:id="25"/>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4.2.1、投标单位在规定的提交投标截止时间之前，可以就招标文件理解不清楚的内容在平台中交流沟通。</w:t>
      </w:r>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4.2.2、在投标文件提交以后，投标单位不能撤回投标文件。</w:t>
      </w:r>
    </w:p>
    <w:p>
      <w:pPr>
        <w:pStyle w:val="29"/>
      </w:pPr>
      <w:bookmarkStart w:id="26" w:name="_Toc8157"/>
      <w:bookmarkStart w:id="27" w:name="_Toc8344"/>
      <w:r>
        <w:rPr>
          <w:rFonts w:hint="eastAsia" w:ascii="宋体"/>
        </w:rPr>
        <w:t>4.</w:t>
      </w:r>
      <w:r>
        <w:rPr>
          <w:rFonts w:hint="eastAsia"/>
        </w:rPr>
        <w:t>3、报价原则</w:t>
      </w:r>
      <w:bookmarkEnd w:id="26"/>
      <w:bookmarkEnd w:id="27"/>
    </w:p>
    <w:p>
      <w:pPr>
        <w:spacing w:line="360" w:lineRule="auto"/>
        <w:ind w:firstLine="523" w:firstLineChars="218"/>
        <w:rPr>
          <w:rFonts w:ascii="仿宋_GB2312" w:hAnsi="宋体" w:eastAsia="仿宋_GB2312"/>
        </w:rPr>
      </w:pPr>
      <w:r>
        <w:rPr>
          <w:rFonts w:hint="eastAsia" w:ascii="仿宋_GB2312" w:hAnsi="宋体" w:eastAsia="仿宋_GB2312"/>
        </w:rPr>
        <w:t>4.3.1、投标人在投标前应充分了解使用项目的位置、现场情况、道路、储存空间、装卸限制及任何其它足以影响报价的情况，任何因忽视或误解工地情况而导致费用在定标后要求增加的，将不获批准。</w:t>
      </w:r>
    </w:p>
    <w:p>
      <w:pPr>
        <w:spacing w:line="360" w:lineRule="auto"/>
        <w:ind w:firstLine="523" w:firstLineChars="218"/>
        <w:rPr>
          <w:rFonts w:ascii="仿宋_GB2312" w:hAnsi="宋体" w:eastAsia="仿宋_GB2312"/>
        </w:rPr>
      </w:pPr>
      <w:r>
        <w:rPr>
          <w:rFonts w:hint="eastAsia" w:ascii="仿宋_GB2312" w:hAnsi="宋体" w:eastAsia="仿宋_GB2312"/>
        </w:rPr>
        <w:t>4.3.2、投标人应以人民币报价。</w:t>
      </w:r>
    </w:p>
    <w:p>
      <w:pPr>
        <w:spacing w:line="360" w:lineRule="auto"/>
        <w:ind w:firstLine="523" w:firstLineChars="218"/>
        <w:rPr>
          <w:rFonts w:ascii="仿宋_GB2312" w:hAnsi="宋体" w:eastAsia="仿宋_GB2312"/>
        </w:rPr>
      </w:pPr>
      <w:r>
        <w:rPr>
          <w:rFonts w:hint="eastAsia" w:ascii="仿宋_GB2312" w:hAnsi="宋体" w:eastAsia="仿宋_GB2312"/>
        </w:rPr>
        <w:t>4.3.3、投标人需认真对待投标报价，招标人将根据需要决定是否开启全部或部分投标人第二次报价或者直接淘汰最高投标报价单位。</w:t>
      </w:r>
    </w:p>
    <w:p>
      <w:pPr>
        <w:pStyle w:val="29"/>
      </w:pPr>
      <w:bookmarkStart w:id="28" w:name="_Toc26466"/>
      <w:bookmarkStart w:id="29" w:name="_Toc7343"/>
      <w:r>
        <w:rPr>
          <w:rFonts w:hint="eastAsia"/>
        </w:rPr>
        <w:t>4.4、投标有效期</w:t>
      </w:r>
      <w:bookmarkEnd w:id="28"/>
      <w:bookmarkEnd w:id="29"/>
    </w:p>
    <w:p>
      <w:pPr>
        <w:spacing w:line="360" w:lineRule="auto"/>
        <w:ind w:firstLine="523" w:firstLineChars="218"/>
        <w:rPr>
          <w:rFonts w:ascii="仿宋_GB2312" w:hAnsi="宋体" w:eastAsia="仿宋_GB2312"/>
        </w:rPr>
      </w:pPr>
      <w:r>
        <w:rPr>
          <w:rFonts w:hint="eastAsia" w:ascii="仿宋_GB2312" w:hAnsi="宋体" w:eastAsia="仿宋_GB2312"/>
        </w:rPr>
        <w:t>4.4.1、投标人需谨记回标的截止日期，避免因时间的延误而失去投标的机会。</w:t>
      </w:r>
    </w:p>
    <w:p>
      <w:pPr>
        <w:spacing w:line="360" w:lineRule="auto"/>
        <w:ind w:firstLine="523" w:firstLineChars="218"/>
        <w:rPr>
          <w:rFonts w:ascii="仿宋_GB2312" w:hAnsi="宋体" w:eastAsia="仿宋_GB2312"/>
        </w:rPr>
      </w:pPr>
      <w:r>
        <w:rPr>
          <w:rFonts w:hint="eastAsia" w:ascii="仿宋_GB2312" w:hAnsi="宋体" w:eastAsia="仿宋_GB2312"/>
        </w:rPr>
        <w:t>4.4.2、在特殊情况下，投标人在原定投标文件有效期内可根据需要向招标人提出延长截止日期的要求，并立即向招标人说明情况；招标人可以同意也可以拒绝投标人的要求。</w:t>
      </w:r>
    </w:p>
    <w:p>
      <w:pPr>
        <w:pStyle w:val="29"/>
      </w:pPr>
      <w:bookmarkStart w:id="30" w:name="_Toc20878"/>
      <w:bookmarkStart w:id="31" w:name="_Toc28947"/>
      <w:r>
        <w:rPr>
          <w:rFonts w:hint="eastAsia"/>
        </w:rPr>
        <w:t>4.5、投标文件的提交</w:t>
      </w:r>
      <w:bookmarkEnd w:id="30"/>
      <w:bookmarkEnd w:id="31"/>
    </w:p>
    <w:p>
      <w:pPr>
        <w:spacing w:line="360" w:lineRule="auto"/>
        <w:ind w:firstLine="523" w:firstLineChars="218"/>
        <w:rPr>
          <w:rFonts w:ascii="仿宋_GB2312" w:hAnsi="楷体_GB2312" w:eastAsia="仿宋_GB2312"/>
          <w:color w:val="000000"/>
        </w:rPr>
      </w:pPr>
      <w:r>
        <w:rPr>
          <w:rFonts w:hint="eastAsia" w:ascii="仿宋_GB2312" w:hAnsi="宋体" w:eastAsia="仿宋_GB2312"/>
        </w:rPr>
        <w:t>4.5.1、投标文件的提交截止时间：</w:t>
      </w:r>
      <w:r>
        <w:rPr>
          <w:rFonts w:hint="eastAsia" w:ascii="仿宋_GB2312" w:hAnsi="楷体_GB2312" w:eastAsia="仿宋_GB2312"/>
          <w:b/>
          <w:bCs w:val="0"/>
          <w:color w:val="000000"/>
          <w:highlight w:val="none"/>
          <w:u w:val="single"/>
        </w:rPr>
        <w:t>201</w:t>
      </w:r>
      <w:r>
        <w:rPr>
          <w:rFonts w:hint="eastAsia" w:ascii="仿宋_GB2312" w:hAnsi="楷体_GB2312" w:eastAsia="仿宋_GB2312"/>
          <w:b/>
          <w:bCs w:val="0"/>
          <w:color w:val="000000"/>
          <w:highlight w:val="none"/>
          <w:u w:val="single"/>
          <w:lang w:val="en-US" w:eastAsia="zh-CN"/>
        </w:rPr>
        <w:t>7</w:t>
      </w:r>
      <w:r>
        <w:rPr>
          <w:rFonts w:hint="eastAsia" w:ascii="仿宋_GB2312" w:hAnsi="楷体_GB2312" w:eastAsia="仿宋_GB2312"/>
          <w:b/>
          <w:bCs w:val="0"/>
          <w:color w:val="000000"/>
          <w:highlight w:val="none"/>
          <w:u w:val="single"/>
        </w:rPr>
        <w:t xml:space="preserve"> </w:t>
      </w:r>
      <w:r>
        <w:rPr>
          <w:rFonts w:hint="eastAsia" w:ascii="仿宋_GB2312" w:hAnsi="楷体_GB2312" w:eastAsia="仿宋_GB2312"/>
          <w:b/>
          <w:bCs w:val="0"/>
          <w:color w:val="000000"/>
          <w:highlight w:val="none"/>
        </w:rPr>
        <w:t>年</w:t>
      </w:r>
      <w:r>
        <w:rPr>
          <w:rFonts w:hint="eastAsia" w:ascii="仿宋_GB2312" w:hAnsi="楷体_GB2312" w:eastAsia="仿宋_GB2312"/>
          <w:b/>
          <w:bCs w:val="0"/>
          <w:color w:val="000000"/>
          <w:highlight w:val="none"/>
          <w:u w:val="single"/>
          <w:lang w:val="en-US" w:eastAsia="zh-CN"/>
        </w:rPr>
        <w:t>11</w:t>
      </w:r>
      <w:r>
        <w:rPr>
          <w:rFonts w:hint="eastAsia" w:ascii="仿宋_GB2312" w:hAnsi="楷体_GB2312" w:eastAsia="仿宋_GB2312"/>
          <w:b/>
          <w:bCs w:val="0"/>
          <w:color w:val="000000"/>
          <w:highlight w:val="none"/>
        </w:rPr>
        <w:t>月</w:t>
      </w:r>
      <w:r>
        <w:rPr>
          <w:rFonts w:hint="eastAsia" w:ascii="仿宋_GB2312" w:hAnsi="楷体_GB2312" w:eastAsia="仿宋_GB2312"/>
          <w:color w:val="000000"/>
        </w:rPr>
        <w:t xml:space="preserve"> （北京时间）；</w:t>
      </w:r>
    </w:p>
    <w:p>
      <w:pPr>
        <w:spacing w:line="360" w:lineRule="auto"/>
        <w:ind w:firstLine="523" w:firstLineChars="218"/>
        <w:rPr>
          <w:rFonts w:ascii="仿宋_GB2312" w:hAnsi="宋体" w:eastAsia="仿宋_GB2312"/>
        </w:rPr>
      </w:pPr>
      <w:r>
        <w:rPr>
          <w:rFonts w:hint="eastAsia" w:ascii="仿宋_GB2312" w:hAnsi="宋体" w:eastAsia="仿宋_GB2312"/>
        </w:rPr>
        <w:t>4.5.2、投标文件的提交网址：</w:t>
      </w:r>
      <w:r>
        <w:rPr>
          <w:rFonts w:hint="eastAsia" w:ascii="仿宋_GB2312" w:hAnsi="楷体_GB2312" w:eastAsia="仿宋_GB2312"/>
          <w:color w:val="000000"/>
        </w:rPr>
        <w:t>中国建筑集中采购网络交易投标平台；</w:t>
      </w:r>
    </w:p>
    <w:p>
      <w:pPr>
        <w:spacing w:line="360" w:lineRule="auto"/>
        <w:ind w:firstLine="523" w:firstLineChars="218"/>
        <w:rPr>
          <w:rFonts w:ascii="仿宋_GB2312" w:hAnsi="宋体" w:eastAsia="仿宋_GB2312"/>
        </w:rPr>
      </w:pPr>
      <w:r>
        <w:rPr>
          <w:rFonts w:hint="eastAsia" w:ascii="仿宋_GB2312" w:hAnsi="宋体" w:eastAsia="仿宋_GB2312"/>
        </w:rPr>
        <w:t>4.5.3、投标人需时刻关注集中采购平台发布的信息，按照要求进行投标文件的编制并提交。</w:t>
      </w:r>
    </w:p>
    <w:p>
      <w:pPr>
        <w:spacing w:line="360" w:lineRule="auto"/>
        <w:ind w:firstLine="523" w:firstLineChars="218"/>
        <w:rPr>
          <w:rFonts w:ascii="仿宋_GB2312" w:hAnsi="宋体" w:eastAsia="仿宋_GB2312"/>
        </w:rPr>
      </w:pPr>
      <w:r>
        <w:rPr>
          <w:rFonts w:hint="eastAsia" w:ascii="仿宋_GB2312" w:hAnsi="宋体" w:eastAsia="仿宋_GB2312"/>
        </w:rPr>
        <w:t>4.5.4、投标人在投标截止时间后提交的投标文件属于无效文件，此情况视为自动放弃投标。</w:t>
      </w:r>
    </w:p>
    <w:p>
      <w:pPr>
        <w:pStyle w:val="29"/>
      </w:pPr>
      <w:bookmarkStart w:id="32" w:name="_Toc9632"/>
      <w:bookmarkStart w:id="33" w:name="_Toc21826"/>
      <w:r>
        <w:rPr>
          <w:rFonts w:hint="eastAsia"/>
        </w:rPr>
        <w:t>4.6、投标截止时间的延长</w:t>
      </w:r>
      <w:bookmarkEnd w:id="32"/>
      <w:bookmarkEnd w:id="33"/>
    </w:p>
    <w:p>
      <w:pPr>
        <w:autoSpaceDN w:val="0"/>
        <w:spacing w:line="360" w:lineRule="auto"/>
        <w:ind w:left="397" w:firstLine="118"/>
        <w:rPr>
          <w:rFonts w:ascii="仿宋_GB2312" w:hAnsi="楷体_GB2312" w:eastAsia="仿宋_GB2312"/>
          <w:color w:val="000000"/>
        </w:rPr>
      </w:pPr>
      <w:r>
        <w:rPr>
          <w:rFonts w:hint="eastAsia" w:ascii="仿宋_GB2312" w:hAnsi="楷体_GB2312" w:eastAsia="仿宋_GB2312"/>
          <w:color w:val="000000"/>
        </w:rPr>
        <w:t>4.6.1、招标单位可以在特殊情况下以补充通知的方式酌情延长递交投标文件的截止日期。上述情况下，招标单位与投标单位以前在投标截止方面的全部权利、责任和义务，将适用于延长至新的投标截止日期。</w:t>
      </w:r>
    </w:p>
    <w:p>
      <w:pPr>
        <w:autoSpaceDN w:val="0"/>
        <w:spacing w:line="360" w:lineRule="auto"/>
        <w:ind w:left="397" w:firstLine="118"/>
        <w:rPr>
          <w:rFonts w:ascii="仿宋_GB2312" w:hAnsi="楷体_GB2312" w:eastAsia="仿宋_GB2312"/>
          <w:color w:val="000000"/>
        </w:rPr>
      </w:pPr>
      <w:r>
        <w:rPr>
          <w:rFonts w:hint="eastAsia" w:ascii="仿宋_GB2312" w:hAnsi="楷体_GB2312" w:eastAsia="仿宋_GB2312"/>
          <w:color w:val="000000"/>
        </w:rPr>
        <w:t>4.6.2、若投标单位申请延长递交投标文件的截止日期，则必须征得招标单位的同意。</w:t>
      </w:r>
    </w:p>
    <w:p>
      <w:pPr>
        <w:spacing w:line="360" w:lineRule="auto"/>
        <w:rPr>
          <w:rFonts w:hint="eastAsia" w:ascii="仿宋_GB2312" w:hAnsi="宋体" w:eastAsia="仿宋_GB2312"/>
          <w:b/>
          <w:lang w:val="en-US" w:eastAsia="zh-CN"/>
        </w:rPr>
      </w:pPr>
    </w:p>
    <w:p>
      <w:pPr>
        <w:pStyle w:val="2"/>
        <w:jc w:val="center"/>
      </w:pPr>
      <w:bookmarkStart w:id="34" w:name="_Toc13129"/>
      <w:bookmarkStart w:id="35" w:name="_Toc4773"/>
      <w:r>
        <w:rPr>
          <w:rFonts w:hint="eastAsia"/>
        </w:rPr>
        <w:t>五、开标、评标和定标</w:t>
      </w:r>
      <w:bookmarkEnd w:id="34"/>
      <w:bookmarkEnd w:id="35"/>
    </w:p>
    <w:p>
      <w:pPr>
        <w:pStyle w:val="15"/>
        <w:rPr>
          <w:color w:val="000000"/>
        </w:rPr>
      </w:pPr>
      <w:bookmarkStart w:id="36" w:name="_Toc1756"/>
      <w:bookmarkStart w:id="37" w:name="_Toc5018"/>
      <w:r>
        <w:rPr>
          <w:rFonts w:hint="eastAsia"/>
        </w:rPr>
        <w:t>5.1开标时间</w:t>
      </w:r>
      <w:r>
        <w:rPr>
          <w:rStyle w:val="30"/>
          <w:rFonts w:hint="eastAsia"/>
          <w:b w:val="0"/>
        </w:rPr>
        <w:t>:</w:t>
      </w:r>
      <w:r>
        <w:rPr>
          <w:rFonts w:hint="eastAsia"/>
          <w:u w:val="single"/>
        </w:rPr>
        <w:t xml:space="preserve"> 201</w:t>
      </w:r>
      <w:r>
        <w:rPr>
          <w:rFonts w:hint="eastAsia"/>
          <w:u w:val="single"/>
          <w:lang w:val="en-US" w:eastAsia="zh-CN"/>
        </w:rPr>
        <w:t>7</w:t>
      </w:r>
      <w:r>
        <w:rPr>
          <w:rFonts w:hint="eastAsia"/>
        </w:rPr>
        <w:t>年</w:t>
      </w:r>
      <w:r>
        <w:rPr>
          <w:rFonts w:hint="eastAsia"/>
          <w:u w:val="single"/>
          <w:lang w:val="en-US" w:eastAsia="zh-CN"/>
        </w:rPr>
        <w:t>11</w:t>
      </w:r>
      <w:bookmarkStart w:id="60" w:name="_GoBack"/>
      <w:bookmarkEnd w:id="60"/>
      <w:r>
        <w:rPr>
          <w:rFonts w:hint="eastAsia"/>
        </w:rPr>
        <w:t>月（北</w:t>
      </w:r>
      <w:r>
        <w:rPr>
          <w:rFonts w:hint="eastAsia"/>
          <w:color w:val="000000"/>
        </w:rPr>
        <w:t>京时间）</w:t>
      </w:r>
      <w:bookmarkEnd w:id="36"/>
      <w:bookmarkEnd w:id="37"/>
    </w:p>
    <w:p>
      <w:pPr>
        <w:pStyle w:val="15"/>
      </w:pPr>
      <w:bookmarkStart w:id="38" w:name="_Toc16531"/>
      <w:bookmarkStart w:id="39" w:name="_Toc2029"/>
      <w:r>
        <w:rPr>
          <w:rFonts w:hint="eastAsia"/>
        </w:rPr>
        <w:t>5.2开标地点</w:t>
      </w:r>
      <w:r>
        <w:rPr>
          <w:rStyle w:val="30"/>
          <w:rFonts w:hint="eastAsia"/>
          <w:b w:val="0"/>
        </w:rPr>
        <w:t>：</w:t>
      </w:r>
      <w:r>
        <w:t>安徽省合肥市滨湖新区徽州大道与烟墩路交叉口时代广场C8#12层</w:t>
      </w:r>
      <w:r>
        <w:rPr>
          <w:rFonts w:hint="eastAsia"/>
        </w:rPr>
        <w:t>，</w:t>
      </w:r>
      <w:r>
        <w:rPr>
          <w:rStyle w:val="30"/>
          <w:rFonts w:hint="eastAsia"/>
          <w:b/>
        </w:rPr>
        <w:t>中建五局安徽</w:t>
      </w:r>
      <w:r>
        <w:rPr>
          <w:rFonts w:hint="eastAsia"/>
        </w:rPr>
        <w:t>公司会议室</w:t>
      </w:r>
      <w:bookmarkEnd w:id="38"/>
      <w:bookmarkEnd w:id="39"/>
    </w:p>
    <w:p>
      <w:pPr>
        <w:pStyle w:val="29"/>
      </w:pPr>
      <w:bookmarkStart w:id="40" w:name="_Toc32020"/>
      <w:bookmarkStart w:id="41" w:name="_Toc22668"/>
      <w:r>
        <w:rPr>
          <w:rFonts w:hint="eastAsia"/>
        </w:rPr>
        <w:t>5.3开标、评标</w:t>
      </w:r>
      <w:bookmarkEnd w:id="40"/>
      <w:bookmarkEnd w:id="41"/>
    </w:p>
    <w:p>
      <w:pPr>
        <w:spacing w:line="360" w:lineRule="auto"/>
        <w:ind w:firstLine="523" w:firstLineChars="218"/>
        <w:rPr>
          <w:rFonts w:ascii="仿宋_GB2312" w:hAnsi="宋体" w:eastAsia="仿宋_GB2312"/>
          <w:b/>
        </w:rPr>
      </w:pPr>
      <w:r>
        <w:rPr>
          <w:rFonts w:hint="eastAsia" w:ascii="仿宋_GB2312" w:hAnsi="宋体" w:eastAsia="仿宋_GB2312"/>
        </w:rPr>
        <w:t>5.3.1整个开标、评标、询标、定标过程均在</w:t>
      </w:r>
      <w:r>
        <w:rPr>
          <w:rFonts w:hint="eastAsia" w:ascii="仿宋_GB2312" w:hAnsi="楷体_GB2312" w:eastAsia="仿宋_GB2312"/>
          <w:color w:val="000000"/>
        </w:rPr>
        <w:t>“中国建筑集中采购网络交易平台”</w:t>
      </w:r>
      <w:r>
        <w:rPr>
          <w:rFonts w:hint="eastAsia" w:ascii="仿宋_GB2312" w:hAnsi="宋体" w:eastAsia="仿宋_GB2312"/>
        </w:rPr>
        <w:t>里进行，投标人法定代表人或委托代理人在招标人开标、评标、询标、定标时须一直保持集采平台在线状态，便于双方随时沟通，并需对澄清问题的答复负责，该答复将作为投标文件的组成部分。</w:t>
      </w:r>
    </w:p>
    <w:p>
      <w:pPr>
        <w:spacing w:line="360" w:lineRule="auto"/>
        <w:ind w:firstLine="523" w:firstLineChars="218"/>
        <w:rPr>
          <w:rFonts w:ascii="仿宋_GB2312" w:hAnsi="宋体" w:eastAsia="仿宋_GB2312"/>
          <w:highlight w:val="yellow"/>
        </w:rPr>
      </w:pPr>
      <w:r>
        <w:rPr>
          <w:rFonts w:hint="eastAsia" w:ascii="仿宋_GB2312" w:hAnsi="宋体" w:eastAsia="仿宋_GB2312"/>
        </w:rPr>
        <w:t>5.3.2开标由招标人组建的评标委员会负责，各项操作一律在集中采购平台里进行，</w:t>
      </w:r>
      <w:r>
        <w:rPr>
          <w:rFonts w:hint="eastAsia" w:ascii="仿宋_GB2312" w:hAnsi="宋体" w:eastAsia="仿宋_GB2312"/>
          <w:highlight w:val="yellow"/>
          <w:lang w:val="en-US" w:eastAsia="zh-CN"/>
        </w:rPr>
        <w:t>开标地点：</w:t>
      </w:r>
      <w:r>
        <w:rPr>
          <w:rFonts w:hint="eastAsia" w:ascii="仿宋_GB2312" w:hAnsi="宋体" w:eastAsia="仿宋_GB2312"/>
          <w:highlight w:val="yellow"/>
        </w:rPr>
        <w:t>安徽省合肥市滨湖新区徽州大道与烟墩路交叉口时代广场C8#12层，中建五局安徽公司会议室。</w:t>
      </w:r>
    </w:p>
    <w:p>
      <w:pPr>
        <w:spacing w:line="360" w:lineRule="auto"/>
        <w:ind w:firstLine="523" w:firstLineChars="218"/>
        <w:rPr>
          <w:rFonts w:hint="eastAsia" w:ascii="仿宋_GB2312" w:hAnsi="宋体" w:eastAsia="仿宋_GB2312"/>
        </w:rPr>
      </w:pPr>
      <w:r>
        <w:rPr>
          <w:rFonts w:hint="eastAsia" w:ascii="仿宋_GB2312" w:hAnsi="宋体" w:eastAsia="仿宋_GB2312"/>
        </w:rPr>
        <w:t>5.3.3招标人有权分别对各投标人进行单独询标或要求投标人澄清其投标文件，并有权根据招标人的实际需求要求全部或部分投标人进行第二次报价。</w:t>
      </w:r>
    </w:p>
    <w:p>
      <w:pPr>
        <w:pStyle w:val="29"/>
      </w:pPr>
      <w:bookmarkStart w:id="42" w:name="_Toc12670"/>
      <w:bookmarkStart w:id="43" w:name="_Toc26787"/>
      <w:r>
        <w:rPr>
          <w:rFonts w:hint="eastAsia"/>
        </w:rPr>
        <w:t>5.4投标文件的符合性审查</w:t>
      </w:r>
      <w:bookmarkEnd w:id="42"/>
      <w:bookmarkEnd w:id="43"/>
    </w:p>
    <w:p>
      <w:pPr>
        <w:spacing w:line="360" w:lineRule="auto"/>
        <w:ind w:firstLine="523" w:firstLineChars="218"/>
        <w:rPr>
          <w:rFonts w:ascii="仿宋_GB2312" w:hAnsi="宋体" w:eastAsia="仿宋_GB2312"/>
        </w:rPr>
      </w:pPr>
      <w:r>
        <w:rPr>
          <w:rFonts w:hint="eastAsia" w:ascii="仿宋_GB2312" w:hAnsi="宋体" w:eastAsia="仿宋_GB2312"/>
        </w:rPr>
        <w:t>5.4.1投标文件有下列情况之一者，经评标委员会认定未能对招标文件作出实质性响应，作废标处理：</w:t>
      </w:r>
    </w:p>
    <w:p>
      <w:pPr>
        <w:spacing w:line="360" w:lineRule="auto"/>
        <w:rPr>
          <w:rFonts w:ascii="仿宋_GB2312" w:hAnsi="宋体" w:eastAsia="仿宋_GB2312"/>
        </w:rPr>
      </w:pPr>
      <w:r>
        <w:rPr>
          <w:rFonts w:hint="eastAsia" w:ascii="仿宋_GB2312" w:hAnsi="宋体" w:eastAsia="仿宋_GB2312"/>
        </w:rPr>
        <w:t>（1）投标文件附有招标人不能接受的条件；</w:t>
      </w:r>
    </w:p>
    <w:p>
      <w:pPr>
        <w:spacing w:line="360" w:lineRule="auto"/>
        <w:rPr>
          <w:rFonts w:ascii="仿宋_GB2312" w:hAnsi="宋体" w:eastAsia="仿宋_GB2312"/>
        </w:rPr>
      </w:pPr>
      <w:r>
        <w:rPr>
          <w:rFonts w:hint="eastAsia" w:ascii="仿宋_GB2312" w:hAnsi="宋体" w:eastAsia="仿宋_GB2312"/>
        </w:rPr>
        <w:t>（2）付款承诺高于招标文件的要求；</w:t>
      </w:r>
    </w:p>
    <w:p>
      <w:pPr>
        <w:spacing w:line="360" w:lineRule="auto"/>
        <w:rPr>
          <w:rFonts w:ascii="仿宋_GB2312" w:hAnsi="宋体" w:eastAsia="仿宋_GB2312"/>
        </w:rPr>
      </w:pPr>
      <w:r>
        <w:rPr>
          <w:rFonts w:hint="eastAsia" w:ascii="仿宋_GB2312" w:hAnsi="宋体" w:eastAsia="仿宋_GB2312"/>
        </w:rPr>
        <w:t>（3）不符合招标文件中规定的其它实质性要求；</w:t>
      </w:r>
    </w:p>
    <w:p>
      <w:pPr>
        <w:spacing w:line="360" w:lineRule="auto"/>
        <w:rPr>
          <w:rFonts w:ascii="仿宋_GB2312" w:hAnsi="宋体" w:eastAsia="仿宋_GB2312"/>
        </w:rPr>
      </w:pPr>
      <w:r>
        <w:rPr>
          <w:rFonts w:hint="eastAsia" w:ascii="仿宋_GB2312" w:hAnsi="宋体" w:eastAsia="仿宋_GB2312"/>
        </w:rPr>
        <w:t>（4）投标价高于招标人控制价的；</w:t>
      </w:r>
    </w:p>
    <w:p>
      <w:pPr>
        <w:spacing w:line="360" w:lineRule="auto"/>
        <w:rPr>
          <w:rFonts w:ascii="仿宋_GB2312" w:hAnsi="宋体" w:eastAsia="仿宋_GB2312"/>
        </w:rPr>
      </w:pPr>
      <w:r>
        <w:rPr>
          <w:rFonts w:hint="eastAsia" w:ascii="仿宋_GB2312" w:hAnsi="宋体" w:eastAsia="仿宋_GB2312"/>
        </w:rPr>
        <w:t>（5）投标价明显低于成本价太多的；</w:t>
      </w:r>
    </w:p>
    <w:p>
      <w:pPr>
        <w:spacing w:line="360" w:lineRule="auto"/>
        <w:rPr>
          <w:rFonts w:ascii="仿宋_GB2312" w:hAnsi="宋体" w:eastAsia="仿宋_GB2312"/>
        </w:rPr>
      </w:pPr>
      <w:r>
        <w:rPr>
          <w:rFonts w:hint="eastAsia" w:ascii="仿宋_GB2312" w:hAnsi="宋体" w:eastAsia="仿宋_GB2312"/>
        </w:rPr>
        <w:t>（6）有明显串标、围标迹象的。</w:t>
      </w:r>
    </w:p>
    <w:p>
      <w:pPr>
        <w:spacing w:line="360" w:lineRule="auto"/>
        <w:rPr>
          <w:rFonts w:ascii="仿宋_GB2312" w:hAnsi="宋体" w:eastAsia="仿宋_GB2312"/>
        </w:rPr>
      </w:pPr>
      <w:r>
        <w:rPr>
          <w:rFonts w:hint="eastAsia" w:ascii="仿宋_GB2312" w:hAnsi="宋体" w:eastAsia="仿宋_GB2312"/>
        </w:rPr>
        <w:t>（7）没有按照招标文件要求提交投标保证金的；</w:t>
      </w:r>
    </w:p>
    <w:p>
      <w:pPr>
        <w:spacing w:line="360" w:lineRule="auto"/>
        <w:rPr>
          <w:rFonts w:ascii="仿宋_GB2312" w:hAnsi="宋体" w:eastAsia="仿宋_GB2312"/>
        </w:rPr>
      </w:pPr>
      <w:r>
        <w:rPr>
          <w:rFonts w:hint="eastAsia" w:ascii="仿宋_GB2312" w:hAnsi="宋体" w:eastAsia="仿宋_GB2312"/>
        </w:rPr>
        <w:t xml:space="preserve">5.4.2 </w:t>
      </w:r>
      <w:r>
        <w:rPr>
          <w:rFonts w:hint="eastAsia" w:ascii="仿宋_GB2312" w:hAnsi="楷体_GB2312" w:eastAsia="仿宋_GB2312"/>
          <w:color w:val="000000"/>
        </w:rPr>
        <w:t>无效投标</w:t>
      </w:r>
    </w:p>
    <w:p>
      <w:pPr>
        <w:autoSpaceDN w:val="0"/>
        <w:spacing w:line="360" w:lineRule="auto"/>
        <w:ind w:firstLine="396"/>
        <w:rPr>
          <w:rFonts w:ascii="仿宋_GB2312" w:hAnsi="楷体_GB2312" w:eastAsia="仿宋_GB2312"/>
          <w:color w:val="000000"/>
        </w:rPr>
      </w:pPr>
      <w:r>
        <w:rPr>
          <w:rFonts w:hint="eastAsia" w:ascii="仿宋_GB2312" w:hAnsi="楷体_GB2312" w:eastAsia="仿宋_GB2312"/>
          <w:color w:val="000000"/>
        </w:rPr>
        <w:t>发生下列情况之一者，视为无效投标：</w:t>
      </w:r>
    </w:p>
    <w:p>
      <w:pPr>
        <w:autoSpaceDN w:val="0"/>
        <w:spacing w:line="360" w:lineRule="auto"/>
        <w:ind w:firstLine="396"/>
        <w:rPr>
          <w:rFonts w:ascii="仿宋_GB2312" w:hAnsi="楷体_GB2312" w:eastAsia="仿宋_GB2312"/>
          <w:color w:val="000000"/>
        </w:rPr>
      </w:pPr>
      <w:r>
        <w:rPr>
          <w:rFonts w:hint="eastAsia" w:ascii="仿宋_GB2312" w:hAnsi="楷体_GB2312" w:eastAsia="仿宋_GB2312"/>
          <w:color w:val="000000"/>
        </w:rPr>
        <w:t>（1）投标文件未按规定格式、内容填写、投标文件内容与招标文件有严重背离。</w:t>
      </w:r>
    </w:p>
    <w:p>
      <w:pPr>
        <w:autoSpaceDN w:val="0"/>
        <w:spacing w:line="360" w:lineRule="auto"/>
        <w:ind w:firstLine="396"/>
        <w:rPr>
          <w:rFonts w:ascii="仿宋_GB2312" w:hAnsi="楷体_GB2312" w:eastAsia="仿宋_GB2312"/>
          <w:color w:val="000000"/>
        </w:rPr>
      </w:pPr>
      <w:r>
        <w:rPr>
          <w:rFonts w:hint="eastAsia" w:ascii="仿宋_GB2312" w:hAnsi="楷体_GB2312" w:eastAsia="仿宋_GB2312"/>
          <w:color w:val="000000"/>
        </w:rPr>
        <w:t>（2）在投标文件中有两个以上的报价，且未明确哪个报价有效。</w:t>
      </w:r>
    </w:p>
    <w:p>
      <w:pPr>
        <w:pStyle w:val="29"/>
      </w:pPr>
      <w:bookmarkStart w:id="44" w:name="_Toc8654"/>
      <w:bookmarkStart w:id="45" w:name="_Toc21070"/>
      <w:r>
        <w:rPr>
          <w:rFonts w:hint="eastAsia"/>
        </w:rPr>
        <w:t>5.5其它情况的处理</w:t>
      </w:r>
      <w:bookmarkEnd w:id="44"/>
      <w:bookmarkEnd w:id="45"/>
    </w:p>
    <w:p>
      <w:pPr>
        <w:spacing w:line="360" w:lineRule="auto"/>
        <w:ind w:firstLine="523" w:firstLineChars="218"/>
        <w:rPr>
          <w:rFonts w:ascii="仿宋_GB2312" w:hAnsi="宋体" w:eastAsia="仿宋_GB2312"/>
        </w:rPr>
      </w:pPr>
      <w:r>
        <w:rPr>
          <w:rFonts w:hint="eastAsia" w:ascii="仿宋_GB2312" w:hAnsi="宋体" w:eastAsia="仿宋_GB2312"/>
        </w:rPr>
        <w:t>5.5.1在招标文件发出后至投标、评标、询标、定标以及授予合同的过程中，投标人或投标人的关系人试图向招标人评审委员会施加影响的任何行为，都将会导致其投标被直接拒绝，作为废标处理。</w:t>
      </w:r>
    </w:p>
    <w:p>
      <w:pPr>
        <w:pStyle w:val="29"/>
      </w:pPr>
      <w:bookmarkStart w:id="46" w:name="_Toc8619"/>
      <w:bookmarkStart w:id="47" w:name="_Toc3234"/>
      <w:r>
        <w:rPr>
          <w:rFonts w:hint="eastAsia"/>
        </w:rPr>
        <w:t>5.6投标文件的评审</w:t>
      </w:r>
      <w:bookmarkEnd w:id="46"/>
      <w:bookmarkEnd w:id="47"/>
    </w:p>
    <w:p>
      <w:pPr>
        <w:spacing w:line="360" w:lineRule="auto"/>
        <w:ind w:firstLine="522"/>
        <w:rPr>
          <w:rFonts w:ascii="仿宋_GB2312" w:hAnsi="宋体" w:eastAsia="仿宋_GB2312"/>
        </w:rPr>
      </w:pPr>
      <w:r>
        <w:rPr>
          <w:rFonts w:hint="eastAsia" w:ascii="仿宋_GB2312" w:hAnsi="宋体" w:eastAsia="仿宋_GB2312"/>
        </w:rPr>
        <w:t>5.6.1评标委员会将综合报价、承诺、付款方式等方面对实质上响应招标文件要求的投标文件进行评审。</w:t>
      </w:r>
    </w:p>
    <w:p>
      <w:pPr>
        <w:spacing w:line="360" w:lineRule="auto"/>
        <w:ind w:firstLine="522"/>
        <w:rPr>
          <w:rFonts w:hint="eastAsia" w:ascii="仿宋_GB2312" w:hAnsi="宋体" w:eastAsia="仿宋_GB2312"/>
        </w:rPr>
      </w:pPr>
      <w:r>
        <w:rPr>
          <w:rFonts w:hint="eastAsia" w:ascii="仿宋_GB2312" w:hAnsi="宋体" w:eastAsia="仿宋_GB2312"/>
        </w:rPr>
        <w:t>5.6.2评标委员会保留对经评审综合得分较高的投标人进行进一步谈判的权利，投标人应充分了解并根据自身情况尽量与招标人评审委员会达成一致。进一步谈判或投标人被要求第二次报价并不代表招标人一定会将合同授予相应的投标人</w:t>
      </w:r>
    </w:p>
    <w:p>
      <w:pPr>
        <w:spacing w:line="360" w:lineRule="auto"/>
        <w:ind w:firstLine="522"/>
        <w:jc w:val="center"/>
        <w:rPr>
          <w:rFonts w:hint="eastAsia" w:ascii="Cambria" w:hAnsi="Cambria" w:eastAsia="宋体" w:cs="Times New Roman"/>
          <w:b/>
          <w:bCs/>
          <w:kern w:val="32"/>
          <w:sz w:val="32"/>
          <w:szCs w:val="32"/>
          <w:lang w:val="en-US" w:eastAsia="zh-CN" w:bidi="ar-SA"/>
        </w:rPr>
      </w:pPr>
      <w:r>
        <w:rPr>
          <w:rFonts w:hint="eastAsia" w:ascii="Cambria" w:hAnsi="Cambria" w:eastAsia="宋体" w:cs="Times New Roman"/>
          <w:b/>
          <w:bCs/>
          <w:kern w:val="32"/>
          <w:sz w:val="32"/>
          <w:szCs w:val="32"/>
          <w:lang w:val="en-US" w:eastAsia="zh-CN" w:bidi="ar-SA"/>
        </w:rPr>
        <w:t>六、合同的授予</w:t>
      </w:r>
    </w:p>
    <w:p>
      <w:pPr>
        <w:pStyle w:val="29"/>
      </w:pPr>
      <w:bookmarkStart w:id="48" w:name="_Toc11145"/>
      <w:bookmarkStart w:id="49" w:name="_Toc16363"/>
      <w:r>
        <w:rPr>
          <w:rFonts w:hint="eastAsia"/>
        </w:rPr>
        <w:t>6.1合同的授予和拒绝</w:t>
      </w:r>
      <w:bookmarkEnd w:id="48"/>
      <w:bookmarkEnd w:id="49"/>
    </w:p>
    <w:p>
      <w:pPr>
        <w:spacing w:line="360" w:lineRule="auto"/>
        <w:ind w:firstLine="523" w:firstLineChars="218"/>
        <w:rPr>
          <w:rFonts w:ascii="仿宋_GB2312" w:hAnsi="宋体" w:eastAsia="仿宋_GB2312"/>
        </w:rPr>
      </w:pPr>
      <w:r>
        <w:rPr>
          <w:rFonts w:hint="eastAsia" w:ascii="仿宋_GB2312" w:hAnsi="宋体" w:eastAsia="仿宋_GB2312"/>
        </w:rPr>
        <w:t>6.1.1招标人将把合同授予综合比较最优的投标人，确定为中标的投标人必须具有实施本合同的能力和资源。</w:t>
      </w:r>
    </w:p>
    <w:p>
      <w:pPr>
        <w:spacing w:line="360" w:lineRule="auto"/>
        <w:ind w:firstLine="523" w:firstLineChars="218"/>
        <w:rPr>
          <w:rFonts w:ascii="仿宋_GB2312" w:hAnsi="宋体" w:eastAsia="仿宋_GB2312"/>
        </w:rPr>
      </w:pPr>
      <w:r>
        <w:rPr>
          <w:rFonts w:hint="eastAsia" w:ascii="仿宋_GB2312" w:hAnsi="宋体" w:eastAsia="仿宋_GB2312"/>
        </w:rPr>
        <w:t>6.1.2投标人应该理解，招标人有权将合同授予招标人认为最合适的任何一位投标人，也有权拒绝任何投标人，且并不需要就任何原因向投标人作出任何解释。</w:t>
      </w:r>
    </w:p>
    <w:p>
      <w:pPr>
        <w:pStyle w:val="29"/>
      </w:pPr>
      <w:bookmarkStart w:id="50" w:name="_Toc27605"/>
      <w:bookmarkStart w:id="51" w:name="_Toc14497"/>
      <w:r>
        <w:rPr>
          <w:rFonts w:hint="eastAsia"/>
        </w:rPr>
        <w:t>6.2中标通知书</w:t>
      </w:r>
      <w:bookmarkEnd w:id="50"/>
      <w:bookmarkEnd w:id="51"/>
    </w:p>
    <w:p>
      <w:pPr>
        <w:spacing w:line="360" w:lineRule="auto"/>
        <w:ind w:firstLine="523" w:firstLineChars="218"/>
        <w:rPr>
          <w:rFonts w:ascii="仿宋_GB2312" w:hAnsi="宋体" w:eastAsia="仿宋_GB2312"/>
        </w:rPr>
      </w:pPr>
      <w:r>
        <w:rPr>
          <w:rFonts w:hint="eastAsia" w:ascii="仿宋_GB2312" w:hAnsi="宋体" w:eastAsia="仿宋_GB2312"/>
        </w:rPr>
        <w:t>6.2.1招标人在定标报告审批通过以后发布中标信息，并向中标人发出中标通知书。</w:t>
      </w:r>
    </w:p>
    <w:p>
      <w:pPr>
        <w:spacing w:line="360" w:lineRule="auto"/>
        <w:ind w:firstLine="523" w:firstLineChars="218"/>
        <w:rPr>
          <w:rFonts w:ascii="仿宋_GB2312" w:hAnsi="宋体" w:eastAsia="仿宋_GB2312"/>
        </w:rPr>
      </w:pPr>
      <w:r>
        <w:rPr>
          <w:rFonts w:hint="eastAsia" w:ascii="仿宋_GB2312" w:hAnsi="宋体" w:eastAsia="仿宋_GB2312"/>
        </w:rPr>
        <w:t>6.2.2中标通知书将由招标人通过集中采购平台向中标人发放，各投标人需时刻关注。</w:t>
      </w:r>
    </w:p>
    <w:p>
      <w:pPr>
        <w:pStyle w:val="29"/>
      </w:pPr>
      <w:bookmarkStart w:id="52" w:name="_Toc31778"/>
      <w:bookmarkStart w:id="53" w:name="_Toc4360"/>
      <w:r>
        <w:rPr>
          <w:rFonts w:hint="eastAsia"/>
        </w:rPr>
        <w:t>6.3合同的签订</w:t>
      </w:r>
      <w:bookmarkEnd w:id="52"/>
      <w:bookmarkEnd w:id="53"/>
    </w:p>
    <w:p>
      <w:pPr>
        <w:autoSpaceDN w:val="0"/>
        <w:spacing w:line="360" w:lineRule="auto"/>
        <w:ind w:firstLine="522"/>
        <w:rPr>
          <w:rFonts w:ascii="仿宋_GB2312" w:hAnsi="楷体_GB2312" w:eastAsia="仿宋_GB2312"/>
          <w:color w:val="000000"/>
        </w:rPr>
      </w:pPr>
      <w:r>
        <w:rPr>
          <w:rFonts w:hint="eastAsia" w:ascii="仿宋_GB2312" w:hAnsi="楷体_GB2312" w:eastAsia="仿宋_GB2312"/>
          <w:color w:val="000000"/>
        </w:rPr>
        <w:t>6.3.1中标单位应按招标文件规定的时间、地点，由投标单位法人或授权代理人携带公司资质原件（营业执照、资质证书、税务登记证、安全生产许可证、组织机构代码证等），前往与招标单位代表根据国家有关法律规定、招标文件、投标文件签订《物资采购合同》。</w:t>
      </w:r>
    </w:p>
    <w:p>
      <w:pPr>
        <w:autoSpaceDN w:val="0"/>
        <w:spacing w:line="360" w:lineRule="auto"/>
        <w:ind w:firstLine="522"/>
        <w:rPr>
          <w:rFonts w:hint="eastAsia" w:ascii="仿宋_GB2312" w:hAnsi="宋体" w:eastAsia="仿宋_GB2312"/>
          <w:b/>
          <w:sz w:val="24"/>
        </w:rPr>
      </w:pPr>
      <w:r>
        <w:rPr>
          <w:rFonts w:hint="eastAsia" w:ascii="仿宋_GB2312" w:hAnsi="宋体" w:eastAsia="仿宋_GB2312"/>
        </w:rPr>
        <w:t>6.3.2中标人如不按本招标文件规定的时间及地点与招标人签订合同，则视为</w:t>
      </w:r>
      <w:r>
        <w:rPr>
          <w:rFonts w:hint="eastAsia" w:ascii="仿宋_GB2312" w:hAnsi="楷体_GB2312" w:eastAsia="仿宋_GB2312"/>
          <w:color w:val="000000"/>
        </w:rPr>
        <w:t>中标人自行放弃中标资格</w:t>
      </w:r>
      <w:r>
        <w:rPr>
          <w:rFonts w:hint="eastAsia" w:ascii="楷体_GB2312" w:hAnsi="楷体_GB2312" w:eastAsia="楷体_GB2312"/>
          <w:color w:val="000000"/>
        </w:rPr>
        <w:t>。</w:t>
      </w:r>
      <w:r>
        <w:rPr>
          <w:rFonts w:hint="eastAsia" w:ascii="仿宋_GB2312" w:hAnsi="宋体" w:eastAsia="仿宋_GB2312"/>
        </w:rPr>
        <w:t>招标人将根据招标文件的要求</w:t>
      </w:r>
      <w:r>
        <w:rPr>
          <w:rFonts w:hint="eastAsia" w:ascii="仿宋_GB2312" w:hAnsi="楷体_GB2312" w:eastAsia="仿宋_GB2312"/>
          <w:color w:val="000000"/>
        </w:rPr>
        <w:t>，没收投标人交纳的投标保证金，</w:t>
      </w:r>
      <w:r>
        <w:rPr>
          <w:rFonts w:hint="eastAsia" w:ascii="仿宋_GB2312" w:hAnsi="宋体" w:eastAsia="仿宋_GB2312"/>
        </w:rPr>
        <w:t>并</w:t>
      </w:r>
      <w:r>
        <w:rPr>
          <w:rFonts w:hint="eastAsia" w:ascii="仿宋_GB2312" w:hAnsi="楷体_GB2312" w:eastAsia="仿宋_GB2312"/>
          <w:color w:val="000000"/>
        </w:rPr>
        <w:t>将依法追究投标人相应的经济和法律责任。</w:t>
      </w: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afterAutospacing="0" w:line="440" w:lineRule="exact"/>
        <w:rPr>
          <w:rFonts w:hint="eastAsia" w:ascii="仿宋_GB2312" w:hAnsi="宋体" w:eastAsia="仿宋_GB2312"/>
          <w:b/>
          <w:sz w:val="24"/>
        </w:rPr>
      </w:pPr>
    </w:p>
    <w:p>
      <w:pPr>
        <w:spacing w:before="471" w:beforeLines="150" w:beforeAutospacing="0" w:line="440" w:lineRule="exact"/>
        <w:rPr>
          <w:rFonts w:hint="eastAsia" w:ascii="仿宋_GB2312" w:hAnsi="宋体" w:eastAsia="仿宋_GB2312"/>
          <w:b/>
          <w:sz w:val="24"/>
        </w:rPr>
      </w:pPr>
      <w:r>
        <w:rPr>
          <w:rFonts w:hint="eastAsia" w:ascii="新宋体" w:hAnsi="新宋体" w:eastAsia="新宋体"/>
          <w:b/>
          <w:szCs w:val="28"/>
          <w:lang w:val="zh-CN" w:eastAsia="zh-CN"/>
        </w:rPr>
        <w:pict>
          <v:shape id="_x0000_i1026" o:spt="75" alt="gs" type="#_x0000_t75" style="height:38pt;width:197.95pt;" filled="f" stroked="f" coordsize="21600,21600">
            <v:path/>
            <v:fill on="f" focussize="0,0"/>
            <v:stroke on="f"/>
            <v:imagedata r:id="rId16" cropright="24026f" o:title="gs"/>
            <o:lock v:ext="edit" grouping="f" rotation="f" text="f" aspectratio="t"/>
            <w10:wrap type="none"/>
            <w10:anchorlock/>
          </v:shape>
        </w:pict>
      </w:r>
    </w:p>
    <w:p>
      <w:pPr>
        <w:spacing w:line="440" w:lineRule="exact"/>
        <w:rPr>
          <w:rFonts w:hint="eastAsia" w:ascii="仿宋_GB2312" w:hAnsi="宋体" w:eastAsia="仿宋_GB2312"/>
          <w:b/>
          <w:sz w:val="24"/>
        </w:rPr>
      </w:pPr>
    </w:p>
    <w:p>
      <w:pPr>
        <w:spacing w:line="440" w:lineRule="exact"/>
        <w:rPr>
          <w:rFonts w:hint="eastAsia" w:ascii="宋体" w:hAnsi="宋体"/>
          <w:b/>
          <w:sz w:val="52"/>
          <w:szCs w:val="52"/>
        </w:rPr>
      </w:pPr>
      <w:r>
        <w:rPr>
          <w:rFonts w:hint="eastAsia" w:ascii="仿宋_GB2312" w:hAnsi="宋体" w:eastAsia="仿宋_GB2312"/>
          <w:b/>
          <w:sz w:val="24"/>
        </w:rPr>
        <w:t xml:space="preserve">               </w:t>
      </w:r>
    </w:p>
    <w:p>
      <w:pPr>
        <w:spacing w:afterAutospacing="0" w:line="440" w:lineRule="exact"/>
        <w:rPr>
          <w:rFonts w:hint="eastAsia" w:ascii="宋体" w:hAnsi="宋体"/>
          <w:b/>
          <w:sz w:val="52"/>
          <w:szCs w:val="52"/>
        </w:rPr>
      </w:pPr>
    </w:p>
    <w:p>
      <w:pPr>
        <w:spacing w:before="159" w:beforeLines="50" w:beforeAutospacing="0" w:line="440" w:lineRule="exact"/>
        <w:jc w:val="center"/>
        <w:rPr>
          <w:rFonts w:hint="eastAsia" w:ascii="宋体" w:hAnsi="宋体"/>
          <w:b/>
          <w:sz w:val="52"/>
          <w:szCs w:val="52"/>
        </w:rPr>
      </w:pPr>
      <w:r>
        <w:rPr>
          <w:rFonts w:hint="eastAsia" w:ascii="宋体" w:hAnsi="宋体"/>
          <w:b/>
          <w:sz w:val="52"/>
          <w:szCs w:val="52"/>
        </w:rPr>
        <w:t>电线电缆合同</w:t>
      </w:r>
    </w:p>
    <w:p>
      <w:pPr>
        <w:spacing w:line="440" w:lineRule="exact"/>
        <w:jc w:val="center"/>
        <w:rPr>
          <w:rFonts w:hint="eastAsia" w:ascii="宋体" w:hAnsi="宋体" w:cs="宋体"/>
          <w:sz w:val="30"/>
          <w:szCs w:val="30"/>
        </w:rPr>
      </w:pPr>
    </w:p>
    <w:p>
      <w:pPr>
        <w:spacing w:line="440" w:lineRule="exact"/>
        <w:jc w:val="center"/>
        <w:rPr>
          <w:rFonts w:hint="eastAsia" w:ascii="宋体" w:hAnsi="宋体"/>
          <w:b/>
          <w:sz w:val="52"/>
          <w:szCs w:val="52"/>
        </w:rPr>
      </w:pPr>
      <w:r>
        <w:rPr>
          <w:rFonts w:hint="eastAsia" w:ascii="宋体" w:hAnsi="宋体" w:cs="宋体"/>
          <w:sz w:val="30"/>
          <w:szCs w:val="30"/>
        </w:rPr>
        <w:t>合同编号:</w:t>
      </w:r>
      <w:r>
        <w:rPr>
          <w:rFonts w:hint="eastAsia" w:ascii="宋体" w:hAnsi="宋体" w:cs="宋体"/>
          <w:sz w:val="30"/>
          <w:szCs w:val="30"/>
          <w:u w:val="single"/>
        </w:rPr>
        <w:t>280315008</w:t>
      </w:r>
    </w:p>
    <w:p>
      <w:pPr>
        <w:spacing w:line="440" w:lineRule="exact"/>
        <w:jc w:val="center"/>
        <w:rPr>
          <w:rFonts w:hint="eastAsia" w:ascii="宋体" w:hAnsi="宋体" w:cs="宋体"/>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440" w:lineRule="exact"/>
        <w:rPr>
          <w:rFonts w:hint="eastAsia" w:ascii="宋体" w:hAnsi="宋体" w:cs="宋体"/>
          <w:b/>
          <w:sz w:val="44"/>
          <w:szCs w:val="44"/>
        </w:rPr>
      </w:pPr>
    </w:p>
    <w:p>
      <w:pPr>
        <w:spacing w:line="800" w:lineRule="exact"/>
        <w:jc w:val="both"/>
        <w:rPr>
          <w:rFonts w:hint="eastAsia" w:ascii="新宋体" w:hAnsi="新宋体" w:eastAsia="新宋体"/>
          <w:sz w:val="30"/>
          <w:szCs w:val="30"/>
        </w:rPr>
      </w:pPr>
      <w:r>
        <w:rPr>
          <w:rFonts w:hint="eastAsia" w:ascii="宋体" w:hAnsi="宋体" w:cs="宋体"/>
          <w:b/>
          <w:sz w:val="44"/>
          <w:szCs w:val="44"/>
        </w:rPr>
        <w:t xml:space="preserve">        </w:t>
      </w:r>
      <w:r>
        <w:rPr>
          <w:rFonts w:hint="eastAsia" w:ascii="宋体" w:hAnsi="宋体" w:cs="宋体"/>
          <w:b/>
          <w:sz w:val="44"/>
          <w:szCs w:val="44"/>
          <w:lang w:val="en-US" w:eastAsia="zh-CN"/>
        </w:rPr>
        <w:t xml:space="preserve">   </w:t>
      </w:r>
      <w:r>
        <w:rPr>
          <w:rFonts w:hint="eastAsia" w:ascii="新宋体" w:hAnsi="新宋体" w:eastAsia="新宋体"/>
          <w:sz w:val="30"/>
          <w:szCs w:val="30"/>
          <w:lang w:val="en-US" w:eastAsia="zh-CN"/>
        </w:rPr>
        <w:t>签订时间：</w:t>
      </w:r>
      <w:r>
        <w:rPr>
          <w:rFonts w:hint="eastAsia" w:ascii="宋体" w:hAnsi="宋体" w:cs="宋体"/>
          <w:b/>
          <w:sz w:val="44"/>
          <w:szCs w:val="44"/>
          <w:lang w:val="en-US" w:eastAsia="zh-CN"/>
        </w:rPr>
        <w:t xml:space="preserve">   </w:t>
      </w:r>
      <w:r>
        <w:rPr>
          <w:rFonts w:hint="eastAsia" w:ascii="新宋体" w:hAnsi="新宋体" w:eastAsia="新宋体"/>
          <w:sz w:val="30"/>
          <w:szCs w:val="30"/>
        </w:rPr>
        <w:t>年</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月</w:t>
      </w:r>
      <w:r>
        <w:rPr>
          <w:rFonts w:hint="eastAsia" w:ascii="新宋体" w:hAnsi="新宋体" w:eastAsia="新宋体"/>
          <w:sz w:val="30"/>
          <w:szCs w:val="30"/>
          <w:lang w:val="en-US" w:eastAsia="zh-CN"/>
        </w:rPr>
        <w:t xml:space="preserve">   日</w:t>
      </w:r>
    </w:p>
    <w:p>
      <w:pPr>
        <w:spacing w:line="440" w:lineRule="exact"/>
        <w:rPr>
          <w:rFonts w:hint="eastAsia" w:ascii="宋体" w:hAnsi="宋体" w:cs="宋体"/>
          <w:b/>
          <w:sz w:val="32"/>
          <w:szCs w:val="32"/>
        </w:rPr>
      </w:pPr>
    </w:p>
    <w:p>
      <w:pPr>
        <w:spacing w:before="159" w:beforeLines="50" w:beforeAutospacing="0" w:line="440" w:lineRule="exact"/>
        <w:jc w:val="both"/>
        <w:rPr>
          <w:rFonts w:hint="eastAsia" w:ascii="宋体" w:hAnsi="宋体"/>
          <w:b/>
          <w:sz w:val="36"/>
          <w:szCs w:val="36"/>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spacing w:before="159" w:beforeLines="50" w:beforeAutospacing="0" w:line="440" w:lineRule="exact"/>
        <w:jc w:val="center"/>
        <w:rPr>
          <w:rFonts w:hint="eastAsia" w:ascii="宋体" w:hAnsi="宋体"/>
          <w:b/>
          <w:sz w:val="36"/>
          <w:szCs w:val="36"/>
        </w:rPr>
      </w:pPr>
      <w:r>
        <w:rPr>
          <w:rFonts w:hint="eastAsia" w:ascii="宋体" w:hAnsi="宋体"/>
          <w:b/>
          <w:sz w:val="36"/>
          <w:szCs w:val="36"/>
        </w:rPr>
        <w:t>电线电缆合同</w:t>
      </w:r>
    </w:p>
    <w:p>
      <w:pPr>
        <w:spacing w:line="440" w:lineRule="exact"/>
        <w:rPr>
          <w:rFonts w:hint="eastAsia" w:ascii="新宋体" w:hAnsi="新宋体" w:eastAsia="新宋体"/>
          <w:b/>
          <w:sz w:val="24"/>
        </w:rPr>
      </w:pP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sz w:val="24"/>
          <w:u w:val="single"/>
        </w:rPr>
      </w:pPr>
      <w:r>
        <w:rPr>
          <w:rFonts w:hint="eastAsia" w:ascii="新宋体" w:hAnsi="新宋体" w:eastAsia="新宋体"/>
          <w:b/>
          <w:sz w:val="24"/>
        </w:rPr>
        <w:t>需</w:t>
      </w:r>
      <w:r>
        <w:rPr>
          <w:rFonts w:hint="eastAsia" w:ascii="仿宋" w:hAnsi="仿宋" w:eastAsia="仿宋" w:cs="仿宋"/>
          <w:b/>
          <w:sz w:val="24"/>
        </w:rPr>
        <w:t>方（以下简称甲方）</w:t>
      </w:r>
      <w:r>
        <w:rPr>
          <w:rFonts w:hint="eastAsia" w:ascii="仿宋" w:hAnsi="仿宋" w:eastAsia="仿宋" w:cs="仿宋"/>
          <w:sz w:val="24"/>
        </w:rPr>
        <w:t>：</w:t>
      </w:r>
      <w:r>
        <w:rPr>
          <w:rFonts w:hint="eastAsia" w:ascii="仿宋" w:hAnsi="仿宋" w:eastAsia="仿宋" w:cs="仿宋"/>
          <w:sz w:val="24"/>
          <w:u w:val="single"/>
        </w:rPr>
        <w:t>中国建筑第五工程局有限公司</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sz w:val="24"/>
        </w:rPr>
      </w:pPr>
      <w:r>
        <w:rPr>
          <w:rFonts w:hint="eastAsia" w:ascii="仿宋" w:hAnsi="仿宋" w:eastAsia="仿宋" w:cs="仿宋"/>
          <w:b/>
          <w:sz w:val="24"/>
        </w:rPr>
        <w:t>供方（以下简称乙方）</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r>
        <w:rPr>
          <w:rFonts w:hint="eastAsia" w:ascii="仿宋" w:hAnsi="仿宋" w:eastAsia="仿宋" w:cs="仿宋"/>
          <w:sz w:val="24"/>
        </w:rPr>
        <w:t xml:space="preserve">          </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遵照《中华人民共和国合同法》、《中华人民共和国建筑法》和《建设工程质量管理条例》等相关法律法规的规定，双方在自愿、平等、公平、诚信的基础上，就电力电缆采购事宜协商一致，签订本合同。</w:t>
      </w:r>
    </w:p>
    <w:p>
      <w:pPr>
        <w:keepNext w:val="0"/>
        <w:keepLines w:val="0"/>
        <w:pageBreakBefore w:val="0"/>
        <w:widowControl w:val="0"/>
        <w:kinsoku/>
        <w:wordWrap/>
        <w:overflowPunct/>
        <w:topLinePunct w:val="0"/>
        <w:autoSpaceDE/>
        <w:bidi w:val="0"/>
        <w:adjustRightInd/>
        <w:spacing w:after="156" w:afterLines="50" w:line="440" w:lineRule="exact"/>
        <w:textAlignment w:val="auto"/>
        <w:outlineLvl w:val="9"/>
        <w:rPr>
          <w:rFonts w:hint="eastAsia" w:ascii="仿宋" w:hAnsi="仿宋" w:eastAsia="仿宋" w:cs="仿宋"/>
          <w:b/>
          <w:sz w:val="24"/>
        </w:rPr>
      </w:pPr>
      <w:r>
        <w:rPr>
          <w:rFonts w:hint="eastAsia" w:ascii="仿宋" w:hAnsi="仿宋" w:eastAsia="仿宋" w:cs="仿宋"/>
          <w:b/>
          <w:sz w:val="24"/>
        </w:rPr>
        <w:t>第1条  物资名称、品牌、规格型号、数量、价格、金额、价款调整等</w:t>
      </w:r>
    </w:p>
    <w:tbl>
      <w:tblPr>
        <w:tblStyle w:val="24"/>
        <w:tblW w:w="11549" w:type="dxa"/>
        <w:jc w:val="center"/>
        <w:tblInd w:w="-1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55"/>
        <w:gridCol w:w="1335"/>
        <w:gridCol w:w="1335"/>
        <w:gridCol w:w="1335"/>
        <w:gridCol w:w="1515"/>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44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存货名称</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暂估</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固定单价</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元/米</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浮动价</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元/米</w:t>
            </w:r>
          </w:p>
        </w:tc>
        <w:tc>
          <w:tcPr>
            <w:tcW w:w="15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1549" w:type="dxa"/>
            <w:gridSpan w:val="6"/>
            <w:tcBorders>
              <w:top w:val="single" w:color="000000" w:sz="4" w:space="0"/>
              <w:left w:val="single" w:color="000000" w:sz="4" w:space="0"/>
              <w:bottom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b/>
                <w:bCs/>
                <w:i w:val="0"/>
                <w:color w:val="000000"/>
                <w:sz w:val="20"/>
                <w:szCs w:val="20"/>
                <w:u w:val="none"/>
                <w:lang w:val="en-US" w:eastAsia="zh-CN"/>
              </w:rPr>
              <w:t>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3*150+2*70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3*16+2*10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3*185+2*95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3*240+2*120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3*70+2*35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3*120+1*70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3*185+1*95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3*300+2*150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1549" w:type="dxa"/>
            <w:gridSpan w:val="6"/>
            <w:tcBorders>
              <w:top w:val="single" w:color="000000" w:sz="4" w:space="0"/>
              <w:left w:val="single" w:color="000000" w:sz="4" w:space="0"/>
              <w:bottom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b/>
                <w:bCs/>
                <w:i w:val="0"/>
                <w:color w:val="000000"/>
                <w:sz w:val="20"/>
                <w:szCs w:val="20"/>
                <w:u w:val="none"/>
                <w:lang w:val="en-US" w:eastAsia="zh-CN"/>
              </w:rPr>
              <w:t>电线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eastAsia="宋体"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bl>
    <w:p>
      <w:pPr>
        <w:keepNext w:val="0"/>
        <w:keepLines w:val="0"/>
        <w:pageBreakBefore w:val="0"/>
        <w:widowControl w:val="0"/>
        <w:kinsoku/>
        <w:wordWrap/>
        <w:overflowPunct/>
        <w:topLinePunct w:val="0"/>
        <w:autoSpaceDE/>
        <w:bidi w:val="0"/>
        <w:adjustRightInd/>
        <w:spacing w:before="156" w:beforeLines="50" w:line="440" w:lineRule="exac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bidi w:val="0"/>
        <w:adjustRightInd/>
        <w:spacing w:before="156" w:beforeLines="50"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1.1本合同单价为货物运到甲方指定地点的所有费用和含税结算价。（包括但不限于材料采购、装车价格、运到甲方工地的运输价格、装卸费、管理费、利润和税金等全部费用。）此</w:t>
      </w:r>
      <w:r>
        <w:rPr>
          <w:rFonts w:hint="eastAsia" w:ascii="仿宋" w:hAnsi="仿宋" w:eastAsia="仿宋" w:cs="仿宋"/>
          <w:sz w:val="24"/>
          <w:lang w:val="en-US" w:eastAsia="zh-CN"/>
        </w:rPr>
        <w:t>次</w:t>
      </w:r>
      <w:r>
        <w:rPr>
          <w:rFonts w:hint="eastAsia" w:ascii="仿宋" w:hAnsi="仿宋" w:eastAsia="仿宋" w:cs="仿宋"/>
          <w:sz w:val="24"/>
        </w:rPr>
        <w:t>报价</w:t>
      </w:r>
      <w:r>
        <w:rPr>
          <w:rFonts w:hint="eastAsia" w:ascii="仿宋" w:hAnsi="仿宋" w:eastAsia="仿宋" w:cs="仿宋"/>
          <w:sz w:val="24"/>
          <w:lang w:val="en-US" w:eastAsia="zh-CN"/>
        </w:rPr>
        <w:t>为固定单价</w:t>
      </w:r>
      <w:r>
        <w:rPr>
          <w:rFonts w:hint="eastAsia" w:ascii="仿宋" w:hAnsi="仿宋" w:eastAsia="仿宋" w:cs="仿宋"/>
          <w:sz w:val="24"/>
        </w:rPr>
        <w:t>。</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1.2单价制定原则：以第 1.2.1；1.2.2条执行。</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1.2.1采用</w:t>
      </w:r>
      <w:r>
        <w:rPr>
          <w:rFonts w:hint="eastAsia" w:ascii="仿宋" w:hAnsi="仿宋" w:eastAsia="仿宋" w:cs="仿宋"/>
          <w:sz w:val="24"/>
          <w:highlight w:val="yellow"/>
          <w:u w:val="single"/>
          <w:lang w:val="en-US" w:eastAsia="zh-CN"/>
        </w:rPr>
        <w:t xml:space="preserve">     </w:t>
      </w:r>
      <w:r>
        <w:rPr>
          <w:rFonts w:hint="eastAsia" w:ascii="仿宋" w:hAnsi="仿宋" w:eastAsia="仿宋" w:cs="仿宋"/>
          <w:sz w:val="24"/>
        </w:rPr>
        <w:t>供货单价采购，本着风险共担的原则，按合同附件中双方约定的单价结算。</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1.2.2 数量以实际供货数量为准，即以甲乙双方办理验收时共同的签字认可的数量为准。</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sectPr>
          <w:footerReference r:id="rId8" w:type="first"/>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第2条  质量要求、技术标准及对质量负责的条件和期限</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 xml:space="preserve">2.1质量要求符合GB/T12706-2008、GB/T5023-2008、GB/T19666-2005及本项目设计、施工要求，同时满足在合同执行期间国家有新标准发布时则按新标准执行（如2012电线电缆最新国家标准（新修订））。所有电线、电力电缆的线径和长度必须符合国家有关最新标准要求，其中电线的长度偏差每100m不得大于0.5m。 </w:t>
      </w:r>
    </w:p>
    <w:p>
      <w:pPr>
        <w:keepNext w:val="0"/>
        <w:keepLines w:val="0"/>
        <w:pageBreakBefore w:val="0"/>
        <w:widowControl w:val="0"/>
        <w:kinsoku/>
        <w:wordWrap/>
        <w:overflowPunct/>
        <w:topLinePunct w:val="0"/>
        <w:autoSpaceDE/>
        <w:bidi w:val="0"/>
        <w:adjustRightInd/>
        <w:spacing w:line="440" w:lineRule="exact"/>
        <w:ind w:firstLine="360" w:firstLineChars="150"/>
        <w:textAlignment w:val="auto"/>
        <w:outlineLvl w:val="9"/>
        <w:rPr>
          <w:rFonts w:hint="eastAsia" w:ascii="仿宋" w:hAnsi="仿宋" w:eastAsia="仿宋" w:cs="仿宋"/>
          <w:sz w:val="24"/>
        </w:rPr>
      </w:pPr>
      <w:r>
        <w:rPr>
          <w:rFonts w:hint="eastAsia" w:ascii="仿宋" w:hAnsi="仿宋" w:eastAsia="仿宋" w:cs="仿宋"/>
          <w:sz w:val="24"/>
        </w:rPr>
        <w:t xml:space="preserve">2.2乙方提供的产品如须送检，送检由供方负责，送检产品的要求：货至现场，如甲方、业主或监理及其他有关单位对产品有异议时，对有异议的产品送相关检测单位检验，检测合格费用由甲方承担；检测不合格，费用由乙方承担，且甲方有权拒收和退货，且由此产生的一切损失由乙方负责。   </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2.3甲方对乙方供货产品质量提出异议处理的期限为货物运到甲方指定地点三十个工作日内（待28天报告出来以后确认），乙方在接到甲方书面异议后，应在三天内负责处理，否则，即视为默认甲方提出的异议和处理意见。甲方在提出异议期限内，应提出相应的证明材料。如果甲方未在上述质量处理期限内提出书面异议，视为乙方所交货物符合合同规定，但并未免除乙方应承担的质量缺陷责任且承担一切经济损失。</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2.4产品质保期：免费质保期2年，质保期从竣工验收合格并通电之日开始，在此期间乙方产品出现质量问题由乙方免费负责更换；</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 xml:space="preserve">2.5产品送检：用于主体的电线电缆材料必须送当地质检站指定的检测中心检测，检测费用由供货商承担（无论产品是否合格），临建使用的电线电缆由当地安监站的要求为准。 </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第3条  交（提）货的地点、时间和方式</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3.1交货地点：</w:t>
      </w:r>
      <w:r>
        <w:rPr>
          <w:rFonts w:hint="eastAsia" w:ascii="仿宋_GB2312" w:hAnsi="楷体_GB2312" w:eastAsia="仿宋_GB2312"/>
          <w:color w:val="000000"/>
          <w:lang w:eastAsia="zh-CN"/>
        </w:rPr>
        <w:t>在建需用项目（以甲方授权为准）</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3.2交货时间</w:t>
      </w:r>
      <w:r>
        <w:rPr>
          <w:rFonts w:hint="eastAsia" w:ascii="仿宋" w:hAnsi="仿宋" w:eastAsia="仿宋" w:cs="仿宋"/>
          <w:sz w:val="24"/>
          <w:lang w:eastAsia="zh-CN"/>
        </w:rPr>
        <w:t>：</w:t>
      </w:r>
      <w:r>
        <w:rPr>
          <w:rFonts w:hint="eastAsia" w:ascii="仿宋" w:hAnsi="仿宋" w:eastAsia="仿宋" w:cs="仿宋"/>
          <w:sz w:val="24"/>
          <w:u w:val="none"/>
          <w:lang w:eastAsia="zh-CN"/>
        </w:rPr>
        <w:t>根据项目所需。</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bidi w:val="0"/>
        <w:adjustRightInd/>
        <w:spacing w:line="440" w:lineRule="exact"/>
        <w:ind w:firstLine="480" w:firstLineChars="200"/>
        <w:jc w:val="left"/>
        <w:textAlignment w:val="auto"/>
        <w:outlineLvl w:val="9"/>
        <w:rPr>
          <w:rFonts w:hint="eastAsia" w:ascii="仿宋" w:hAnsi="仿宋" w:eastAsia="仿宋" w:cs="仿宋"/>
          <w:sz w:val="24"/>
        </w:rPr>
      </w:pPr>
      <w:r>
        <w:rPr>
          <w:rFonts w:hint="eastAsia" w:ascii="仿宋" w:hAnsi="仿宋" w:eastAsia="仿宋" w:cs="仿宋"/>
          <w:sz w:val="24"/>
        </w:rPr>
        <w:t>3.2.1交货时间如有变动，甲方提前</w:t>
      </w:r>
      <w:r>
        <w:rPr>
          <w:rFonts w:hint="eastAsia" w:ascii="仿宋" w:hAnsi="仿宋" w:eastAsia="仿宋" w:cs="仿宋"/>
          <w:sz w:val="24"/>
          <w:highlight w:val="yellow"/>
        </w:rPr>
        <w:t xml:space="preserve"> </w:t>
      </w:r>
      <w:r>
        <w:rPr>
          <w:rFonts w:hint="eastAsia" w:ascii="仿宋" w:hAnsi="仿宋" w:eastAsia="仿宋" w:cs="仿宋"/>
          <w:sz w:val="24"/>
          <w:highlight w:val="yellow"/>
          <w:lang w:val="en-US" w:eastAsia="zh-CN"/>
        </w:rPr>
        <w:t>2</w:t>
      </w:r>
      <w:r>
        <w:rPr>
          <w:rFonts w:hint="eastAsia" w:ascii="仿宋" w:hAnsi="仿宋" w:eastAsia="仿宋" w:cs="仿宋"/>
          <w:sz w:val="24"/>
        </w:rPr>
        <w:t>天以电话告知乙方，乙方必须按要求组织货源送至甲方工地，满足甲方的工程实际需要。</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3.3本合同内的货物由乙方送至甲方指定的交货地点，需经甲方验收合格，并办理书面验收手续；该货物未经验收造成的任何事故和风险，均由乙方自行承担，甲方不负任何责任。</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第4条  运输、装卸费用及验收方法</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sectPr>
          <w:footerReference r:id="rId10" w:type="first"/>
          <w:footerReference r:id="rId9"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r>
        <w:rPr>
          <w:rFonts w:hint="eastAsia" w:ascii="仿宋" w:hAnsi="仿宋" w:eastAsia="仿宋" w:cs="仿宋"/>
          <w:sz w:val="24"/>
        </w:rPr>
        <w:t>4.1 所有供货货物由乙方负责送货到各项目工地并卸货到甲方指定的仓库</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内。</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4.2 所有供货货物运输过程中的包装费已包含在报价中，运输及装卸车过程中发生的各种对货物的损坏由乙方负责免费更换，乙方必须免费提供电缆盘，自行回收。</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4.3物资验收方法：目测和随机抽检。当发现货物包装破损或抽检不合格时，视为质量问题不予验收并由乙方承担一切损失和相关费用。</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4.4对有质量问题的货物，甲方可在货物质量保质期内随时以口头、电传或书面方式向乙方提出，对有质量问题的货物做出退货处理。</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4.5甲方授权指定项目物资设备部负责人为联系人</w:t>
      </w:r>
      <w:r>
        <w:rPr>
          <w:rFonts w:hint="eastAsia" w:ascii="仿宋" w:hAnsi="仿宋" w:eastAsia="仿宋" w:cs="仿宋"/>
          <w:sz w:val="24"/>
          <w:highlight w:val="yellow"/>
          <w:u w:val="single"/>
          <w:lang w:val="en-US" w:eastAsia="zh-CN"/>
        </w:rPr>
        <w:t xml:space="preserve">    </w:t>
      </w:r>
      <w:r>
        <w:rPr>
          <w:rFonts w:hint="eastAsia" w:ascii="仿宋" w:hAnsi="仿宋" w:eastAsia="仿宋" w:cs="仿宋"/>
          <w:sz w:val="24"/>
          <w:u w:val="none"/>
          <w:lang w:eastAsia="zh-CN"/>
        </w:rPr>
        <w:t>，</w:t>
      </w:r>
      <w:r>
        <w:rPr>
          <w:rFonts w:hint="eastAsia" w:ascii="仿宋" w:hAnsi="仿宋" w:eastAsia="仿宋" w:cs="仿宋"/>
          <w:sz w:val="24"/>
          <w:lang w:eastAsia="zh-CN"/>
        </w:rPr>
        <w:t>电话：</w:t>
      </w:r>
      <w:r>
        <w:rPr>
          <w:rFonts w:hint="eastAsia" w:ascii="仿宋" w:hAnsi="仿宋" w:eastAsia="仿宋" w:cs="仿宋"/>
          <w:sz w:val="24"/>
          <w:highlight w:val="yellow"/>
          <w:u w:val="single"/>
          <w:lang w:val="en-US" w:eastAsia="zh-CN"/>
        </w:rPr>
        <w:t xml:space="preserve">     </w:t>
      </w:r>
      <w:r>
        <w:rPr>
          <w:rFonts w:hint="eastAsia" w:ascii="仿宋" w:hAnsi="仿宋" w:eastAsia="仿宋" w:cs="仿宋"/>
          <w:sz w:val="24"/>
        </w:rPr>
        <w:t>，验收必须由两部门两人以上同时签收方为有效。乙方授权指定</w:t>
      </w:r>
      <w:r>
        <w:rPr>
          <w:rFonts w:hint="eastAsia" w:ascii="仿宋" w:hAnsi="仿宋" w:eastAsia="仿宋" w:cs="仿宋"/>
          <w:sz w:val="24"/>
          <w:highlight w:val="yellow"/>
          <w:u w:val="single"/>
          <w:lang w:val="en-US" w:eastAsia="zh-CN"/>
        </w:rPr>
        <w:t xml:space="preserve">    </w:t>
      </w:r>
      <w:r>
        <w:rPr>
          <w:rFonts w:hint="eastAsia" w:ascii="仿宋" w:hAnsi="仿宋" w:eastAsia="仿宋" w:cs="仿宋"/>
          <w:sz w:val="24"/>
        </w:rPr>
        <w:t>，电话：</w:t>
      </w:r>
      <w:r>
        <w:rPr>
          <w:rFonts w:hint="eastAsia" w:ascii="仿宋" w:hAnsi="仿宋" w:eastAsia="仿宋" w:cs="仿宋"/>
          <w:sz w:val="24"/>
          <w:highlight w:val="yellow"/>
          <w:u w:val="single"/>
          <w:lang w:val="en-US" w:eastAsia="zh-CN"/>
        </w:rPr>
        <w:t xml:space="preserve">    </w:t>
      </w:r>
      <w:r>
        <w:rPr>
          <w:rFonts w:hint="eastAsia" w:ascii="仿宋" w:hAnsi="仿宋" w:eastAsia="仿宋" w:cs="仿宋"/>
          <w:sz w:val="24"/>
        </w:rPr>
        <w:t>为签收人和送货验量人。</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4.6双方授权业务人员的调换，应在调换前三天以书面文件通知对方，否则引起供货停滞，给对方造成损失时，应承担相应的责任。</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4.7货物验收由甲乙双方指定授权人共同参与验收，并在收料单上双方签字认可。</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4.8乙方交货时，须向甲方随货提交该批产品合格证、CCC认证证书和检验报告各三份，否则不予办理结算。质量检验报告文件应与进场材料相对应（材料品种、规格型号与材质报告相符，如不相符造成材料退场的一切费用由供方承担）。</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第5条  结算及付款方式</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5.1每批次货物经现场验收后当月</w:t>
      </w:r>
      <w:r>
        <w:rPr>
          <w:rFonts w:hint="eastAsia" w:ascii="仿宋" w:hAnsi="仿宋" w:eastAsia="仿宋" w:cs="仿宋"/>
          <w:sz w:val="24"/>
          <w:lang w:val="en-US" w:eastAsia="zh-CN"/>
        </w:rPr>
        <w:t>1</w:t>
      </w:r>
      <w:r>
        <w:rPr>
          <w:rFonts w:hint="eastAsia" w:ascii="仿宋" w:hAnsi="仿宋" w:eastAsia="仿宋" w:cs="仿宋"/>
          <w:sz w:val="24"/>
        </w:rPr>
        <w:t>5日办理供货结算，结算以甲方开具的经甲乙双方签字（4.5条规定指定人员签字）的收料单数量为准。结算时，乙方提供</w:t>
      </w:r>
      <w:r>
        <w:rPr>
          <w:rFonts w:hint="eastAsia" w:ascii="仿宋" w:hAnsi="仿宋" w:eastAsia="仿宋" w:cs="仿宋"/>
          <w:sz w:val="24"/>
          <w:lang w:val="en-US" w:eastAsia="zh-CN"/>
        </w:rPr>
        <w:t>与供货金额</w:t>
      </w:r>
      <w:r>
        <w:rPr>
          <w:rFonts w:hint="eastAsia" w:ascii="仿宋" w:hAnsi="仿宋" w:eastAsia="仿宋" w:cs="仿宋"/>
          <w:sz w:val="24"/>
        </w:rPr>
        <w:t>等额有效增值税发票办理结算。</w:t>
      </w:r>
    </w:p>
    <w:p>
      <w:pPr>
        <w:spacing w:line="440" w:lineRule="exact"/>
        <w:ind w:firstLine="480" w:firstLineChars="200"/>
        <w:rPr>
          <w:rFonts w:hint="eastAsia" w:ascii="仿宋" w:hAnsi="仿宋" w:eastAsia="仿宋" w:cs="仿宋"/>
          <w:sz w:val="24"/>
        </w:rPr>
      </w:pPr>
      <w:r>
        <w:rPr>
          <w:rFonts w:hint="eastAsia" w:ascii="仿宋" w:hAnsi="仿宋" w:eastAsia="仿宋" w:cs="仿宋"/>
          <w:highlight w:val="none"/>
          <w:lang w:val="en-US" w:eastAsia="zh-CN"/>
        </w:rPr>
        <w:t>5.2</w:t>
      </w:r>
      <w:r>
        <w:rPr>
          <w:rFonts w:hint="eastAsia" w:ascii="仿宋" w:hAnsi="仿宋" w:eastAsia="仿宋" w:cs="仿宋"/>
          <w:color w:val="000000"/>
          <w:kern w:val="0"/>
          <w:sz w:val="24"/>
          <w:szCs w:val="24"/>
          <w:lang w:val="en-US" w:eastAsia="zh-CN" w:bidi="ar-SA"/>
        </w:rPr>
        <w:t>每月结算对帐后，乙方必须按甲方要求提供有效增值税专用发票，增值税税率为 </w:t>
      </w:r>
      <w:r>
        <w:rPr>
          <w:rFonts w:hint="eastAsia" w:ascii="仿宋" w:hAnsi="仿宋" w:eastAsia="仿宋" w:cs="仿宋"/>
          <w:color w:val="000000"/>
          <w:kern w:val="0"/>
          <w:sz w:val="24"/>
          <w:szCs w:val="24"/>
          <w:highlight w:val="yellow"/>
          <w:u w:val="single"/>
          <w:lang w:val="en-US" w:eastAsia="zh-CN" w:bidi="ar-SA"/>
        </w:rPr>
        <w:t xml:space="preserve">    </w:t>
      </w:r>
      <w:r>
        <w:rPr>
          <w:rFonts w:hint="eastAsia" w:ascii="仿宋" w:hAnsi="仿宋" w:eastAsia="仿宋" w:cs="仿宋"/>
          <w:color w:val="000000"/>
          <w:kern w:val="0"/>
          <w:sz w:val="24"/>
          <w:szCs w:val="24"/>
          <w:lang w:val="en-US" w:eastAsia="zh-CN" w:bidi="ar-SA"/>
        </w:rPr>
        <w:t xml:space="preserve"> %，我方不承担由此产生的任何税费，乙方必须按照计量和供货金额开具增值税专用发票，如发现承包人虚开、伪造、借用、盗用、擅自制造、编造发票的，乙方需要重新开具合法有效的增值税专用发票，由此产生的税费、费用全部由乙方承担。</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5.2.1每批次货到现场经甲方、监理和项目建设方共同验收合格后办理月结算，次月付上月供货额的6</w:t>
      </w:r>
      <w:r>
        <w:rPr>
          <w:rFonts w:hint="eastAsia" w:ascii="仿宋" w:hAnsi="仿宋" w:eastAsia="仿宋" w:cs="仿宋"/>
          <w:sz w:val="24"/>
          <w:lang w:val="en-US" w:eastAsia="zh-CN"/>
        </w:rPr>
        <w:t>5</w:t>
      </w:r>
      <w:r>
        <w:rPr>
          <w:rFonts w:hint="eastAsia" w:ascii="仿宋" w:hAnsi="仿宋" w:eastAsia="仿宋" w:cs="仿宋"/>
          <w:sz w:val="24"/>
        </w:rPr>
        <w:t xml:space="preserve">%，不累计； </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5.2.2单个项目供货完毕并办理结算后六个月内付至结算总价款的95%；</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5.2.3货物总价款的5%作为质保金，1年质保期满后14个工作日付合同总价的3%，剩余2%质保金在2年质保期满后2个月内付至合同总价款的100%。</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lang w:val="en-US" w:eastAsia="zh-CN"/>
        </w:rPr>
        <w:t>4</w:t>
      </w:r>
      <w:r>
        <w:rPr>
          <w:rFonts w:hint="eastAsia" w:ascii="仿宋" w:hAnsi="仿宋" w:eastAsia="仿宋" w:cs="仿宋"/>
          <w:highlight w:val="none"/>
        </w:rPr>
        <w:t>乙方须无条件接受甲方6月、12月不付款条件，付款时间顺延到次月。</w:t>
      </w:r>
      <w:r>
        <w:rPr>
          <w:rFonts w:ascii="仿宋" w:hAnsi="仿宋" w:eastAsia="仿宋" w:cs="仿宋"/>
          <w:highlight w:val="none"/>
        </w:rPr>
        <w:t>（以上付款前提均为甲方已收到业主相应工程款，所有付款均为</w:t>
      </w:r>
      <w:r>
        <w:rPr>
          <w:rFonts w:ascii="仿宋" w:hAnsi="仿宋" w:eastAsia="仿宋" w:cs="仿宋"/>
        </w:rPr>
        <w:t>无息）</w:t>
      </w:r>
      <w:r>
        <w:rPr>
          <w:rFonts w:hint="eastAsia" w:ascii="仿宋" w:hAnsi="仿宋" w:eastAsia="仿宋" w:cs="仿宋"/>
          <w:highlight w:val="none"/>
        </w:rPr>
        <w:t>。</w:t>
      </w:r>
    </w:p>
    <w:p>
      <w:pPr>
        <w:spacing w:line="440" w:lineRule="exact"/>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5.3付款方式：以银行转账方式支付，供方指定银行为：</w:t>
      </w:r>
      <w:r>
        <w:rPr>
          <w:rFonts w:hint="eastAsia" w:ascii="仿宋" w:hAnsi="仿宋" w:eastAsia="仿宋" w:cs="仿宋"/>
          <w:color w:val="000000"/>
          <w:kern w:val="0"/>
          <w:sz w:val="24"/>
          <w:szCs w:val="24"/>
          <w:u w:val="single"/>
          <w:lang w:val="en-US" w:eastAsia="zh-CN" w:bidi="ar-SA"/>
        </w:rPr>
        <w:t xml:space="preserve">        </w:t>
      </w:r>
      <w:r>
        <w:rPr>
          <w:rFonts w:hint="eastAsia" w:ascii="仿宋" w:hAnsi="仿宋" w:eastAsia="仿宋" w:cs="仿宋"/>
          <w:color w:val="000000"/>
          <w:kern w:val="0"/>
          <w:sz w:val="24"/>
          <w:szCs w:val="24"/>
          <w:lang w:val="en-US" w:eastAsia="zh-CN" w:bidi="ar-SA"/>
        </w:rPr>
        <w:t>，账号：</w:t>
      </w:r>
      <w:r>
        <w:rPr>
          <w:rFonts w:hint="eastAsia" w:ascii="仿宋" w:hAnsi="仿宋" w:eastAsia="仿宋" w:cs="仿宋"/>
          <w:color w:val="000000"/>
          <w:kern w:val="0"/>
          <w:sz w:val="24"/>
          <w:szCs w:val="24"/>
          <w:u w:val="single"/>
          <w:lang w:val="en-US" w:eastAsia="zh-CN" w:bidi="ar-SA"/>
        </w:rPr>
        <w:t xml:space="preserve">         </w:t>
      </w:r>
      <w:r>
        <w:rPr>
          <w:rFonts w:hint="eastAsia" w:ascii="仿宋" w:hAnsi="仿宋" w:eastAsia="仿宋" w:cs="仿宋"/>
          <w:color w:val="000000"/>
          <w:kern w:val="0"/>
          <w:sz w:val="24"/>
          <w:szCs w:val="24"/>
          <w:lang w:val="en-US" w:eastAsia="zh-CN" w:bidi="ar-SA"/>
        </w:rPr>
        <w:t>，需方不接受委托付款。</w:t>
      </w:r>
    </w:p>
    <w:p>
      <w:pPr>
        <w:spacing w:line="440" w:lineRule="exact"/>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5.4由于业主延期支付工程款，需方做相应顺延，最长延期不超过</w:t>
      </w:r>
      <w:r>
        <w:rPr>
          <w:rFonts w:hint="eastAsia" w:ascii="仿宋" w:hAnsi="仿宋" w:eastAsia="仿宋" w:cs="仿宋"/>
          <w:color w:val="000000"/>
          <w:kern w:val="0"/>
          <w:sz w:val="24"/>
          <w:szCs w:val="24"/>
          <w:u w:val="single"/>
          <w:lang w:val="en-US" w:eastAsia="zh-CN" w:bidi="ar-SA"/>
        </w:rPr>
        <w:t xml:space="preserve"> 90 </w:t>
      </w:r>
      <w:r>
        <w:rPr>
          <w:rFonts w:hint="eastAsia" w:ascii="仿宋" w:hAnsi="仿宋" w:eastAsia="仿宋" w:cs="仿宋"/>
          <w:color w:val="000000"/>
          <w:kern w:val="0"/>
          <w:sz w:val="24"/>
          <w:szCs w:val="24"/>
          <w:lang w:val="en-US" w:eastAsia="zh-CN" w:bidi="ar-SA"/>
        </w:rPr>
        <w:t>天，否则需方应按银行同期存款利率承担延期支付货款的利息，但供方不得因货款延付而停止供货。</w:t>
      </w:r>
    </w:p>
    <w:p>
      <w:pPr>
        <w:spacing w:line="480" w:lineRule="exact"/>
        <w:rPr>
          <w:rFonts w:hint="eastAsia" w:ascii="仿宋" w:hAnsi="仿宋" w:eastAsia="仿宋" w:cs="仿宋"/>
          <w:sz w:val="24"/>
        </w:rPr>
      </w:pPr>
      <w:r>
        <w:rPr>
          <w:rFonts w:hint="eastAsia" w:ascii="仿宋" w:hAnsi="仿宋" w:eastAsia="仿宋" w:cs="仿宋"/>
          <w:lang w:val="en-US" w:eastAsia="zh-CN"/>
        </w:rPr>
        <w:t xml:space="preserve">    </w:t>
      </w:r>
      <w:r>
        <w:rPr>
          <w:rFonts w:hint="eastAsia" w:ascii="仿宋" w:hAnsi="仿宋" w:eastAsia="仿宋" w:cs="仿宋"/>
        </w:rPr>
        <w:t>5.</w:t>
      </w:r>
      <w:r>
        <w:rPr>
          <w:rFonts w:hint="eastAsia" w:ascii="仿宋" w:hAnsi="仿宋" w:eastAsia="仿宋" w:cs="仿宋"/>
          <w:lang w:val="en-US" w:eastAsia="zh-CN"/>
        </w:rPr>
        <w:t>5</w:t>
      </w:r>
      <w:r>
        <w:rPr>
          <w:rFonts w:hint="eastAsia" w:ascii="仿宋" w:hAnsi="仿宋" w:eastAsia="仿宋" w:cs="仿宋"/>
        </w:rPr>
        <w:t>开票信息：单位名称：中国建筑第五工程局有限公司；统一社会信用代码:91430000183764483Y；地址：湖南长沙中意一路158号；电话：0731-85699953；银行账户：43001531061052500763；开户行：中国建设银行股份有限公司长沙井湾子支行。</w:t>
      </w:r>
    </w:p>
    <w:p>
      <w:pPr>
        <w:pStyle w:val="6"/>
        <w:keepNext w:val="0"/>
        <w:keepLines w:val="0"/>
        <w:pageBreakBefore w:val="0"/>
        <w:widowControl w:val="0"/>
        <w:numPr>
          <w:ilvl w:val="0"/>
          <w:numId w:val="1"/>
        </w:numPr>
        <w:kinsoku/>
        <w:wordWrap/>
        <w:overflowPunct/>
        <w:topLinePunct w:val="0"/>
        <w:autoSpaceDE/>
        <w:bidi w:val="0"/>
        <w:adjustRightInd/>
        <w:snapToGrid w:val="0"/>
        <w:spacing w:line="440" w:lineRule="exact"/>
        <w:textAlignment w:val="auto"/>
        <w:outlineLvl w:val="9"/>
        <w:rPr>
          <w:rFonts w:hint="eastAsia" w:ascii="仿宋" w:hAnsi="仿宋" w:eastAsia="仿宋" w:cs="仿宋"/>
          <w:sz w:val="24"/>
        </w:rPr>
      </w:pPr>
      <w:r>
        <w:rPr>
          <w:rFonts w:hint="eastAsia" w:ascii="仿宋" w:hAnsi="仿宋" w:eastAsia="仿宋" w:cs="仿宋"/>
          <w:b/>
          <w:sz w:val="24"/>
        </w:rPr>
        <w:t xml:space="preserve">  履约保证金的使用与返还</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val="0"/>
        <w:bidi w:val="0"/>
        <w:adjustRightInd/>
        <w:spacing w:line="440" w:lineRule="exact"/>
        <w:textAlignment w:val="auto"/>
        <w:outlineLvl w:val="9"/>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合同签订前，供方须向需方缴纳</w:t>
      </w:r>
      <w:r>
        <w:rPr>
          <w:rFonts w:hint="eastAsia" w:ascii="仿宋" w:hAnsi="仿宋" w:eastAsia="仿宋" w:cs="仿宋"/>
          <w:sz w:val="24"/>
          <w:highlight w:val="yellow"/>
          <w:lang w:val="en-US" w:eastAsia="zh-CN"/>
        </w:rPr>
        <w:t>伍万</w:t>
      </w:r>
      <w:r>
        <w:rPr>
          <w:rFonts w:hint="eastAsia" w:ascii="仿宋" w:hAnsi="仿宋" w:eastAsia="仿宋" w:cs="仿宋"/>
          <w:sz w:val="24"/>
        </w:rPr>
        <w:t>元整（￥：</w:t>
      </w:r>
      <w:r>
        <w:rPr>
          <w:rFonts w:hint="eastAsia" w:ascii="仿宋" w:hAnsi="仿宋" w:eastAsia="仿宋" w:cs="仿宋"/>
          <w:sz w:val="24"/>
          <w:highlight w:val="yellow"/>
          <w:lang w:val="en-US" w:eastAsia="zh-CN"/>
        </w:rPr>
        <w:t xml:space="preserve"> 50000 </w:t>
      </w:r>
      <w:r>
        <w:rPr>
          <w:rFonts w:hint="eastAsia" w:ascii="仿宋" w:hAnsi="仿宋" w:eastAsia="仿宋" w:cs="仿宋"/>
          <w:sz w:val="24"/>
        </w:rPr>
        <w:t>元）履约保证金（投标保证金自动转为履约保证金），如供方出现违约情况，违约金从履约保证金中扣除，履约保证金不足时自动从供方当期材料结算货款中补足。合同期满剩余履约保证金无息返还。</w:t>
      </w:r>
    </w:p>
    <w:p>
      <w:pPr>
        <w:keepNext w:val="0"/>
        <w:keepLines w:val="0"/>
        <w:pageBreakBefore w:val="0"/>
        <w:widowControl w:val="0"/>
        <w:kinsoku/>
        <w:wordWrap/>
        <w:overflowPunct/>
        <w:topLinePunct w:val="0"/>
        <w:autoSpaceDE/>
        <w:autoSpaceDN w:val="0"/>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 xml:space="preserve">第7条  如需担保，另立合同担保书作合同附件 </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第8条  双方约定的违约责任：</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8.1  乙方每延迟一天，乙方按当次供货价值的5％向甲方支付违约金，超过三天，甲方有权解除合同并由乙方承担违约责任金。</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8.2  甲方应保证现场道路畅通，做好收货前的准备和人员安排。货到工地后及时办理验货手续。</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8.3  在整个供货过程中，甲方如发现乙方弄虚作假、采用欺骗手法虚增数量或以次充好的情况，均视为乙方违约，甲方有权终止合同并可要求乙方向甲方支付当批货款的20%作为违约金并处以10000元罚款。</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8.4  如乙方原因导致产品不能及时供应，甲方可从其它地方采购，以保证甲方工程进度不受影响。</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8.5 由于乙方所供物资中对商标及知识产权的侵权，被有关部门查处，甲方不承担任何连带责任，所产生的损失全部由乙方承担。</w:t>
      </w:r>
    </w:p>
    <w:p>
      <w:pPr>
        <w:keepNext w:val="0"/>
        <w:keepLines w:val="0"/>
        <w:pageBreakBefore w:val="0"/>
        <w:widowControl w:val="0"/>
        <w:kinsoku/>
        <w:wordWrap/>
        <w:overflowPunct/>
        <w:topLinePunct w:val="0"/>
        <w:autoSpaceDE/>
        <w:bidi w:val="0"/>
        <w:adjustRightInd/>
        <w:spacing w:line="440" w:lineRule="exact"/>
        <w:jc w:val="left"/>
        <w:textAlignment w:val="auto"/>
        <w:outlineLvl w:val="9"/>
        <w:rPr>
          <w:rFonts w:hint="eastAsia" w:ascii="仿宋" w:hAnsi="仿宋" w:eastAsia="仿宋" w:cs="仿宋"/>
          <w:sz w:val="24"/>
        </w:rPr>
      </w:pPr>
      <w:r>
        <w:rPr>
          <w:rFonts w:hint="eastAsia" w:ascii="仿宋" w:hAnsi="仿宋" w:eastAsia="仿宋" w:cs="仿宋"/>
          <w:b/>
          <w:sz w:val="24"/>
        </w:rPr>
        <w:t>第9条  环境、职业健康安全要求：</w:t>
      </w:r>
      <w:r>
        <w:rPr>
          <w:rFonts w:hint="eastAsia" w:ascii="仿宋" w:hAnsi="仿宋" w:eastAsia="仿宋" w:cs="仿宋"/>
          <w:sz w:val="24"/>
        </w:rPr>
        <w:t xml:space="preserve">                                        9.1  乙方对运输货物的车辆严格要求，消除安全隐患，对运输途中所发生的一切安全事故由乙方自行承担。对车辆尾气排放量超标的禁止使用，车辆卫生要求应满足市内、道路相关管理部门要求，若因车辆卫生状况不能满足相关要求而被罚款，其费用由乙方自行承担。</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9.2 乙方车辆人员进入甲方施工作业现场，必须正确佩戴安全帽且遵守甲方现场相关的安全制度，服从现场管理人员的指挥，否则，在现场发生的人员伤害和财产损失由乙方承担。</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9.3 甲方负责对施工环境中存在的废气、噪音、扬尘、辐射等制订相应措施、确保进场作业人员符合劳动法规要求的作业环境。</w:t>
      </w:r>
    </w:p>
    <w:p>
      <w:pPr>
        <w:keepNext w:val="0"/>
        <w:keepLines w:val="0"/>
        <w:pageBreakBefore w:val="0"/>
        <w:widowControl w:val="0"/>
        <w:kinsoku/>
        <w:wordWrap/>
        <w:overflowPunct/>
        <w:topLinePunct w:val="0"/>
        <w:autoSpaceDE/>
        <w:bidi w:val="0"/>
        <w:adjustRightInd/>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第10条  双方其它约定事项：</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10.1  甲方有权根据乙方的供货能力和履约能力或项目实际情况增加或重新选择物资供应商，乙方必须无条件接受，甲方不承担违约责任。</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10.2  乙方必须保证所供物资为合格产品，如验收不符合计划要求或经检验产品质量不合格，乙方必须无条件接受退货处理，并承担由此发生的费用。</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10.3  合同签订时，乙方须提交营业执照、税务登记证等证件的复印件给甲方，并加盖公章。</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10.4  本合同签订后，如甲乙双方需要提出修改时，经双方协商一致后，可以签订补充协议，作为本合同的补充合同，该合同同样具有法律效力，两者约定不一致的，以补充协议为准。</w:t>
      </w:r>
    </w:p>
    <w:p>
      <w:pPr>
        <w:pStyle w:val="6"/>
        <w:keepNext w:val="0"/>
        <w:keepLines w:val="0"/>
        <w:pageBreakBefore w:val="0"/>
        <w:widowControl w:val="0"/>
        <w:kinsoku/>
        <w:wordWrap/>
        <w:overflowPunct/>
        <w:topLinePunct w:val="0"/>
        <w:autoSpaceDE/>
        <w:bidi w:val="0"/>
        <w:adjustRightInd/>
        <w:snapToGrid w:val="0"/>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第11条  不可抗力因素</w:t>
      </w:r>
    </w:p>
    <w:p>
      <w:pPr>
        <w:pStyle w:val="6"/>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jc w:val="both"/>
        <w:textAlignment w:val="auto"/>
        <w:outlineLvl w:val="9"/>
        <w:rPr>
          <w:rFonts w:hint="eastAsia" w:ascii="仿宋" w:hAnsi="仿宋" w:eastAsia="仿宋" w:cs="仿宋"/>
          <w:sz w:val="24"/>
        </w:rPr>
      </w:pPr>
      <w:r>
        <w:rPr>
          <w:rFonts w:hint="eastAsia" w:ascii="仿宋" w:hAnsi="仿宋" w:eastAsia="仿宋" w:cs="仿宋"/>
          <w:sz w:val="24"/>
        </w:rPr>
        <w:t>在合同的履行过程中，双方遇到不可抗力致使合同不能履行或不能完全履行时，应及时通知对方并提供相关的证明文件，双方可根据事件对合同履行的影响程度协商做出处理。</w:t>
      </w:r>
    </w:p>
    <w:p>
      <w:pPr>
        <w:keepNext w:val="0"/>
        <w:keepLines w:val="0"/>
        <w:pageBreakBefore w:val="0"/>
        <w:widowControl w:val="0"/>
        <w:tabs>
          <w:tab w:val="left" w:pos="1260"/>
        </w:tabs>
        <w:kinsoku/>
        <w:wordWrap/>
        <w:overflowPunct/>
        <w:topLinePunct w:val="0"/>
        <w:autoSpaceDE/>
        <w:autoSpaceDN/>
        <w:bidi w:val="0"/>
        <w:adjustRightInd/>
        <w:spacing w:line="440" w:lineRule="exact"/>
        <w:ind w:left="0" w:leftChars="0" w:right="0" w:rightChars="0"/>
        <w:jc w:val="both"/>
        <w:textAlignment w:val="auto"/>
        <w:outlineLvl w:val="9"/>
        <w:rPr>
          <w:rFonts w:hint="eastAsia" w:ascii="仿宋" w:hAnsi="仿宋" w:eastAsia="仿宋" w:cs="仿宋"/>
          <w:b/>
          <w:sz w:val="24"/>
        </w:rPr>
      </w:pPr>
      <w:r>
        <w:rPr>
          <w:rFonts w:hint="eastAsia" w:ascii="仿宋" w:hAnsi="仿宋" w:eastAsia="仿宋" w:cs="仿宋"/>
          <w:b/>
          <w:sz w:val="24"/>
        </w:rPr>
        <w:t>第12条   争议</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jc w:val="both"/>
        <w:textAlignment w:val="auto"/>
        <w:outlineLvl w:val="9"/>
        <w:rPr>
          <w:rFonts w:hint="eastAsia" w:ascii="仿宋" w:hAnsi="仿宋" w:eastAsia="仿宋" w:cs="仿宋"/>
          <w:sz w:val="24"/>
        </w:rPr>
      </w:pPr>
      <w:r>
        <w:rPr>
          <w:rFonts w:hint="eastAsia" w:ascii="仿宋" w:hAnsi="仿宋" w:eastAsia="仿宋" w:cs="仿宋"/>
          <w:sz w:val="24"/>
        </w:rPr>
        <w:t>甲乙双方约定，在履约过程中产生争议时，双方友好协商解决，协商不成时，起诉法院为 合肥市包河区 人民法院。</w:t>
      </w:r>
    </w:p>
    <w:p>
      <w:pPr>
        <w:pStyle w:val="6"/>
        <w:keepNext w:val="0"/>
        <w:keepLines w:val="0"/>
        <w:pageBreakBefore w:val="0"/>
        <w:widowControl w:val="0"/>
        <w:kinsoku/>
        <w:wordWrap/>
        <w:overflowPunct/>
        <w:topLinePunct w:val="0"/>
        <w:autoSpaceDE/>
        <w:bidi w:val="0"/>
        <w:adjustRightInd/>
        <w:snapToGrid w:val="0"/>
        <w:spacing w:line="440" w:lineRule="exact"/>
        <w:textAlignment w:val="auto"/>
        <w:outlineLvl w:val="9"/>
        <w:rPr>
          <w:rFonts w:hint="eastAsia" w:ascii="仿宋" w:hAnsi="仿宋" w:eastAsia="仿宋" w:cs="仿宋"/>
          <w:b/>
          <w:sz w:val="24"/>
        </w:rPr>
      </w:pPr>
      <w:r>
        <w:rPr>
          <w:rFonts w:hint="eastAsia" w:ascii="仿宋" w:hAnsi="仿宋" w:eastAsia="仿宋" w:cs="仿宋"/>
          <w:b/>
          <w:sz w:val="24"/>
        </w:rPr>
        <w:t>第13条  合同生效与终止</w:t>
      </w:r>
    </w:p>
    <w:p>
      <w:pPr>
        <w:pStyle w:val="6"/>
        <w:keepNext w:val="0"/>
        <w:keepLines w:val="0"/>
        <w:pageBreakBefore w:val="0"/>
        <w:widowControl w:val="0"/>
        <w:kinsoku/>
        <w:wordWrap/>
        <w:overflowPunct/>
        <w:topLinePunct w:val="0"/>
        <w:autoSpaceDE/>
        <w:bidi w:val="0"/>
        <w:adjustRightInd/>
        <w:snapToGrid w:val="0"/>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13.1本合同服务</w:t>
      </w:r>
      <w:r>
        <w:rPr>
          <w:rFonts w:hint="eastAsia" w:ascii="仿宋" w:hAnsi="仿宋" w:eastAsia="仿宋" w:cs="仿宋"/>
          <w:sz w:val="24"/>
          <w:lang w:eastAsia="zh-CN"/>
        </w:rPr>
        <w:t>合肥世茂翡翠府邸</w:t>
      </w:r>
      <w:r>
        <w:rPr>
          <w:rFonts w:hint="eastAsia" w:ascii="仿宋" w:hAnsi="仿宋" w:eastAsia="仿宋" w:cs="仿宋"/>
          <w:sz w:val="24"/>
        </w:rPr>
        <w:t>项目，自双方签字盖章后省标。双方履行完合同全部义务，材料款支付完毕，本合同即告终止。</w:t>
      </w:r>
    </w:p>
    <w:p>
      <w:pPr>
        <w:keepNext w:val="0"/>
        <w:keepLines w:val="0"/>
        <w:pageBreakBefore w:val="0"/>
        <w:widowControl w:val="0"/>
        <w:kinsoku/>
        <w:wordWrap/>
        <w:overflowPunct/>
        <w:topLinePunct w:val="0"/>
        <w:autoSpaceDE/>
        <w:bidi w:val="0"/>
        <w:adjustRightInd/>
        <w:spacing w:line="44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13.2本合同一式</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伍</w:t>
      </w:r>
      <w:r>
        <w:rPr>
          <w:rFonts w:hint="eastAsia" w:ascii="仿宋" w:hAnsi="仿宋" w:eastAsia="仿宋" w:cs="仿宋"/>
          <w:sz w:val="24"/>
          <w:u w:val="single"/>
        </w:rPr>
        <w:t xml:space="preserve"> </w:t>
      </w:r>
      <w:r>
        <w:rPr>
          <w:rFonts w:hint="eastAsia" w:ascii="仿宋" w:hAnsi="仿宋" w:eastAsia="仿宋" w:cs="仿宋"/>
          <w:sz w:val="24"/>
        </w:rPr>
        <w:t>份，甲方执</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肆</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壹 </w:t>
      </w:r>
      <w:r>
        <w:rPr>
          <w:rFonts w:hint="eastAsia" w:ascii="仿宋" w:hAnsi="仿宋" w:eastAsia="仿宋" w:cs="仿宋"/>
          <w:sz w:val="24"/>
        </w:rPr>
        <w:t>份。</w:t>
      </w:r>
    </w:p>
    <w:p>
      <w:pPr>
        <w:spacing w:line="360" w:lineRule="exact"/>
        <w:ind w:firstLine="480" w:firstLineChars="200"/>
        <w:rPr>
          <w:rFonts w:hint="eastAsia" w:ascii="仿宋" w:hAnsi="仿宋" w:eastAsia="仿宋" w:cs="仿宋"/>
          <w:sz w:val="24"/>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rPr>
        <w:t xml:space="preserve">  需方：</w:t>
      </w:r>
      <w:r>
        <w:rPr>
          <w:rFonts w:hint="eastAsia" w:ascii="仿宋" w:hAnsi="仿宋" w:eastAsia="仿宋" w:cs="仿宋"/>
          <w:sz w:val="24"/>
          <w:lang w:eastAsia="zh-CN"/>
        </w:rPr>
        <w:t>中国建筑第五工程局有限公司</w:t>
      </w:r>
      <w:r>
        <w:rPr>
          <w:rFonts w:hint="eastAsia" w:ascii="仿宋" w:hAnsi="仿宋" w:eastAsia="仿宋" w:cs="仿宋"/>
          <w:sz w:val="24"/>
        </w:rPr>
        <w:t xml:space="preserve">  供方：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地址</w:t>
      </w:r>
      <w:r>
        <w:rPr>
          <w:rFonts w:hint="eastAsia" w:ascii="仿宋" w:hAnsi="仿宋" w:eastAsia="仿宋" w:cs="仿宋"/>
          <w:sz w:val="24"/>
          <w:lang w:eastAsia="zh-CN"/>
        </w:rPr>
        <w:t>：湖南省长沙市雨花区中意一路</w:t>
      </w:r>
      <w:r>
        <w:rPr>
          <w:rFonts w:hint="eastAsia" w:ascii="仿宋" w:hAnsi="仿宋" w:eastAsia="仿宋" w:cs="仿宋"/>
          <w:sz w:val="24"/>
        </w:rPr>
        <w:t xml:space="preserve">  地址：</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        158号中建大厦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rPr>
        <w:t xml:space="preserve">  法定代表人：          </w:t>
      </w:r>
      <w:r>
        <w:rPr>
          <w:rFonts w:hint="eastAsia" w:ascii="仿宋" w:hAnsi="仿宋" w:eastAsia="仿宋" w:cs="仿宋"/>
          <w:sz w:val="24"/>
          <w:lang w:val="en-US" w:eastAsia="zh-CN"/>
        </w:rPr>
        <w:t xml:space="preserve">      </w:t>
      </w:r>
      <w:r>
        <w:rPr>
          <w:rFonts w:hint="eastAsia" w:ascii="仿宋" w:hAnsi="仿宋" w:eastAsia="仿宋" w:cs="仿宋"/>
          <w:sz w:val="24"/>
        </w:rPr>
        <w:t xml:space="preserve">      法定代表人：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rPr>
        <w:t xml:space="preserve">  委托代理人：             </w:t>
      </w:r>
      <w:r>
        <w:rPr>
          <w:rFonts w:hint="eastAsia" w:ascii="仿宋" w:hAnsi="仿宋" w:eastAsia="仿宋" w:cs="仿宋"/>
          <w:sz w:val="24"/>
          <w:lang w:val="en-US" w:eastAsia="zh-CN"/>
        </w:rPr>
        <w:t xml:space="preserve">      </w:t>
      </w:r>
      <w:r>
        <w:rPr>
          <w:rFonts w:hint="eastAsia" w:ascii="仿宋" w:hAnsi="仿宋" w:eastAsia="仿宋" w:cs="仿宋"/>
          <w:sz w:val="24"/>
        </w:rPr>
        <w:t xml:space="preserve">   委托代理人：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lang w:val="en-US" w:eastAsia="zh-CN"/>
        </w:rPr>
      </w:pPr>
      <w:r>
        <w:rPr>
          <w:rFonts w:hint="eastAsia" w:ascii="仿宋" w:hAnsi="仿宋" w:eastAsia="仿宋" w:cs="仿宋"/>
          <w:sz w:val="24"/>
        </w:rPr>
        <w:t xml:space="preserve">  电话：</w:t>
      </w:r>
      <w:r>
        <w:rPr>
          <w:rFonts w:hint="eastAsia" w:ascii="仿宋" w:hAnsi="仿宋" w:eastAsia="仿宋" w:cs="仿宋"/>
          <w:sz w:val="24"/>
          <w:lang w:val="en-US" w:eastAsia="zh-CN"/>
        </w:rPr>
        <w:t>0551-63453048</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电话：</w:t>
      </w:r>
      <w:r>
        <w:rPr>
          <w:rFonts w:hint="eastAsia" w:ascii="仿宋" w:hAnsi="仿宋" w:eastAsia="仿宋" w:cs="仿宋"/>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开户行</w:t>
      </w:r>
      <w:r>
        <w:rPr>
          <w:rFonts w:hint="eastAsia" w:ascii="仿宋" w:hAnsi="仿宋" w:eastAsia="仿宋" w:cs="仿宋"/>
          <w:sz w:val="24"/>
          <w:lang w:eastAsia="zh-CN"/>
        </w:rPr>
        <w:t>：建设银行合肥钟楼支行</w:t>
      </w:r>
      <w:r>
        <w:rPr>
          <w:rFonts w:hint="eastAsia" w:ascii="仿宋" w:hAnsi="仿宋" w:eastAsia="仿宋" w:cs="仿宋"/>
          <w:sz w:val="24"/>
        </w:rPr>
        <w:t xml:space="preserve">      开户行：</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新宋体" w:hAnsi="新宋体" w:eastAsia="新宋体"/>
          <w:sz w:val="24"/>
        </w:rPr>
      </w:pPr>
      <w:r>
        <w:rPr>
          <w:rFonts w:hint="eastAsia" w:ascii="仿宋" w:hAnsi="仿宋" w:eastAsia="仿宋" w:cs="仿宋"/>
          <w:sz w:val="24"/>
        </w:rPr>
        <w:t xml:space="preserve">  账号：</w:t>
      </w:r>
      <w:r>
        <w:rPr>
          <w:rFonts w:hint="eastAsia" w:ascii="仿宋" w:hAnsi="仿宋" w:eastAsia="仿宋" w:cs="仿宋"/>
          <w:sz w:val="24"/>
          <w:lang w:val="en-US" w:eastAsia="zh-CN"/>
        </w:rPr>
        <w:t>34001474508053003187</w:t>
      </w:r>
      <w:r>
        <w:rPr>
          <w:rFonts w:hint="eastAsia" w:ascii="仿宋" w:hAnsi="仿宋" w:eastAsia="仿宋" w:cs="仿宋"/>
          <w:sz w:val="24"/>
        </w:rPr>
        <w:t xml:space="preserve">      </w:t>
      </w:r>
      <w:r>
        <w:rPr>
          <w:rFonts w:hint="eastAsia" w:ascii="新宋体" w:hAnsi="新宋体" w:eastAsia="新宋体"/>
          <w:sz w:val="24"/>
        </w:rPr>
        <w:t xml:space="preserve"> </w:t>
      </w:r>
      <w:r>
        <w:rPr>
          <w:rFonts w:hint="eastAsia" w:ascii="新宋体" w:hAnsi="新宋体" w:eastAsia="新宋体"/>
          <w:sz w:val="24"/>
          <w:lang w:val="en-US" w:eastAsia="zh-CN"/>
        </w:rPr>
        <w:t xml:space="preserve"> </w:t>
      </w:r>
      <w:r>
        <w:rPr>
          <w:rFonts w:hint="eastAsia" w:ascii="仿宋" w:hAnsi="仿宋" w:eastAsia="仿宋" w:cs="仿宋"/>
          <w:sz w:val="24"/>
        </w:rPr>
        <w:t>账号：</w:t>
      </w:r>
    </w:p>
    <w:p>
      <w:pPr>
        <w:widowControl/>
        <w:spacing w:line="360" w:lineRule="exact"/>
        <w:jc w:val="left"/>
        <w:rPr>
          <w:rFonts w:hint="eastAsia" w:ascii="新宋体" w:hAnsi="新宋体" w:eastAsia="新宋体"/>
          <w:sz w:val="24"/>
        </w:rPr>
      </w:pPr>
    </w:p>
    <w:p>
      <w:pPr>
        <w:spacing w:line="440" w:lineRule="exact"/>
        <w:ind w:firstLine="360" w:firstLineChars="150"/>
        <w:jc w:val="center"/>
        <w:rPr>
          <w:rFonts w:hint="eastAsia" w:ascii="仿宋_GB2312" w:hAnsi="仿宋_GB2312" w:eastAsia="仿宋_GB2312" w:cs="仿宋_GB2312"/>
          <w:kern w:val="2"/>
          <w:sz w:val="24"/>
          <w:szCs w:val="24"/>
          <w:lang w:val="en-US" w:eastAsia="zh-CN" w:bidi="ar-SA"/>
        </w:rPr>
      </w:pPr>
    </w:p>
    <w:p>
      <w:pPr>
        <w:spacing w:line="440" w:lineRule="exact"/>
        <w:ind w:firstLine="360" w:firstLineChars="150"/>
        <w:jc w:val="left"/>
        <w:rPr>
          <w:rFonts w:hint="eastAsia" w:ascii="仿宋_GB2312" w:hAnsi="仿宋_GB2312" w:eastAsia="仿宋_GB2312" w:cs="仿宋_GB2312"/>
          <w:kern w:val="2"/>
          <w:sz w:val="24"/>
          <w:szCs w:val="24"/>
          <w:u w:val="single" w:color="auto"/>
          <w:lang w:val="en-US" w:eastAsia="zh-CN" w:bidi="ar-SA"/>
        </w:rPr>
      </w:pPr>
      <w:r>
        <w:rPr>
          <w:rFonts w:hint="eastAsia" w:ascii="仿宋_GB2312" w:hAnsi="仿宋_GB2312" w:eastAsia="仿宋_GB2312" w:cs="仿宋_GB2312"/>
          <w:kern w:val="2"/>
          <w:sz w:val="24"/>
          <w:szCs w:val="24"/>
          <w:lang w:val="en-US" w:eastAsia="zh-CN" w:bidi="ar-SA"/>
        </w:rPr>
        <w:t>合同签订地点：</w:t>
      </w:r>
      <w:r>
        <w:rPr>
          <w:rFonts w:hint="eastAsia" w:ascii="仿宋_GB2312" w:hAnsi="仿宋_GB2312" w:eastAsia="仿宋_GB2312" w:cs="仿宋_GB2312"/>
          <w:kern w:val="2"/>
          <w:sz w:val="24"/>
          <w:szCs w:val="24"/>
          <w:u w:val="single" w:color="auto"/>
          <w:lang w:val="en-US" w:eastAsia="zh-CN" w:bidi="ar-SA"/>
        </w:rPr>
        <w:t xml:space="preserve">                     </w:t>
      </w:r>
    </w:p>
    <w:p>
      <w:pPr>
        <w:spacing w:line="440" w:lineRule="exact"/>
        <w:ind w:firstLine="360" w:firstLineChars="150"/>
        <w:jc w:val="left"/>
        <w:rPr>
          <w:rFonts w:hint="eastAsia" w:ascii="仿宋_GB2312" w:hAnsi="仿宋_GB2312" w:eastAsia="仿宋_GB2312" w:cs="仿宋_GB2312"/>
          <w:sz w:val="24"/>
        </w:rPr>
      </w:pPr>
      <w:r>
        <w:rPr>
          <w:rFonts w:hint="eastAsia" w:ascii="仿宋_GB2312" w:hAnsi="仿宋_GB2312" w:eastAsia="仿宋_GB2312" w:cs="仿宋_GB2312"/>
          <w:kern w:val="2"/>
          <w:sz w:val="24"/>
          <w:szCs w:val="24"/>
          <w:lang w:val="en-US" w:eastAsia="zh-CN" w:bidi="ar-SA"/>
        </w:rPr>
        <w:t>合同签订时间：</w:t>
      </w:r>
      <w:r>
        <w:rPr>
          <w:rFonts w:hint="eastAsia" w:ascii="仿宋_GB2312" w:hAnsi="仿宋_GB2312" w:eastAsia="仿宋_GB2312" w:cs="仿宋_GB2312"/>
          <w:kern w:val="2"/>
          <w:sz w:val="24"/>
          <w:szCs w:val="24"/>
          <w:u w:val="single" w:color="auto"/>
          <w:lang w:val="en-US" w:eastAsia="zh-CN" w:bidi="ar-SA"/>
        </w:rPr>
        <w:t xml:space="preserve">     </w:t>
      </w:r>
      <w:r>
        <w:rPr>
          <w:rFonts w:hint="eastAsia" w:ascii="仿宋_GB2312" w:hAnsi="仿宋_GB2312" w:eastAsia="仿宋_GB2312" w:cs="仿宋_GB2312"/>
          <w:kern w:val="2"/>
          <w:sz w:val="24"/>
          <w:szCs w:val="24"/>
          <w:lang w:val="en-US" w:eastAsia="zh-CN" w:bidi="ar-SA"/>
        </w:rPr>
        <w:t>年</w:t>
      </w:r>
      <w:r>
        <w:rPr>
          <w:rFonts w:hint="eastAsia" w:ascii="仿宋_GB2312" w:hAnsi="仿宋_GB2312" w:eastAsia="仿宋_GB2312" w:cs="仿宋_GB2312"/>
          <w:kern w:val="2"/>
          <w:sz w:val="24"/>
          <w:szCs w:val="24"/>
          <w:u w:val="single" w:color="auto"/>
          <w:lang w:val="en-US" w:eastAsia="zh-CN" w:bidi="ar-SA"/>
        </w:rPr>
        <w:t xml:space="preserve">    </w:t>
      </w:r>
      <w:r>
        <w:rPr>
          <w:rFonts w:hint="eastAsia" w:ascii="仿宋_GB2312" w:hAnsi="仿宋_GB2312" w:eastAsia="仿宋_GB2312" w:cs="仿宋_GB2312"/>
          <w:kern w:val="2"/>
          <w:sz w:val="24"/>
          <w:szCs w:val="24"/>
          <w:lang w:val="en-US" w:eastAsia="zh-CN" w:bidi="ar-SA"/>
        </w:rPr>
        <w:t>月</w:t>
      </w:r>
      <w:r>
        <w:rPr>
          <w:rFonts w:hint="eastAsia" w:ascii="仿宋_GB2312" w:hAnsi="仿宋_GB2312" w:eastAsia="仿宋_GB2312" w:cs="仿宋_GB2312"/>
          <w:kern w:val="2"/>
          <w:sz w:val="24"/>
          <w:szCs w:val="24"/>
          <w:u w:val="single" w:color="auto"/>
          <w:lang w:val="en-US" w:eastAsia="zh-CN" w:bidi="ar-SA"/>
        </w:rPr>
        <w:t xml:space="preserve">    </w:t>
      </w:r>
      <w:r>
        <w:rPr>
          <w:rFonts w:hint="eastAsia" w:ascii="仿宋_GB2312" w:hAnsi="仿宋_GB2312" w:eastAsia="仿宋_GB2312" w:cs="仿宋_GB2312"/>
          <w:kern w:val="2"/>
          <w:sz w:val="24"/>
          <w:szCs w:val="24"/>
          <w:lang w:val="en-US" w:eastAsia="zh-CN" w:bidi="ar-SA"/>
        </w:rPr>
        <w:t>日</w:t>
      </w:r>
    </w:p>
    <w:p>
      <w:pPr>
        <w:rPr>
          <w:rFonts w:hint="eastAsia" w:ascii="新宋体" w:hAnsi="新宋体" w:eastAsia="新宋体"/>
          <w:b/>
          <w:sz w:val="32"/>
          <w:szCs w:val="32"/>
        </w:rPr>
        <w:sectPr>
          <w:footerReference r:id="rId12" w:type="first"/>
          <w:footerReference r:id="rId11"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spacing w:line="440" w:lineRule="exact"/>
        <w:jc w:val="center"/>
        <w:rPr>
          <w:rFonts w:hint="eastAsia" w:ascii="新宋体" w:hAnsi="新宋体" w:eastAsia="新宋体"/>
          <w:b/>
          <w:sz w:val="32"/>
          <w:szCs w:val="32"/>
        </w:rPr>
      </w:pPr>
      <w:r>
        <w:rPr>
          <w:rFonts w:hint="eastAsia" w:ascii="新宋体" w:hAnsi="新宋体" w:eastAsia="新宋体"/>
          <w:b/>
          <w:sz w:val="32"/>
          <w:szCs w:val="32"/>
        </w:rPr>
        <w:t>廉 洁 协 议 书</w:t>
      </w:r>
    </w:p>
    <w:p>
      <w:pPr>
        <w:spacing w:line="440" w:lineRule="exact"/>
        <w:jc w:val="center"/>
        <w:rPr>
          <w:rFonts w:hint="eastAsia" w:ascii="新宋体" w:hAnsi="新宋体" w:eastAsia="新宋体"/>
          <w:b/>
          <w:sz w:val="32"/>
          <w:szCs w:val="32"/>
        </w:rPr>
      </w:pPr>
    </w:p>
    <w:p>
      <w:pPr>
        <w:snapToGrid w:val="0"/>
        <w:spacing w:line="40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甲方：</w:t>
      </w:r>
      <w:r>
        <w:rPr>
          <w:rFonts w:hint="eastAsia" w:ascii="仿宋" w:hAnsi="仿宋" w:eastAsia="仿宋" w:cs="仿宋"/>
          <w:color w:val="000000"/>
          <w:sz w:val="24"/>
          <w:szCs w:val="24"/>
          <w:u w:val="single"/>
        </w:rPr>
        <w:t xml:space="preserve"> 中国建筑第五工程局有限公司</w:t>
      </w:r>
      <w:r>
        <w:rPr>
          <w:rFonts w:hint="eastAsia" w:ascii="仿宋" w:hAnsi="仿宋" w:eastAsia="仿宋" w:cs="仿宋"/>
          <w:color w:val="000000"/>
          <w:sz w:val="24"/>
          <w:szCs w:val="24"/>
          <w:u w:val="single"/>
          <w:lang w:val="en-US" w:eastAsia="zh-CN"/>
        </w:rPr>
        <w:t xml:space="preserve">   </w:t>
      </w:r>
    </w:p>
    <w:p>
      <w:pPr>
        <w:snapToGrid w:val="0"/>
        <w:spacing w:line="40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rPr>
        <w:t>乙方：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napToGrid w:val="0"/>
        <w:spacing w:line="400" w:lineRule="exact"/>
        <w:rPr>
          <w:rFonts w:hint="eastAsia" w:ascii="仿宋" w:hAnsi="仿宋" w:eastAsia="仿宋" w:cs="仿宋"/>
          <w:color w:val="000000"/>
          <w:sz w:val="24"/>
          <w:szCs w:val="24"/>
          <w:u w:val="single"/>
        </w:rPr>
      </w:pPr>
    </w:p>
    <w:p>
      <w:pPr>
        <w:tabs>
          <w:tab w:val="left" w:pos="1080"/>
          <w:tab w:val="left" w:pos="1260"/>
        </w:tabs>
        <w:snapToGrid w:val="0"/>
        <w:spacing w:line="400" w:lineRule="exact"/>
        <w:ind w:firstLine="484" w:firstLineChars="202"/>
        <w:rPr>
          <w:rFonts w:hint="eastAsia" w:ascii="仿宋" w:hAnsi="仿宋" w:eastAsia="仿宋" w:cs="仿宋"/>
          <w:color w:val="000000"/>
          <w:sz w:val="24"/>
          <w:szCs w:val="24"/>
        </w:rPr>
      </w:pPr>
      <w:r>
        <w:rPr>
          <w:rFonts w:hint="eastAsia" w:ascii="仿宋" w:hAnsi="仿宋" w:eastAsia="仿宋" w:cs="仿宋"/>
          <w:sz w:val="24"/>
          <w:szCs w:val="24"/>
        </w:rPr>
        <w:t>为了保持廉洁自律的工作作风，防止各种不正当行为的发生，保护各方的利益。根据国家廉政建设的各项规定，特订立本协议如下：</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一、甲乙双方应当自觉遵守国家关于廉政建设的各项规定。</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二、甲方工作人员不得以任何形式向乙方索要和收受回扣等好处费。</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三、甲方工作人员应当保持与乙方的正常业务交往，不得接受乙方的礼金、有价证券和贵重物品等，不得在乙方报销任何应由个人支付的费用。</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四、甲方工作人员不得参加可能对公正执行公务有影响的乙方的宴请和娱乐活动。</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五、甲方工作人员不得要求或者接受乙方为其住房装修、婚丧嫁娶、家属和子女的工作安排以及出国等提供方便。</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六、甲方工作人员不得向乙方介绍家属或者亲友从事与本工程有关的材料设备供应、工程分包等经济活动，从而谋取利益。</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七、乙方应当通过正常途径展开相关业务工作，不得为获取某些不正当利益而向甲方工作人员赠送礼金、有价证券和贵重物品等。</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八、乙方不得为谋取私利擅自与甲方工作人员就本合同范围内的问题处理等进行私下商谈或者达成默契。</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九、乙方不得以洽谈业务、签订经济合同为借口，邀请甲方工作人员外出旅游和进入营业性高档娱乐场所。</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十、乙方不得为甲方单位和个人擅自购置或者提供通讯工具、家电、高档办公用品等物品。</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十一、乙方如发现甲方工作人员有违反上述协议者，应向甲方上级领导或者甲方上级单位举报。甲方不得找任何借口对乙方进行报复。甲方对举报属实和严格遵守廉洁协议的乙方，在同等条件下给予优先邀请投标权。</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十二、甲方发现乙方有违反本协议或者采用不正当的手段行贿甲方工作人员，甲方根据具体情节和造成的后果追究乙方合同造价5%--10%的违约金。由此给甲方单位造成的损失均由乙方承担，乙方用不正当手段获取的非法所得由甲方予以追缴，并在本合同履行完成后三年内禁止乙方参与甲方招标活动。</w:t>
      </w:r>
    </w:p>
    <w:p>
      <w:pPr>
        <w:widowControl/>
        <w:tabs>
          <w:tab w:val="left" w:pos="450"/>
        </w:tabs>
        <w:snapToGrid w:val="0"/>
        <w:spacing w:line="400" w:lineRule="exact"/>
        <w:ind w:firstLine="528" w:firstLineChars="220"/>
        <w:jc w:val="left"/>
        <w:rPr>
          <w:rFonts w:hint="eastAsia" w:ascii="仿宋" w:hAnsi="仿宋" w:eastAsia="仿宋" w:cs="仿宋"/>
          <w:sz w:val="24"/>
          <w:szCs w:val="24"/>
        </w:rPr>
      </w:pPr>
      <w:r>
        <w:rPr>
          <w:rFonts w:hint="eastAsia" w:ascii="仿宋" w:hAnsi="仿宋" w:eastAsia="仿宋" w:cs="仿宋"/>
          <w:sz w:val="24"/>
          <w:szCs w:val="24"/>
        </w:rPr>
        <w:t>十三、乙方</w:t>
      </w:r>
      <w:r>
        <w:rPr>
          <w:rFonts w:hint="eastAsia" w:ascii="仿宋" w:hAnsi="仿宋" w:eastAsia="仿宋" w:cs="仿宋"/>
          <w:snapToGrid w:val="0"/>
          <w:sz w:val="24"/>
          <w:szCs w:val="24"/>
        </w:rPr>
        <w:t>应接受甲方的管理和监督。</w:t>
      </w:r>
      <w:r>
        <w:rPr>
          <w:rFonts w:hint="eastAsia" w:ascii="仿宋" w:hAnsi="仿宋" w:eastAsia="仿宋" w:cs="仿宋"/>
          <w:sz w:val="24"/>
          <w:szCs w:val="24"/>
        </w:rPr>
        <w:t>乙方应将所有的不论何种性质的联系及通信送达予甲方。</w:t>
      </w:r>
    </w:p>
    <w:p>
      <w:pPr>
        <w:snapToGrid w:val="0"/>
        <w:spacing w:line="400" w:lineRule="exact"/>
        <w:rPr>
          <w:rFonts w:hint="eastAsia" w:ascii="仿宋" w:hAnsi="仿宋" w:eastAsia="仿宋" w:cs="仿宋"/>
          <w:sz w:val="24"/>
          <w:szCs w:val="24"/>
        </w:rPr>
      </w:pPr>
      <w:r>
        <w:rPr>
          <w:rFonts w:hint="eastAsia" w:ascii="仿宋" w:hAnsi="仿宋" w:eastAsia="仿宋" w:cs="仿宋"/>
          <w:sz w:val="24"/>
          <w:szCs w:val="24"/>
        </w:rPr>
        <w:t>十四、本廉洁协议作为</w:t>
      </w:r>
      <w:r>
        <w:rPr>
          <w:rFonts w:hint="eastAsia" w:ascii="仿宋" w:hAnsi="仿宋" w:eastAsia="仿宋" w:cs="仿宋"/>
          <w:sz w:val="24"/>
          <w:szCs w:val="24"/>
          <w:u w:val="single"/>
        </w:rPr>
        <w:t>电线电缆</w:t>
      </w:r>
      <w:r>
        <w:rPr>
          <w:rFonts w:hint="eastAsia" w:ascii="仿宋" w:hAnsi="仿宋" w:eastAsia="仿宋" w:cs="仿宋"/>
          <w:sz w:val="24"/>
          <w:szCs w:val="24"/>
        </w:rPr>
        <w:t>合同附件，与</w:t>
      </w:r>
      <w:r>
        <w:rPr>
          <w:rFonts w:hint="eastAsia" w:ascii="仿宋" w:hAnsi="仿宋" w:eastAsia="仿宋" w:cs="仿宋"/>
          <w:sz w:val="24"/>
          <w:szCs w:val="24"/>
          <w:u w:val="single"/>
        </w:rPr>
        <w:t>电线电缆</w:t>
      </w:r>
      <w:r>
        <w:rPr>
          <w:rFonts w:hint="eastAsia" w:ascii="仿宋" w:hAnsi="仿宋" w:eastAsia="仿宋" w:cs="仿宋"/>
          <w:sz w:val="24"/>
          <w:szCs w:val="24"/>
        </w:rPr>
        <w:t>合同具有同等法律效力，经甲乙双方签署后立即生效。</w:t>
      </w: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十五、本协议</w:t>
      </w:r>
      <w:r>
        <w:rPr>
          <w:rFonts w:hint="eastAsia" w:ascii="仿宋" w:hAnsi="仿宋" w:eastAsia="仿宋" w:cs="仿宋"/>
          <w:color w:val="000000"/>
          <w:sz w:val="24"/>
          <w:szCs w:val="24"/>
        </w:rPr>
        <w:t>一式</w:t>
      </w:r>
      <w:r>
        <w:rPr>
          <w:rFonts w:hint="eastAsia" w:ascii="仿宋" w:hAnsi="仿宋" w:eastAsia="仿宋" w:cs="仿宋"/>
          <w:color w:val="000000"/>
          <w:sz w:val="24"/>
          <w:szCs w:val="24"/>
          <w:lang w:val="en-US" w:eastAsia="zh-CN"/>
        </w:rPr>
        <w:t>伍</w:t>
      </w:r>
      <w:r>
        <w:rPr>
          <w:rFonts w:hint="eastAsia" w:ascii="仿宋" w:hAnsi="仿宋" w:eastAsia="仿宋" w:cs="仿宋"/>
          <w:color w:val="000000"/>
          <w:sz w:val="24"/>
          <w:szCs w:val="24"/>
        </w:rPr>
        <w:t>份，甲方执</w:t>
      </w:r>
      <w:r>
        <w:rPr>
          <w:rFonts w:hint="eastAsia" w:ascii="仿宋" w:hAnsi="仿宋" w:eastAsia="仿宋" w:cs="仿宋"/>
          <w:color w:val="000000"/>
          <w:sz w:val="24"/>
          <w:szCs w:val="24"/>
          <w:lang w:val="en-US" w:eastAsia="zh-CN"/>
        </w:rPr>
        <w:t>肆</w:t>
      </w:r>
      <w:r>
        <w:rPr>
          <w:rFonts w:hint="eastAsia" w:ascii="仿宋" w:hAnsi="仿宋" w:eastAsia="仿宋" w:cs="仿宋"/>
          <w:color w:val="000000"/>
          <w:sz w:val="24"/>
          <w:szCs w:val="24"/>
        </w:rPr>
        <w:t>份，乙方执壹份</w:t>
      </w:r>
      <w:r>
        <w:rPr>
          <w:rFonts w:hint="eastAsia" w:ascii="仿宋" w:hAnsi="仿宋" w:eastAsia="仿宋" w:cs="仿宋"/>
          <w:sz w:val="24"/>
          <w:szCs w:val="24"/>
        </w:rPr>
        <w:t>。</w:t>
      </w: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r>
        <w:rPr>
          <w:rFonts w:hint="eastAsia" w:ascii="仿宋" w:hAnsi="仿宋" w:eastAsia="仿宋" w:cs="仿宋"/>
          <w:color w:val="000000"/>
          <w:sz w:val="24"/>
          <w:szCs w:val="24"/>
        </w:rPr>
        <w:t>甲方举报电话：</w:t>
      </w:r>
      <w:r>
        <w:rPr>
          <w:rFonts w:hint="eastAsia" w:ascii="仿宋" w:hAnsi="仿宋" w:eastAsia="仿宋" w:cs="仿宋"/>
          <w:color w:val="000000"/>
          <w:sz w:val="24"/>
          <w:szCs w:val="24"/>
          <w:u w:val="single"/>
        </w:rPr>
        <w:t xml:space="preserve">0731-85699970   </w:t>
      </w:r>
      <w:r>
        <w:rPr>
          <w:rFonts w:hint="eastAsia" w:ascii="仿宋" w:hAnsi="仿宋" w:eastAsia="仿宋" w:cs="仿宋"/>
          <w:color w:val="000000"/>
          <w:sz w:val="24"/>
          <w:szCs w:val="24"/>
        </w:rPr>
        <w:t>。</w:t>
      </w:r>
    </w:p>
    <w:p>
      <w:pPr>
        <w:snapToGrid w:val="0"/>
        <w:spacing w:line="400" w:lineRule="exact"/>
        <w:ind w:firstLine="528" w:firstLineChars="220"/>
        <w:rPr>
          <w:rFonts w:hint="eastAsia" w:ascii="仿宋" w:hAnsi="仿宋" w:eastAsia="仿宋" w:cs="仿宋"/>
          <w:color w:val="000000"/>
          <w:sz w:val="24"/>
          <w:szCs w:val="24"/>
          <w:u w:val="single"/>
        </w:rPr>
      </w:pPr>
      <w:r>
        <w:rPr>
          <w:rFonts w:hint="eastAsia" w:ascii="仿宋" w:hAnsi="仿宋" w:eastAsia="仿宋" w:cs="仿宋"/>
          <w:color w:val="000000"/>
          <w:sz w:val="24"/>
          <w:szCs w:val="24"/>
        </w:rPr>
        <w:t>通讯地址：</w:t>
      </w:r>
      <w:r>
        <w:rPr>
          <w:rFonts w:hint="eastAsia" w:ascii="仿宋" w:hAnsi="仿宋" w:eastAsia="仿宋" w:cs="仿宋"/>
          <w:color w:val="000000"/>
          <w:sz w:val="24"/>
          <w:szCs w:val="24"/>
          <w:u w:val="single"/>
        </w:rPr>
        <w:t>湖南</w:t>
      </w:r>
      <w:r>
        <w:rPr>
          <w:rFonts w:hint="eastAsia" w:ascii="仿宋" w:hAnsi="仿宋" w:eastAsia="仿宋" w:cs="仿宋"/>
          <w:color w:val="000000"/>
          <w:sz w:val="24"/>
          <w:szCs w:val="24"/>
          <w:u w:val="single"/>
          <w:lang w:eastAsia="zh-CN"/>
        </w:rPr>
        <w:t>省</w:t>
      </w:r>
      <w:r>
        <w:rPr>
          <w:rFonts w:hint="eastAsia" w:ascii="仿宋" w:hAnsi="仿宋" w:eastAsia="仿宋" w:cs="仿宋"/>
          <w:color w:val="000000"/>
          <w:sz w:val="24"/>
          <w:szCs w:val="24"/>
          <w:u w:val="single"/>
        </w:rPr>
        <w:t>长沙</w:t>
      </w:r>
      <w:r>
        <w:rPr>
          <w:rFonts w:hint="eastAsia" w:ascii="仿宋" w:hAnsi="仿宋" w:eastAsia="仿宋" w:cs="仿宋"/>
          <w:color w:val="000000"/>
          <w:sz w:val="24"/>
          <w:szCs w:val="24"/>
          <w:u w:val="single"/>
          <w:lang w:eastAsia="zh-CN"/>
        </w:rPr>
        <w:t>市雨花区</w:t>
      </w:r>
      <w:r>
        <w:rPr>
          <w:rFonts w:hint="eastAsia" w:ascii="仿宋" w:hAnsi="仿宋" w:eastAsia="仿宋" w:cs="仿宋"/>
          <w:color w:val="000000"/>
          <w:sz w:val="24"/>
          <w:szCs w:val="24"/>
          <w:u w:val="single"/>
        </w:rPr>
        <w:t>中意一路158号中建</w:t>
      </w:r>
      <w:r>
        <w:rPr>
          <w:rFonts w:hint="eastAsia" w:ascii="仿宋" w:hAnsi="仿宋" w:eastAsia="仿宋" w:cs="仿宋"/>
          <w:color w:val="000000"/>
          <w:sz w:val="24"/>
          <w:szCs w:val="24"/>
          <w:u w:val="single"/>
          <w:lang w:eastAsia="zh-CN"/>
        </w:rPr>
        <w:t>大厦</w:t>
      </w:r>
    </w:p>
    <w:p>
      <w:pPr>
        <w:snapToGrid w:val="0"/>
        <w:spacing w:line="400" w:lineRule="exact"/>
        <w:ind w:firstLine="528" w:firstLineChars="220"/>
        <w:rPr>
          <w:rFonts w:hint="eastAsia" w:ascii="仿宋" w:hAnsi="仿宋" w:eastAsia="仿宋" w:cs="仿宋"/>
          <w:color w:val="000000"/>
          <w:sz w:val="24"/>
          <w:szCs w:val="24"/>
          <w:u w:val="single"/>
        </w:rPr>
      </w:pP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410004</w:t>
      </w: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r>
        <w:rPr>
          <w:rFonts w:hint="eastAsia" w:ascii="仿宋" w:hAnsi="仿宋" w:eastAsia="仿宋" w:cs="仿宋"/>
          <w:color w:val="000000"/>
          <w:sz w:val="24"/>
          <w:szCs w:val="24"/>
        </w:rPr>
        <w:t>以下无正文</w:t>
      </w: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rPr>
          <w:rFonts w:hint="eastAsia" w:ascii="仿宋" w:hAnsi="仿宋" w:eastAsia="仿宋" w:cs="仿宋"/>
          <w:color w:val="000000"/>
          <w:sz w:val="24"/>
          <w:szCs w:val="24"/>
        </w:rPr>
      </w:pPr>
    </w:p>
    <w:p>
      <w:pPr>
        <w:snapToGrid w:val="0"/>
        <w:spacing w:line="400" w:lineRule="exact"/>
        <w:ind w:firstLine="528" w:firstLineChars="220"/>
        <w:jc w:val="left"/>
        <w:rPr>
          <w:rFonts w:hint="eastAsia" w:ascii="仿宋" w:hAnsi="仿宋" w:eastAsia="仿宋" w:cs="仿宋"/>
          <w:sz w:val="24"/>
          <w:szCs w:val="24"/>
        </w:rPr>
      </w:pPr>
      <w:r>
        <w:rPr>
          <w:rFonts w:hint="eastAsia" w:ascii="仿宋" w:hAnsi="仿宋" w:eastAsia="仿宋" w:cs="仿宋"/>
          <w:sz w:val="24"/>
          <w:szCs w:val="24"/>
        </w:rPr>
        <w:t xml:space="preserve">甲方： </w:t>
      </w:r>
      <w:r>
        <w:rPr>
          <w:rFonts w:hint="eastAsia" w:ascii="仿宋" w:hAnsi="仿宋" w:eastAsia="仿宋" w:cs="仿宋"/>
          <w:sz w:val="24"/>
          <w:szCs w:val="24"/>
          <w:u w:val="single"/>
        </w:rPr>
        <w:t xml:space="preserve">             （章）    </w:t>
      </w:r>
    </w:p>
    <w:p>
      <w:pPr>
        <w:snapToGrid w:val="0"/>
        <w:spacing w:line="400" w:lineRule="exact"/>
        <w:ind w:firstLine="528" w:firstLineChars="220"/>
        <w:jc w:val="left"/>
        <w:rPr>
          <w:rFonts w:hint="eastAsia" w:ascii="仿宋" w:hAnsi="仿宋" w:eastAsia="仿宋" w:cs="仿宋"/>
          <w:sz w:val="24"/>
          <w:szCs w:val="24"/>
        </w:rPr>
      </w:pP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法定代表人或获授权代表：</w:t>
      </w:r>
      <w:r>
        <w:rPr>
          <w:rFonts w:hint="eastAsia" w:ascii="仿宋" w:hAnsi="仿宋" w:eastAsia="仿宋" w:cs="仿宋"/>
          <w:sz w:val="24"/>
          <w:szCs w:val="24"/>
          <w:u w:val="single"/>
        </w:rPr>
        <w:t xml:space="preserve">                              </w:t>
      </w:r>
    </w:p>
    <w:p>
      <w:pPr>
        <w:snapToGrid w:val="0"/>
        <w:spacing w:line="400" w:lineRule="exact"/>
        <w:ind w:firstLine="528" w:firstLineChars="220"/>
        <w:rPr>
          <w:rFonts w:hint="eastAsia" w:ascii="仿宋" w:hAnsi="仿宋" w:eastAsia="仿宋" w:cs="仿宋"/>
          <w:sz w:val="24"/>
          <w:szCs w:val="24"/>
        </w:rPr>
      </w:pPr>
    </w:p>
    <w:p>
      <w:pPr>
        <w:snapToGrid w:val="0"/>
        <w:spacing w:line="400" w:lineRule="exact"/>
        <w:ind w:firstLine="528" w:firstLineChars="220"/>
        <w:rPr>
          <w:rFonts w:hint="eastAsia" w:ascii="仿宋" w:hAnsi="仿宋" w:eastAsia="仿宋" w:cs="仿宋"/>
          <w:sz w:val="24"/>
          <w:szCs w:val="24"/>
          <w:u w:val="single"/>
        </w:rPr>
      </w:pPr>
      <w:r>
        <w:rPr>
          <w:rFonts w:hint="eastAsia" w:ascii="仿宋" w:hAnsi="仿宋" w:eastAsia="仿宋" w:cs="仿宋"/>
          <w:sz w:val="24"/>
          <w:szCs w:val="24"/>
        </w:rPr>
        <w:t>姓名与职务：</w:t>
      </w:r>
      <w:r>
        <w:rPr>
          <w:rFonts w:hint="eastAsia" w:ascii="仿宋" w:hAnsi="仿宋" w:eastAsia="仿宋" w:cs="仿宋"/>
          <w:sz w:val="24"/>
          <w:szCs w:val="24"/>
          <w:u w:val="single"/>
        </w:rPr>
        <w:t xml:space="preserve">                         </w:t>
      </w:r>
    </w:p>
    <w:p>
      <w:pPr>
        <w:snapToGrid w:val="0"/>
        <w:spacing w:line="400" w:lineRule="exact"/>
        <w:ind w:firstLine="528" w:firstLineChars="220"/>
        <w:jc w:val="left"/>
        <w:rPr>
          <w:rFonts w:hint="eastAsia" w:ascii="仿宋" w:hAnsi="仿宋" w:eastAsia="仿宋" w:cs="仿宋"/>
          <w:sz w:val="24"/>
          <w:szCs w:val="24"/>
        </w:rPr>
      </w:pPr>
    </w:p>
    <w:p>
      <w:pPr>
        <w:snapToGrid w:val="0"/>
        <w:spacing w:line="400" w:lineRule="exact"/>
        <w:ind w:firstLine="528" w:firstLineChars="220"/>
        <w:jc w:val="left"/>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u w:val="single"/>
        </w:rPr>
        <w:t xml:space="preserve">（章）     </w:t>
      </w:r>
    </w:p>
    <w:p>
      <w:pPr>
        <w:snapToGrid w:val="0"/>
        <w:spacing w:line="400" w:lineRule="exact"/>
        <w:ind w:firstLine="528" w:firstLineChars="220"/>
        <w:jc w:val="left"/>
        <w:rPr>
          <w:rFonts w:hint="eastAsia" w:ascii="仿宋" w:hAnsi="仿宋" w:eastAsia="仿宋" w:cs="仿宋"/>
          <w:sz w:val="24"/>
          <w:szCs w:val="24"/>
        </w:rPr>
      </w:pPr>
    </w:p>
    <w:p>
      <w:pPr>
        <w:snapToGrid w:val="0"/>
        <w:spacing w:line="400" w:lineRule="exact"/>
        <w:ind w:firstLine="528" w:firstLineChars="220"/>
        <w:rPr>
          <w:rFonts w:hint="eastAsia" w:ascii="仿宋" w:hAnsi="仿宋" w:eastAsia="仿宋" w:cs="仿宋"/>
          <w:sz w:val="24"/>
          <w:szCs w:val="24"/>
        </w:rPr>
      </w:pPr>
      <w:r>
        <w:rPr>
          <w:rFonts w:hint="eastAsia" w:ascii="仿宋" w:hAnsi="仿宋" w:eastAsia="仿宋" w:cs="仿宋"/>
          <w:sz w:val="24"/>
          <w:szCs w:val="24"/>
        </w:rPr>
        <w:t>法定代表人或获授权代表：</w:t>
      </w:r>
      <w:r>
        <w:rPr>
          <w:rFonts w:hint="eastAsia" w:ascii="仿宋" w:hAnsi="仿宋" w:eastAsia="仿宋" w:cs="仿宋"/>
          <w:sz w:val="24"/>
          <w:szCs w:val="24"/>
          <w:u w:val="single"/>
        </w:rPr>
        <w:t xml:space="preserve">                              </w:t>
      </w:r>
    </w:p>
    <w:p>
      <w:pPr>
        <w:snapToGrid w:val="0"/>
        <w:spacing w:line="400" w:lineRule="exact"/>
        <w:ind w:firstLine="528" w:firstLineChars="220"/>
        <w:rPr>
          <w:rFonts w:hint="eastAsia" w:ascii="仿宋" w:hAnsi="仿宋" w:eastAsia="仿宋" w:cs="仿宋"/>
          <w:sz w:val="24"/>
          <w:szCs w:val="24"/>
        </w:rPr>
      </w:pPr>
    </w:p>
    <w:p>
      <w:pPr>
        <w:snapToGrid w:val="0"/>
        <w:spacing w:line="400" w:lineRule="exact"/>
        <w:ind w:firstLine="528" w:firstLineChars="220"/>
        <w:rPr>
          <w:rFonts w:hint="eastAsia" w:ascii="仿宋" w:hAnsi="仿宋" w:eastAsia="仿宋" w:cs="仿宋"/>
          <w:sz w:val="24"/>
          <w:szCs w:val="24"/>
          <w:u w:val="single"/>
        </w:rPr>
      </w:pPr>
      <w:r>
        <w:rPr>
          <w:rFonts w:hint="eastAsia" w:ascii="仿宋" w:hAnsi="仿宋" w:eastAsia="仿宋" w:cs="仿宋"/>
          <w:sz w:val="24"/>
          <w:szCs w:val="24"/>
        </w:rPr>
        <w:t>姓名与职务：</w:t>
      </w:r>
      <w:r>
        <w:rPr>
          <w:rFonts w:hint="eastAsia" w:ascii="仿宋" w:hAnsi="仿宋" w:eastAsia="仿宋" w:cs="仿宋"/>
          <w:sz w:val="24"/>
          <w:szCs w:val="24"/>
          <w:u w:val="single"/>
        </w:rPr>
        <w:t xml:space="preserve">                       </w:t>
      </w:r>
    </w:p>
    <w:p>
      <w:pPr>
        <w:snapToGrid w:val="0"/>
        <w:spacing w:line="400" w:lineRule="exact"/>
        <w:ind w:firstLine="528" w:firstLineChars="220"/>
        <w:rPr>
          <w:rFonts w:hint="eastAsia" w:ascii="仿宋" w:hAnsi="仿宋" w:eastAsia="仿宋" w:cs="仿宋"/>
          <w:sz w:val="24"/>
          <w:szCs w:val="24"/>
          <w:u w:val="single"/>
        </w:rPr>
      </w:pPr>
    </w:p>
    <w:p>
      <w:pPr>
        <w:snapToGrid w:val="0"/>
        <w:spacing w:before="156" w:beforeLines="50" w:after="156" w:afterLines="50" w:line="360" w:lineRule="auto"/>
        <w:ind w:firstLine="480" w:firstLineChars="200"/>
        <w:jc w:val="center"/>
        <w:rPr>
          <w:rFonts w:hint="eastAsia" w:ascii="仿宋" w:hAnsi="仿宋" w:eastAsia="仿宋" w:cs="仿宋"/>
          <w:kern w:val="0"/>
          <w:sz w:val="24"/>
          <w:szCs w:val="24"/>
        </w:rPr>
      </w:pPr>
      <w:r>
        <w:rPr>
          <w:rFonts w:hint="eastAsia" w:ascii="仿宋" w:hAnsi="仿宋" w:eastAsia="仿宋" w:cs="仿宋"/>
          <w:sz w:val="24"/>
          <w:szCs w:val="24"/>
        </w:rPr>
        <w:t>签订时间：   年   月   日</w:t>
      </w:r>
    </w:p>
    <w:p>
      <w:pPr>
        <w:spacing w:line="400" w:lineRule="exact"/>
        <w:rPr>
          <w:rFonts w:hint="eastAsia" w:ascii="仿宋" w:hAnsi="仿宋" w:eastAsia="仿宋" w:cs="Courier New"/>
          <w:color w:val="000000"/>
          <w:kern w:val="0"/>
          <w:sz w:val="28"/>
          <w:szCs w:val="28"/>
        </w:rPr>
      </w:pPr>
    </w:p>
    <w:p>
      <w:pPr>
        <w:spacing w:line="400" w:lineRule="exact"/>
        <w:rPr>
          <w:rFonts w:hint="eastAsia" w:ascii="仿宋" w:hAnsi="仿宋" w:eastAsia="仿宋" w:cs="Courier New"/>
          <w:color w:val="000000"/>
          <w:kern w:val="0"/>
          <w:sz w:val="28"/>
          <w:szCs w:val="28"/>
        </w:rPr>
      </w:pPr>
    </w:p>
    <w:p>
      <w:pPr>
        <w:spacing w:line="400" w:lineRule="exact"/>
        <w:rPr>
          <w:rFonts w:hint="eastAsia" w:ascii="仿宋" w:hAnsi="仿宋" w:eastAsia="仿宋" w:cs="Courier New"/>
          <w:color w:val="000000"/>
          <w:kern w:val="0"/>
          <w:sz w:val="28"/>
          <w:szCs w:val="28"/>
        </w:rPr>
      </w:pPr>
    </w:p>
    <w:p>
      <w:pPr>
        <w:spacing w:line="400" w:lineRule="exact"/>
        <w:rPr>
          <w:rFonts w:hint="eastAsia" w:ascii="仿宋" w:hAnsi="仿宋" w:eastAsia="仿宋" w:cs="Courier New"/>
          <w:color w:val="000000"/>
          <w:kern w:val="0"/>
          <w:sz w:val="28"/>
          <w:szCs w:val="28"/>
        </w:rPr>
      </w:pPr>
    </w:p>
    <w:p>
      <w:pPr>
        <w:snapToGrid w:val="0"/>
        <w:spacing w:line="500" w:lineRule="exact"/>
        <w:jc w:val="both"/>
        <w:rPr>
          <w:rFonts w:hint="eastAsia" w:ascii="新宋体" w:hAnsi="新宋体" w:eastAsia="新宋体"/>
          <w:b/>
          <w:sz w:val="32"/>
          <w:szCs w:val="32"/>
          <w:lang w:val="en-US" w:eastAsia="zh-CN"/>
        </w:rPr>
      </w:pPr>
      <w:r>
        <w:rPr>
          <w:rFonts w:hint="eastAsia" w:ascii="新宋体" w:hAnsi="新宋体" w:eastAsia="新宋体"/>
          <w:b/>
          <w:sz w:val="32"/>
          <w:szCs w:val="32"/>
          <w:lang w:val="en-US" w:eastAsia="zh-CN"/>
        </w:rPr>
        <w:t xml:space="preserve">                  </w:t>
      </w:r>
    </w:p>
    <w:p>
      <w:pPr>
        <w:pStyle w:val="2"/>
        <w:numPr>
          <w:ilvl w:val="0"/>
          <w:numId w:val="0"/>
        </w:numPr>
        <w:ind w:leftChars="0"/>
        <w:jc w:val="left"/>
        <w:rPr>
          <w:rFonts w:ascii="楷体_GB2312" w:hAnsi="楷体_GB2312" w:eastAsia="楷体_GB2312"/>
          <w:color w:val="000000"/>
        </w:rPr>
      </w:pPr>
      <w:bookmarkStart w:id="54" w:name="_Toc12235"/>
      <w:bookmarkStart w:id="55" w:name="_Toc14509"/>
      <w:r>
        <w:rPr>
          <w:rFonts w:hint="eastAsia"/>
        </w:rPr>
        <w:t>附件</w:t>
      </w:r>
      <w:r>
        <w:rPr>
          <w:rFonts w:hint="eastAsia"/>
          <w:lang w:val="en-US" w:eastAsia="zh-CN"/>
        </w:rPr>
        <w:t>1</w:t>
      </w:r>
      <w:bookmarkEnd w:id="54"/>
      <w:bookmarkEnd w:id="55"/>
    </w:p>
    <w:p>
      <w:pPr>
        <w:spacing w:line="360" w:lineRule="auto"/>
        <w:jc w:val="left"/>
        <w:rPr>
          <w:rFonts w:hint="eastAsia"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招标物资明细暨投标报价清单</w:t>
      </w:r>
    </w:p>
    <w:tbl>
      <w:tblPr>
        <w:tblStyle w:val="24"/>
        <w:tblW w:w="11549" w:type="dxa"/>
        <w:jc w:val="center"/>
        <w:tblInd w:w="-1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55"/>
        <w:gridCol w:w="1335"/>
        <w:gridCol w:w="1335"/>
        <w:gridCol w:w="1335"/>
        <w:gridCol w:w="1515"/>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4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存货名称</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暂估</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固定单价</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元/米</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浮动价</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元/米</w:t>
            </w:r>
          </w:p>
        </w:tc>
        <w:tc>
          <w:tcPr>
            <w:tcW w:w="15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1549" w:type="dxa"/>
            <w:gridSpan w:val="6"/>
            <w:tcBorders>
              <w:top w:val="single" w:color="000000" w:sz="4" w:space="0"/>
              <w:left w:val="single" w:color="000000" w:sz="4" w:space="0"/>
              <w:bottom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b/>
                <w:bCs/>
                <w:i w:val="0"/>
                <w:color w:val="000000"/>
                <w:sz w:val="20"/>
                <w:szCs w:val="20"/>
                <w:u w:val="none"/>
                <w:lang w:val="en-US" w:eastAsia="zh-CN"/>
              </w:rPr>
              <w:t>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中型橡套软电缆（YZ）</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重型橡套软电缆(YC）</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3*150+2*70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3*16+2*10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3*185+2*95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3*240+2*120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3*70+2*35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铝芯交联聚氯乙烯绝缘电力电缆(YJLV）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3*120+1*70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3*185+1*95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铜芯交联聚氯乙烯绝缘聚乙烯护套电力电缆(YJV）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3*300+2*150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335" w:type="dxa"/>
            <w:tcBorders>
              <w:top w:val="single" w:color="000000" w:sz="4" w:space="0"/>
              <w:left w:val="single" w:color="000000" w:sz="4" w:space="0"/>
              <w:bottom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11549" w:type="dxa"/>
            <w:gridSpan w:val="6"/>
            <w:tcBorders>
              <w:top w:val="single" w:color="000000" w:sz="4" w:space="0"/>
              <w:left w:val="single" w:color="000000" w:sz="4" w:space="0"/>
              <w:bottom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b/>
                <w:bCs/>
                <w:i w:val="0"/>
                <w:color w:val="000000"/>
                <w:sz w:val="20"/>
                <w:szCs w:val="20"/>
                <w:u w:val="none"/>
                <w:lang w:val="en-US" w:eastAsia="zh-CN"/>
              </w:rPr>
              <w:t>电线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铜芯聚氯乙烯绝缘电线（BV）</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eastAsia="宋体"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r>
    </w:tbl>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44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sz w:val="24"/>
          <w:szCs w:val="24"/>
        </w:rPr>
        <w:t>1.1本合同单价为货物运到甲方指定地点的所有费用和含</w:t>
      </w:r>
      <w:r>
        <w:rPr>
          <w:rFonts w:hint="eastAsia" w:ascii="仿宋" w:hAnsi="仿宋" w:eastAsia="仿宋"/>
          <w:sz w:val="24"/>
          <w:szCs w:val="24"/>
          <w:highlight w:val="yellow"/>
          <w:u w:val="single"/>
          <w:lang w:val="en-US" w:eastAsia="zh-CN"/>
        </w:rPr>
        <w:t xml:space="preserve">    %</w:t>
      </w:r>
      <w:r>
        <w:rPr>
          <w:rFonts w:hint="eastAsia" w:ascii="仿宋" w:hAnsi="仿宋" w:eastAsia="仿宋"/>
          <w:sz w:val="24"/>
          <w:szCs w:val="24"/>
        </w:rPr>
        <w:t>税结算价。（包括材料出厂价、装车价格、运到招标方工地运输价格、装卸费、过磅费、管理费、利润和税金等全部费用。）</w:t>
      </w:r>
    </w:p>
    <w:p>
      <w:pPr>
        <w:spacing w:line="440" w:lineRule="exact"/>
        <w:ind w:firstLine="420"/>
        <w:rPr>
          <w:rFonts w:hint="eastAsia" w:ascii="仿宋" w:hAnsi="仿宋" w:eastAsia="仿宋"/>
          <w:sz w:val="24"/>
          <w:szCs w:val="24"/>
        </w:rPr>
      </w:pPr>
      <w:r>
        <w:rPr>
          <w:rFonts w:hint="eastAsia" w:ascii="仿宋" w:hAnsi="仿宋" w:eastAsia="仿宋"/>
          <w:sz w:val="24"/>
          <w:szCs w:val="24"/>
          <w:lang w:val="en-US" w:eastAsia="zh-CN"/>
        </w:rPr>
        <w:t>1.2</w:t>
      </w:r>
      <w:r>
        <w:rPr>
          <w:rFonts w:hint="eastAsia" w:ascii="仿宋" w:hAnsi="仿宋" w:eastAsia="仿宋"/>
          <w:sz w:val="24"/>
          <w:szCs w:val="24"/>
        </w:rPr>
        <w:t>数量以实际供货数量为准，即以甲乙双方</w:t>
      </w:r>
      <w:r>
        <w:rPr>
          <w:rFonts w:hint="eastAsia" w:ascii="仿宋" w:hAnsi="仿宋" w:eastAsia="仿宋"/>
          <w:sz w:val="24"/>
          <w:szCs w:val="24"/>
          <w:lang w:val="en-US" w:eastAsia="zh-CN"/>
        </w:rPr>
        <w:t>现场</w:t>
      </w:r>
      <w:r>
        <w:rPr>
          <w:rFonts w:hint="eastAsia" w:ascii="仿宋" w:hAnsi="仿宋" w:eastAsia="仿宋"/>
          <w:sz w:val="24"/>
          <w:szCs w:val="24"/>
        </w:rPr>
        <w:t>办理验收时共同的签字认可的数量为准。</w:t>
      </w:r>
    </w:p>
    <w:p>
      <w:pPr>
        <w:spacing w:line="440" w:lineRule="exact"/>
        <w:ind w:firstLine="420"/>
        <w:rPr>
          <w:rFonts w:hint="eastAsia" w:ascii="仿宋" w:hAnsi="仿宋" w:eastAsia="仿宋"/>
          <w:sz w:val="24"/>
          <w:szCs w:val="24"/>
          <w:lang w:val="en-US"/>
        </w:rPr>
      </w:pPr>
      <w:r>
        <w:rPr>
          <w:rFonts w:hint="eastAsia" w:ascii="仿宋" w:hAnsi="仿宋" w:eastAsia="仿宋"/>
          <w:sz w:val="24"/>
          <w:szCs w:val="24"/>
          <w:lang w:val="en-US" w:eastAsia="zh-CN"/>
        </w:rPr>
        <w:t>1.3</w:t>
      </w:r>
      <w:r>
        <w:rPr>
          <w:rFonts w:hint="eastAsia" w:ascii="仿宋" w:hAnsi="仿宋" w:eastAsia="仿宋" w:cs="仿宋"/>
          <w:sz w:val="24"/>
          <w:szCs w:val="24"/>
          <w:lang w:val="en-US" w:eastAsia="zh-CN"/>
        </w:rPr>
        <w:t>单价制定原则：</w:t>
      </w:r>
      <w:r>
        <w:rPr>
          <w:rFonts w:hint="eastAsia" w:ascii="仿宋" w:hAnsi="仿宋" w:eastAsia="仿宋" w:cs="仿宋"/>
          <w:sz w:val="24"/>
          <w:szCs w:val="24"/>
          <w:highlight w:val="none"/>
          <w:lang w:val="en-US" w:eastAsia="zh-CN"/>
        </w:rPr>
        <w:t>本次报价采用</w:t>
      </w:r>
      <w:r>
        <w:rPr>
          <w:rFonts w:hint="eastAsia" w:ascii="仿宋" w:hAnsi="仿宋" w:eastAsia="仿宋" w:cs="仿宋"/>
          <w:sz w:val="24"/>
          <w:szCs w:val="24"/>
          <w:highlight w:val="yellow"/>
          <w:lang w:val="en-US" w:eastAsia="zh-CN"/>
        </w:rPr>
        <w:t>固定单价及浮动价</w:t>
      </w:r>
      <w:r>
        <w:rPr>
          <w:rFonts w:hint="eastAsia" w:ascii="仿宋" w:hAnsi="仿宋" w:eastAsia="仿宋" w:cs="仿宋"/>
          <w:sz w:val="24"/>
          <w:szCs w:val="24"/>
          <w:highlight w:val="none"/>
          <w:lang w:val="en-US" w:eastAsia="zh-CN"/>
        </w:rPr>
        <w:t>两种方式同时填报，最终选择结算方式以开标结果为准，供货的批量采购，本着风险共担的原则，按合同约定的结算方式及单价结算，不予调整。</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投标人名称：</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法定代表人或委托代理人：</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投标人地址：</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邮政编码：</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电    话：</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 xml:space="preserve">          传    真：</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开户银行名称：</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 xml:space="preserve">   帐    号：</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投标日期：</w:t>
      </w:r>
      <w:r>
        <w:rPr>
          <w:rFonts w:hint="eastAsia" w:ascii="仿宋" w:hAnsi="仿宋" w:eastAsia="仿宋" w:cs="仿宋"/>
          <w:b w:val="0"/>
          <w:bCs w:val="0"/>
          <w:sz w:val="24"/>
          <w:szCs w:val="24"/>
          <w:u w:val="single"/>
        </w:rPr>
        <w:t xml:space="preserve">                       </w:t>
      </w:r>
    </w:p>
    <w:p>
      <w:pPr>
        <w:spacing w:line="360" w:lineRule="auto"/>
        <w:rPr>
          <w:rFonts w:hint="eastAsia" w:ascii="仿宋" w:hAnsi="仿宋" w:eastAsia="仿宋" w:cs="仿宋"/>
          <w:b w:val="0"/>
          <w:bCs w:val="0"/>
          <w:sz w:val="24"/>
          <w:szCs w:val="24"/>
          <w:u w:val="single"/>
        </w:rPr>
      </w:pPr>
    </w:p>
    <w:p>
      <w:pPr>
        <w:pStyle w:val="2"/>
      </w:pPr>
      <w:bookmarkStart w:id="56" w:name="_Toc19672"/>
      <w:bookmarkStart w:id="57" w:name="_Toc22417"/>
      <w:r>
        <w:rPr>
          <w:rFonts w:hint="eastAsia"/>
        </w:rPr>
        <w:t>附件2</w:t>
      </w:r>
      <w:bookmarkEnd w:id="56"/>
      <w:bookmarkEnd w:id="57"/>
      <w:r>
        <w:rPr>
          <w:rFonts w:hint="eastAsia"/>
        </w:rPr>
        <w:t xml:space="preserve">    </w:t>
      </w:r>
      <w:r>
        <w:rPr>
          <w:rFonts w:hint="eastAsia"/>
          <w:sz w:val="24"/>
        </w:rPr>
        <w:t xml:space="preserve">      </w:t>
      </w:r>
      <w:r>
        <w:rPr>
          <w:rFonts w:hint="eastAsia"/>
        </w:rPr>
        <w:t xml:space="preserve"> </w:t>
      </w:r>
    </w:p>
    <w:p>
      <w:pPr>
        <w:spacing w:line="360" w:lineRule="auto"/>
        <w:rPr>
          <w:b/>
          <w:sz w:val="32"/>
          <w:szCs w:val="32"/>
        </w:rPr>
      </w:pPr>
      <w:r>
        <w:rPr>
          <w:rFonts w:hint="eastAsia"/>
        </w:rPr>
        <w:t xml:space="preserve">                    </w:t>
      </w:r>
      <w:r>
        <w:rPr>
          <w:rFonts w:hint="eastAsia"/>
          <w:b/>
          <w:sz w:val="32"/>
          <w:szCs w:val="32"/>
        </w:rPr>
        <w:t xml:space="preserve">   授 权 委 托 书</w:t>
      </w:r>
    </w:p>
    <w:p>
      <w:pPr>
        <w:autoSpaceDN w:val="0"/>
        <w:spacing w:line="360" w:lineRule="auto"/>
        <w:ind w:left="2"/>
        <w:jc w:val="center"/>
        <w:rPr>
          <w:rFonts w:ascii="楷体_GB2312" w:hAnsi="楷体_GB2312" w:eastAsia="楷体_GB2312"/>
          <w:color w:val="000000"/>
          <w:sz w:val="32"/>
        </w:rPr>
      </w:pPr>
    </w:p>
    <w:p>
      <w:pPr>
        <w:autoSpaceDN w:val="0"/>
        <w:spacing w:line="360" w:lineRule="auto"/>
        <w:rPr>
          <w:rFonts w:ascii="楷体_GB2312" w:hAnsi="楷体_GB2312" w:eastAsia="楷体_GB2312"/>
          <w:color w:val="000000"/>
          <w:sz w:val="30"/>
          <w:szCs w:val="30"/>
        </w:rPr>
      </w:pPr>
      <w:r>
        <w:rPr>
          <w:rFonts w:hint="eastAsia" w:ascii="楷体_GB2312" w:hAnsi="楷体_GB2312" w:eastAsia="楷体_GB2312"/>
          <w:b/>
          <w:color w:val="000000"/>
          <w:sz w:val="30"/>
          <w:szCs w:val="30"/>
        </w:rPr>
        <w:t>致：</w:t>
      </w:r>
      <w:r>
        <w:rPr>
          <w:rFonts w:hint="eastAsia" w:ascii="楷体_GB2312" w:hAnsi="楷体_GB2312" w:eastAsia="楷体_GB2312"/>
          <w:b/>
          <w:color w:val="000000"/>
          <w:sz w:val="32"/>
          <w:u w:val="single"/>
        </w:rPr>
        <w:t>中国建筑第五工程局有限公司</w:t>
      </w:r>
    </w:p>
    <w:p>
      <w:pPr>
        <w:autoSpaceDN w:val="0"/>
        <w:spacing w:line="360" w:lineRule="auto"/>
        <w:rPr>
          <w:rFonts w:ascii="仿宋_GB2312" w:hAnsi="楷体_GB2312" w:eastAsia="仿宋_GB2312"/>
          <w:color w:val="000000"/>
          <w:sz w:val="30"/>
          <w:szCs w:val="30"/>
        </w:rPr>
      </w:pPr>
      <w:r>
        <w:rPr>
          <w:rFonts w:hint="eastAsia" w:ascii="仿宋_GB2312" w:hAnsi="楷体_GB2312" w:eastAsia="仿宋_GB2312"/>
          <w:color w:val="000000"/>
          <w:sz w:val="30"/>
          <w:szCs w:val="30"/>
        </w:rPr>
        <w:t xml:space="preserve">  本授权书宣告：</w:t>
      </w:r>
      <w:r>
        <w:rPr>
          <w:rFonts w:hint="eastAsia" w:ascii="仿宋_GB2312" w:hAnsi="楷体_GB2312" w:eastAsia="仿宋_GB2312"/>
          <w:color w:val="000000"/>
          <w:sz w:val="30"/>
          <w:szCs w:val="30"/>
          <w:u w:val="single"/>
        </w:rPr>
        <w:t>（</w:t>
      </w:r>
      <w:r>
        <w:rPr>
          <w:rFonts w:hint="eastAsia" w:ascii="仿宋_GB2312" w:hAnsi="楷体_GB2312" w:eastAsia="仿宋_GB2312"/>
          <w:color w:val="000000"/>
          <w:sz w:val="30"/>
          <w:szCs w:val="30"/>
        </w:rPr>
        <w:t>投</w:t>
      </w:r>
      <w:r>
        <w:rPr>
          <w:rFonts w:hint="eastAsia" w:ascii="仿宋_GB2312" w:hAnsi="楷体_GB2312" w:eastAsia="仿宋_GB2312"/>
          <w:color w:val="000000"/>
          <w:sz w:val="30"/>
          <w:szCs w:val="30"/>
          <w:u w:val="single"/>
        </w:rPr>
        <w:t xml:space="preserve">标人全称）         （职务）        （姓名）   </w:t>
      </w:r>
      <w:r>
        <w:rPr>
          <w:rFonts w:hint="eastAsia" w:ascii="仿宋_GB2312" w:hAnsi="楷体_GB2312" w:eastAsia="仿宋_GB2312"/>
          <w:color w:val="000000"/>
          <w:sz w:val="30"/>
          <w:szCs w:val="30"/>
        </w:rPr>
        <w:t>代表我单位，授权</w:t>
      </w:r>
      <w:r>
        <w:rPr>
          <w:rFonts w:hint="eastAsia" w:ascii="仿宋_GB2312" w:hAnsi="楷体_GB2312" w:eastAsia="仿宋_GB2312"/>
          <w:color w:val="000000"/>
          <w:sz w:val="30"/>
          <w:szCs w:val="30"/>
          <w:u w:val="single"/>
        </w:rPr>
        <w:t>（</w:t>
      </w:r>
      <w:r>
        <w:rPr>
          <w:rFonts w:hint="eastAsia" w:ascii="仿宋_GB2312" w:hAnsi="楷体_GB2312" w:eastAsia="仿宋_GB2312"/>
          <w:color w:val="000000"/>
          <w:sz w:val="30"/>
          <w:szCs w:val="30"/>
        </w:rPr>
        <w:t>投</w:t>
      </w:r>
      <w:r>
        <w:rPr>
          <w:rFonts w:hint="eastAsia" w:ascii="仿宋_GB2312" w:hAnsi="楷体_GB2312" w:eastAsia="仿宋_GB2312"/>
          <w:color w:val="000000"/>
          <w:sz w:val="30"/>
          <w:szCs w:val="30"/>
          <w:u w:val="single"/>
        </w:rPr>
        <w:t>标人或其下属单位全称）</w:t>
      </w:r>
      <w:r>
        <w:rPr>
          <w:rFonts w:hint="eastAsia" w:ascii="仿宋_GB2312" w:hAnsi="楷体_GB2312" w:eastAsia="仿宋_GB2312"/>
          <w:color w:val="000000"/>
          <w:sz w:val="30"/>
          <w:szCs w:val="30"/>
        </w:rPr>
        <w:t>的</w:t>
      </w:r>
      <w:r>
        <w:rPr>
          <w:rFonts w:hint="eastAsia" w:ascii="仿宋_GB2312" w:hAnsi="楷体_GB2312" w:eastAsia="仿宋_GB2312"/>
          <w:color w:val="000000"/>
          <w:sz w:val="30"/>
          <w:szCs w:val="30"/>
          <w:u w:val="single"/>
        </w:rPr>
        <w:t>（职务） （姓名）</w:t>
      </w:r>
      <w:r>
        <w:rPr>
          <w:rFonts w:hint="eastAsia" w:ascii="仿宋_GB2312" w:hAnsi="楷体_GB2312" w:eastAsia="仿宋_GB2312"/>
          <w:color w:val="000000"/>
          <w:sz w:val="30"/>
          <w:szCs w:val="30"/>
        </w:rPr>
        <w:t>为我单位的合法代理人，该代理人有权在</w:t>
      </w:r>
      <w:r>
        <w:rPr>
          <w:rFonts w:hint="eastAsia" w:ascii="仿宋_GB2312" w:hAnsi="楷体_GB2312" w:eastAsia="仿宋_GB2312"/>
          <w:color w:val="000000"/>
          <w:sz w:val="30"/>
          <w:szCs w:val="30"/>
          <w:u w:val="single"/>
        </w:rPr>
        <w:t xml:space="preserve">  </w:t>
      </w:r>
      <w:r>
        <w:rPr>
          <w:rFonts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rPr>
        <w:t>项目的投标活动中，以我单位名义签署投标书和投标文件，与贵方协商、签订合同书以及处理一切与此有关的事务。</w:t>
      </w:r>
    </w:p>
    <w:p>
      <w:pPr>
        <w:autoSpaceDN w:val="0"/>
        <w:spacing w:line="360" w:lineRule="auto"/>
        <w:ind w:firstLine="540"/>
        <w:rPr>
          <w:rFonts w:ascii="仿宋_GB2312" w:hAnsi="楷体_GB2312" w:eastAsia="仿宋_GB2312"/>
          <w:color w:val="000000"/>
          <w:sz w:val="30"/>
          <w:szCs w:val="30"/>
        </w:rPr>
      </w:pPr>
      <w:r>
        <w:rPr>
          <w:rFonts w:hint="eastAsia" w:ascii="仿宋_GB2312" w:hAnsi="楷体_GB2312" w:eastAsia="仿宋_GB2312"/>
          <w:color w:val="000000"/>
          <w:sz w:val="30"/>
          <w:szCs w:val="30"/>
        </w:rPr>
        <w:t>本授权书于</w:t>
      </w:r>
      <w:r>
        <w:rPr>
          <w:rFonts w:hint="eastAsia"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rPr>
        <w:t>年</w:t>
      </w:r>
      <w:r>
        <w:rPr>
          <w:rFonts w:hint="eastAsia"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rPr>
        <w:t>月</w:t>
      </w:r>
      <w:r>
        <w:rPr>
          <w:rFonts w:hint="eastAsia"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rPr>
        <w:t>日签字生效，有效期限为</w:t>
      </w:r>
      <w:r>
        <w:rPr>
          <w:rFonts w:hint="eastAsia" w:ascii="仿宋_GB2312" w:hAnsi="楷体_GB2312" w:eastAsia="仿宋_GB2312"/>
          <w:color w:val="000000"/>
          <w:sz w:val="30"/>
          <w:szCs w:val="30"/>
          <w:u w:val="single"/>
        </w:rPr>
        <w:t xml:space="preserve">      </w:t>
      </w:r>
      <w:r>
        <w:rPr>
          <w:rFonts w:hint="eastAsia" w:ascii="仿宋_GB2312" w:hAnsi="楷体_GB2312" w:eastAsia="仿宋_GB2312"/>
          <w:color w:val="000000"/>
          <w:sz w:val="30"/>
          <w:szCs w:val="30"/>
        </w:rPr>
        <w:t>天。</w:t>
      </w:r>
    </w:p>
    <w:p>
      <w:pPr>
        <w:autoSpaceDN w:val="0"/>
        <w:spacing w:line="360" w:lineRule="auto"/>
        <w:rPr>
          <w:rFonts w:ascii="仿宋_GB2312" w:hAnsi="楷体_GB2312" w:eastAsia="仿宋_GB2312"/>
          <w:color w:val="000000"/>
          <w:sz w:val="30"/>
          <w:szCs w:val="30"/>
        </w:rPr>
      </w:pPr>
      <w:r>
        <w:rPr>
          <w:rFonts w:hint="eastAsia" w:ascii="仿宋_GB2312" w:hAnsi="楷体_GB2312" w:eastAsia="仿宋_GB2312"/>
          <w:color w:val="000000"/>
          <w:sz w:val="30"/>
          <w:szCs w:val="30"/>
        </w:rPr>
        <w:t>投标人名称</w:t>
      </w:r>
      <w:r>
        <w:rPr>
          <w:rFonts w:hint="eastAsia" w:ascii="仿宋_GB2312" w:hAnsi="楷体_GB2312" w:eastAsia="仿宋_GB2312"/>
          <w:color w:val="000000"/>
          <w:sz w:val="30"/>
          <w:szCs w:val="30"/>
          <w:u w:val="single"/>
        </w:rPr>
        <w:t xml:space="preserve">          （盖章）           </w:t>
      </w:r>
    </w:p>
    <w:p>
      <w:pPr>
        <w:autoSpaceDN w:val="0"/>
        <w:spacing w:line="360" w:lineRule="auto"/>
        <w:ind w:firstLine="3930"/>
        <w:rPr>
          <w:rFonts w:ascii="仿宋_GB2312" w:hAnsi="楷体_GB2312" w:eastAsia="仿宋_GB2312"/>
          <w:color w:val="000000"/>
          <w:sz w:val="30"/>
          <w:szCs w:val="30"/>
        </w:rPr>
      </w:pPr>
    </w:p>
    <w:p>
      <w:pPr>
        <w:autoSpaceDN w:val="0"/>
        <w:spacing w:line="360" w:lineRule="auto"/>
        <w:rPr>
          <w:rFonts w:hint="eastAsia" w:ascii="仿宋_GB2312" w:hAnsi="楷体_GB2312" w:eastAsia="仿宋_GB2312"/>
          <w:color w:val="000000"/>
          <w:sz w:val="30"/>
          <w:szCs w:val="30"/>
          <w:u w:val="single"/>
        </w:rPr>
      </w:pPr>
      <w:r>
        <w:rPr>
          <w:rFonts w:hint="eastAsia" w:ascii="仿宋_GB2312" w:hAnsi="楷体_GB2312" w:eastAsia="仿宋_GB2312"/>
          <w:color w:val="000000"/>
          <w:sz w:val="30"/>
          <w:szCs w:val="30"/>
        </w:rPr>
        <w:t>法定代表人</w:t>
      </w:r>
      <w:r>
        <w:rPr>
          <w:rFonts w:hint="eastAsia" w:ascii="仿宋_GB2312" w:hAnsi="楷体_GB2312" w:eastAsia="仿宋_GB2312"/>
          <w:color w:val="000000"/>
          <w:sz w:val="30"/>
          <w:szCs w:val="30"/>
          <w:u w:val="single"/>
        </w:rPr>
        <w:t xml:space="preserve">          （签字）           </w:t>
      </w:r>
    </w:p>
    <w:p>
      <w:pPr>
        <w:autoSpaceDN w:val="0"/>
        <w:spacing w:line="360" w:lineRule="auto"/>
        <w:rPr>
          <w:rFonts w:hint="eastAsia" w:ascii="仿宋_GB2312" w:hAnsi="楷体_GB2312" w:eastAsia="仿宋_GB2312"/>
          <w:color w:val="000000"/>
          <w:sz w:val="30"/>
          <w:szCs w:val="30"/>
          <w:u w:val="single"/>
        </w:rPr>
      </w:pPr>
    </w:p>
    <w:p>
      <w:pPr>
        <w:autoSpaceDN w:val="0"/>
        <w:spacing w:line="360" w:lineRule="auto"/>
        <w:rPr>
          <w:rFonts w:ascii="仿宋_GB2312" w:hAnsi="楷体_GB2312" w:eastAsia="仿宋_GB2312"/>
          <w:color w:val="000000"/>
          <w:sz w:val="30"/>
          <w:szCs w:val="30"/>
        </w:rPr>
      </w:pPr>
      <w:r>
        <w:rPr>
          <w:rFonts w:hint="eastAsia" w:ascii="仿宋_GB2312" w:hAnsi="楷体_GB2312" w:eastAsia="仿宋_GB2312"/>
          <w:color w:val="000000"/>
          <w:sz w:val="30"/>
          <w:szCs w:val="30"/>
        </w:rPr>
        <w:t>被授权人</w:t>
      </w:r>
      <w:r>
        <w:rPr>
          <w:rFonts w:hint="eastAsia" w:ascii="仿宋_GB2312" w:hAnsi="楷体_GB2312" w:eastAsia="仿宋_GB2312"/>
          <w:color w:val="000000"/>
          <w:sz w:val="30"/>
          <w:szCs w:val="30"/>
          <w:u w:val="single"/>
        </w:rPr>
        <w:t xml:space="preserve">            （签字）           </w:t>
      </w:r>
    </w:p>
    <w:p>
      <w:pPr>
        <w:spacing w:line="360" w:lineRule="auto"/>
      </w:pPr>
    </w:p>
    <w:p>
      <w:pPr>
        <w:autoSpaceDN w:val="0"/>
        <w:spacing w:line="360" w:lineRule="auto"/>
        <w:rPr>
          <w:rFonts w:hint="eastAsia" w:ascii="楷体_GB2312" w:hAnsi="楷体_GB2312" w:eastAsia="楷体_GB2312"/>
          <w:color w:val="000000"/>
          <w:sz w:val="32"/>
        </w:rPr>
      </w:pPr>
    </w:p>
    <w:p>
      <w:pPr>
        <w:autoSpaceDN w:val="0"/>
        <w:spacing w:line="360" w:lineRule="auto"/>
        <w:rPr>
          <w:rFonts w:hint="eastAsia" w:ascii="楷体_GB2312" w:hAnsi="楷体_GB2312" w:eastAsia="楷体_GB2312"/>
          <w:color w:val="000000"/>
          <w:sz w:val="32"/>
        </w:rPr>
      </w:pPr>
    </w:p>
    <w:p>
      <w:pPr>
        <w:autoSpaceDN w:val="0"/>
        <w:spacing w:line="360" w:lineRule="auto"/>
        <w:rPr>
          <w:rFonts w:hint="eastAsia" w:ascii="楷体_GB2312" w:hAnsi="楷体_GB2312" w:eastAsia="楷体_GB2312"/>
          <w:color w:val="000000"/>
          <w:sz w:val="32"/>
        </w:rPr>
      </w:pPr>
    </w:p>
    <w:p>
      <w:pPr>
        <w:pStyle w:val="2"/>
        <w:jc w:val="left"/>
        <w:rPr>
          <w:rFonts w:hint="eastAsia"/>
        </w:rPr>
      </w:pPr>
      <w:bookmarkStart w:id="58" w:name="_Toc23650"/>
      <w:bookmarkStart w:id="59" w:name="_Toc75"/>
      <w:r>
        <w:rPr>
          <w:rFonts w:hint="eastAsia"/>
        </w:rPr>
        <w:t>附件3</w:t>
      </w:r>
      <w:bookmarkEnd w:id="58"/>
      <w:bookmarkEnd w:id="59"/>
    </w:p>
    <w:p>
      <w:pPr>
        <w:autoSpaceDN w:val="0"/>
        <w:spacing w:line="360" w:lineRule="auto"/>
        <w:jc w:val="left"/>
        <w:rPr>
          <w:rFonts w:ascii="楷体_GB2312" w:hAnsi="楷体_GB2312" w:eastAsia="楷体_GB2312"/>
          <w:b/>
          <w:color w:val="000000"/>
          <w:sz w:val="32"/>
          <w:u w:val="single"/>
        </w:rPr>
      </w:pPr>
      <w:r>
        <w:rPr>
          <w:rFonts w:hint="eastAsia" w:ascii="楷体_GB2312" w:hAnsi="楷体_GB2312" w:eastAsia="楷体_GB2312"/>
          <w:color w:val="000000"/>
          <w:sz w:val="32"/>
        </w:rPr>
        <w:t>收款人：</w:t>
      </w:r>
      <w:r>
        <w:rPr>
          <w:rFonts w:hint="eastAsia" w:ascii="楷体_GB2312" w:hAnsi="楷体_GB2312" w:eastAsia="楷体_GB2312"/>
          <w:b/>
          <w:color w:val="000000"/>
          <w:sz w:val="32"/>
          <w:u w:val="single"/>
        </w:rPr>
        <w:t xml:space="preserve">      中国建筑第五工程局有限公司</w:t>
      </w:r>
      <w:r>
        <w:rPr>
          <w:rFonts w:hint="eastAsia" w:ascii="楷体_GB2312" w:hAnsi="楷体_GB2312" w:eastAsia="楷体_GB2312"/>
          <w:b/>
          <w:color w:val="000000"/>
          <w:sz w:val="32"/>
          <w:u w:val="single"/>
          <w:lang w:val="en-US" w:eastAsia="zh-CN"/>
        </w:rPr>
        <w:t xml:space="preserve"> </w:t>
      </w:r>
    </w:p>
    <w:p>
      <w:pPr>
        <w:autoSpaceDN w:val="0"/>
        <w:spacing w:line="360" w:lineRule="auto"/>
        <w:ind w:firstLine="480"/>
        <w:jc w:val="left"/>
        <w:rPr>
          <w:rFonts w:ascii="楷体_GB2312" w:hAnsi="楷体_GB2312" w:eastAsia="楷体_GB2312"/>
          <w:color w:val="000000"/>
          <w:sz w:val="32"/>
        </w:rPr>
      </w:pPr>
    </w:p>
    <w:p>
      <w:pPr>
        <w:autoSpaceDN w:val="0"/>
        <w:spacing w:line="360" w:lineRule="auto"/>
        <w:jc w:val="left"/>
        <w:rPr>
          <w:rFonts w:ascii="楷体_GB2312" w:hAnsi="楷体_GB2312" w:eastAsia="楷体_GB2312"/>
          <w:color w:val="000000"/>
          <w:sz w:val="32"/>
          <w:u w:val="single"/>
        </w:rPr>
      </w:pPr>
      <w:r>
        <w:rPr>
          <w:rFonts w:hint="eastAsia" w:ascii="楷体_GB2312" w:hAnsi="楷体_GB2312" w:eastAsia="楷体_GB2312"/>
          <w:color w:val="000000"/>
          <w:sz w:val="32"/>
        </w:rPr>
        <w:t>账  号：</w:t>
      </w:r>
      <w:r>
        <w:rPr>
          <w:rFonts w:hint="eastAsia" w:ascii="楷体_GB2312" w:hAnsi="楷体_GB2312" w:eastAsia="楷体_GB2312"/>
          <w:color w:val="000000"/>
          <w:sz w:val="32"/>
          <w:u w:val="single"/>
        </w:rPr>
        <w:t xml:space="preserve">      </w:t>
      </w:r>
      <w:r>
        <w:rPr>
          <w:rFonts w:hint="eastAsia" w:ascii="楷体_GB2312" w:hAnsi="楷体_GB2312" w:eastAsia="楷体_GB2312"/>
          <w:b/>
          <w:color w:val="000000"/>
          <w:sz w:val="32"/>
          <w:u w:val="single"/>
        </w:rPr>
        <w:t xml:space="preserve"> </w:t>
      </w:r>
      <w:r>
        <w:rPr>
          <w:rFonts w:hint="eastAsia" w:ascii="楷体_GB2312" w:hAnsi="楷体_GB2312" w:eastAsia="楷体_GB2312"/>
          <w:b/>
          <w:color w:val="000000"/>
          <w:sz w:val="32"/>
          <w:u w:val="single"/>
          <w:lang w:val="en-US" w:eastAsia="zh-CN"/>
        </w:rPr>
        <w:t xml:space="preserve">34001474508053003187      </w:t>
      </w:r>
    </w:p>
    <w:p>
      <w:pPr>
        <w:autoSpaceDN w:val="0"/>
        <w:spacing w:line="360" w:lineRule="auto"/>
        <w:ind w:firstLine="480"/>
        <w:jc w:val="left"/>
        <w:rPr>
          <w:rFonts w:ascii="楷体_GB2312" w:hAnsi="楷体_GB2312" w:eastAsia="楷体_GB2312"/>
          <w:color w:val="000000"/>
          <w:sz w:val="32"/>
        </w:rPr>
      </w:pPr>
    </w:p>
    <w:p>
      <w:pPr>
        <w:spacing w:line="360" w:lineRule="auto"/>
        <w:jc w:val="left"/>
        <w:rPr>
          <w:rFonts w:hint="eastAsia" w:ascii="楷体_GB2312" w:hAnsi="楷体_GB2312" w:eastAsia="楷体_GB2312"/>
          <w:b/>
          <w:color w:val="000000"/>
          <w:sz w:val="32"/>
          <w:u w:val="single"/>
        </w:rPr>
      </w:pPr>
      <w:r>
        <w:rPr>
          <w:rFonts w:hint="eastAsia" w:ascii="楷体_GB2312" w:hAnsi="楷体_GB2312" w:eastAsia="楷体_GB2312"/>
          <w:color w:val="000000"/>
          <w:sz w:val="32"/>
        </w:rPr>
        <w:t>开户行：</w:t>
      </w:r>
      <w:r>
        <w:rPr>
          <w:rFonts w:hint="eastAsia" w:ascii="楷体_GB2312" w:hAnsi="楷体_GB2312" w:eastAsia="楷体_GB2312"/>
          <w:color w:val="000000"/>
          <w:sz w:val="32"/>
          <w:u w:val="single"/>
        </w:rPr>
        <w:t xml:space="preserve">     </w:t>
      </w:r>
      <w:r>
        <w:rPr>
          <w:rFonts w:hint="eastAsia" w:ascii="楷体_GB2312" w:hAnsi="楷体_GB2312" w:eastAsia="楷体_GB2312"/>
          <w:b/>
          <w:color w:val="000000"/>
          <w:sz w:val="32"/>
          <w:u w:val="single"/>
        </w:rPr>
        <w:t xml:space="preserve"> </w:t>
      </w:r>
      <w:r>
        <w:rPr>
          <w:rFonts w:hint="eastAsia" w:ascii="楷体_GB2312" w:hAnsi="楷体_GB2312" w:eastAsia="楷体_GB2312"/>
          <w:b/>
          <w:color w:val="000000"/>
          <w:sz w:val="32"/>
          <w:u w:val="single"/>
          <w:lang w:val="en-US" w:eastAsia="zh-CN"/>
        </w:rPr>
        <w:t xml:space="preserve"> </w:t>
      </w:r>
      <w:r>
        <w:rPr>
          <w:rFonts w:hint="eastAsia" w:ascii="楷体_GB2312" w:hAnsi="楷体_GB2312" w:eastAsia="楷体_GB2312"/>
          <w:b/>
          <w:color w:val="000000"/>
          <w:sz w:val="32"/>
          <w:u w:val="single"/>
          <w:lang w:eastAsia="zh-CN"/>
        </w:rPr>
        <w:t>中国建设合肥钟楼支行</w:t>
      </w:r>
      <w:r>
        <w:rPr>
          <w:rFonts w:hint="eastAsia" w:ascii="楷体_GB2312" w:hAnsi="楷体_GB2312" w:eastAsia="楷体_GB2312"/>
          <w:b/>
          <w:color w:val="000000"/>
          <w:sz w:val="32"/>
          <w:u w:val="single"/>
          <w:lang w:val="en-US" w:eastAsia="zh-CN"/>
        </w:rPr>
        <w:t xml:space="preserve">       </w:t>
      </w:r>
    </w:p>
    <w:p>
      <w:pPr>
        <w:spacing w:line="360" w:lineRule="auto"/>
        <w:rPr>
          <w:rFonts w:hint="eastAsia" w:ascii="楷体_GB2312" w:hAnsi="楷体_GB2312" w:eastAsia="楷体_GB2312"/>
          <w:b/>
          <w:color w:val="000000"/>
          <w:sz w:val="32"/>
          <w:u w:val="single"/>
        </w:rPr>
      </w:pPr>
    </w:p>
    <w:p>
      <w:pPr>
        <w:spacing w:line="360" w:lineRule="auto"/>
        <w:rPr>
          <w:rFonts w:hint="eastAsia" w:ascii="楷体_GB2312" w:hAnsi="楷体_GB2312" w:eastAsia="楷体_GB2312"/>
          <w:b/>
          <w:color w:val="000000"/>
          <w:sz w:val="32"/>
        </w:rPr>
      </w:pPr>
      <w:r>
        <w:rPr>
          <w:rFonts w:hint="eastAsia" w:ascii="楷体_GB2312" w:hAnsi="楷体_GB2312" w:eastAsia="楷体_GB2312"/>
          <w:b/>
          <w:color w:val="000000"/>
          <w:sz w:val="32"/>
        </w:rPr>
        <w:t xml:space="preserve">              </w:t>
      </w: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500" w:lineRule="exact"/>
        <w:jc w:val="both"/>
        <w:rPr>
          <w:rFonts w:hint="eastAsia" w:ascii="新宋体" w:hAnsi="新宋体" w:eastAsia="新宋体"/>
          <w:b/>
          <w:sz w:val="32"/>
          <w:szCs w:val="32"/>
          <w:lang w:val="en-US" w:eastAsia="zh-CN"/>
        </w:rPr>
      </w:pPr>
    </w:p>
    <w:p>
      <w:pPr>
        <w:snapToGrid w:val="0"/>
        <w:spacing w:line="360" w:lineRule="auto"/>
      </w:pPr>
    </w:p>
    <w:sectPr>
      <w:footerReference r:id="rId14" w:type="first"/>
      <w:footerReference r:id="rId1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汉鼎简黑变">
    <w:altName w:val="宋体"/>
    <w:panose1 w:val="02010609000101010101"/>
    <w:charset w:val="86"/>
    <w:family w:val="decorative"/>
    <w:pitch w:val="default"/>
    <w:sig w:usb0="00000000" w:usb1="00000000" w:usb2="00000010" w:usb3="00000000" w:csb0="00040000" w:csb1="00000000"/>
  </w:font>
  <w:font w:name="隶书">
    <w:panose1 w:val="02010509060101010101"/>
    <w:charset w:val="86"/>
    <w:family w:val="swiss"/>
    <w:pitch w:val="default"/>
    <w:sig w:usb0="00000001" w:usb1="080E0000" w:usb2="00000000" w:usb3="00000000" w:csb0="00040000" w:csb1="00000000"/>
  </w:font>
  <w:font w:name="宋体,Bold">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锐字云字库大标宋体 1.0">
    <w:altName w:val="宋体"/>
    <w:panose1 w:val="02010604000000000000"/>
    <w:charset w:val="86"/>
    <w:family w:val="auto"/>
    <w:pitch w:val="default"/>
    <w:sig w:usb0="00000000" w:usb1="00000000" w:usb2="00000000" w:usb3="00000000" w:csb0="00040001" w:csb1="00000000"/>
  </w:font>
  <w:font w:name="Malgun Gothic">
    <w:panose1 w:val="020B0503020000020004"/>
    <w:charset w:val="81"/>
    <w:family w:val="auto"/>
    <w:pitch w:val="default"/>
    <w:sig w:usb0="900002AF" w:usb1="29D77CFB" w:usb2="00000012" w:usb3="00000000" w:csb0="0008008D"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00"/>
    <w:family w:val="auto"/>
    <w:pitch w:val="default"/>
    <w:sig w:usb0="E00002FF" w:usb1="6AC7FFFF" w:usb2="08000012" w:usb3="00000000" w:csb0="6002009F" w:csb1="DFD7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8" o:spid="_x0000_s410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第</w:t>
                </w:r>
                <w:r>
                  <w:rPr>
                    <w:rFonts w:hint="eastAsia"/>
                    <w:sz w:val="18"/>
                    <w:lang w:val="en-US" w:eastAsia="zh-CN"/>
                  </w:rPr>
                  <w:t>3</w:t>
                </w:r>
                <w:r>
                  <w:rPr>
                    <w:rFonts w:hint="eastAsia"/>
                    <w:sz w:val="18"/>
                    <w:lang w:eastAsia="zh-CN"/>
                  </w:rPr>
                  <w:t xml:space="preserve">页 共 </w:t>
                </w:r>
                <w:r>
                  <w:rPr>
                    <w:rFonts w:hint="eastAsia"/>
                    <w:sz w:val="18"/>
                    <w:lang w:val="en-US" w:eastAsia="zh-CN"/>
                  </w:rPr>
                  <w:t>4</w:t>
                </w:r>
                <w:r>
                  <w:rPr>
                    <w:rFonts w:hint="eastAsia"/>
                    <w:sz w:val="18"/>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第</w:t>
                </w:r>
                <w:r>
                  <w:rPr>
                    <w:rFonts w:hint="eastAsia"/>
                    <w:sz w:val="18"/>
                    <w:lang w:val="en-US" w:eastAsia="zh-CN"/>
                  </w:rPr>
                  <w:t>1</w:t>
                </w:r>
                <w:r>
                  <w:rPr>
                    <w:rFonts w:hint="eastAsia"/>
                    <w:sz w:val="18"/>
                    <w:lang w:eastAsia="zh-CN"/>
                  </w:rPr>
                  <w:t xml:space="preserve">页 共 </w:t>
                </w:r>
                <w:r>
                  <w:rPr>
                    <w:rFonts w:hint="eastAsia"/>
                    <w:sz w:val="18"/>
                    <w:lang w:val="en-US" w:eastAsia="zh-CN"/>
                  </w:rPr>
                  <w:t>5</w:t>
                </w:r>
                <w:r>
                  <w:rPr>
                    <w:rFonts w:hint="eastAsia"/>
                    <w:sz w:val="18"/>
                    <w:lang w:eastAsia="zh-CN"/>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3" o:spid="_x0000_s410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val="en-US" w:eastAsia="zh-CN"/>
                  </w:rPr>
                  <w:t>3</w:t>
                </w:r>
                <w:r>
                  <w:rPr>
                    <w:rFonts w:hint="eastAsia"/>
                    <w:sz w:val="18"/>
                    <w:lang w:eastAsia="zh-CN"/>
                  </w:rPr>
                  <w:t xml:space="preserve"> 页 共</w:t>
                </w:r>
                <w:r>
                  <w:rPr>
                    <w:rFonts w:hint="eastAsia"/>
                    <w:sz w:val="18"/>
                    <w:lang w:val="en-US" w:eastAsia="zh-CN"/>
                  </w:rPr>
                  <w:t>5</w:t>
                </w:r>
                <w:r>
                  <w:rPr>
                    <w:rFonts w:hint="eastAsia"/>
                    <w:sz w:val="18"/>
                    <w:lang w:eastAsia="zh-CN"/>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rPr>
                    <w:rFonts w:hint="eastAsia"/>
                    <w:lang w:eastAsia="zh-CN"/>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6" o:spid="_x0000_s410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4" o:spid="_x0000_s410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0</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r>
                  <w:rPr>
                    <w:rFonts w:hint="eastAsia"/>
                    <w:sz w:val="18"/>
                    <w:lang w:eastAsia="zh-CN"/>
                  </w:rPr>
                  <w:t xml:space="preserve"> 页</w:t>
                </w:r>
              </w:p>
            </w:txbxContent>
          </v:textbox>
        </v:shape>
      </w:pict>
    </w:r>
    <w:r>
      <w:rPr>
        <w:sz w:val="18"/>
      </w:rPr>
      <w:pict>
        <v:shape id="_x0000_s4105" o:spid="_x0000_s410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第</w:t>
                </w:r>
                <w:r>
                  <w:rPr>
                    <w:rFonts w:hint="eastAsia"/>
                    <w:sz w:val="18"/>
                    <w:lang w:val="en-US" w:eastAsia="zh-CN"/>
                  </w:rPr>
                  <w:t>3</w:t>
                </w:r>
                <w:r>
                  <w:rPr>
                    <w:rFonts w:hint="eastAsia"/>
                    <w:sz w:val="18"/>
                    <w:lang w:eastAsia="zh-CN"/>
                  </w:rPr>
                  <w:t xml:space="preserve">页 共 </w:t>
                </w:r>
                <w:r>
                  <w:rPr>
                    <w:rFonts w:hint="eastAsia"/>
                    <w:sz w:val="18"/>
                    <w:lang w:val="en-US" w:eastAsia="zh-CN"/>
                  </w:rPr>
                  <w:t>4</w:t>
                </w:r>
                <w:r>
                  <w:rPr>
                    <w:rFonts w:hint="eastAsia"/>
                    <w:sz w:val="18"/>
                    <w:lang w:eastAsia="zh-CN"/>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5173"/>
      </w:tabs>
      <w:jc w:val="left"/>
      <w:rPr>
        <w:rFonts w:hint="eastAsia" w:eastAsia="等线"/>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FFFFFF" w:sz="6" w:space="1"/>
      </w:pBdr>
      <w:jc w:val="both"/>
    </w:pPr>
  </w:p>
  <w:p>
    <w:pPr>
      <w:pStyle w:val="9"/>
      <w:pBdr>
        <w:bottom w:val="single" w:color="FFFFFF" w:sz="6"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6"/>
      <w:numFmt w:val="decimal"/>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069EA"/>
    <w:rsid w:val="000325E4"/>
    <w:rsid w:val="0033249A"/>
    <w:rsid w:val="00365CD8"/>
    <w:rsid w:val="003D79B4"/>
    <w:rsid w:val="0042394C"/>
    <w:rsid w:val="005D6D7D"/>
    <w:rsid w:val="00695966"/>
    <w:rsid w:val="006E6618"/>
    <w:rsid w:val="008069EA"/>
    <w:rsid w:val="008F43B6"/>
    <w:rsid w:val="00AE4A97"/>
    <w:rsid w:val="00B77C84"/>
    <w:rsid w:val="00BA1BFB"/>
    <w:rsid w:val="00D354EC"/>
    <w:rsid w:val="00EC3715"/>
    <w:rsid w:val="00F4586F"/>
    <w:rsid w:val="00F53E6B"/>
    <w:rsid w:val="017E2F6C"/>
    <w:rsid w:val="023857C0"/>
    <w:rsid w:val="026C52C5"/>
    <w:rsid w:val="03430E74"/>
    <w:rsid w:val="0547753B"/>
    <w:rsid w:val="05716B29"/>
    <w:rsid w:val="08AA67C6"/>
    <w:rsid w:val="09AA3148"/>
    <w:rsid w:val="0A267911"/>
    <w:rsid w:val="0AEF1E73"/>
    <w:rsid w:val="0B8C1CDA"/>
    <w:rsid w:val="0E277E6E"/>
    <w:rsid w:val="108A3AAA"/>
    <w:rsid w:val="111B418B"/>
    <w:rsid w:val="11DA4DDC"/>
    <w:rsid w:val="12307CB7"/>
    <w:rsid w:val="153E6957"/>
    <w:rsid w:val="154442B1"/>
    <w:rsid w:val="18AC0949"/>
    <w:rsid w:val="1A20528F"/>
    <w:rsid w:val="1A4F7538"/>
    <w:rsid w:val="1AAD471E"/>
    <w:rsid w:val="1B513E3D"/>
    <w:rsid w:val="1C721CB4"/>
    <w:rsid w:val="1E9B194D"/>
    <w:rsid w:val="1ECD6A32"/>
    <w:rsid w:val="1FD31DC3"/>
    <w:rsid w:val="2102037A"/>
    <w:rsid w:val="23686F14"/>
    <w:rsid w:val="23C53A6D"/>
    <w:rsid w:val="23CD440F"/>
    <w:rsid w:val="24E83C67"/>
    <w:rsid w:val="254518FE"/>
    <w:rsid w:val="26964EFA"/>
    <w:rsid w:val="28DC6898"/>
    <w:rsid w:val="29796396"/>
    <w:rsid w:val="31E977C7"/>
    <w:rsid w:val="35001A55"/>
    <w:rsid w:val="35333AA8"/>
    <w:rsid w:val="361419DF"/>
    <w:rsid w:val="36441D02"/>
    <w:rsid w:val="36485410"/>
    <w:rsid w:val="390057C2"/>
    <w:rsid w:val="3905309B"/>
    <w:rsid w:val="3954244E"/>
    <w:rsid w:val="3A8E2508"/>
    <w:rsid w:val="3C5F5FC2"/>
    <w:rsid w:val="3C6C11E4"/>
    <w:rsid w:val="3D7D00F6"/>
    <w:rsid w:val="441D7353"/>
    <w:rsid w:val="461237F0"/>
    <w:rsid w:val="47230B82"/>
    <w:rsid w:val="48287CD5"/>
    <w:rsid w:val="488F26BF"/>
    <w:rsid w:val="49501FE5"/>
    <w:rsid w:val="4A722025"/>
    <w:rsid w:val="4ADA535A"/>
    <w:rsid w:val="4C077AAE"/>
    <w:rsid w:val="4C3E551D"/>
    <w:rsid w:val="4DAC26C1"/>
    <w:rsid w:val="4DFE4C02"/>
    <w:rsid w:val="4E9B60E7"/>
    <w:rsid w:val="4F5B4ADC"/>
    <w:rsid w:val="4FD01DDD"/>
    <w:rsid w:val="503D5D85"/>
    <w:rsid w:val="50C67DD8"/>
    <w:rsid w:val="51F83F26"/>
    <w:rsid w:val="526A4B25"/>
    <w:rsid w:val="5513076B"/>
    <w:rsid w:val="55166E3E"/>
    <w:rsid w:val="56E82FDE"/>
    <w:rsid w:val="572A72D7"/>
    <w:rsid w:val="57553F59"/>
    <w:rsid w:val="599E3E1E"/>
    <w:rsid w:val="5A4E278C"/>
    <w:rsid w:val="5B5B0B00"/>
    <w:rsid w:val="5CEE1E62"/>
    <w:rsid w:val="5DAC78BD"/>
    <w:rsid w:val="5E9F6551"/>
    <w:rsid w:val="61113078"/>
    <w:rsid w:val="62254B68"/>
    <w:rsid w:val="62C22EDC"/>
    <w:rsid w:val="63E640A7"/>
    <w:rsid w:val="640A4FD6"/>
    <w:rsid w:val="64F330AD"/>
    <w:rsid w:val="651C560E"/>
    <w:rsid w:val="65644665"/>
    <w:rsid w:val="65EB5D10"/>
    <w:rsid w:val="68503DB3"/>
    <w:rsid w:val="6A5B533C"/>
    <w:rsid w:val="6AD97F5A"/>
    <w:rsid w:val="6BF36214"/>
    <w:rsid w:val="6DA70CA6"/>
    <w:rsid w:val="6E3B72E7"/>
    <w:rsid w:val="70B67C95"/>
    <w:rsid w:val="72CA33B2"/>
    <w:rsid w:val="731237A2"/>
    <w:rsid w:val="73C079A8"/>
    <w:rsid w:val="74CE06C7"/>
    <w:rsid w:val="76697414"/>
    <w:rsid w:val="76894B22"/>
    <w:rsid w:val="76AA6944"/>
    <w:rsid w:val="77F4534C"/>
    <w:rsid w:val="79DF11DA"/>
    <w:rsid w:val="7A9C7F74"/>
    <w:rsid w:val="7B567A6A"/>
    <w:rsid w:val="7B72689D"/>
    <w:rsid w:val="7C1C66EC"/>
    <w:rsid w:val="7C983DB5"/>
    <w:rsid w:val="7D9A31EC"/>
    <w:rsid w:val="7DF65A34"/>
    <w:rsid w:val="7E4533A6"/>
    <w:rsid w:val="7F8C406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eastAsia="宋体"/>
      <w:b/>
      <w:bCs/>
      <w:kern w:val="32"/>
      <w:sz w:val="32"/>
      <w:szCs w:val="32"/>
    </w:rPr>
  </w:style>
  <w:style w:type="character" w:default="1" w:styleId="16">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toc 5"/>
    <w:basedOn w:val="1"/>
    <w:next w:val="1"/>
    <w:unhideWhenUsed/>
    <w:qFormat/>
    <w:uiPriority w:val="39"/>
    <w:pPr>
      <w:ind w:left="1680" w:leftChars="800"/>
    </w:pPr>
  </w:style>
  <w:style w:type="paragraph" w:styleId="5">
    <w:name w:val="toc 3"/>
    <w:basedOn w:val="1"/>
    <w:next w:val="1"/>
    <w:unhideWhenUsed/>
    <w:qFormat/>
    <w:uiPriority w:val="39"/>
    <w:pPr>
      <w:ind w:left="840" w:leftChars="400"/>
    </w:pPr>
  </w:style>
  <w:style w:type="paragraph" w:styleId="6">
    <w:name w:val="Plain Text"/>
    <w:basedOn w:val="1"/>
    <w:link w:val="27"/>
    <w:qFormat/>
    <w:uiPriority w:val="0"/>
    <w:rPr>
      <w:rFonts w:hint="eastAsia" w:ascii="宋体" w:hAnsi="Courier New" w:cs="Century"/>
      <w:color w:val="000000"/>
      <w:szCs w:val="21"/>
    </w:rPr>
  </w:style>
  <w:style w:type="paragraph" w:styleId="7">
    <w:name w:val="toc 8"/>
    <w:basedOn w:val="1"/>
    <w:next w:val="1"/>
    <w:unhideWhenUsed/>
    <w:qFormat/>
    <w:uiPriority w:val="39"/>
    <w:pPr>
      <w:ind w:left="2940" w:leftChars="1400"/>
    </w:pPr>
  </w:style>
  <w:style w:type="paragraph" w:styleId="8">
    <w:name w:val="footer"/>
    <w:basedOn w:val="1"/>
    <w:link w:val="26"/>
    <w:unhideWhenUsed/>
    <w:qFormat/>
    <w:uiPriority w:val="99"/>
    <w:pPr>
      <w:widowControl w:val="0"/>
      <w:tabs>
        <w:tab w:val="center" w:pos="4153"/>
        <w:tab w:val="right" w:pos="8306"/>
      </w:tabs>
      <w:snapToGrid w:val="0"/>
    </w:pPr>
    <w:rPr>
      <w:rFonts w:ascii="等线" w:hAnsi="等线" w:eastAsia="等线"/>
      <w:kern w:val="2"/>
      <w:sz w:val="18"/>
      <w:szCs w:val="18"/>
    </w:rPr>
  </w:style>
  <w:style w:type="paragraph" w:styleId="9">
    <w:name w:val="header"/>
    <w:basedOn w:val="1"/>
    <w:link w:val="25"/>
    <w:unhideWhenUsed/>
    <w:qFormat/>
    <w:uiPriority w:val="99"/>
    <w:pPr>
      <w:widowControl w:val="0"/>
      <w:pBdr>
        <w:bottom w:val="single" w:color="auto" w:sz="6" w:space="1"/>
      </w:pBdr>
      <w:tabs>
        <w:tab w:val="center" w:pos="4153"/>
        <w:tab w:val="right" w:pos="8306"/>
      </w:tabs>
      <w:snapToGrid w:val="0"/>
      <w:jc w:val="center"/>
    </w:pPr>
    <w:rPr>
      <w:rFonts w:ascii="等线" w:hAnsi="等线" w:eastAsia="等线"/>
      <w:kern w:val="2"/>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style>
  <w:style w:type="paragraph" w:styleId="12">
    <w:name w:val="toc 6"/>
    <w:basedOn w:val="1"/>
    <w:next w:val="1"/>
    <w:unhideWhenUsed/>
    <w:qFormat/>
    <w:uiPriority w:val="39"/>
    <w:pPr>
      <w:ind w:left="2100" w:leftChars="1000"/>
    </w:pPr>
  </w:style>
  <w:style w:type="paragraph" w:styleId="13">
    <w:name w:val="toc 2"/>
    <w:basedOn w:val="1"/>
    <w:next w:val="1"/>
    <w:unhideWhenUsed/>
    <w:qFormat/>
    <w:uiPriority w:val="39"/>
    <w:pPr>
      <w:ind w:left="420" w:leftChars="200"/>
    </w:pPr>
  </w:style>
  <w:style w:type="paragraph" w:styleId="14">
    <w:name w:val="toc 9"/>
    <w:basedOn w:val="1"/>
    <w:next w:val="1"/>
    <w:unhideWhenUsed/>
    <w:qFormat/>
    <w:uiPriority w:val="39"/>
    <w:pPr>
      <w:ind w:left="3360" w:leftChars="1600"/>
    </w:pPr>
  </w:style>
  <w:style w:type="paragraph" w:styleId="15">
    <w:name w:val="Title"/>
    <w:basedOn w:val="1"/>
    <w:next w:val="1"/>
    <w:link w:val="31"/>
    <w:qFormat/>
    <w:uiPriority w:val="10"/>
    <w:pPr>
      <w:spacing w:line="360" w:lineRule="auto"/>
      <w:outlineLvl w:val="1"/>
    </w:pPr>
    <w:rPr>
      <w:rFonts w:ascii="仿宋_GB2312" w:hAnsi="宋体" w:eastAsia="仿宋_GB2312"/>
      <w:b/>
    </w:rPr>
  </w:style>
  <w:style w:type="character" w:styleId="17">
    <w:name w:val="page number"/>
    <w:basedOn w:val="16"/>
    <w:unhideWhenUsed/>
    <w:qFormat/>
    <w:uiPriority w:val="0"/>
  </w:style>
  <w:style w:type="character" w:styleId="18">
    <w:name w:val="FollowedHyperlink"/>
    <w:basedOn w:val="16"/>
    <w:unhideWhenUsed/>
    <w:qFormat/>
    <w:uiPriority w:val="0"/>
    <w:rPr>
      <w:color w:val="296FBE"/>
      <w:u w:val="none"/>
    </w:rPr>
  </w:style>
  <w:style w:type="character" w:styleId="19">
    <w:name w:val="HTML Definition"/>
    <w:basedOn w:val="16"/>
    <w:unhideWhenUsed/>
    <w:qFormat/>
    <w:uiPriority w:val="0"/>
  </w:style>
  <w:style w:type="character" w:styleId="20">
    <w:name w:val="HTML Variable"/>
    <w:basedOn w:val="16"/>
    <w:unhideWhenUsed/>
    <w:qFormat/>
    <w:uiPriority w:val="0"/>
  </w:style>
  <w:style w:type="character" w:styleId="21">
    <w:name w:val="Hyperlink"/>
    <w:basedOn w:val="16"/>
    <w:unhideWhenUsed/>
    <w:qFormat/>
    <w:uiPriority w:val="0"/>
    <w:rPr>
      <w:color w:val="296FBE"/>
      <w:u w:val="none"/>
    </w:rPr>
  </w:style>
  <w:style w:type="character" w:styleId="22">
    <w:name w:val="HTML Code"/>
    <w:basedOn w:val="16"/>
    <w:unhideWhenUsed/>
    <w:qFormat/>
    <w:uiPriority w:val="0"/>
    <w:rPr>
      <w:rFonts w:ascii="微软雅黑" w:hAnsi="微软雅黑" w:eastAsia="微软雅黑" w:cs="微软雅黑"/>
      <w:sz w:val="20"/>
    </w:rPr>
  </w:style>
  <w:style w:type="character" w:styleId="23">
    <w:name w:val="HTML Cite"/>
    <w:basedOn w:val="16"/>
    <w:unhideWhenUsed/>
    <w:qFormat/>
    <w:uiPriority w:val="0"/>
  </w:style>
  <w:style w:type="character" w:customStyle="1" w:styleId="25">
    <w:name w:val="页眉 字符"/>
    <w:basedOn w:val="16"/>
    <w:link w:val="9"/>
    <w:qFormat/>
    <w:uiPriority w:val="99"/>
    <w:rPr>
      <w:sz w:val="18"/>
      <w:szCs w:val="18"/>
    </w:rPr>
  </w:style>
  <w:style w:type="character" w:customStyle="1" w:styleId="26">
    <w:name w:val="页脚 字符"/>
    <w:basedOn w:val="16"/>
    <w:link w:val="8"/>
    <w:qFormat/>
    <w:uiPriority w:val="99"/>
    <w:rPr>
      <w:sz w:val="18"/>
      <w:szCs w:val="18"/>
    </w:rPr>
  </w:style>
  <w:style w:type="character" w:customStyle="1" w:styleId="27">
    <w:name w:val="纯文本 字符"/>
    <w:basedOn w:val="16"/>
    <w:link w:val="6"/>
    <w:qFormat/>
    <w:uiPriority w:val="0"/>
    <w:rPr>
      <w:rFonts w:ascii="宋体" w:hAnsi="Courier New" w:eastAsia="宋体" w:cs="Century"/>
      <w:color w:val="000000"/>
      <w:kern w:val="0"/>
      <w:sz w:val="24"/>
      <w:szCs w:val="21"/>
    </w:rPr>
  </w:style>
  <w:style w:type="paragraph" w:customStyle="1" w:styleId="28">
    <w:name w:val="List Paragraph"/>
    <w:basedOn w:val="1"/>
    <w:qFormat/>
    <w:uiPriority w:val="0"/>
    <w:pPr>
      <w:ind w:firstLine="420" w:firstLineChars="200"/>
    </w:pPr>
  </w:style>
  <w:style w:type="paragraph" w:customStyle="1" w:styleId="29">
    <w:name w:val="样式1"/>
    <w:basedOn w:val="15"/>
    <w:link w:val="30"/>
    <w:qFormat/>
    <w:uiPriority w:val="0"/>
  </w:style>
  <w:style w:type="character" w:customStyle="1" w:styleId="30">
    <w:name w:val="样式1 Char"/>
    <w:basedOn w:val="31"/>
    <w:link w:val="29"/>
    <w:qFormat/>
    <w:uiPriority w:val="0"/>
  </w:style>
  <w:style w:type="character" w:customStyle="1" w:styleId="31">
    <w:name w:val="标题 Char"/>
    <w:link w:val="15"/>
    <w:qFormat/>
    <w:uiPriority w:val="10"/>
    <w:rPr>
      <w:rFonts w:ascii="仿宋_GB2312" w:hAnsi="宋体" w:eastAsia="仿宋_GB2312"/>
      <w:b/>
    </w:rPr>
  </w:style>
  <w:style w:type="character" w:customStyle="1" w:styleId="32">
    <w:name w:val="xdrichtextbox"/>
    <w:basedOn w:val="16"/>
    <w:qFormat/>
    <w:uiPriority w:val="0"/>
    <w:rPr>
      <w:color w:val="auto"/>
      <w:sz w:val="18"/>
      <w:szCs w:val="18"/>
      <w:u w:val="none"/>
      <w:bdr w:val="single" w:color="DCDCDC" w:sz="8" w:space="0"/>
      <w:shd w:val="clear" w:fill="auto"/>
    </w:rPr>
  </w:style>
  <w:style w:type="character" w:customStyle="1" w:styleId="33">
    <w:name w:val="button"/>
    <w:basedOn w:val="16"/>
    <w:qFormat/>
    <w:uiPriority w:val="0"/>
  </w:style>
  <w:style w:type="character" w:customStyle="1" w:styleId="34">
    <w:name w:val="cdropright"/>
    <w:basedOn w:val="16"/>
    <w:qFormat/>
    <w:uiPriority w:val="0"/>
  </w:style>
  <w:style w:type="character" w:customStyle="1" w:styleId="35">
    <w:name w:val="cdropleft"/>
    <w:basedOn w:val="16"/>
    <w:qFormat/>
    <w:uiPriority w:val="0"/>
  </w:style>
  <w:style w:type="character" w:customStyle="1" w:styleId="36">
    <w:name w:val="pagechatarealistclose_box"/>
    <w:basedOn w:val="16"/>
    <w:qFormat/>
    <w:uiPriority w:val="0"/>
  </w:style>
  <w:style w:type="character" w:customStyle="1" w:styleId="37">
    <w:name w:val="pagechatarealistclose_box1"/>
    <w:basedOn w:val="16"/>
    <w:qFormat/>
    <w:uiPriority w:val="0"/>
  </w:style>
  <w:style w:type="character" w:customStyle="1" w:styleId="38">
    <w:name w:val="ico16"/>
    <w:basedOn w:val="16"/>
    <w:qFormat/>
    <w:uiPriority w:val="0"/>
  </w:style>
  <w:style w:type="character" w:customStyle="1" w:styleId="39">
    <w:name w:val="ico161"/>
    <w:basedOn w:val="16"/>
    <w:qFormat/>
    <w:uiPriority w:val="0"/>
  </w:style>
  <w:style w:type="character" w:customStyle="1" w:styleId="40">
    <w:name w:val="edit_class"/>
    <w:basedOn w:val="16"/>
    <w:qFormat/>
    <w:uiPriority w:val="0"/>
  </w:style>
  <w:style w:type="character" w:customStyle="1" w:styleId="41">
    <w:name w:val="browse_class&gt;span"/>
    <w:basedOn w:val="16"/>
    <w:qFormat/>
    <w:uiPriority w:val="0"/>
    <w:rPr>
      <w:shd w:val="clear" w:fill="F8F8F8"/>
    </w:rPr>
  </w:style>
  <w:style w:type="character" w:customStyle="1" w:styleId="42">
    <w:name w:val="token-input-delete-token"/>
    <w:basedOn w:val="16"/>
    <w:qFormat/>
    <w:uiPriority w:val="0"/>
    <w:rPr>
      <w:color w:val="FFFFFF"/>
    </w:rPr>
  </w:style>
  <w:style w:type="character" w:customStyle="1" w:styleId="43">
    <w:name w:val="active12"/>
    <w:basedOn w:val="16"/>
    <w:qFormat/>
    <w:uiPriority w:val="0"/>
    <w:rPr>
      <w:color w:val="00FF00"/>
      <w:shd w:val="clear" w:fill="111111"/>
    </w:rPr>
  </w:style>
  <w:style w:type="character" w:customStyle="1" w:styleId="44">
    <w:name w:val="drapbtn"/>
    <w:basedOn w:val="16"/>
    <w:qFormat/>
    <w:uiPriority w:val="0"/>
  </w:style>
  <w:style w:type="character" w:customStyle="1" w:styleId="45">
    <w:name w:val="design_class"/>
    <w:basedOn w:val="16"/>
    <w:qFormat/>
    <w:uiPriority w:val="0"/>
  </w:style>
  <w:style w:type="character" w:customStyle="1" w:styleId="46">
    <w:name w:val="w32"/>
    <w:basedOn w:val="16"/>
    <w:qFormat/>
    <w:uiPriority w:val="0"/>
  </w:style>
  <w:style w:type="character" w:customStyle="1" w:styleId="47">
    <w:name w:val="tmpztreemove_arrow"/>
    <w:basedOn w:val="16"/>
    <w:qFormat/>
    <w:uiPriority w:val="0"/>
  </w:style>
  <w:style w:type="character" w:customStyle="1" w:styleId="48">
    <w:name w:val="biggerthanmax"/>
    <w:basedOn w:val="16"/>
    <w:qFormat/>
    <w:uiPriority w:val="0"/>
    <w:rPr>
      <w:shd w:val="clear" w:fill="FFFF00"/>
    </w:rPr>
  </w:style>
  <w:style w:type="character" w:customStyle="1" w:styleId="49">
    <w:name w:val="hilite6"/>
    <w:basedOn w:val="16"/>
    <w:qFormat/>
    <w:uiPriority w:val="0"/>
    <w:rPr>
      <w:color w:val="FFFFFF"/>
      <w:shd w:val="clear" w:fill="666677"/>
    </w:rPr>
  </w:style>
  <w:style w:type="character" w:customStyle="1" w:styleId="50">
    <w:name w:val="cy"/>
    <w:basedOn w:val="16"/>
    <w:qFormat/>
    <w:uiPriority w:val="0"/>
  </w:style>
  <w:style w:type="character" w:customStyle="1" w:styleId="51">
    <w:name w:val="browse_class&gt;input"/>
    <w:basedOn w:val="16"/>
    <w:qFormat/>
    <w:uiPriority w:val="0"/>
    <w:rPr>
      <w:shd w:val="clear" w:fill="F8F8F8"/>
    </w:rPr>
  </w:style>
  <w:style w:type="character" w:customStyle="1" w:styleId="52">
    <w:name w:val="browse_class&gt;label"/>
    <w:basedOn w:val="16"/>
    <w:qFormat/>
    <w:uiPriority w:val="0"/>
    <w:rPr>
      <w:shd w:val="clear" w:fill="F8F8F8"/>
    </w:rPr>
  </w:style>
  <w:style w:type="character" w:customStyle="1" w:styleId="53">
    <w:name w:val="font01"/>
    <w:basedOn w:val="16"/>
    <w:qFormat/>
    <w:uiPriority w:val="0"/>
    <w:rPr>
      <w:rFonts w:hint="eastAsia" w:ascii="宋体" w:hAnsi="宋体" w:eastAsia="宋体" w:cs="宋体"/>
      <w:color w:val="000000"/>
      <w:sz w:val="24"/>
      <w:szCs w:val="24"/>
      <w:u w:val="none"/>
    </w:rPr>
  </w:style>
  <w:style w:type="character" w:customStyle="1" w:styleId="54">
    <w:name w:val="font2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textRotate="1"/>
    <customShpInfo spid="_x0000_s4103" textRotate="1"/>
    <customShpInfo spid="_x0000_s4101" textRotate="1"/>
    <customShpInfo spid="_x0000_s4106" textRotate="1"/>
    <customShpInfo spid="_x0000_s4104" textRotate="1"/>
    <customShpInfo spid="_x0000_s4105"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778</Words>
  <Characters>4436</Characters>
  <Lines>36</Lines>
  <Paragraphs>10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2016-05-07T00:48:00Z</dcterms:created>
  <dc:creator>ZHIHAO SUN</dc:creator>
  <cp:lastModifiedBy>王成文</cp:lastModifiedBy>
  <dcterms:modified xsi:type="dcterms:W3CDTF">2017-11-24T03:44:24Z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