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422" w:firstLineChars="200"/>
        <w:rPr>
          <w:rFonts w:hint="default" w:asciiTheme="minorEastAsia" w:hAnsiTheme="minorEastAsia" w:eastAsiaTheme="minorEastAsia"/>
          <w:b/>
          <w:sz w:val="21"/>
          <w:szCs w:val="21"/>
        </w:rPr>
      </w:pPr>
      <w:r>
        <w:rPr>
          <w:rFonts w:asciiTheme="minorEastAsia" w:hAnsiTheme="minorEastAsia" w:eastAsiaTheme="minorEastAsia"/>
          <w:b/>
          <w:sz w:val="21"/>
          <w:szCs w:val="21"/>
        </w:rPr>
        <w:t>附件 1</w:t>
      </w:r>
    </w:p>
    <w:p>
      <w:pPr>
        <w:widowControl/>
        <w:rPr>
          <w:rFonts w:hint="default" w:asciiTheme="minorEastAsia" w:hAnsiTheme="minorEastAsia" w:eastAsiaTheme="minorEastAsia"/>
          <w:sz w:val="21"/>
          <w:szCs w:val="21"/>
        </w:rPr>
      </w:pPr>
    </w:p>
    <w:p>
      <w:pPr>
        <w:jc w:val="center"/>
        <w:rPr>
          <w:rFonts w:hint="default" w:asciiTheme="minorEastAsia" w:hAnsiTheme="minorEastAsia" w:eastAsiaTheme="minorEastAsia"/>
          <w:b/>
          <w:sz w:val="24"/>
          <w:szCs w:val="24"/>
        </w:rPr>
      </w:pPr>
      <w:r>
        <w:rPr>
          <w:rFonts w:asciiTheme="minorEastAsia" w:hAnsiTheme="minorEastAsia" w:eastAsiaTheme="minorEastAsia"/>
          <w:b/>
          <w:sz w:val="24"/>
          <w:szCs w:val="24"/>
        </w:rPr>
        <w:t>采购物资包件清单</w:t>
      </w:r>
    </w:p>
    <w:p>
      <w:pPr>
        <w:jc w:val="center"/>
        <w:rPr>
          <w:rFonts w:hint="default" w:asciiTheme="minorEastAsia" w:hAnsiTheme="minorEastAsia" w:eastAsiaTheme="minorEastAsia"/>
          <w:sz w:val="21"/>
          <w:szCs w:val="21"/>
        </w:rPr>
      </w:pPr>
      <w:r>
        <w:rPr>
          <w:rFonts w:asciiTheme="minorEastAsia" w:hAnsiTheme="minorEastAsia" w:eastAsiaTheme="minorEastAsia"/>
          <w:b/>
          <w:sz w:val="24"/>
          <w:szCs w:val="24"/>
        </w:rPr>
        <w:t>（以下数据仅作为初步依据，具体物资规格、数量以施工图为准。）</w:t>
      </w:r>
    </w:p>
    <w:p>
      <w:pPr>
        <w:widowControl/>
        <w:rPr>
          <w:rFonts w:hint="default" w:asciiTheme="minorEastAsia" w:hAnsiTheme="minorEastAsia" w:eastAsiaTheme="minorEastAsia"/>
          <w:sz w:val="21"/>
          <w:szCs w:val="21"/>
        </w:rPr>
      </w:pPr>
    </w:p>
    <w:tbl>
      <w:tblPr>
        <w:tblStyle w:val="12"/>
        <w:tblW w:w="13840" w:type="dxa"/>
        <w:tblInd w:w="0"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15" w:type="dxa"/>
          <w:left w:w="15" w:type="dxa"/>
          <w:bottom w:w="15" w:type="dxa"/>
          <w:right w:w="15" w:type="dxa"/>
        </w:tblCellMar>
      </w:tblPr>
      <w:tblGrid>
        <w:gridCol w:w="3049"/>
        <w:gridCol w:w="2378"/>
        <w:gridCol w:w="1558"/>
        <w:gridCol w:w="1556"/>
        <w:gridCol w:w="1990"/>
        <w:gridCol w:w="1753"/>
        <w:gridCol w:w="1556"/>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15" w:type="dxa"/>
            <w:left w:w="15" w:type="dxa"/>
            <w:bottom w:w="15" w:type="dxa"/>
            <w:right w:w="15" w:type="dxa"/>
          </w:tblCellMar>
        </w:tblPrEx>
        <w:trPr>
          <w:trHeight w:val="874" w:hRule="atLeast"/>
        </w:trPr>
        <w:tc>
          <w:tcPr>
            <w:tcW w:w="3049" w:type="dxa"/>
            <w:tcBorders>
              <w:bottom w:val="single" w:color="000000" w:sz="4" w:space="0"/>
            </w:tcBorders>
            <w:shd w:val="clear" w:color="auto" w:fill="FFFFFF"/>
            <w:vAlign w:val="center"/>
          </w:tcPr>
          <w:p>
            <w:pPr>
              <w:widowControl/>
              <w:jc w:val="center"/>
              <w:textAlignment w:val="center"/>
              <w:rPr>
                <w:rFonts w:hint="default" w:hAnsi="宋体" w:cs="宋体"/>
                <w:color w:val="000000"/>
                <w:sz w:val="18"/>
                <w:szCs w:val="18"/>
              </w:rPr>
            </w:pPr>
            <w:r>
              <w:rPr>
                <w:rFonts w:hAnsi="宋体" w:cs="宋体"/>
                <w:color w:val="000000"/>
                <w:sz w:val="18"/>
                <w:szCs w:val="18"/>
                <w:lang w:val="en-US"/>
              </w:rPr>
              <w:t>工程名称</w:t>
            </w:r>
          </w:p>
        </w:tc>
        <w:tc>
          <w:tcPr>
            <w:tcW w:w="2378" w:type="dxa"/>
            <w:tcBorders>
              <w:bottom w:val="single" w:color="000000" w:sz="4" w:space="0"/>
            </w:tcBorders>
            <w:shd w:val="clear" w:color="auto" w:fill="FFFFFF"/>
            <w:vAlign w:val="center"/>
          </w:tcPr>
          <w:p>
            <w:pPr>
              <w:widowControl/>
              <w:jc w:val="center"/>
              <w:textAlignment w:val="center"/>
              <w:rPr>
                <w:rFonts w:hint="default" w:hAnsi="宋体" w:cs="宋体"/>
                <w:color w:val="000000"/>
                <w:sz w:val="18"/>
                <w:szCs w:val="18"/>
              </w:rPr>
            </w:pPr>
            <w:r>
              <w:rPr>
                <w:rFonts w:hAnsi="宋体" w:cs="宋体"/>
                <w:color w:val="000000"/>
                <w:sz w:val="18"/>
                <w:szCs w:val="18"/>
                <w:lang w:val="en-US"/>
              </w:rPr>
              <w:t>材料名称</w:t>
            </w:r>
          </w:p>
        </w:tc>
        <w:tc>
          <w:tcPr>
            <w:tcW w:w="1558" w:type="dxa"/>
            <w:tcBorders>
              <w:bottom w:val="single" w:color="000000" w:sz="4" w:space="0"/>
            </w:tcBorders>
            <w:shd w:val="clear" w:color="auto" w:fill="FFFFFF"/>
            <w:vAlign w:val="center"/>
          </w:tcPr>
          <w:p>
            <w:pPr>
              <w:widowControl/>
              <w:jc w:val="center"/>
              <w:textAlignment w:val="center"/>
              <w:rPr>
                <w:rFonts w:hint="default" w:hAnsi="宋体" w:cs="宋体"/>
                <w:color w:val="000000"/>
                <w:sz w:val="18"/>
                <w:szCs w:val="18"/>
              </w:rPr>
            </w:pPr>
            <w:r>
              <w:rPr>
                <w:rFonts w:hAnsi="宋体" w:cs="宋体"/>
                <w:color w:val="000000"/>
                <w:sz w:val="18"/>
                <w:szCs w:val="18"/>
                <w:lang w:val="en-US"/>
              </w:rPr>
              <w:t>计量单位</w:t>
            </w:r>
          </w:p>
        </w:tc>
        <w:tc>
          <w:tcPr>
            <w:tcW w:w="1556" w:type="dxa"/>
            <w:tcBorders>
              <w:bottom w:val="single" w:color="000000" w:sz="4" w:space="0"/>
            </w:tcBorders>
            <w:shd w:val="clear" w:color="auto" w:fill="FFFFFF"/>
            <w:vAlign w:val="center"/>
          </w:tcPr>
          <w:p>
            <w:pPr>
              <w:widowControl/>
              <w:jc w:val="center"/>
              <w:textAlignment w:val="center"/>
              <w:rPr>
                <w:rFonts w:hint="default" w:hAnsi="宋体" w:cs="宋体"/>
                <w:color w:val="000000"/>
                <w:sz w:val="18"/>
                <w:szCs w:val="18"/>
              </w:rPr>
            </w:pPr>
            <w:r>
              <w:rPr>
                <w:rFonts w:hAnsi="宋体" w:cs="宋体"/>
                <w:color w:val="000000"/>
                <w:sz w:val="18"/>
                <w:szCs w:val="18"/>
                <w:lang w:val="en-US"/>
              </w:rPr>
              <w:t>数量</w:t>
            </w:r>
          </w:p>
        </w:tc>
        <w:tc>
          <w:tcPr>
            <w:tcW w:w="1990" w:type="dxa"/>
            <w:tcBorders>
              <w:bottom w:val="single" w:color="000000" w:sz="4" w:space="0"/>
            </w:tcBorders>
            <w:shd w:val="clear" w:color="auto" w:fill="FFFFFF"/>
            <w:vAlign w:val="center"/>
          </w:tcPr>
          <w:p>
            <w:pPr>
              <w:widowControl/>
              <w:jc w:val="center"/>
              <w:textAlignment w:val="center"/>
              <w:rPr>
                <w:rFonts w:hint="default" w:hAnsi="宋体" w:cs="宋体"/>
                <w:color w:val="000000"/>
                <w:sz w:val="18"/>
                <w:szCs w:val="18"/>
              </w:rPr>
            </w:pPr>
            <w:r>
              <w:rPr>
                <w:rFonts w:hAnsi="宋体" w:cs="宋体"/>
                <w:color w:val="000000"/>
                <w:sz w:val="18"/>
                <w:szCs w:val="18"/>
                <w:lang w:val="en-US"/>
              </w:rPr>
              <w:t>包件号</w:t>
            </w:r>
          </w:p>
        </w:tc>
        <w:tc>
          <w:tcPr>
            <w:tcW w:w="1753" w:type="dxa"/>
            <w:tcBorders>
              <w:bottom w:val="single" w:color="000000" w:sz="4" w:space="0"/>
            </w:tcBorders>
            <w:shd w:val="clear" w:color="auto" w:fill="FFFFFF"/>
            <w:vAlign w:val="center"/>
          </w:tcPr>
          <w:p>
            <w:pPr>
              <w:widowControl/>
              <w:jc w:val="center"/>
              <w:textAlignment w:val="center"/>
              <w:rPr>
                <w:rFonts w:hint="default" w:hAnsi="宋体" w:cs="宋体"/>
                <w:color w:val="000000"/>
                <w:sz w:val="18"/>
                <w:szCs w:val="18"/>
              </w:rPr>
            </w:pPr>
            <w:r>
              <w:rPr>
                <w:rFonts w:hAnsi="宋体" w:cs="宋体"/>
                <w:color w:val="000000"/>
                <w:sz w:val="18"/>
                <w:szCs w:val="18"/>
                <w:lang w:val="en-US"/>
              </w:rPr>
              <w:t>包件售价（元）</w:t>
            </w:r>
          </w:p>
        </w:tc>
        <w:tc>
          <w:tcPr>
            <w:tcW w:w="1556" w:type="dxa"/>
            <w:tcBorders>
              <w:bottom w:val="single" w:color="000000" w:sz="4" w:space="0"/>
            </w:tcBorders>
            <w:shd w:val="clear" w:color="auto" w:fill="FFFFFF"/>
            <w:vAlign w:val="center"/>
          </w:tcPr>
          <w:p>
            <w:pPr>
              <w:widowControl/>
              <w:jc w:val="center"/>
              <w:textAlignment w:val="center"/>
              <w:rPr>
                <w:rFonts w:hint="default" w:hAnsi="宋体" w:cs="宋体"/>
                <w:color w:val="000000"/>
                <w:sz w:val="18"/>
                <w:szCs w:val="18"/>
              </w:rPr>
            </w:pPr>
            <w:r>
              <w:rPr>
                <w:rFonts w:hAnsi="宋体" w:cs="宋体"/>
                <w:color w:val="000000"/>
                <w:sz w:val="18"/>
                <w:szCs w:val="18"/>
                <w:lang w:val="en-US"/>
              </w:rPr>
              <w:t>报价保证金(元)</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15" w:type="dxa"/>
            <w:left w:w="15" w:type="dxa"/>
            <w:bottom w:w="15" w:type="dxa"/>
            <w:right w:w="15" w:type="dxa"/>
          </w:tblCellMar>
        </w:tblPrEx>
        <w:trPr>
          <w:trHeight w:val="1659" w:hRule="atLeast"/>
        </w:trPr>
        <w:tc>
          <w:tcPr>
            <w:tcW w:w="3049" w:type="dxa"/>
            <w:vMerge w:val="restart"/>
            <w:tcBorders>
              <w:top w:val="single" w:color="000000" w:sz="4" w:space="0"/>
              <w:bottom w:val="single" w:color="000000" w:sz="4" w:space="0"/>
            </w:tcBorders>
            <w:shd w:val="clear" w:color="auto" w:fill="FFFFFF"/>
            <w:vAlign w:val="center"/>
          </w:tcPr>
          <w:p>
            <w:pPr>
              <w:widowControl/>
              <w:jc w:val="center"/>
              <w:textAlignment w:val="center"/>
              <w:rPr>
                <w:rFonts w:hAnsi="宋体" w:cs="宋体"/>
                <w:color w:val="000000"/>
                <w:sz w:val="18"/>
                <w:szCs w:val="18"/>
                <w:highlight w:val="none"/>
                <w:lang w:val="en-US"/>
              </w:rPr>
            </w:pPr>
            <w:r>
              <w:rPr>
                <w:rFonts w:hAnsi="宋体" w:cs="宋体"/>
                <w:color w:val="000000"/>
                <w:sz w:val="18"/>
                <w:szCs w:val="18"/>
                <w:highlight w:val="none"/>
                <w:lang w:val="en-US"/>
              </w:rPr>
              <w:t>西安地铁D4AZZXSG-8标工程</w:t>
            </w:r>
          </w:p>
          <w:p>
            <w:pPr>
              <w:jc w:val="center"/>
              <w:rPr>
                <w:rFonts w:hint="default" w:hAnsi="宋体" w:cs="宋体"/>
                <w:color w:val="000000"/>
                <w:sz w:val="18"/>
                <w:szCs w:val="18"/>
                <w:highlight w:val="yellow"/>
                <w:lang w:val="en-US"/>
              </w:rPr>
            </w:pPr>
          </w:p>
        </w:tc>
        <w:tc>
          <w:tcPr>
            <w:tcW w:w="2378" w:type="dxa"/>
            <w:tcBorders>
              <w:top w:val="single" w:color="000000" w:sz="4" w:space="0"/>
              <w:bottom w:val="single" w:color="000000" w:sz="4" w:space="0"/>
            </w:tcBorders>
            <w:shd w:val="clear" w:color="auto" w:fill="FFFFFF"/>
            <w:vAlign w:val="center"/>
          </w:tcPr>
          <w:p>
            <w:pPr>
              <w:widowControl/>
              <w:jc w:val="center"/>
              <w:textAlignment w:val="center"/>
              <w:rPr>
                <w:rFonts w:hint="eastAsia" w:hAnsi="宋体" w:eastAsia="宋体" w:cs="宋体"/>
                <w:color w:val="000000"/>
                <w:sz w:val="18"/>
                <w:szCs w:val="18"/>
                <w:highlight w:val="none"/>
                <w:lang w:eastAsia="zh-CN"/>
              </w:rPr>
            </w:pPr>
            <w:r>
              <w:rPr>
                <w:rFonts w:hint="eastAsia" w:hAnsi="宋体" w:cs="宋体"/>
                <w:color w:val="000000"/>
                <w:sz w:val="18"/>
                <w:szCs w:val="18"/>
                <w:highlight w:val="none"/>
                <w:lang w:val="en-US" w:eastAsia="zh-CN"/>
              </w:rPr>
              <w:t>矿物电缆</w:t>
            </w:r>
          </w:p>
        </w:tc>
        <w:tc>
          <w:tcPr>
            <w:tcW w:w="1558" w:type="dxa"/>
            <w:tcBorders>
              <w:top w:val="single" w:color="000000" w:sz="4" w:space="0"/>
              <w:bottom w:val="single" w:color="000000" w:sz="4" w:space="0"/>
            </w:tcBorders>
            <w:shd w:val="clear" w:color="auto" w:fill="FFFFFF"/>
            <w:vAlign w:val="center"/>
          </w:tcPr>
          <w:p>
            <w:pPr>
              <w:widowControl/>
              <w:jc w:val="center"/>
              <w:textAlignment w:val="center"/>
              <w:rPr>
                <w:rFonts w:hint="default" w:hAnsi="宋体" w:cs="宋体"/>
                <w:color w:val="000000"/>
                <w:sz w:val="18"/>
                <w:szCs w:val="18"/>
                <w:highlight w:val="none"/>
                <w:lang w:val="en-US"/>
              </w:rPr>
            </w:pPr>
            <w:r>
              <w:rPr>
                <w:rFonts w:hAnsi="宋体" w:cs="宋体"/>
                <w:color w:val="000000"/>
                <w:sz w:val="18"/>
                <w:szCs w:val="18"/>
                <w:highlight w:val="none"/>
                <w:lang w:val="en-US"/>
              </w:rPr>
              <w:t>米</w:t>
            </w:r>
          </w:p>
        </w:tc>
        <w:tc>
          <w:tcPr>
            <w:tcW w:w="1556" w:type="dxa"/>
            <w:tcBorders>
              <w:top w:val="single" w:color="000000" w:sz="4" w:space="0"/>
              <w:bottom w:val="single" w:color="000000" w:sz="4" w:space="0"/>
            </w:tcBorders>
            <w:shd w:val="clear" w:color="auto" w:fill="FFFFFF"/>
            <w:vAlign w:val="center"/>
          </w:tcPr>
          <w:p>
            <w:pPr>
              <w:widowControl/>
              <w:jc w:val="center"/>
              <w:textAlignment w:val="center"/>
              <w:rPr>
                <w:rFonts w:hint="eastAsia" w:hAnsi="宋体" w:eastAsia="宋体" w:cs="宋体"/>
                <w:color w:val="000000"/>
                <w:sz w:val="18"/>
                <w:szCs w:val="18"/>
                <w:highlight w:val="none"/>
                <w:lang w:eastAsia="zh-CN"/>
              </w:rPr>
            </w:pPr>
            <w:r>
              <w:rPr>
                <w:rFonts w:hint="eastAsia" w:hAnsi="宋体" w:cs="宋体"/>
                <w:color w:val="000000"/>
                <w:sz w:val="18"/>
                <w:szCs w:val="18"/>
                <w:highlight w:val="none"/>
                <w:lang w:val="en-US" w:eastAsia="zh-CN"/>
              </w:rPr>
              <w:t>25600</w:t>
            </w:r>
          </w:p>
        </w:tc>
        <w:tc>
          <w:tcPr>
            <w:tcW w:w="1990" w:type="dxa"/>
            <w:tcBorders>
              <w:top w:val="single" w:color="000000" w:sz="4" w:space="0"/>
              <w:bottom w:val="single" w:color="000000" w:sz="4" w:space="0"/>
            </w:tcBorders>
            <w:shd w:val="clear" w:color="auto" w:fill="FFFFFF"/>
            <w:vAlign w:val="center"/>
          </w:tcPr>
          <w:p>
            <w:pPr>
              <w:widowControl/>
              <w:jc w:val="center"/>
              <w:textAlignment w:val="center"/>
              <w:rPr>
                <w:rFonts w:hint="default" w:hAnsi="宋体" w:cs="宋体"/>
                <w:color w:val="000000"/>
                <w:sz w:val="18"/>
                <w:szCs w:val="18"/>
                <w:highlight w:val="none"/>
              </w:rPr>
            </w:pPr>
            <w:r>
              <w:rPr>
                <w:rFonts w:hAnsi="宋体" w:cs="宋体"/>
                <w:color w:val="000000"/>
                <w:sz w:val="18"/>
                <w:szCs w:val="18"/>
                <w:highlight w:val="none"/>
                <w:lang w:val="en-US"/>
              </w:rPr>
              <w:t>CL-01</w:t>
            </w:r>
          </w:p>
        </w:tc>
        <w:tc>
          <w:tcPr>
            <w:tcW w:w="1753" w:type="dxa"/>
            <w:tcBorders>
              <w:top w:val="single" w:color="000000" w:sz="4" w:space="0"/>
              <w:bottom w:val="single" w:color="000000" w:sz="4" w:space="0"/>
            </w:tcBorders>
            <w:shd w:val="clear" w:color="auto" w:fill="FFFFFF"/>
            <w:vAlign w:val="center"/>
          </w:tcPr>
          <w:p>
            <w:pPr>
              <w:widowControl/>
              <w:jc w:val="center"/>
              <w:textAlignment w:val="center"/>
              <w:rPr>
                <w:rFonts w:hint="default" w:hAnsi="宋体" w:cs="宋体"/>
                <w:color w:val="000000"/>
                <w:sz w:val="18"/>
                <w:szCs w:val="18"/>
                <w:highlight w:val="none"/>
              </w:rPr>
            </w:pPr>
            <w:r>
              <w:rPr>
                <w:rFonts w:hAnsi="宋体" w:cs="宋体"/>
                <w:color w:val="000000"/>
                <w:sz w:val="18"/>
                <w:szCs w:val="18"/>
                <w:highlight w:val="none"/>
                <w:lang w:val="en-US"/>
              </w:rPr>
              <w:t>500</w:t>
            </w:r>
          </w:p>
        </w:tc>
        <w:tc>
          <w:tcPr>
            <w:tcW w:w="1556" w:type="dxa"/>
            <w:tcBorders>
              <w:top w:val="single" w:color="000000" w:sz="4" w:space="0"/>
              <w:bottom w:val="single" w:color="000000" w:sz="4" w:space="0"/>
            </w:tcBorders>
            <w:shd w:val="clear" w:color="auto" w:fill="FFFFFF"/>
            <w:vAlign w:val="center"/>
          </w:tcPr>
          <w:p>
            <w:pPr>
              <w:widowControl/>
              <w:jc w:val="center"/>
              <w:textAlignment w:val="center"/>
              <w:rPr>
                <w:rFonts w:hint="default" w:hAnsi="宋体" w:cs="宋体"/>
                <w:color w:val="000000"/>
                <w:sz w:val="18"/>
                <w:szCs w:val="18"/>
                <w:highlight w:val="none"/>
              </w:rPr>
            </w:pPr>
            <w:r>
              <w:rPr>
                <w:rFonts w:hAnsi="宋体" w:cs="宋体"/>
                <w:color w:val="000000"/>
                <w:sz w:val="18"/>
                <w:szCs w:val="18"/>
                <w:highlight w:val="none"/>
                <w:lang w:val="en-US"/>
              </w:rPr>
              <w:t>5000</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15" w:type="dxa"/>
            <w:left w:w="15" w:type="dxa"/>
            <w:bottom w:w="15" w:type="dxa"/>
            <w:right w:w="15" w:type="dxa"/>
          </w:tblCellMar>
        </w:tblPrEx>
        <w:trPr>
          <w:trHeight w:val="1620" w:hRule="atLeast"/>
        </w:trPr>
        <w:tc>
          <w:tcPr>
            <w:tcW w:w="3049" w:type="dxa"/>
            <w:vMerge w:val="continue"/>
            <w:tcBorders>
              <w:top w:val="single" w:color="000000" w:sz="4" w:space="0"/>
            </w:tcBorders>
            <w:shd w:val="clear" w:color="auto" w:fill="FFFFFF"/>
            <w:vAlign w:val="center"/>
          </w:tcPr>
          <w:p>
            <w:pPr>
              <w:jc w:val="center"/>
              <w:rPr>
                <w:rFonts w:hint="default" w:hAnsi="宋体" w:cs="宋体"/>
                <w:color w:val="000000"/>
                <w:sz w:val="18"/>
                <w:szCs w:val="18"/>
                <w:highlight w:val="yellow"/>
              </w:rPr>
            </w:pPr>
          </w:p>
        </w:tc>
        <w:tc>
          <w:tcPr>
            <w:tcW w:w="2378" w:type="dxa"/>
            <w:tcBorders>
              <w:top w:val="single" w:color="000000" w:sz="4" w:space="0"/>
            </w:tcBorders>
            <w:shd w:val="clear" w:color="auto" w:fill="FFFFFF"/>
            <w:vAlign w:val="center"/>
          </w:tcPr>
          <w:p>
            <w:pPr>
              <w:widowControl/>
              <w:jc w:val="center"/>
              <w:textAlignment w:val="center"/>
              <w:rPr>
                <w:rFonts w:hint="eastAsia" w:hAnsi="宋体" w:eastAsia="宋体" w:cs="宋体"/>
                <w:color w:val="000000"/>
                <w:sz w:val="18"/>
                <w:szCs w:val="18"/>
                <w:highlight w:val="none"/>
                <w:lang w:eastAsia="zh-CN"/>
              </w:rPr>
            </w:pPr>
            <w:r>
              <w:rPr>
                <w:rFonts w:hint="eastAsia" w:hAnsi="宋体" w:cs="宋体"/>
                <w:color w:val="000000"/>
                <w:sz w:val="18"/>
                <w:szCs w:val="18"/>
                <w:highlight w:val="none"/>
                <w:lang w:val="en-US" w:eastAsia="zh-CN"/>
              </w:rPr>
              <w:t>配电箱</w:t>
            </w:r>
          </w:p>
        </w:tc>
        <w:tc>
          <w:tcPr>
            <w:tcW w:w="1558" w:type="dxa"/>
            <w:tcBorders>
              <w:top w:val="single" w:color="000000" w:sz="4" w:space="0"/>
            </w:tcBorders>
            <w:shd w:val="clear" w:color="auto" w:fill="FFFFFF"/>
            <w:vAlign w:val="center"/>
          </w:tcPr>
          <w:p>
            <w:pPr>
              <w:widowControl/>
              <w:jc w:val="center"/>
              <w:textAlignment w:val="center"/>
              <w:rPr>
                <w:rFonts w:hint="eastAsia" w:hAnsi="宋体" w:eastAsia="宋体" w:cs="宋体"/>
                <w:color w:val="000000"/>
                <w:sz w:val="18"/>
                <w:szCs w:val="18"/>
                <w:highlight w:val="none"/>
                <w:lang w:val="en-US" w:eastAsia="zh-CN"/>
              </w:rPr>
            </w:pPr>
            <w:r>
              <w:rPr>
                <w:rFonts w:hint="eastAsia" w:hAnsi="宋体" w:cs="宋体"/>
                <w:color w:val="000000"/>
                <w:sz w:val="18"/>
                <w:szCs w:val="18"/>
                <w:highlight w:val="none"/>
                <w:lang w:val="en-US" w:eastAsia="zh-CN"/>
              </w:rPr>
              <w:t>套</w:t>
            </w:r>
          </w:p>
        </w:tc>
        <w:tc>
          <w:tcPr>
            <w:tcW w:w="1556" w:type="dxa"/>
            <w:tcBorders>
              <w:top w:val="single" w:color="000000" w:sz="4" w:space="0"/>
            </w:tcBorders>
            <w:shd w:val="clear" w:color="auto" w:fill="FFFFFF"/>
            <w:vAlign w:val="center"/>
          </w:tcPr>
          <w:p>
            <w:pPr>
              <w:widowControl/>
              <w:jc w:val="center"/>
              <w:textAlignment w:val="center"/>
              <w:rPr>
                <w:rFonts w:hint="eastAsia" w:hAnsi="宋体" w:eastAsia="宋体" w:cs="宋体"/>
                <w:color w:val="000000"/>
                <w:sz w:val="18"/>
                <w:szCs w:val="18"/>
                <w:highlight w:val="none"/>
                <w:lang w:val="en-US" w:eastAsia="zh-CN"/>
              </w:rPr>
            </w:pPr>
            <w:r>
              <w:rPr>
                <w:rFonts w:hint="eastAsia" w:hAnsi="宋体" w:cs="宋体"/>
                <w:color w:val="000000"/>
                <w:sz w:val="18"/>
                <w:szCs w:val="18"/>
                <w:highlight w:val="none"/>
                <w:lang w:val="en-US" w:eastAsia="zh-CN"/>
              </w:rPr>
              <w:t>153</w:t>
            </w:r>
          </w:p>
        </w:tc>
        <w:tc>
          <w:tcPr>
            <w:tcW w:w="1990" w:type="dxa"/>
            <w:tcBorders>
              <w:top w:val="single" w:color="000000" w:sz="4" w:space="0"/>
            </w:tcBorders>
            <w:shd w:val="clear" w:color="auto" w:fill="FFFFFF"/>
            <w:vAlign w:val="center"/>
          </w:tcPr>
          <w:p>
            <w:pPr>
              <w:widowControl/>
              <w:jc w:val="center"/>
              <w:textAlignment w:val="center"/>
              <w:rPr>
                <w:rFonts w:hint="default" w:hAnsi="宋体" w:cs="宋体"/>
                <w:color w:val="000000"/>
                <w:sz w:val="18"/>
                <w:szCs w:val="18"/>
                <w:highlight w:val="none"/>
              </w:rPr>
            </w:pPr>
            <w:r>
              <w:rPr>
                <w:rFonts w:hAnsi="宋体" w:cs="宋体"/>
                <w:color w:val="000000"/>
                <w:sz w:val="18"/>
                <w:szCs w:val="18"/>
                <w:highlight w:val="none"/>
                <w:lang w:val="en-US"/>
              </w:rPr>
              <w:t>CL-02</w:t>
            </w:r>
          </w:p>
        </w:tc>
        <w:tc>
          <w:tcPr>
            <w:tcW w:w="1753" w:type="dxa"/>
            <w:tcBorders>
              <w:top w:val="single" w:color="000000" w:sz="4" w:space="0"/>
            </w:tcBorders>
            <w:shd w:val="clear" w:color="auto" w:fill="FFFFFF"/>
            <w:vAlign w:val="center"/>
          </w:tcPr>
          <w:p>
            <w:pPr>
              <w:widowControl/>
              <w:jc w:val="center"/>
              <w:textAlignment w:val="center"/>
              <w:rPr>
                <w:rFonts w:hint="default" w:hAnsi="宋体" w:cs="宋体"/>
                <w:color w:val="000000"/>
                <w:sz w:val="18"/>
                <w:szCs w:val="18"/>
                <w:highlight w:val="none"/>
              </w:rPr>
            </w:pPr>
            <w:r>
              <w:rPr>
                <w:rFonts w:hAnsi="宋体" w:cs="宋体"/>
                <w:color w:val="000000"/>
                <w:sz w:val="18"/>
                <w:szCs w:val="18"/>
                <w:highlight w:val="none"/>
                <w:lang w:val="en-US"/>
              </w:rPr>
              <w:t>500</w:t>
            </w:r>
          </w:p>
        </w:tc>
        <w:tc>
          <w:tcPr>
            <w:tcW w:w="1556" w:type="dxa"/>
            <w:tcBorders>
              <w:top w:val="single" w:color="000000" w:sz="4" w:space="0"/>
            </w:tcBorders>
            <w:shd w:val="clear" w:color="auto" w:fill="FFFFFF"/>
            <w:vAlign w:val="center"/>
          </w:tcPr>
          <w:p>
            <w:pPr>
              <w:widowControl/>
              <w:jc w:val="center"/>
              <w:textAlignment w:val="center"/>
              <w:rPr>
                <w:rFonts w:hint="default" w:hAnsi="宋体" w:cs="宋体"/>
                <w:color w:val="000000"/>
                <w:sz w:val="18"/>
                <w:szCs w:val="18"/>
                <w:highlight w:val="none"/>
              </w:rPr>
            </w:pPr>
            <w:r>
              <w:rPr>
                <w:rFonts w:hAnsi="宋体" w:cs="宋体"/>
                <w:color w:val="000000"/>
                <w:sz w:val="18"/>
                <w:szCs w:val="18"/>
                <w:highlight w:val="none"/>
                <w:lang w:val="en-US"/>
              </w:rPr>
              <w:t>5000</w:t>
            </w:r>
          </w:p>
        </w:tc>
      </w:tr>
    </w:tbl>
    <w:p>
      <w:pPr>
        <w:widowControl/>
        <w:rPr>
          <w:rFonts w:hint="default" w:asciiTheme="minorEastAsia" w:hAnsiTheme="minorEastAsia" w:eastAsiaTheme="minorEastAsia"/>
          <w:sz w:val="21"/>
          <w:szCs w:val="21"/>
          <w:highlight w:val="yellow"/>
        </w:rPr>
        <w:sectPr>
          <w:headerReference r:id="rId3" w:type="default"/>
          <w:pgSz w:w="16837" w:h="11905" w:orient="landscape"/>
          <w:pgMar w:top="1440" w:right="1440" w:bottom="1440" w:left="1440" w:header="0" w:footer="0" w:gutter="0"/>
          <w:pgBorders>
            <w:top w:val="none" w:sz="0" w:space="0"/>
            <w:left w:val="none" w:sz="0" w:space="0"/>
            <w:bottom w:val="none" w:sz="0" w:space="0"/>
            <w:right w:val="none" w:sz="0" w:space="0"/>
          </w:pgBorders>
          <w:cols w:space="720" w:num="1"/>
          <w:docGrid w:linePitch="272" w:charSpace="0"/>
        </w:sectPr>
      </w:pPr>
    </w:p>
    <w:p>
      <w:pPr>
        <w:jc w:val="center"/>
        <w:rPr>
          <w:rFonts w:hint="default" w:asciiTheme="minorEastAsia" w:hAnsiTheme="minorEastAsia" w:eastAsiaTheme="minorEastAsia"/>
          <w:b/>
          <w:bCs/>
          <w:sz w:val="32"/>
          <w:szCs w:val="32"/>
        </w:rPr>
      </w:pPr>
      <w:r>
        <w:rPr>
          <w:rFonts w:asciiTheme="minorEastAsia" w:hAnsiTheme="minorEastAsia" w:eastAsiaTheme="minorEastAsia"/>
          <w:b/>
          <w:bCs/>
          <w:sz w:val="32"/>
          <w:szCs w:val="32"/>
        </w:rPr>
        <w:t>物资需求一览表</w:t>
      </w:r>
    </w:p>
    <w:p>
      <w:pPr>
        <w:jc w:val="left"/>
        <w:rPr>
          <w:rFonts w:hint="default" w:cs="宋体" w:asciiTheme="minorEastAsia" w:hAnsiTheme="minorEastAsia" w:eastAsiaTheme="minorEastAsia"/>
          <w:bCs/>
          <w:sz w:val="21"/>
          <w:szCs w:val="21"/>
        </w:rPr>
      </w:pPr>
    </w:p>
    <w:p>
      <w:pPr>
        <w:pStyle w:val="14"/>
        <w:outlineLvl w:val="9"/>
        <w:rPr>
          <w:rFonts w:hint="default" w:asciiTheme="minorEastAsia" w:hAnsiTheme="minorEastAsia" w:eastAsiaTheme="minorEastAsia"/>
          <w:b/>
          <w:szCs w:val="24"/>
        </w:rPr>
      </w:pPr>
      <w:bookmarkStart w:id="0" w:name="_Toc381350565"/>
      <w:r>
        <w:rPr>
          <w:rFonts w:asciiTheme="minorEastAsia" w:hAnsiTheme="minorEastAsia" w:eastAsiaTheme="minorEastAsia"/>
          <w:b/>
          <w:szCs w:val="24"/>
        </w:rPr>
        <w:t>特别声明：以下所有采购物资规格、数量为暂定，结算以实际使用规格数量为准，总量控制。</w:t>
      </w:r>
      <w:bookmarkEnd w:id="0"/>
    </w:p>
    <w:p>
      <w:pPr>
        <w:snapToGrid w:val="0"/>
        <w:spacing w:beforeLines="100" w:afterLines="100"/>
        <w:jc w:val="left"/>
        <w:rPr>
          <w:rFonts w:hint="default" w:hAnsi="宋体"/>
          <w:b/>
          <w:sz w:val="32"/>
          <w:szCs w:val="32"/>
          <w:shd w:val="clear" w:color="auto" w:fill="FFFFFF"/>
        </w:rPr>
      </w:pPr>
      <w:r>
        <w:rPr>
          <w:rFonts w:cs="宋体" w:asciiTheme="minorEastAsia" w:hAnsiTheme="minorEastAsia" w:eastAsiaTheme="minorEastAsia"/>
          <w:b/>
          <w:bCs/>
          <w:sz w:val="24"/>
          <w:szCs w:val="24"/>
        </w:rPr>
        <w:t>采购人名称：中铁一局集团建筑安装工程有限公司</w:t>
      </w:r>
      <w:r>
        <w:rPr>
          <w:rFonts w:asciiTheme="minorEastAsia" w:hAnsiTheme="minorEastAsia" w:eastAsiaTheme="minorEastAsia"/>
          <w:b/>
          <w:sz w:val="24"/>
          <w:szCs w:val="24"/>
        </w:rPr>
        <w:t xml:space="preserve"> </w:t>
      </w:r>
      <w:r>
        <w:rPr>
          <w:rFonts w:cs="宋体" w:asciiTheme="minorEastAsia" w:hAnsiTheme="minorEastAsia" w:eastAsiaTheme="minorEastAsia"/>
          <w:b/>
          <w:bCs/>
          <w:sz w:val="24"/>
          <w:szCs w:val="24"/>
        </w:rPr>
        <w:t xml:space="preserve">      </w:t>
      </w:r>
      <w:r>
        <w:rPr>
          <w:rFonts w:cs="宋体" w:asciiTheme="minorEastAsia" w:hAnsiTheme="minorEastAsia" w:eastAsiaTheme="minorEastAsia"/>
          <w:b/>
          <w:bCs/>
          <w:sz w:val="24"/>
          <w:szCs w:val="24"/>
          <w:lang w:val="en-US"/>
        </w:rPr>
        <w:t xml:space="preserve">                    </w:t>
      </w:r>
      <w:r>
        <w:rPr>
          <w:rFonts w:cs="宋体" w:asciiTheme="minorEastAsia" w:hAnsiTheme="minorEastAsia" w:eastAsiaTheme="minorEastAsia"/>
          <w:b/>
          <w:bCs/>
          <w:sz w:val="24"/>
          <w:szCs w:val="24"/>
        </w:rPr>
        <w:t xml:space="preserve">采购编号: </w:t>
      </w:r>
      <w:r>
        <w:rPr>
          <w:rFonts w:hAnsi="宋体"/>
          <w:b/>
          <w:sz w:val="32"/>
          <w:szCs w:val="32"/>
          <w:shd w:val="clear" w:color="auto" w:fill="FFFFFF"/>
        </w:rPr>
        <w:t>ZTYJJAGSCG-(2017)</w:t>
      </w:r>
      <w:r>
        <w:rPr>
          <w:rFonts w:hAnsi="宋体"/>
          <w:b/>
          <w:sz w:val="32"/>
          <w:szCs w:val="32"/>
          <w:highlight w:val="none"/>
          <w:shd w:val="clear" w:color="auto" w:fill="FFFFFF"/>
        </w:rPr>
        <w:t>00</w:t>
      </w:r>
      <w:r>
        <w:rPr>
          <w:rFonts w:hint="eastAsia" w:hAnsi="宋体"/>
          <w:b/>
          <w:sz w:val="32"/>
          <w:szCs w:val="32"/>
          <w:highlight w:val="none"/>
          <w:shd w:val="clear" w:color="auto" w:fill="FFFFFF"/>
          <w:lang w:val="en-US" w:eastAsia="zh-CN"/>
        </w:rPr>
        <w:t>6</w:t>
      </w:r>
      <w:r>
        <w:rPr>
          <w:rFonts w:hAnsi="宋体"/>
          <w:b/>
          <w:sz w:val="32"/>
          <w:szCs w:val="32"/>
          <w:shd w:val="clear" w:color="auto" w:fill="FFFFFF"/>
        </w:rPr>
        <w:t>号</w:t>
      </w:r>
    </w:p>
    <w:tbl>
      <w:tblPr>
        <w:tblStyle w:val="12"/>
        <w:tblW w:w="14864" w:type="dxa"/>
        <w:tblInd w:w="93" w:type="dxa"/>
        <w:tblLayout w:type="fixed"/>
        <w:tblCellMar>
          <w:top w:w="0" w:type="dxa"/>
          <w:left w:w="108" w:type="dxa"/>
          <w:bottom w:w="0" w:type="dxa"/>
          <w:right w:w="108" w:type="dxa"/>
        </w:tblCellMar>
      </w:tblPr>
      <w:tblGrid>
        <w:gridCol w:w="1126"/>
        <w:gridCol w:w="976"/>
        <w:gridCol w:w="2338"/>
        <w:gridCol w:w="642"/>
        <w:gridCol w:w="819"/>
        <w:gridCol w:w="834"/>
        <w:gridCol w:w="900"/>
        <w:gridCol w:w="1003"/>
        <w:gridCol w:w="697"/>
        <w:gridCol w:w="1499"/>
        <w:gridCol w:w="674"/>
        <w:gridCol w:w="1521"/>
        <w:gridCol w:w="1835"/>
      </w:tblGrid>
      <w:tr>
        <w:tblPrEx>
          <w:tblLayout w:type="fixed"/>
          <w:tblCellMar>
            <w:top w:w="0" w:type="dxa"/>
            <w:left w:w="108" w:type="dxa"/>
            <w:bottom w:w="0" w:type="dxa"/>
            <w:right w:w="108" w:type="dxa"/>
          </w:tblCellMar>
        </w:tblPrEx>
        <w:trPr>
          <w:trHeight w:val="961" w:hRule="atLeast"/>
        </w:trPr>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工程名称</w:t>
            </w:r>
          </w:p>
        </w:tc>
        <w:tc>
          <w:tcPr>
            <w:tcW w:w="976"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物资名称</w:t>
            </w:r>
          </w:p>
        </w:tc>
        <w:tc>
          <w:tcPr>
            <w:tcW w:w="2338"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规格型号</w:t>
            </w:r>
          </w:p>
        </w:tc>
        <w:tc>
          <w:tcPr>
            <w:tcW w:w="642"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单位</w:t>
            </w:r>
          </w:p>
        </w:tc>
        <w:tc>
          <w:tcPr>
            <w:tcW w:w="819"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数  量</w:t>
            </w:r>
          </w:p>
        </w:tc>
        <w:tc>
          <w:tcPr>
            <w:tcW w:w="834"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包件号</w:t>
            </w:r>
          </w:p>
        </w:tc>
        <w:tc>
          <w:tcPr>
            <w:tcW w:w="900"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技术标准及要求</w:t>
            </w:r>
          </w:p>
        </w:tc>
        <w:tc>
          <w:tcPr>
            <w:tcW w:w="1003"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交货地点</w:t>
            </w:r>
          </w:p>
        </w:tc>
        <w:tc>
          <w:tcPr>
            <w:tcW w:w="697"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收货人</w:t>
            </w:r>
          </w:p>
        </w:tc>
        <w:tc>
          <w:tcPr>
            <w:tcW w:w="1499"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交货状态、交货条件</w:t>
            </w:r>
          </w:p>
        </w:tc>
        <w:tc>
          <w:tcPr>
            <w:tcW w:w="674"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交货期</w:t>
            </w:r>
          </w:p>
        </w:tc>
        <w:tc>
          <w:tcPr>
            <w:tcW w:w="1521"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结算方式</w:t>
            </w:r>
          </w:p>
        </w:tc>
        <w:tc>
          <w:tcPr>
            <w:tcW w:w="1835"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备注</w:t>
            </w:r>
          </w:p>
        </w:tc>
      </w:tr>
      <w:tr>
        <w:tblPrEx>
          <w:tblLayout w:type="fixed"/>
          <w:tblCellMar>
            <w:top w:w="0" w:type="dxa"/>
            <w:left w:w="108" w:type="dxa"/>
            <w:bottom w:w="0" w:type="dxa"/>
            <w:right w:w="108" w:type="dxa"/>
          </w:tblCellMar>
        </w:tblPrEx>
        <w:trPr>
          <w:trHeight w:val="1097" w:hRule="atLeast"/>
        </w:trPr>
        <w:tc>
          <w:tcPr>
            <w:tcW w:w="1126" w:type="dxa"/>
            <w:vMerge w:val="restart"/>
            <w:tcBorders>
              <w:top w:val="nil"/>
              <w:left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西安地铁D4AZZXSG-8标工程</w:t>
            </w:r>
          </w:p>
        </w:tc>
        <w:tc>
          <w:tcPr>
            <w:tcW w:w="976"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lang w:val="en-US"/>
              </w:rPr>
            </w:pPr>
            <w:r>
              <w:rPr>
                <w:rFonts w:hint="default" w:hAnsi="宋体" w:cs="宋体"/>
                <w:color w:val="000000"/>
                <w:lang w:val="en-US" w:eastAsia="zh-CN"/>
              </w:rPr>
              <w:t>矿物电缆</w:t>
            </w:r>
          </w:p>
        </w:tc>
        <w:tc>
          <w:tcPr>
            <w:tcW w:w="2338"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BTTZ-0.75KV-4*25</w:t>
            </w:r>
          </w:p>
        </w:tc>
        <w:tc>
          <w:tcPr>
            <w:tcW w:w="642" w:type="dxa"/>
            <w:tcBorders>
              <w:top w:val="nil"/>
              <w:left w:val="nil"/>
              <w:bottom w:val="single" w:color="auto" w:sz="4" w:space="0"/>
              <w:right w:val="single" w:color="auto" w:sz="4" w:space="0"/>
            </w:tcBorders>
            <w:shd w:val="clear" w:color="000000" w:fill="FFFFFF"/>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m</w:t>
            </w:r>
          </w:p>
        </w:tc>
        <w:tc>
          <w:tcPr>
            <w:tcW w:w="81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1250</w:t>
            </w:r>
          </w:p>
        </w:tc>
        <w:tc>
          <w:tcPr>
            <w:tcW w:w="83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CL-01</w:t>
            </w:r>
          </w:p>
        </w:tc>
        <w:tc>
          <w:tcPr>
            <w:tcW w:w="900" w:type="dxa"/>
            <w:vMerge w:val="restart"/>
            <w:tcBorders>
              <w:top w:val="nil"/>
              <w:left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详见技术规格书</w:t>
            </w:r>
          </w:p>
        </w:tc>
        <w:tc>
          <w:tcPr>
            <w:tcW w:w="1003" w:type="dxa"/>
            <w:vMerge w:val="restart"/>
            <w:tcBorders>
              <w:top w:val="nil"/>
              <w:left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西安市新城区含元殿站施工现场</w:t>
            </w:r>
          </w:p>
        </w:tc>
        <w:tc>
          <w:tcPr>
            <w:tcW w:w="697" w:type="dxa"/>
            <w:vMerge w:val="restart"/>
            <w:tcBorders>
              <w:top w:val="nil"/>
              <w:left w:val="single" w:color="auto" w:sz="4" w:space="0"/>
              <w:right w:val="single" w:color="auto" w:sz="4" w:space="0"/>
            </w:tcBorders>
            <w:shd w:val="clear" w:color="auto" w:fill="auto"/>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毛小刚</w:t>
            </w:r>
          </w:p>
        </w:tc>
        <w:tc>
          <w:tcPr>
            <w:tcW w:w="1499" w:type="dxa"/>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5"/>
                <w:szCs w:val="15"/>
                <w:lang w:val="en-US"/>
              </w:rPr>
            </w:pPr>
            <w:r>
              <w:rPr>
                <w:rFonts w:hAnsi="宋体" w:cs="宋体"/>
                <w:color w:val="000000"/>
                <w:sz w:val="15"/>
                <w:szCs w:val="15"/>
                <w:lang w:val="en-US"/>
              </w:rPr>
              <w:t>需供应商提供资质文件，按不同的规格提供质量证明文件、合格证和质量保证等质量合格证明文件，并加盖单位公章。分批交货，分为</w:t>
            </w:r>
            <w:r>
              <w:rPr>
                <w:rFonts w:hint="eastAsia" w:hAnsi="宋体" w:cs="宋体"/>
                <w:color w:val="000000"/>
                <w:sz w:val="15"/>
                <w:szCs w:val="15"/>
                <w:lang w:val="en-US" w:eastAsia="zh-CN"/>
              </w:rPr>
              <w:t>3</w:t>
            </w:r>
            <w:r>
              <w:rPr>
                <w:rFonts w:hAnsi="宋体" w:cs="宋体"/>
                <w:color w:val="000000"/>
                <w:sz w:val="15"/>
                <w:szCs w:val="15"/>
                <w:lang w:val="en-US"/>
              </w:rPr>
              <w:t>批次交货</w:t>
            </w:r>
          </w:p>
        </w:tc>
        <w:tc>
          <w:tcPr>
            <w:tcW w:w="674" w:type="dxa"/>
            <w:vMerge w:val="restart"/>
            <w:tcBorders>
              <w:top w:val="nil"/>
              <w:left w:val="single" w:color="auto" w:sz="4" w:space="0"/>
              <w:right w:val="single" w:color="auto" w:sz="4" w:space="0"/>
            </w:tcBorders>
            <w:shd w:val="clear" w:color="auto" w:fill="auto"/>
            <w:vAlign w:val="center"/>
          </w:tcPr>
          <w:p>
            <w:pPr>
              <w:widowControl/>
              <w:autoSpaceDE/>
              <w:autoSpaceDN/>
              <w:jc w:val="center"/>
              <w:rPr>
                <w:rFonts w:hAnsi="宋体" w:cs="宋体"/>
                <w:color w:val="000000"/>
                <w:sz w:val="15"/>
                <w:szCs w:val="15"/>
                <w:lang w:val="en-US"/>
              </w:rPr>
            </w:pPr>
            <w:r>
              <w:rPr>
                <w:rFonts w:hAnsi="宋体" w:cs="宋体"/>
                <w:color w:val="000000"/>
                <w:sz w:val="15"/>
                <w:szCs w:val="15"/>
                <w:lang w:val="en-US"/>
              </w:rPr>
              <w:t>2017年</w:t>
            </w:r>
            <w:r>
              <w:rPr>
                <w:rFonts w:hint="eastAsia" w:hAnsi="宋体" w:cs="宋体"/>
                <w:color w:val="000000"/>
                <w:sz w:val="15"/>
                <w:szCs w:val="15"/>
                <w:lang w:val="en-US" w:eastAsia="zh-CN"/>
              </w:rPr>
              <w:t>12</w:t>
            </w:r>
            <w:r>
              <w:rPr>
                <w:rFonts w:hAnsi="宋体" w:cs="宋体"/>
                <w:color w:val="000000"/>
                <w:sz w:val="15"/>
                <w:szCs w:val="15"/>
                <w:lang w:val="en-US"/>
              </w:rPr>
              <w:t>月底之前交货</w:t>
            </w:r>
          </w:p>
        </w:tc>
        <w:tc>
          <w:tcPr>
            <w:tcW w:w="1521" w:type="dxa"/>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5"/>
                <w:szCs w:val="15"/>
                <w:lang w:val="en-US"/>
              </w:rPr>
            </w:pPr>
            <w:r>
              <w:rPr>
                <w:rFonts w:hAnsi="宋体" w:cs="宋体"/>
                <w:color w:val="000000"/>
                <w:sz w:val="15"/>
                <w:szCs w:val="15"/>
                <w:lang w:val="en-US"/>
              </w:rPr>
              <w:t>项目根据实际情况：材料到场后经验收小组对材料外观质量验收合格后，30个工作日内甲方向乙方支付该批货款总金额的35%，材料安装完成后甲方向乙方支付到材料货款总金额的65%，经业主、监理、政府相关部门整体验收合格后甲方向乙方支付到货款总额的95%，剩余5％作为质量保证金。原则上不超过上述约定时间，如因业主付款不及时，乙方应予以谅解并同意延迟无息支付。</w:t>
            </w:r>
          </w:p>
        </w:tc>
        <w:tc>
          <w:tcPr>
            <w:tcW w:w="1835" w:type="dxa"/>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Ansi="宋体" w:cs="宋体"/>
                <w:color w:val="000000"/>
                <w:sz w:val="15"/>
                <w:szCs w:val="15"/>
                <w:lang w:val="en-US"/>
              </w:rPr>
            </w:pPr>
            <w:r>
              <w:rPr>
                <w:rFonts w:hint="eastAsia" w:hAnsi="宋体" w:cs="宋体"/>
                <w:color w:val="000000"/>
                <w:sz w:val="15"/>
                <w:szCs w:val="15"/>
                <w:lang w:val="en-US" w:eastAsia="zh-CN"/>
              </w:rPr>
              <w:t>矿物电缆</w:t>
            </w:r>
            <w:r>
              <w:rPr>
                <w:rFonts w:hAnsi="宋体" w:cs="宋体"/>
                <w:color w:val="000000"/>
                <w:sz w:val="15"/>
                <w:szCs w:val="15"/>
                <w:lang w:val="en-US"/>
              </w:rPr>
              <w:t>报价需含税费（17%增值税专用发票）、运输费等一切费用</w:t>
            </w: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lang w:val="en-US"/>
              </w:rPr>
            </w:pPr>
            <w:r>
              <w:rPr>
                <w:rFonts w:hint="default" w:hAnsi="宋体" w:cs="宋体"/>
                <w:color w:val="000000"/>
                <w:lang w:val="en-US" w:eastAsia="zh-CN"/>
              </w:rPr>
              <w:t>矿物电缆</w:t>
            </w:r>
          </w:p>
        </w:tc>
        <w:tc>
          <w:tcPr>
            <w:tcW w:w="2338"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BTTZ-0.75KV-4x16</w:t>
            </w:r>
          </w:p>
        </w:tc>
        <w:tc>
          <w:tcPr>
            <w:tcW w:w="642" w:type="dxa"/>
            <w:tcBorders>
              <w:top w:val="nil"/>
              <w:left w:val="nil"/>
              <w:bottom w:val="single" w:color="auto" w:sz="4" w:space="0"/>
              <w:right w:val="single" w:color="auto" w:sz="4" w:space="0"/>
            </w:tcBorders>
            <w:shd w:val="clear" w:color="000000" w:fill="FFFFFF"/>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m</w:t>
            </w:r>
          </w:p>
        </w:tc>
        <w:tc>
          <w:tcPr>
            <w:tcW w:w="81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2250</w:t>
            </w:r>
          </w:p>
        </w:tc>
        <w:tc>
          <w:tcPr>
            <w:tcW w:w="834"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835"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lang w:val="en-US"/>
              </w:rPr>
            </w:pPr>
            <w:r>
              <w:rPr>
                <w:rFonts w:hint="default" w:hAnsi="宋体" w:cs="宋体"/>
                <w:color w:val="000000"/>
                <w:lang w:val="en-US" w:eastAsia="zh-CN"/>
              </w:rPr>
              <w:t>矿物电缆</w:t>
            </w:r>
          </w:p>
        </w:tc>
        <w:tc>
          <w:tcPr>
            <w:tcW w:w="2338"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BTTZ-0.75KV-</w:t>
            </w:r>
            <w:r>
              <w:rPr>
                <w:rFonts w:hint="default" w:hAnsi="宋体" w:cs="宋体"/>
                <w:color w:val="000000"/>
                <w:lang w:val="en-US" w:eastAsia="zh-CN"/>
              </w:rPr>
              <w:br w:type="textWrapping"/>
            </w:r>
            <w:r>
              <w:rPr>
                <w:rFonts w:hint="default" w:hAnsi="宋体" w:cs="宋体"/>
                <w:color w:val="000000"/>
                <w:lang w:val="en-US" w:eastAsia="zh-CN"/>
              </w:rPr>
              <w:t>1x16</w:t>
            </w:r>
          </w:p>
        </w:tc>
        <w:tc>
          <w:tcPr>
            <w:tcW w:w="642" w:type="dxa"/>
            <w:tcBorders>
              <w:top w:val="nil"/>
              <w:left w:val="nil"/>
              <w:bottom w:val="single" w:color="auto" w:sz="4" w:space="0"/>
              <w:right w:val="single" w:color="auto" w:sz="4" w:space="0"/>
            </w:tcBorders>
            <w:shd w:val="clear" w:color="000000" w:fill="FFFFFF"/>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m</w:t>
            </w:r>
          </w:p>
        </w:tc>
        <w:tc>
          <w:tcPr>
            <w:tcW w:w="81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275</w:t>
            </w:r>
          </w:p>
        </w:tc>
        <w:tc>
          <w:tcPr>
            <w:tcW w:w="834"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835"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lang w:val="en-US"/>
              </w:rPr>
            </w:pPr>
            <w:r>
              <w:rPr>
                <w:rFonts w:hint="default" w:hAnsi="宋体" w:cs="宋体"/>
                <w:color w:val="000000"/>
                <w:lang w:val="en-US" w:eastAsia="zh-CN"/>
              </w:rPr>
              <w:t>矿物电缆</w:t>
            </w:r>
          </w:p>
        </w:tc>
        <w:tc>
          <w:tcPr>
            <w:tcW w:w="2338"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BTTZ-0.75KV-</w:t>
            </w:r>
            <w:r>
              <w:rPr>
                <w:rFonts w:hint="default" w:hAnsi="宋体" w:cs="宋体"/>
                <w:color w:val="000000"/>
                <w:lang w:val="en-US" w:eastAsia="zh-CN"/>
              </w:rPr>
              <w:br w:type="textWrapping"/>
            </w:r>
            <w:r>
              <w:rPr>
                <w:rFonts w:hint="default" w:hAnsi="宋体" w:cs="宋体"/>
                <w:color w:val="000000"/>
                <w:lang w:val="en-US" w:eastAsia="zh-CN"/>
              </w:rPr>
              <w:t>1x35</w:t>
            </w:r>
          </w:p>
        </w:tc>
        <w:tc>
          <w:tcPr>
            <w:tcW w:w="642" w:type="dxa"/>
            <w:tcBorders>
              <w:top w:val="nil"/>
              <w:left w:val="nil"/>
              <w:bottom w:val="single" w:color="auto" w:sz="4" w:space="0"/>
              <w:right w:val="single" w:color="auto" w:sz="4" w:space="0"/>
            </w:tcBorders>
            <w:shd w:val="clear" w:color="000000" w:fill="FFFFFF"/>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m</w:t>
            </w:r>
          </w:p>
        </w:tc>
        <w:tc>
          <w:tcPr>
            <w:tcW w:w="81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825</w:t>
            </w:r>
          </w:p>
        </w:tc>
        <w:tc>
          <w:tcPr>
            <w:tcW w:w="834"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835"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Ansi="宋体" w:cs="宋体"/>
                <w:color w:val="000000"/>
                <w:lang w:val="en-US"/>
              </w:rPr>
            </w:pPr>
            <w:r>
              <w:rPr>
                <w:rFonts w:hint="default" w:hAnsi="宋体" w:cs="宋体"/>
                <w:color w:val="000000"/>
                <w:lang w:val="en-US" w:eastAsia="zh-CN"/>
              </w:rPr>
              <w:t>矿物电缆</w:t>
            </w:r>
          </w:p>
        </w:tc>
        <w:tc>
          <w:tcPr>
            <w:tcW w:w="2338"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BTTZ-0.75KV-</w:t>
            </w:r>
            <w:r>
              <w:rPr>
                <w:rFonts w:hint="default" w:hAnsi="宋体" w:cs="宋体"/>
                <w:color w:val="000000"/>
                <w:lang w:val="en-US" w:eastAsia="zh-CN"/>
              </w:rPr>
              <w:br w:type="textWrapping"/>
            </w:r>
            <w:r>
              <w:rPr>
                <w:rFonts w:hint="default" w:hAnsi="宋体" w:cs="宋体"/>
                <w:color w:val="000000"/>
                <w:lang w:val="en-US" w:eastAsia="zh-CN"/>
              </w:rPr>
              <w:t>1x150</w:t>
            </w:r>
          </w:p>
        </w:tc>
        <w:tc>
          <w:tcPr>
            <w:tcW w:w="642" w:type="dxa"/>
            <w:tcBorders>
              <w:top w:val="nil"/>
              <w:left w:val="nil"/>
              <w:bottom w:val="single" w:color="auto" w:sz="4" w:space="0"/>
              <w:right w:val="single" w:color="auto" w:sz="4" w:space="0"/>
            </w:tcBorders>
            <w:shd w:val="clear" w:color="000000" w:fill="FFFFFF"/>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m</w:t>
            </w:r>
          </w:p>
        </w:tc>
        <w:tc>
          <w:tcPr>
            <w:tcW w:w="81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default" w:hAnsi="宋体" w:cs="宋体"/>
                <w:color w:val="000000"/>
                <w:lang w:val="en-US" w:eastAsia="zh-CN"/>
              </w:rPr>
            </w:pPr>
            <w:r>
              <w:rPr>
                <w:rFonts w:hint="default" w:hAnsi="宋体" w:cs="宋体"/>
                <w:color w:val="000000"/>
                <w:lang w:val="en-US" w:eastAsia="zh-CN"/>
              </w:rPr>
              <w:t>21000</w:t>
            </w:r>
          </w:p>
        </w:tc>
        <w:tc>
          <w:tcPr>
            <w:tcW w:w="834"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835" w:type="dxa"/>
            <w:vMerge w:val="continue"/>
            <w:tcBorders>
              <w:top w:val="nil"/>
              <w:left w:val="single" w:color="auto" w:sz="4" w:space="0"/>
              <w:bottom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hAnsi="宋体" w:eastAsia="宋体" w:cs="宋体"/>
                <w:color w:val="000000"/>
                <w:sz w:val="18"/>
                <w:szCs w:val="18"/>
                <w:lang w:val="en-US" w:eastAsia="zh-CN"/>
              </w:rPr>
            </w:pPr>
            <w:r>
              <w:rPr>
                <w:rFonts w:hint="eastAsia" w:ascii="宋体" w:hAnsi="宋体" w:eastAsia="宋体" w:cs="宋体"/>
                <w:i w:val="0"/>
                <w:color w:val="000000"/>
                <w:kern w:val="0"/>
                <w:sz w:val="20"/>
                <w:szCs w:val="20"/>
                <w:u w:val="none"/>
                <w:lang w:val="en-US" w:eastAsia="zh-CN" w:bidi="ar"/>
              </w:rPr>
              <w:t>站厅A端消防负荷小动力箱1</w:t>
            </w:r>
          </w:p>
        </w:tc>
        <w:tc>
          <w:tcPr>
            <w:tcW w:w="23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AH-DL1，IP42，明装，下进下出</w:t>
            </w:r>
          </w:p>
        </w:tc>
        <w:tc>
          <w:tcPr>
            <w:tcW w:w="64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restart"/>
            <w:tcBorders>
              <w:top w:val="nil"/>
              <w:left w:val="single" w:color="auto" w:sz="4" w:space="0"/>
              <w:right w:val="single" w:color="auto" w:sz="4" w:space="0"/>
            </w:tcBorders>
            <w:shd w:val="clear" w:color="000000" w:fill="FFFFFF"/>
            <w:vAlign w:val="center"/>
          </w:tcPr>
          <w:p>
            <w:pPr>
              <w:widowControl/>
              <w:autoSpaceDE/>
              <w:autoSpaceDN/>
              <w:jc w:val="center"/>
              <w:rPr>
                <w:rFonts w:hAnsi="宋体" w:cs="宋体"/>
                <w:color w:val="000000"/>
                <w:sz w:val="18"/>
                <w:szCs w:val="18"/>
                <w:lang w:val="en-US"/>
              </w:rPr>
            </w:pPr>
            <w:r>
              <w:rPr>
                <w:rFonts w:hAnsi="宋体" w:cs="宋体"/>
                <w:color w:val="000000"/>
                <w:sz w:val="18"/>
                <w:szCs w:val="18"/>
                <w:lang w:val="en-US"/>
              </w:rPr>
              <w:t>CL-02</w:t>
            </w: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restart"/>
            <w:tcBorders>
              <w:top w:val="nil"/>
              <w:left w:val="single" w:color="auto" w:sz="4" w:space="0"/>
              <w:right w:val="single" w:color="auto" w:sz="4" w:space="0"/>
            </w:tcBorders>
            <w:shd w:val="clear" w:color="auto" w:fill="auto"/>
            <w:vAlign w:val="center"/>
          </w:tcPr>
          <w:p>
            <w:pPr>
              <w:widowControl/>
              <w:autoSpaceDE/>
              <w:autoSpaceDN/>
              <w:jc w:val="center"/>
              <w:rPr>
                <w:rFonts w:hAnsi="宋体" w:cs="宋体"/>
                <w:color w:val="000000"/>
                <w:sz w:val="15"/>
                <w:szCs w:val="15"/>
                <w:lang w:val="en-US"/>
              </w:rPr>
            </w:pPr>
            <w:r>
              <w:rPr>
                <w:rFonts w:hAnsi="宋体" w:cs="宋体"/>
                <w:color w:val="000000"/>
                <w:sz w:val="15"/>
                <w:szCs w:val="15"/>
                <w:lang w:val="en-US"/>
              </w:rPr>
              <w:t>需供应商提供资质文件，按不同的规格提供质量证明文件、合格证和质量保证等质量合格证明文件，并加盖单位公章。根据项目实际情况阀门交货分批次交货，分为</w:t>
            </w:r>
            <w:r>
              <w:rPr>
                <w:rFonts w:hint="eastAsia" w:hAnsi="宋体" w:cs="宋体"/>
                <w:color w:val="000000"/>
                <w:sz w:val="15"/>
                <w:szCs w:val="15"/>
                <w:lang w:val="en-US" w:eastAsia="zh-CN"/>
              </w:rPr>
              <w:t>4</w:t>
            </w:r>
            <w:r>
              <w:rPr>
                <w:rFonts w:hAnsi="宋体" w:cs="宋体"/>
                <w:color w:val="000000"/>
                <w:sz w:val="15"/>
                <w:szCs w:val="15"/>
                <w:lang w:val="en-US"/>
              </w:rPr>
              <w:t>批次交货</w:t>
            </w: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restart"/>
            <w:tcBorders>
              <w:top w:val="nil"/>
              <w:left w:val="single" w:color="auto" w:sz="4" w:space="0"/>
              <w:right w:val="single" w:color="auto" w:sz="4" w:space="0"/>
            </w:tcBorders>
            <w:shd w:val="clear" w:color="auto" w:fill="auto"/>
            <w:vAlign w:val="center"/>
          </w:tcPr>
          <w:p>
            <w:pPr>
              <w:widowControl/>
              <w:autoSpaceDE/>
              <w:autoSpaceDN/>
              <w:jc w:val="center"/>
              <w:rPr>
                <w:rFonts w:hAnsi="宋体" w:cs="宋体"/>
                <w:color w:val="000000"/>
                <w:sz w:val="15"/>
                <w:szCs w:val="15"/>
                <w:lang w:val="en-US"/>
              </w:rPr>
            </w:pPr>
            <w:r>
              <w:rPr>
                <w:rFonts w:hAnsi="宋体" w:cs="宋体"/>
                <w:color w:val="000000"/>
                <w:sz w:val="15"/>
                <w:szCs w:val="15"/>
                <w:lang w:val="en-US"/>
              </w:rPr>
              <w:t>项目根据实际情况：材料到场后经验收小组对材料外观质量验收合格后，30个工作日内甲方向乙方支付该批货款总金额的35%，材料安装完成后甲方向乙方支付到材料货款总金额的65%，经业主、监理、政府相关部门整体验收合格后甲方向乙方支付到货款总额的95%，剩余5％作为质量保证金。原则上不超过上述约定时间，如因业主付款不及时，乙方应予以谅解并同意延迟无息支付。</w:t>
            </w:r>
          </w:p>
        </w:tc>
        <w:tc>
          <w:tcPr>
            <w:tcW w:w="1835" w:type="dxa"/>
            <w:vMerge w:val="restart"/>
            <w:tcBorders>
              <w:top w:val="nil"/>
              <w:left w:val="single" w:color="auto" w:sz="4" w:space="0"/>
              <w:right w:val="single" w:color="auto" w:sz="4" w:space="0"/>
            </w:tcBorders>
            <w:shd w:val="clear" w:color="auto" w:fill="auto"/>
            <w:vAlign w:val="center"/>
          </w:tcPr>
          <w:p>
            <w:pPr>
              <w:widowControl/>
              <w:autoSpaceDE/>
              <w:autoSpaceDN/>
              <w:jc w:val="center"/>
              <w:rPr>
                <w:rFonts w:hAnsi="宋体" w:cs="宋体"/>
                <w:color w:val="000000"/>
                <w:sz w:val="15"/>
                <w:szCs w:val="15"/>
                <w:lang w:val="en-US"/>
              </w:rPr>
            </w:pPr>
            <w:r>
              <w:rPr>
                <w:rFonts w:hint="eastAsia" w:hAnsi="宋体" w:cs="宋体"/>
                <w:color w:val="000000"/>
                <w:sz w:val="15"/>
                <w:szCs w:val="15"/>
                <w:lang w:val="en-US" w:eastAsia="zh-CN"/>
              </w:rPr>
              <w:t>配电箱</w:t>
            </w:r>
            <w:r>
              <w:rPr>
                <w:rFonts w:hAnsi="宋体" w:cs="宋体"/>
                <w:color w:val="000000"/>
                <w:sz w:val="15"/>
                <w:szCs w:val="15"/>
                <w:lang w:val="en-US"/>
              </w:rPr>
              <w:t>报价单价含材料费、税费（17%增值税专用发票）、运输费等一切费用</w:t>
            </w: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站厅A端消防负荷小动力箱2</w:t>
            </w:r>
          </w:p>
        </w:tc>
        <w:tc>
          <w:tcPr>
            <w:tcW w:w="23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AH-DL2，IP42，明装，下进下出</w:t>
            </w:r>
          </w:p>
        </w:tc>
        <w:tc>
          <w:tcPr>
            <w:tcW w:w="64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端头消防蝶阀及风道消防电伴热末端配电箱</w:t>
            </w:r>
          </w:p>
        </w:tc>
        <w:tc>
          <w:tcPr>
            <w:tcW w:w="23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AH-DF，IP54，明装，下进下出</w:t>
            </w:r>
          </w:p>
        </w:tc>
        <w:tc>
          <w:tcPr>
            <w:tcW w:w="64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出入口消防电伴热双电源切换配电箱</w:t>
            </w:r>
          </w:p>
        </w:tc>
        <w:tc>
          <w:tcPr>
            <w:tcW w:w="23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AH-DBR，IP54，暗装，上进下出</w:t>
            </w:r>
          </w:p>
        </w:tc>
        <w:tc>
          <w:tcPr>
            <w:tcW w:w="64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特级防火卷帘门双电源切换箱</w:t>
            </w:r>
          </w:p>
        </w:tc>
        <w:tc>
          <w:tcPr>
            <w:tcW w:w="23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AH-FHJL，IP54，暗装，上进下出</w:t>
            </w:r>
          </w:p>
        </w:tc>
        <w:tc>
          <w:tcPr>
            <w:tcW w:w="64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vAlign w:val="center"/>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站厅B端消防负荷小动力箱1</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BH-DL1，IP42，明装，下进下出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站厅B端消防负荷小动力箱2</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BH-DL2，IP42，明装，下进下出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端头消防蝶阀及风道消防电伴热末端配电箱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BH-DF，IP54，明装，下进下出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出入口消防电伴热双电源切换配电箱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BH-DBR，IP54，暗装，上进下出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站台A端消防负荷小动力箱1</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AT-DL1，IP42，明装，下进下出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站台A端消防负荷小动力箱2</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AT-DL2，IP42，明装，下进下出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站台B端消防负荷小动力箱1</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BT-DL1，IP42，明装，下进下出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站台B端消防负荷小动力箱2</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BT-DL2，IP42，明装，下进下出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站厅A端一二级负荷小动力箱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AH-DL3，IP42，明装，下进下出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站厅B端一二级负荷小动力箱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BH-DL3，IP42，明装，下进下出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站台A端一二级负荷小动力箱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AT-DL3，IP42，明装，下进下出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站台B端一二级负荷小动力箱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BT-DL3，IP42，明装，下进下出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站厅A端三级负荷小动力箱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AH-DL4，IP42，明装，下进下出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站厅B端三级负荷小动力箱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BH-DL4，IP42，明装，下进下出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站台A端三级负荷小动力箱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AT-DL4，IP42，明装，下进下出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站台B端三级负荷小动力箱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BT-DL4，IP42，明装，下进下出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Ib号出入口扶梯电源箱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AH-ZF1，IP42，暗装，上进下出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Ⅳ号出入口扶梯电源箱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AH-ZF2，IP42，暗装，上进下出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扶梯下安全照明配电箱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AH-AM1，IP42，暗装，下进下出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扶梯下安全照明配电箱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AH-AM2，IP42，暗装，下进下出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Ⅱ号出入口扶梯电源箱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BH-ZF1，IP42，暗装，上进下出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Ⅲ号出入口扶梯电源箱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BH-ZF2，IP42，暗装，上进下出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扶梯下安全照明配电箱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BH-AM1，IP42，暗装，下进下出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扶梯下安全照明配电箱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BH-AM2，IP42，暗装，下进下出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车站疏散扶梯双电源切换箱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AT-ZF，IP42，明装，下进下出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车站疏散扶梯双电源切换箱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BT-ZF，IP42，明装，下进下出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公共区电梯电源箱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BH-DT1，IP42，暗装，上进上出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Ⅱ号出入口电梯电源箱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BH-DT2，IP42，暗装，下进下出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通风空调BAS双电源切换箱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AH-BAS，IP42，明装，下进下出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通风空调BAS双电源切换箱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BH-BAS，IP42，明装，下进下出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车控室双电源切换箱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BH-CKS，IP42，明装，下进下出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综合监控双电源切换箱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BH-ZHJK，IP42，明装，下进下出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AFC售检票双电源切换箱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AH-AFC，IP42，暗装，上进上出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AFC售检票双电源切换箱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BH-AFC2，IP42，暗装，上进上出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AFC设备室双电源切换箱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BH-AFC1，IP42，明装，下进下出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民用通信双电源切换箱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BH-MYTX，IP42，明装，下进下出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公安通信双电源切换箱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BH-GATX，IP42，明装，下进下出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人防电源切换箱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BH-RF，IP42，明装，下进下出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专用通信双电源切换箱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BH-TX，IP42，明装，下进下出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变电所检修双电源切换箱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BT-SDL，IP42，明装，下进下出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银行配电箱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AH-YH，IP42，明装，下进下出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风亭集水泵配电箱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AH-JSB，IP54，明装，下进下出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风亭集水泵配电箱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BH-JSB，IP54，明装，下进下出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车站废水泵配电箱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BT-FSB，IP54，明装，下进下出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盥洗间洗衣机、直饮水插座箱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BH-KS，IP65，明装，下进下出，工业插座防护等级为IP67</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冷水机房检修插座箱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BH-JX3，IP44，明装，下进下出，工业插座防护等级为IP67，民用插座防护等级为IP44</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冷却塔检修插座箱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BH-JX4，IP66，明装，下进下出，工业插座防护等级为IP67，民用插座防护等级为IP67</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变电所检修插座箱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BT-JX1~JX5，整体防护等级IP44，明装，下进下出，工业插座防护等级为IP67，民用插座防护等级为IP44</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5</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变电所检修插座箱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BH-JX1~JX2，整体防护等级IP44，明装，下进下出，工业插座防护等级为IP67，民用插座防护等级为IP44</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2</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自行车检修插座箱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AH-CZ1，整体防护等级IP44，明装，下进下出，工业插座防护等级为IP67，民用插座防护等级为IP44</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自行车检修插座箱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AH-CZ2，整体防护等级IP44，明装，下进下出，工业插座防护等级为IP67，民用插座防护等级为IP44</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自行车检修插座箱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BH-CZ1，整体防护等级IP44，明装，下进下出，工业插座防护等级为IP67，民用插座防护等级为IP44</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自行车检修插座箱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BH-CZ2，整体防护等级IP44，明装，下进下出，工业插座防护等级为IP67，民用插座防护等级为IP44</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站台门双电源切换箱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BT-ZTM，IP42，明装，下进下出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气体消防电源切换箱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AT-QXF，IP42，明装，下进下出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气体消防电源切换箱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BT-QXF，IP42，明装，下进下出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气体消防电源切换箱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BH-QXF，IP42，明装，下进下出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信号双电源配电箱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BH-XH，IP42，明装，下进下出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站厅A端物业一、二级负荷小动力配电箱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AH-DL5，IP42，明装，下进下出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站厅A端物业一、二级负荷小动力配电箱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AH-DL6，IP42，明装，下进下出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站厅A端物业三级负荷小动力配电箱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AH-DL7，IP42，明装，下进下出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站厅A端物业消防负荷小动力配电箱1</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AH-DL8，IP42，明装，下进下出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站厅A端物业消防负荷小动力配电箱2</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AH-DL9，IP42，明装，下进下出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站厅及出入口应急照明配电箱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AH-YM，IP42，明装，下进下出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站台应急照明配电箱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BT-YM，IP42，明装，下进下出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设备用房照明配电箱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BH-PM，IP42，明装，下进下出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设备用房照明配电箱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AH-PM，IP42，明装，下进下出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设备用房照明配电箱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AT-PM，IP42，明装，下进下出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设备用房照明配电箱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BT-PM，IP42，明装，下进下出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设备用房照明配电箱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HCZ-AT-PM1，IP42，明装，下进下出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设备用房照明配电箱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HCZ-AT-PM2，IP42，明装，下进下出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设备用房照明配电箱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HCZ-BT-PM1，IP42，明装，下进下出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设备用房照明配电箱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HCZ-BT-PM2，IP42，明装，下进下出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站台板下安全照明配电箱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AT-AM，IP42，明装，下进下出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站台板下安全照明配电箱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BT-AM，IP42，明装，下进下出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站厅总照明配电箱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AH-ZM1，IP42，明装，上进上出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站厅总照明配电箱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AH-ZM2，IP42，明装，上进上出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站厅总照明配电箱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BH-ZM1，IP42，明装，上进上出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站厅总照明配电箱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BH-ZM2，IP42，明装，上进上出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站台总照明配电箱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AT-ZM1，IP42，明装，上进上出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站台总照明配电箱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AT-ZM2，IP42，明装，上进上出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站台总照明配电箱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BT-ZM1，IP42，明装，上进上出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站台总照明配电箱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BT-ZM2，IP42，明装，上进上出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广告照明配电箱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AH-GM，IP42，明装，下进下出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广告照明配电箱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BH-GM，IP42，明装，下进下出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广告照明配电箱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AT-GM，IP42，明装，下进下出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广告照明配电箱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BT-GM，IP42，明装，下进下出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AT-QM，IP42，明装，下进下出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BT-QM，IP42，明装，下进下出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区间应急照明配电箱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AT-QYM，IP42，明装，下进下出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区间应急照明配电箱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BT-QYM，IP42，明装，下进下出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区间维修电源箱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AT-QJX，IP42，明装，下进下出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区间维修电源箱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BT-QJX，IP42，明装，下进下出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区间废水泵双电源配电箱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AT-QFSB，IP54，明装，下进下出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区间废水泵双电源配电箱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BT-FSB1，IP54，明装，下进下出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区间废水泵双电源配电箱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BT-FSB2，IP54，明装，下进下出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站内排水泵配电箱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BT-PSB1，IP54，明装，下进下出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站内排水泵配电箱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BT-PSB2，IP54，明装，下进下出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区间废水泵双电源配电箱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BT-QFSB，IP54，明装，下进下出</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AT1-QJX1~QJX5，AT2-QJX1~QJX5,IP54，明装，下进下出,整体防护等级IP66，工业插座防护等级为IP67,宽*高*深=260*450*150mm</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21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AT1-QJX1~QJX5，AT2-QJX1~QJX5,IP54，明装，下进下出,整体防护等级IP66，工业插座防护等级为IP67,宽*高*深=260*450*150mm</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6</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AT1-QJX1~QJX5，AT2-QJX1~QJX5,IP54，明装，下进下出,整体防护等级IP66，工业插座防护等级为IP67,宽*高*深=260*450*150mm</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1</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BT1-QJX1,IP54，明装，下进下出,整体防护等级IP66，工业插座防护等级为IP67,宽*高*深=260*450*150mm</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8</w:t>
            </w:r>
          </w:p>
        </w:tc>
        <w:tc>
          <w:tcPr>
            <w:tcW w:w="834"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right w:val="single" w:color="auto" w:sz="4" w:space="0"/>
            </w:tcBorders>
          </w:tcPr>
          <w:p>
            <w:pPr>
              <w:widowControl/>
              <w:autoSpaceDE/>
              <w:autoSpaceDN/>
              <w:jc w:val="left"/>
              <w:rPr>
                <w:rFonts w:hAnsi="宋体" w:cs="宋体"/>
                <w:color w:val="000000"/>
                <w:sz w:val="15"/>
                <w:szCs w:val="15"/>
                <w:lang w:val="en-US"/>
              </w:rPr>
            </w:pPr>
          </w:p>
        </w:tc>
      </w:tr>
      <w:tr>
        <w:tblPrEx>
          <w:tblLayout w:type="fixed"/>
          <w:tblCellMar>
            <w:top w:w="0" w:type="dxa"/>
            <w:left w:w="108" w:type="dxa"/>
            <w:bottom w:w="0" w:type="dxa"/>
            <w:right w:w="108" w:type="dxa"/>
          </w:tblCellMar>
        </w:tblPrEx>
        <w:trPr>
          <w:trHeight w:val="1067" w:hRule="atLeast"/>
        </w:trPr>
        <w:tc>
          <w:tcPr>
            <w:tcW w:w="1126"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区间检修插座箱</w:t>
            </w:r>
          </w:p>
        </w:tc>
        <w:tc>
          <w:tcPr>
            <w:tcW w:w="23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BT1-QJX1,IP54，明装，下进下出,整体防护等级IP66，工业插座防护等级为IP67,宽*高*深=260*450*150mm</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套</w:t>
            </w:r>
          </w:p>
        </w:tc>
        <w:tc>
          <w:tcPr>
            <w:tcW w:w="8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Ansi="宋体" w:cs="宋体"/>
                <w:color w:val="000000"/>
                <w:sz w:val="18"/>
                <w:szCs w:val="18"/>
                <w:lang w:val="en-US"/>
              </w:rPr>
            </w:pPr>
            <w:r>
              <w:rPr>
                <w:rFonts w:hint="eastAsia" w:ascii="宋体" w:hAnsi="宋体" w:eastAsia="宋体" w:cs="宋体"/>
                <w:i w:val="0"/>
                <w:color w:val="000000"/>
                <w:kern w:val="0"/>
                <w:sz w:val="20"/>
                <w:szCs w:val="20"/>
                <w:u w:val="none"/>
                <w:lang w:val="en-US" w:eastAsia="zh-CN" w:bidi="ar"/>
              </w:rPr>
              <w:t>8</w:t>
            </w:r>
          </w:p>
        </w:tc>
        <w:tc>
          <w:tcPr>
            <w:tcW w:w="834"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900"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003"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697"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8"/>
                <w:szCs w:val="18"/>
                <w:lang w:val="en-US"/>
              </w:rPr>
            </w:pPr>
          </w:p>
        </w:tc>
        <w:tc>
          <w:tcPr>
            <w:tcW w:w="1499"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674"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521"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5"/>
                <w:szCs w:val="15"/>
                <w:lang w:val="en-US"/>
              </w:rPr>
            </w:pPr>
          </w:p>
        </w:tc>
        <w:tc>
          <w:tcPr>
            <w:tcW w:w="1835" w:type="dxa"/>
            <w:vMerge w:val="continue"/>
            <w:tcBorders>
              <w:left w:val="single" w:color="auto" w:sz="4" w:space="0"/>
              <w:bottom w:val="single" w:color="auto" w:sz="4" w:space="0"/>
              <w:right w:val="single" w:color="auto" w:sz="4" w:space="0"/>
            </w:tcBorders>
          </w:tcPr>
          <w:p>
            <w:pPr>
              <w:widowControl/>
              <w:autoSpaceDE/>
              <w:autoSpaceDN/>
              <w:jc w:val="left"/>
              <w:rPr>
                <w:rFonts w:hAnsi="宋体" w:cs="宋体"/>
                <w:color w:val="000000"/>
                <w:sz w:val="15"/>
                <w:szCs w:val="15"/>
                <w:lang w:val="en-US"/>
              </w:rPr>
            </w:pPr>
          </w:p>
        </w:tc>
      </w:tr>
    </w:tbl>
    <w:p>
      <w:pPr>
        <w:snapToGrid w:val="0"/>
        <w:spacing w:beforeLines="100" w:afterLines="100"/>
        <w:jc w:val="center"/>
        <w:rPr>
          <w:rFonts w:hint="default" w:cs="宋体" w:asciiTheme="minorEastAsia" w:hAnsiTheme="minorEastAsia" w:eastAsiaTheme="minorEastAsia"/>
          <w:b/>
          <w:bCs/>
          <w:sz w:val="24"/>
          <w:szCs w:val="24"/>
        </w:rPr>
      </w:pPr>
    </w:p>
    <w:p>
      <w:pPr>
        <w:rPr>
          <w:rFonts w:hint="default" w:asciiTheme="minorEastAsia" w:hAnsiTheme="minorEastAsia" w:eastAsiaTheme="minorEastAsia"/>
          <w:sz w:val="21"/>
          <w:szCs w:val="21"/>
        </w:rPr>
      </w:pPr>
      <w:r>
        <w:rPr>
          <w:rFonts w:cs="宋体" w:asciiTheme="minorEastAsia" w:hAnsiTheme="minorEastAsia" w:eastAsiaTheme="minorEastAsia"/>
          <w:b/>
          <w:bCs/>
          <w:sz w:val="24"/>
          <w:szCs w:val="24"/>
        </w:rPr>
        <w:t xml:space="preserve">                                    </w:t>
      </w:r>
      <w:r>
        <w:rPr>
          <w:rFonts w:cs="宋体" w:asciiTheme="minorEastAsia" w:hAnsiTheme="minorEastAsia" w:eastAsiaTheme="minorEastAsia"/>
          <w:b/>
          <w:sz w:val="24"/>
          <w:szCs w:val="24"/>
        </w:rPr>
        <w:t xml:space="preserve"> </w:t>
      </w:r>
    </w:p>
    <w:p>
      <w:pPr>
        <w:widowControl/>
        <w:rPr>
          <w:rFonts w:hint="default" w:asciiTheme="minorEastAsia" w:hAnsiTheme="minorEastAsia" w:eastAsiaTheme="minorEastAsia"/>
          <w:sz w:val="21"/>
          <w:szCs w:val="21"/>
        </w:rPr>
        <w:sectPr>
          <w:pgSz w:w="16837" w:h="11905" w:orient="landscape"/>
          <w:pgMar w:top="720" w:right="720" w:bottom="720" w:left="720" w:header="0" w:footer="0" w:gutter="0"/>
          <w:pgBorders>
            <w:top w:val="none" w:sz="0" w:space="0"/>
            <w:left w:val="none" w:sz="0" w:space="0"/>
            <w:bottom w:val="none" w:sz="0" w:space="0"/>
            <w:right w:val="none" w:sz="0" w:space="0"/>
          </w:pgBorders>
          <w:cols w:space="720" w:num="1"/>
          <w:docGrid w:linePitch="272" w:charSpace="0"/>
        </w:sectPr>
      </w:pPr>
    </w:p>
    <w:p>
      <w:pPr>
        <w:widowControl/>
        <w:rPr>
          <w:rFonts w:hint="default" w:asciiTheme="minorEastAsia" w:hAnsiTheme="minorEastAsia" w:eastAsiaTheme="minorEastAsia"/>
          <w:sz w:val="21"/>
          <w:szCs w:val="21"/>
          <w:highlight w:val="yellow"/>
        </w:rPr>
      </w:pPr>
    </w:p>
    <w:p>
      <w:pPr>
        <w:pStyle w:val="15"/>
        <w:widowControl/>
        <w:spacing w:before="120" w:after="120"/>
        <w:jc w:val="center"/>
        <w:rPr>
          <w:rFonts w:hint="default" w:asciiTheme="minorEastAsia" w:hAnsiTheme="minorEastAsia" w:eastAsiaTheme="minorEastAsia"/>
          <w:b w:val="0"/>
          <w:sz w:val="21"/>
          <w:szCs w:val="21"/>
        </w:rPr>
      </w:pPr>
    </w:p>
    <w:p>
      <w:pPr>
        <w:pStyle w:val="15"/>
        <w:widowControl/>
        <w:spacing w:before="120" w:after="120"/>
        <w:jc w:val="center"/>
        <w:rPr>
          <w:rFonts w:hint="default" w:asciiTheme="minorEastAsia" w:hAnsiTheme="minorEastAsia" w:eastAsiaTheme="minorEastAsia"/>
          <w:b w:val="0"/>
          <w:sz w:val="21"/>
          <w:szCs w:val="21"/>
        </w:rPr>
      </w:pPr>
    </w:p>
    <w:p>
      <w:pPr>
        <w:pStyle w:val="15"/>
        <w:widowControl/>
        <w:spacing w:before="120" w:after="120"/>
        <w:jc w:val="center"/>
        <w:rPr>
          <w:rFonts w:hint="default" w:asciiTheme="minorEastAsia" w:hAnsiTheme="minorEastAsia" w:eastAsiaTheme="minorEastAsia"/>
          <w:b w:val="0"/>
          <w:sz w:val="21"/>
          <w:szCs w:val="21"/>
        </w:rPr>
      </w:pPr>
    </w:p>
    <w:p>
      <w:pPr>
        <w:pStyle w:val="15"/>
        <w:widowControl/>
        <w:spacing w:before="120" w:after="120"/>
        <w:jc w:val="center"/>
        <w:rPr>
          <w:rFonts w:hint="default" w:asciiTheme="minorEastAsia" w:hAnsiTheme="minorEastAsia" w:eastAsiaTheme="minorEastAsia"/>
          <w:b w:val="0"/>
          <w:sz w:val="21"/>
          <w:szCs w:val="21"/>
        </w:rPr>
      </w:pPr>
    </w:p>
    <w:p>
      <w:pPr>
        <w:pStyle w:val="15"/>
        <w:widowControl/>
        <w:spacing w:before="120" w:after="120"/>
        <w:jc w:val="center"/>
        <w:rPr>
          <w:rFonts w:hint="default" w:asciiTheme="minorEastAsia" w:hAnsiTheme="minorEastAsia" w:eastAsiaTheme="minorEastAsia"/>
          <w:b w:val="0"/>
          <w:sz w:val="21"/>
          <w:szCs w:val="21"/>
        </w:rPr>
      </w:pPr>
    </w:p>
    <w:p>
      <w:pPr>
        <w:pStyle w:val="15"/>
        <w:widowControl/>
        <w:spacing w:before="120" w:after="120"/>
        <w:jc w:val="center"/>
        <w:rPr>
          <w:rFonts w:asciiTheme="minorEastAsia" w:hAnsiTheme="minorEastAsia" w:eastAsiaTheme="minorEastAsia"/>
          <w:sz w:val="32"/>
          <w:szCs w:val="32"/>
        </w:rPr>
      </w:pPr>
      <w:r>
        <w:rPr>
          <w:rFonts w:asciiTheme="minorEastAsia" w:hAnsiTheme="minorEastAsia" w:eastAsiaTheme="minorEastAsia"/>
          <w:sz w:val="32"/>
          <w:szCs w:val="32"/>
        </w:rPr>
        <w:t>第六章 技术规格书</w:t>
      </w:r>
    </w:p>
    <w:p/>
    <w:p/>
    <w:p/>
    <w:p/>
    <w:p/>
    <w:p/>
    <w:p/>
    <w:p/>
    <w:p/>
    <w:p/>
    <w:p/>
    <w:p/>
    <w:p/>
    <w:p/>
    <w:p/>
    <w:p/>
    <w:p/>
    <w:p/>
    <w:p/>
    <w:p/>
    <w:p/>
    <w:p/>
    <w:p/>
    <w:p/>
    <w:p/>
    <w:p/>
    <w:p/>
    <w:p/>
    <w:p/>
    <w:p/>
    <w:p/>
    <w:p/>
    <w:p/>
    <w:p>
      <w:pPr>
        <w:keepLines/>
        <w:spacing w:before="120" w:after="120"/>
        <w:outlineLvl w:val="0"/>
        <w:rPr>
          <w:rFonts w:hAnsi="宋体"/>
          <w:b/>
          <w:sz w:val="24"/>
        </w:rPr>
      </w:pPr>
      <w:r>
        <w:rPr>
          <w:rFonts w:hint="eastAsia" w:hAnsi="宋体"/>
          <w:b/>
          <w:sz w:val="24"/>
          <w:lang w:val="en-US" w:eastAsia="zh-CN"/>
        </w:rPr>
        <w:t>6.1 矿物电缆</w:t>
      </w:r>
      <w:r>
        <w:rPr>
          <w:rFonts w:hAnsi="宋体"/>
          <w:b/>
          <w:sz w:val="24"/>
        </w:rPr>
        <w:t>技术要求</w:t>
      </w:r>
      <w:bookmarkStart w:id="1" w:name="_Toc152994086"/>
    </w:p>
    <w:p>
      <w:pPr>
        <w:keepLines/>
        <w:spacing w:before="120" w:after="120"/>
        <w:outlineLvl w:val="0"/>
        <w:rPr>
          <w:rFonts w:hint="eastAsia" w:hAnsi="宋体"/>
          <w:b/>
          <w:sz w:val="24"/>
        </w:rPr>
      </w:pPr>
    </w:p>
    <w:p>
      <w:pPr>
        <w:snapToGrid w:val="0"/>
        <w:spacing w:line="360" w:lineRule="auto"/>
        <w:ind w:right="-17" w:rightChars="-8" w:firstLine="513" w:firstLineChars="214"/>
        <w:rPr>
          <w:rFonts w:ascii="宋体" w:hAnsi="宋体"/>
          <w:sz w:val="24"/>
        </w:rPr>
      </w:pPr>
      <w:r>
        <w:rPr>
          <w:rFonts w:hint="eastAsia" w:ascii="宋体" w:hAnsi="宋体" w:cs="宋体"/>
          <w:kern w:val="32"/>
          <w:sz w:val="24"/>
        </w:rPr>
        <w:t>本技术规范为明敷设消防设备电源选用矿物绝缘电缆而做的规定，电缆</w:t>
      </w:r>
      <w:r>
        <w:rPr>
          <w:rFonts w:hint="eastAsia" w:ascii="宋体" w:hAnsi="宋体"/>
          <w:sz w:val="24"/>
        </w:rPr>
        <w:t>额定工频电压750</w:t>
      </w:r>
      <w:r>
        <w:rPr>
          <w:rFonts w:ascii="宋体" w:hAnsi="宋体"/>
          <w:sz w:val="24"/>
        </w:rPr>
        <w:t>V</w:t>
      </w:r>
      <w:r>
        <w:rPr>
          <w:rFonts w:hint="eastAsia" w:ascii="宋体" w:hAnsi="宋体"/>
          <w:sz w:val="24"/>
        </w:rPr>
        <w:t>，最高运行电压1</w:t>
      </w:r>
      <w:r>
        <w:rPr>
          <w:rFonts w:ascii="宋体" w:hAnsi="宋体"/>
          <w:sz w:val="24"/>
        </w:rPr>
        <w:t>kV</w:t>
      </w:r>
      <w:r>
        <w:rPr>
          <w:rFonts w:hint="eastAsia" w:ascii="宋体" w:hAnsi="宋体"/>
          <w:sz w:val="24"/>
        </w:rPr>
        <w:t>。</w:t>
      </w:r>
    </w:p>
    <w:p>
      <w:pPr>
        <w:adjustRightInd w:val="0"/>
        <w:spacing w:line="360" w:lineRule="auto"/>
        <w:ind w:firstLine="480" w:firstLineChars="200"/>
        <w:textAlignment w:val="baseline"/>
        <w:rPr>
          <w:rFonts w:ascii="宋体" w:hAnsi="宋体" w:cs="宋体"/>
          <w:kern w:val="32"/>
          <w:sz w:val="24"/>
        </w:rPr>
      </w:pPr>
      <w:r>
        <w:rPr>
          <w:rFonts w:hint="eastAsia" w:hAnsi="宋体" w:cs="宋体"/>
          <w:kern w:val="32"/>
          <w:sz w:val="24"/>
          <w:lang w:val="en-US" w:eastAsia="zh-CN"/>
        </w:rPr>
        <w:t>6</w:t>
      </w:r>
      <w:r>
        <w:rPr>
          <w:rFonts w:hint="eastAsia" w:ascii="宋体" w:hAnsi="宋体" w:cs="宋体"/>
          <w:kern w:val="32"/>
          <w:sz w:val="24"/>
        </w:rPr>
        <w:t>.1.1</w:t>
      </w:r>
      <w:bookmarkEnd w:id="1"/>
      <w:r>
        <w:rPr>
          <w:rFonts w:hint="eastAsia" w:ascii="宋体" w:hAnsi="宋体" w:cs="宋体"/>
          <w:kern w:val="32"/>
          <w:sz w:val="24"/>
        </w:rPr>
        <w:t>本节电缆型号的含义及使用的主要材料见下表：</w:t>
      </w:r>
    </w:p>
    <w:tbl>
      <w:tblPr>
        <w:tblStyle w:val="12"/>
        <w:tblW w:w="765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7" w:type="dxa"/>
          <w:bottom w:w="0" w:type="dxa"/>
          <w:right w:w="107" w:type="dxa"/>
        </w:tblCellMar>
      </w:tblPr>
      <w:tblGrid>
        <w:gridCol w:w="1810"/>
        <w:gridCol w:w="584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7" w:type="dxa"/>
            <w:bottom w:w="0" w:type="dxa"/>
            <w:right w:w="107" w:type="dxa"/>
          </w:tblCellMar>
        </w:tblPrEx>
        <w:trPr>
          <w:cantSplit/>
          <w:trHeight w:val="20" w:hRule="atLeast"/>
          <w:jc w:val="center"/>
        </w:trPr>
        <w:tc>
          <w:tcPr>
            <w:tcW w:w="1810" w:type="dxa"/>
            <w:vAlign w:val="center"/>
          </w:tcPr>
          <w:p>
            <w:pPr>
              <w:snapToGrid w:val="0"/>
              <w:spacing w:line="276" w:lineRule="auto"/>
              <w:ind w:right="-17" w:rightChars="-8"/>
              <w:rPr>
                <w:rFonts w:ascii="宋体" w:hAnsi="宋体"/>
                <w:sz w:val="24"/>
              </w:rPr>
            </w:pPr>
            <w:r>
              <w:rPr>
                <w:rFonts w:hint="eastAsia" w:ascii="宋体" w:hAnsi="宋体"/>
                <w:sz w:val="24"/>
              </w:rPr>
              <w:t>电缆型号</w:t>
            </w:r>
          </w:p>
        </w:tc>
        <w:tc>
          <w:tcPr>
            <w:tcW w:w="5845" w:type="dxa"/>
            <w:vAlign w:val="center"/>
          </w:tcPr>
          <w:p>
            <w:pPr>
              <w:snapToGrid w:val="0"/>
              <w:spacing w:line="276" w:lineRule="auto"/>
              <w:ind w:right="-17" w:rightChars="-8"/>
              <w:rPr>
                <w:rFonts w:ascii="宋体" w:hAnsi="宋体"/>
                <w:sz w:val="24"/>
              </w:rPr>
            </w:pPr>
            <w:r>
              <w:rPr>
                <w:rFonts w:hint="eastAsia" w:ascii="宋体" w:hAnsi="宋体"/>
                <w:sz w:val="24"/>
              </w:rPr>
              <w:t>电缆名称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7" w:type="dxa"/>
            <w:bottom w:w="0" w:type="dxa"/>
            <w:right w:w="107" w:type="dxa"/>
          </w:tblCellMar>
        </w:tblPrEx>
        <w:trPr>
          <w:cantSplit/>
          <w:trHeight w:val="20" w:hRule="atLeast"/>
          <w:jc w:val="center"/>
        </w:trPr>
        <w:tc>
          <w:tcPr>
            <w:tcW w:w="1810" w:type="dxa"/>
            <w:vAlign w:val="center"/>
          </w:tcPr>
          <w:p>
            <w:pPr>
              <w:snapToGrid w:val="0"/>
              <w:spacing w:line="276" w:lineRule="auto"/>
              <w:ind w:right="-17" w:rightChars="-8"/>
              <w:rPr>
                <w:rFonts w:hint="eastAsia" w:ascii="宋体" w:hAnsi="宋体"/>
                <w:sz w:val="24"/>
              </w:rPr>
            </w:pPr>
            <w:r>
              <w:rPr>
                <w:rFonts w:hint="eastAsia" w:ascii="宋体" w:hAnsi="宋体"/>
                <w:sz w:val="24"/>
              </w:rPr>
              <w:t>BTTZ</w:t>
            </w:r>
          </w:p>
        </w:tc>
        <w:tc>
          <w:tcPr>
            <w:tcW w:w="5845" w:type="dxa"/>
            <w:vAlign w:val="center"/>
          </w:tcPr>
          <w:p>
            <w:pPr>
              <w:snapToGrid w:val="0"/>
              <w:spacing w:line="276" w:lineRule="auto"/>
              <w:ind w:right="-17" w:rightChars="-8"/>
              <w:rPr>
                <w:rFonts w:hint="eastAsia" w:ascii="宋体" w:hAnsi="宋体"/>
                <w:sz w:val="24"/>
              </w:rPr>
            </w:pPr>
            <w:r>
              <w:rPr>
                <w:rFonts w:hint="eastAsia" w:ascii="宋体" w:hAnsi="宋体"/>
                <w:sz w:val="24"/>
              </w:rPr>
              <w:t>重型铜芯铜护套矿物绝缘电缆 750v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7" w:type="dxa"/>
            <w:bottom w:w="0" w:type="dxa"/>
            <w:right w:w="107" w:type="dxa"/>
          </w:tblCellMar>
        </w:tblPrEx>
        <w:trPr>
          <w:cantSplit/>
          <w:trHeight w:val="20" w:hRule="atLeast"/>
          <w:jc w:val="center"/>
        </w:trPr>
        <w:tc>
          <w:tcPr>
            <w:tcW w:w="1810" w:type="dxa"/>
            <w:vAlign w:val="center"/>
          </w:tcPr>
          <w:p>
            <w:pPr>
              <w:snapToGrid w:val="0"/>
              <w:spacing w:line="276" w:lineRule="auto"/>
              <w:ind w:right="-17" w:rightChars="-8"/>
              <w:rPr>
                <w:rFonts w:hint="eastAsia" w:ascii="宋体" w:hAnsi="宋体"/>
                <w:sz w:val="24"/>
              </w:rPr>
            </w:pPr>
            <w:r>
              <w:rPr>
                <w:rFonts w:hint="eastAsia" w:ascii="宋体" w:hAnsi="宋体"/>
                <w:sz w:val="24"/>
              </w:rPr>
              <w:t>BTTQ</w:t>
            </w:r>
          </w:p>
        </w:tc>
        <w:tc>
          <w:tcPr>
            <w:tcW w:w="5845" w:type="dxa"/>
            <w:vAlign w:val="center"/>
          </w:tcPr>
          <w:p>
            <w:pPr>
              <w:snapToGrid w:val="0"/>
              <w:spacing w:line="276" w:lineRule="auto"/>
              <w:ind w:right="-17" w:rightChars="-8"/>
              <w:rPr>
                <w:rFonts w:hint="eastAsia" w:ascii="宋体" w:hAnsi="宋体"/>
                <w:sz w:val="24"/>
              </w:rPr>
            </w:pPr>
            <w:r>
              <w:rPr>
                <w:rFonts w:hint="eastAsia" w:ascii="宋体" w:hAnsi="宋体"/>
                <w:sz w:val="24"/>
              </w:rPr>
              <w:t>轻型铜芯铜护套矿物绝缘电缆500v</w:t>
            </w:r>
          </w:p>
        </w:tc>
      </w:tr>
    </w:tbl>
    <w:p>
      <w:pPr>
        <w:adjustRightInd w:val="0"/>
        <w:spacing w:line="360" w:lineRule="auto"/>
        <w:ind w:firstLine="480" w:firstLineChars="200"/>
        <w:textAlignment w:val="baseline"/>
        <w:rPr>
          <w:rFonts w:ascii="宋体" w:hAnsi="宋体" w:cs="宋体"/>
          <w:kern w:val="32"/>
          <w:sz w:val="24"/>
        </w:rPr>
      </w:pPr>
      <w:r>
        <w:rPr>
          <w:rFonts w:hint="eastAsia" w:hAnsi="宋体" w:cs="宋体"/>
          <w:kern w:val="32"/>
          <w:sz w:val="24"/>
          <w:lang w:val="en-US" w:eastAsia="zh-CN"/>
        </w:rPr>
        <w:t>6</w:t>
      </w:r>
      <w:r>
        <w:rPr>
          <w:rFonts w:hint="eastAsia" w:ascii="宋体" w:hAnsi="宋体" w:cs="宋体"/>
          <w:kern w:val="32"/>
          <w:sz w:val="24"/>
        </w:rPr>
        <w:t>.1.2供货商提供的每一盘或每一卷电缆应附有合格证，注明厂家、电缆尺寸、芯线数目、长度以及根据要求的技术规范所进行的试验结果和试验日期。</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交货时距生产日期已超过</w:t>
      </w:r>
      <w:r>
        <w:rPr>
          <w:rFonts w:ascii="宋体" w:hAnsi="宋体" w:cs="宋体"/>
          <w:kern w:val="32"/>
          <w:sz w:val="24"/>
        </w:rPr>
        <w:t>12</w:t>
      </w:r>
      <w:r>
        <w:rPr>
          <w:rFonts w:hint="eastAsia" w:ascii="宋体" w:hAnsi="宋体" w:cs="宋体"/>
          <w:kern w:val="32"/>
          <w:sz w:val="24"/>
        </w:rPr>
        <w:t>月的电缆，将被拒收。</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所有电缆交付时，其两端应可靠密封。当从切割电缆后，二端应立即密封，以防潮气侵入。</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供货商提供的矿物绝缘电缆，均通过型式试验和鉴定。</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电缆不得以松散的卷状运输到工地上，必须成圈包装. </w:t>
      </w:r>
    </w:p>
    <w:p>
      <w:pPr>
        <w:adjustRightInd w:val="0"/>
        <w:spacing w:line="360" w:lineRule="auto"/>
        <w:ind w:firstLine="480" w:firstLineChars="200"/>
        <w:textAlignment w:val="baseline"/>
        <w:rPr>
          <w:rFonts w:hint="eastAsia" w:ascii="宋体" w:hAnsi="宋体" w:cs="宋体"/>
          <w:kern w:val="32"/>
          <w:sz w:val="24"/>
        </w:rPr>
      </w:pPr>
      <w:r>
        <w:rPr>
          <w:rFonts w:hint="eastAsia" w:hAnsi="宋体" w:cs="宋体"/>
          <w:kern w:val="32"/>
          <w:sz w:val="24"/>
          <w:lang w:val="en-US" w:eastAsia="zh-CN"/>
        </w:rPr>
        <w:t>6</w:t>
      </w:r>
      <w:r>
        <w:rPr>
          <w:rFonts w:hint="eastAsia" w:ascii="宋体" w:hAnsi="宋体" w:cs="宋体"/>
          <w:kern w:val="32"/>
          <w:sz w:val="24"/>
        </w:rPr>
        <w:t>.1.3供货商应提供制造参数</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电缆交货长度：供货商需提供最大的交货长度清单</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电缆允许的弯曲半径</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电缆附件的图纸资料</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电缆终端的密封材料的描述，密封材料必须是进口材料并附相关进口证明。</w:t>
      </w:r>
    </w:p>
    <w:p>
      <w:pPr>
        <w:adjustRightInd w:val="0"/>
        <w:spacing w:line="360" w:lineRule="auto"/>
        <w:ind w:firstLine="480" w:firstLineChars="200"/>
        <w:textAlignment w:val="baseline"/>
        <w:rPr>
          <w:rFonts w:hint="eastAsia" w:ascii="宋体" w:hAnsi="宋体" w:cs="宋体"/>
          <w:kern w:val="32"/>
          <w:sz w:val="24"/>
        </w:rPr>
      </w:pPr>
      <w:r>
        <w:rPr>
          <w:rFonts w:hint="eastAsia" w:hAnsi="宋体" w:cs="宋体"/>
          <w:kern w:val="32"/>
          <w:sz w:val="24"/>
          <w:lang w:val="en-US" w:eastAsia="zh-CN"/>
        </w:rPr>
        <w:t>6</w:t>
      </w:r>
      <w:r>
        <w:rPr>
          <w:rFonts w:hint="eastAsia" w:ascii="宋体" w:hAnsi="宋体" w:cs="宋体"/>
          <w:kern w:val="32"/>
          <w:sz w:val="24"/>
        </w:rPr>
        <w:t>.1.4投标产品供货能力</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供货商必须是国家高新技术企业，提供的产品需通过省部级的鉴定，产品的接头施工技术必须经过鉴定，并提供相关工程的应用业绩。</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投标企业的产品必须在地铁工程中有过应用业绩。</w:t>
      </w:r>
    </w:p>
    <w:p>
      <w:pPr>
        <w:adjustRightInd w:val="0"/>
        <w:spacing w:line="360" w:lineRule="auto"/>
        <w:ind w:firstLine="480" w:firstLineChars="200"/>
        <w:textAlignment w:val="baseline"/>
        <w:rPr>
          <w:rFonts w:hint="eastAsia" w:ascii="宋体" w:hAnsi="宋体" w:cs="宋体"/>
          <w:kern w:val="32"/>
          <w:sz w:val="24"/>
        </w:rPr>
      </w:pPr>
      <w:r>
        <w:rPr>
          <w:rFonts w:hint="eastAsia" w:hAnsi="宋体" w:cs="宋体"/>
          <w:kern w:val="32"/>
          <w:sz w:val="24"/>
          <w:lang w:val="en-US" w:eastAsia="zh-CN"/>
        </w:rPr>
        <w:t>6</w:t>
      </w:r>
      <w:r>
        <w:rPr>
          <w:rFonts w:hint="eastAsia" w:ascii="宋体" w:hAnsi="宋体" w:cs="宋体"/>
          <w:kern w:val="32"/>
          <w:sz w:val="24"/>
        </w:rPr>
        <w:t>.1.5质保及售后服务</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质保资质： CQC自愿性安全认证证书</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ISO9001-2008质量管理体系认证证书   </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ISO14001-2004环境管理体系认证证书</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GB/T28001-2001职业健康安全管理体系认证</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公安部消防研究所的型式试验报告</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国家电线电缆检测中心出具的电缆、终端的检测报告</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电缆和中间联接通过公安部消防检测机构出具的BS6387的检验报告</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防爆认证检测报告</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相关项目的用户意见证明</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 xml:space="preserve">           国家电线电缆检测报告必须是符合GB/T13033的检验报告.</w:t>
      </w:r>
    </w:p>
    <w:p>
      <w:pPr>
        <w:pStyle w:val="10"/>
        <w:spacing w:line="360" w:lineRule="auto"/>
        <w:ind w:left="504" w:leftChars="79" w:hanging="338" w:hangingChars="141"/>
        <w:outlineLvl w:val="1"/>
        <w:rPr>
          <w:rFonts w:hint="eastAsia" w:ascii="宋体" w:hAnsi="宋体" w:eastAsia="宋体" w:cs="宋体"/>
          <w:kern w:val="32"/>
          <w:sz w:val="24"/>
          <w:lang w:val="zh-CN" w:eastAsia="zh-CN" w:bidi="ar-SA"/>
        </w:rPr>
      </w:pPr>
      <w:bookmarkStart w:id="2" w:name="_Toc152994088"/>
      <w:bookmarkStart w:id="3" w:name="_Toc454872296"/>
      <w:r>
        <w:rPr>
          <w:rFonts w:hint="eastAsia" w:ascii="宋体" w:hAnsi="宋体" w:eastAsia="宋体" w:cs="宋体"/>
          <w:kern w:val="32"/>
          <w:sz w:val="24"/>
          <w:lang w:val="en-US" w:eastAsia="zh-CN" w:bidi="ar-SA"/>
        </w:rPr>
        <w:t>6</w:t>
      </w:r>
      <w:r>
        <w:rPr>
          <w:rFonts w:hint="eastAsia" w:ascii="宋体" w:hAnsi="宋体" w:eastAsia="宋体" w:cs="宋体"/>
          <w:kern w:val="32"/>
          <w:sz w:val="24"/>
          <w:lang w:val="zh-CN" w:eastAsia="zh-CN" w:bidi="ar-SA"/>
        </w:rPr>
        <w:t>.</w:t>
      </w:r>
      <w:r>
        <w:rPr>
          <w:rFonts w:hint="eastAsia" w:ascii="宋体" w:hAnsi="宋体" w:eastAsia="宋体" w:cs="宋体"/>
          <w:kern w:val="32"/>
          <w:sz w:val="24"/>
          <w:lang w:val="en-US" w:eastAsia="zh-CN" w:bidi="ar-SA"/>
        </w:rPr>
        <w:t>1.6</w:t>
      </w:r>
      <w:r>
        <w:rPr>
          <w:rFonts w:hint="eastAsia" w:ascii="宋体" w:hAnsi="宋体" w:eastAsia="宋体" w:cs="宋体"/>
          <w:kern w:val="32"/>
          <w:sz w:val="24"/>
          <w:lang w:val="zh-CN" w:eastAsia="zh-CN" w:bidi="ar-SA"/>
        </w:rPr>
        <w:t>采用标准</w:t>
      </w:r>
      <w:bookmarkEnd w:id="2"/>
      <w:bookmarkEnd w:id="3"/>
    </w:p>
    <w:p>
      <w:pPr>
        <w:snapToGrid w:val="0"/>
        <w:spacing w:line="360" w:lineRule="auto"/>
        <w:ind w:right="-17" w:rightChars="-8" w:firstLine="513" w:firstLineChars="214"/>
        <w:rPr>
          <w:rFonts w:ascii="宋体" w:hAnsi="宋体"/>
          <w:sz w:val="24"/>
        </w:rPr>
      </w:pPr>
      <w:r>
        <w:rPr>
          <w:rFonts w:hint="eastAsia" w:ascii="宋体" w:hAnsi="宋体"/>
          <w:sz w:val="24"/>
        </w:rPr>
        <w:t>应符合但不限于以下标准：</w:t>
      </w:r>
    </w:p>
    <w:p>
      <w:pPr>
        <w:adjustRightInd w:val="0"/>
        <w:spacing w:line="360" w:lineRule="auto"/>
        <w:ind w:firstLine="480" w:firstLineChars="200"/>
        <w:textAlignment w:val="baseline"/>
        <w:rPr>
          <w:rFonts w:hint="eastAsia" w:ascii="宋体" w:hAnsi="宋体" w:cs="宋体"/>
          <w:kern w:val="32"/>
          <w:sz w:val="24"/>
        </w:rPr>
      </w:pPr>
      <w:r>
        <w:rPr>
          <w:rFonts w:hint="eastAsia" w:ascii="宋体" w:hAnsi="宋体" w:cs="宋体"/>
          <w:kern w:val="32"/>
          <w:sz w:val="24"/>
        </w:rPr>
        <w:t>GB31247-2014     《电缆及光缆燃烧性能分级》</w:t>
      </w:r>
    </w:p>
    <w:p>
      <w:pPr>
        <w:snapToGrid w:val="0"/>
        <w:spacing w:line="360" w:lineRule="auto"/>
        <w:ind w:right="-17" w:rightChars="-8" w:firstLine="513" w:firstLineChars="214"/>
        <w:rPr>
          <w:rFonts w:hint="eastAsia" w:ascii="宋体" w:hAnsi="宋体"/>
          <w:sz w:val="24"/>
        </w:rPr>
      </w:pPr>
      <w:r>
        <w:rPr>
          <w:rFonts w:hint="eastAsia" w:ascii="宋体" w:hAnsi="宋体"/>
          <w:sz w:val="24"/>
        </w:rPr>
        <w:t>GB/T 13033-2007  《</w:t>
      </w:r>
      <w:r>
        <w:rPr>
          <w:rFonts w:ascii="宋体" w:hAnsi="宋体"/>
          <w:sz w:val="24"/>
        </w:rPr>
        <w:t>额定电压750V及以下矿物绝缘电缆及终端</w:t>
      </w:r>
    </w:p>
    <w:p>
      <w:pPr>
        <w:snapToGrid w:val="0"/>
        <w:spacing w:line="360" w:lineRule="auto"/>
        <w:ind w:right="-17" w:rightChars="-8" w:firstLine="513" w:firstLineChars="214"/>
        <w:rPr>
          <w:rFonts w:hint="eastAsia" w:ascii="宋体" w:hAnsi="宋体"/>
          <w:sz w:val="24"/>
        </w:rPr>
      </w:pPr>
      <w:r>
        <w:rPr>
          <w:rFonts w:hint="eastAsia" w:ascii="宋体" w:hAnsi="宋体"/>
          <w:sz w:val="24"/>
        </w:rPr>
        <w:t>GB/T18380-2008   《电缆和光缆在火焰条件下的燃烧试验》</w:t>
      </w:r>
    </w:p>
    <w:p>
      <w:pPr>
        <w:snapToGrid w:val="0"/>
        <w:spacing w:line="360" w:lineRule="auto"/>
        <w:ind w:right="-17" w:rightChars="-8" w:firstLine="513" w:firstLineChars="214"/>
        <w:rPr>
          <w:rFonts w:hint="eastAsia" w:ascii="宋体" w:hAnsi="宋体"/>
          <w:sz w:val="24"/>
        </w:rPr>
      </w:pPr>
      <w:r>
        <w:rPr>
          <w:rFonts w:hint="eastAsia" w:ascii="宋体" w:hAnsi="宋体"/>
          <w:sz w:val="24"/>
        </w:rPr>
        <w:t>GB/T19216        《在火焰条件下电缆或光缆的线路完整性试验》</w:t>
      </w:r>
    </w:p>
    <w:p>
      <w:pPr>
        <w:snapToGrid w:val="0"/>
        <w:spacing w:line="360" w:lineRule="auto"/>
        <w:ind w:right="-17" w:rightChars="-8" w:firstLine="513" w:firstLineChars="214"/>
        <w:rPr>
          <w:rFonts w:hint="eastAsia" w:ascii="宋体" w:hAnsi="宋体"/>
          <w:sz w:val="24"/>
        </w:rPr>
      </w:pPr>
      <w:r>
        <w:rPr>
          <w:rFonts w:hint="eastAsia" w:ascii="宋体" w:hAnsi="宋体"/>
          <w:sz w:val="24"/>
        </w:rPr>
        <w:t>GB/T17650-1998   《取自电缆或光缆的材料燃烧时释出气体的试验方法》</w:t>
      </w:r>
    </w:p>
    <w:p>
      <w:pPr>
        <w:snapToGrid w:val="0"/>
        <w:spacing w:line="360" w:lineRule="auto"/>
        <w:ind w:right="-17" w:rightChars="-8" w:firstLine="513" w:firstLineChars="214"/>
        <w:rPr>
          <w:rFonts w:hint="eastAsia" w:ascii="宋体" w:hAnsi="宋体"/>
          <w:sz w:val="24"/>
        </w:rPr>
      </w:pPr>
      <w:r>
        <w:rPr>
          <w:rFonts w:hint="eastAsia" w:ascii="宋体" w:hAnsi="宋体"/>
          <w:sz w:val="24"/>
        </w:rPr>
        <w:t>GB/T17651-1998   《电缆或光缆在特定条件下燃烧的烟密度测定》</w:t>
      </w:r>
    </w:p>
    <w:p>
      <w:pPr>
        <w:snapToGrid w:val="0"/>
        <w:spacing w:line="360" w:lineRule="auto"/>
        <w:ind w:right="-17" w:rightChars="-8" w:firstLine="513" w:firstLineChars="214"/>
        <w:rPr>
          <w:rFonts w:hint="eastAsia" w:ascii="宋体" w:hAnsi="宋体"/>
          <w:sz w:val="24"/>
        </w:rPr>
      </w:pPr>
      <w:r>
        <w:rPr>
          <w:rFonts w:hint="eastAsia" w:ascii="宋体" w:hAnsi="宋体"/>
          <w:sz w:val="24"/>
        </w:rPr>
        <w:t>GB/T2951-2008    《电缆和光缆绝缘和护套材料通用试验方法》</w:t>
      </w:r>
    </w:p>
    <w:p>
      <w:pPr>
        <w:snapToGrid w:val="0"/>
        <w:spacing w:line="360" w:lineRule="auto"/>
        <w:ind w:right="-17" w:rightChars="-8" w:firstLine="513" w:firstLineChars="214"/>
        <w:rPr>
          <w:rFonts w:hint="eastAsia" w:ascii="宋体" w:hAnsi="宋体"/>
          <w:sz w:val="24"/>
        </w:rPr>
      </w:pPr>
      <w:r>
        <w:rPr>
          <w:rFonts w:hint="eastAsia" w:ascii="宋体" w:hAnsi="宋体"/>
          <w:sz w:val="24"/>
        </w:rPr>
        <w:t>GB/T3048-2007    《电线电缆电性能试验方法》</w:t>
      </w:r>
    </w:p>
    <w:p>
      <w:pPr>
        <w:snapToGrid w:val="0"/>
        <w:spacing w:line="360" w:lineRule="auto"/>
        <w:ind w:right="-17" w:rightChars="-8" w:firstLine="513" w:firstLineChars="214"/>
        <w:rPr>
          <w:rFonts w:hint="eastAsia" w:ascii="宋体" w:hAnsi="宋体"/>
          <w:sz w:val="24"/>
        </w:rPr>
      </w:pPr>
      <w:r>
        <w:rPr>
          <w:rFonts w:hint="eastAsia" w:ascii="宋体" w:hAnsi="宋体"/>
          <w:sz w:val="24"/>
        </w:rPr>
        <w:t>GB/T3956-2008    《电缆的导体》</w:t>
      </w:r>
    </w:p>
    <w:p>
      <w:pPr>
        <w:snapToGrid w:val="0"/>
        <w:spacing w:line="360" w:lineRule="auto"/>
        <w:ind w:right="-17" w:rightChars="-8" w:firstLine="513" w:firstLineChars="214"/>
        <w:rPr>
          <w:rFonts w:hint="eastAsia" w:ascii="宋体" w:hAnsi="宋体"/>
          <w:sz w:val="24"/>
        </w:rPr>
      </w:pPr>
      <w:r>
        <w:rPr>
          <w:rFonts w:hint="eastAsia" w:ascii="宋体" w:hAnsi="宋体"/>
          <w:sz w:val="24"/>
        </w:rPr>
        <w:t>GB/T6995-2008    《电线电缆识别标志方法》</w:t>
      </w:r>
    </w:p>
    <w:p>
      <w:pPr>
        <w:snapToGrid w:val="0"/>
        <w:spacing w:line="360" w:lineRule="auto"/>
        <w:ind w:right="-17" w:rightChars="-8" w:firstLine="513" w:firstLineChars="214"/>
        <w:rPr>
          <w:rFonts w:hint="eastAsia" w:ascii="宋体" w:hAnsi="宋体"/>
          <w:sz w:val="24"/>
        </w:rPr>
      </w:pPr>
      <w:r>
        <w:rPr>
          <w:rFonts w:hint="eastAsia" w:ascii="宋体" w:hAnsi="宋体"/>
          <w:sz w:val="24"/>
        </w:rPr>
        <w:t>GB/T19666-2005   《阻燃和耐火电线电缆通则》</w:t>
      </w:r>
    </w:p>
    <w:p>
      <w:pPr>
        <w:snapToGrid w:val="0"/>
        <w:spacing w:line="360" w:lineRule="auto"/>
        <w:ind w:right="-17" w:rightChars="-8" w:firstLine="513" w:firstLineChars="214"/>
        <w:rPr>
          <w:rFonts w:hint="eastAsia" w:ascii="宋体" w:hAnsi="宋体"/>
          <w:sz w:val="24"/>
        </w:rPr>
      </w:pPr>
      <w:r>
        <w:rPr>
          <w:rFonts w:ascii="宋体" w:hAnsi="宋体"/>
          <w:sz w:val="24"/>
        </w:rPr>
        <w:t>GB50168</w:t>
      </w:r>
      <w:r>
        <w:rPr>
          <w:rFonts w:hint="eastAsia" w:ascii="宋体" w:hAnsi="宋体"/>
          <w:sz w:val="24"/>
        </w:rPr>
        <w:t>-2006     《电气装置安装工程电缆线路施工及验收规范》</w:t>
      </w:r>
    </w:p>
    <w:p>
      <w:pPr>
        <w:snapToGrid w:val="0"/>
        <w:spacing w:line="360" w:lineRule="auto"/>
        <w:ind w:right="-17" w:rightChars="-8" w:firstLine="513" w:firstLineChars="214"/>
        <w:rPr>
          <w:rFonts w:hint="eastAsia" w:ascii="宋体" w:hAnsi="宋体"/>
          <w:sz w:val="24"/>
        </w:rPr>
      </w:pPr>
      <w:r>
        <w:rPr>
          <w:rFonts w:hint="eastAsia" w:ascii="宋体" w:hAnsi="宋体"/>
          <w:sz w:val="24"/>
        </w:rPr>
        <w:t>DGJ 08-1993-2002 《民用建筑电线电缆防火设计规程》</w:t>
      </w:r>
    </w:p>
    <w:p>
      <w:pPr>
        <w:snapToGrid w:val="0"/>
        <w:spacing w:line="360" w:lineRule="auto"/>
        <w:ind w:right="-17" w:rightChars="-8" w:firstLine="513" w:firstLineChars="214"/>
        <w:rPr>
          <w:rFonts w:hint="eastAsia" w:ascii="宋体" w:hAnsi="宋体"/>
          <w:sz w:val="24"/>
        </w:rPr>
      </w:pPr>
      <w:r>
        <w:rPr>
          <w:rFonts w:hint="eastAsia" w:ascii="宋体" w:hAnsi="宋体"/>
          <w:bCs/>
          <w:sz w:val="24"/>
        </w:rPr>
        <w:t xml:space="preserve">GB/T 5231-2001   </w:t>
      </w:r>
      <w:r>
        <w:rPr>
          <w:rFonts w:hint="eastAsia" w:ascii="宋体" w:hAnsi="宋体"/>
          <w:sz w:val="24"/>
        </w:rPr>
        <w:t>《加工铜及铜合金化学成分和产品形状》</w:t>
      </w:r>
    </w:p>
    <w:p>
      <w:pPr>
        <w:snapToGrid w:val="0"/>
        <w:spacing w:line="360" w:lineRule="auto"/>
        <w:ind w:right="-17" w:rightChars="-8" w:firstLine="513" w:firstLineChars="214"/>
        <w:rPr>
          <w:rFonts w:hint="eastAsia" w:ascii="宋体" w:hAnsi="宋体"/>
          <w:sz w:val="24"/>
        </w:rPr>
      </w:pPr>
      <w:r>
        <w:rPr>
          <w:rFonts w:hint="eastAsia" w:ascii="宋体" w:hAnsi="宋体"/>
          <w:sz w:val="24"/>
        </w:rPr>
        <w:t>JGJ16-2008       《民用建筑电气设计规范》</w:t>
      </w:r>
    </w:p>
    <w:p>
      <w:pPr>
        <w:snapToGrid w:val="0"/>
        <w:spacing w:line="360" w:lineRule="auto"/>
        <w:ind w:right="-17" w:rightChars="-8" w:firstLine="513" w:firstLineChars="214"/>
        <w:rPr>
          <w:rFonts w:hint="eastAsia" w:ascii="宋体" w:hAnsi="宋体"/>
          <w:sz w:val="24"/>
        </w:rPr>
      </w:pPr>
      <w:r>
        <w:rPr>
          <w:rFonts w:hint="eastAsia" w:ascii="宋体" w:hAnsi="宋体"/>
          <w:bCs/>
          <w:sz w:val="24"/>
        </w:rPr>
        <w:t xml:space="preserve">JGJ 232-2011     </w:t>
      </w:r>
      <w:r>
        <w:rPr>
          <w:rFonts w:hint="eastAsia" w:ascii="宋体" w:hAnsi="宋体"/>
          <w:sz w:val="24"/>
        </w:rPr>
        <w:t>《矿物绝缘电缆敷设技术规程》</w:t>
      </w:r>
    </w:p>
    <w:p>
      <w:pPr>
        <w:snapToGrid w:val="0"/>
        <w:spacing w:line="360" w:lineRule="auto"/>
        <w:ind w:right="-17" w:rightChars="-8" w:firstLine="513" w:firstLineChars="214"/>
        <w:rPr>
          <w:rFonts w:hint="eastAsia" w:ascii="宋体" w:hAnsi="宋体"/>
          <w:sz w:val="24"/>
        </w:rPr>
      </w:pPr>
      <w:r>
        <w:rPr>
          <w:rFonts w:hint="eastAsia" w:ascii="宋体" w:hAnsi="宋体"/>
          <w:sz w:val="24"/>
        </w:rPr>
        <w:t xml:space="preserve">GB 4208-2008     《外壳防护等级(IP代码)》                        </w:t>
      </w:r>
    </w:p>
    <w:p>
      <w:pPr>
        <w:pStyle w:val="10"/>
        <w:spacing w:line="360" w:lineRule="auto"/>
        <w:ind w:left="504" w:leftChars="79" w:hanging="338" w:hangingChars="141"/>
        <w:outlineLvl w:val="1"/>
        <w:rPr>
          <w:rFonts w:hint="eastAsia" w:ascii="宋体" w:hAnsi="宋体"/>
          <w:b/>
        </w:rPr>
      </w:pPr>
      <w:bookmarkStart w:id="4" w:name="_Toc152994091"/>
      <w:bookmarkStart w:id="5" w:name="_Toc454872297"/>
      <w:r>
        <w:rPr>
          <w:rFonts w:hint="eastAsia" w:ascii="宋体" w:hAnsi="宋体" w:eastAsia="宋体" w:cs="Times New Roman"/>
          <w:kern w:val="0"/>
          <w:sz w:val="24"/>
          <w:lang w:val="en-US" w:eastAsia="zh-CN" w:bidi="ar-SA"/>
        </w:rPr>
        <w:t>6.1.7</w:t>
      </w:r>
      <w:r>
        <w:rPr>
          <w:rFonts w:hint="eastAsia" w:ascii="宋体" w:hAnsi="宋体" w:eastAsia="宋体" w:cs="Times New Roman"/>
          <w:kern w:val="0"/>
          <w:sz w:val="24"/>
          <w:lang w:val="zh-CN" w:eastAsia="zh-CN" w:bidi="ar-SA"/>
        </w:rPr>
        <w:t>技术</w:t>
      </w:r>
      <w:bookmarkEnd w:id="4"/>
      <w:r>
        <w:rPr>
          <w:rFonts w:hint="eastAsia" w:ascii="宋体" w:hAnsi="宋体" w:eastAsia="宋体" w:cs="Times New Roman"/>
          <w:bCs/>
          <w:kern w:val="0"/>
          <w:sz w:val="24"/>
          <w:lang w:val="zh-CN" w:eastAsia="zh-CN" w:bidi="ar-SA"/>
        </w:rPr>
        <w:t>条件</w:t>
      </w:r>
      <w:bookmarkEnd w:id="5"/>
    </w:p>
    <w:p>
      <w:pPr>
        <w:snapToGrid w:val="0"/>
        <w:spacing w:line="360" w:lineRule="auto"/>
        <w:ind w:right="-17" w:rightChars="-8" w:firstLine="513" w:firstLineChars="214"/>
        <w:rPr>
          <w:rFonts w:hint="eastAsia" w:ascii="宋体" w:hAnsi="宋体"/>
          <w:sz w:val="24"/>
        </w:rPr>
      </w:pPr>
      <w:bookmarkStart w:id="6" w:name="_Toc152994092"/>
      <w:r>
        <w:rPr>
          <w:rFonts w:hint="eastAsia" w:hAnsi="宋体" w:cs="宋体"/>
          <w:kern w:val="32"/>
          <w:sz w:val="24"/>
          <w:lang w:val="en-US" w:eastAsia="zh-CN"/>
        </w:rPr>
        <w:t>1.</w:t>
      </w:r>
      <w:r>
        <w:rPr>
          <w:rFonts w:hint="eastAsia" w:ascii="宋体" w:hAnsi="宋体"/>
          <w:sz w:val="24"/>
        </w:rPr>
        <w:t>使用特性：</w:t>
      </w:r>
    </w:p>
    <w:p>
      <w:pPr>
        <w:snapToGrid w:val="0"/>
        <w:spacing w:line="360" w:lineRule="auto"/>
        <w:ind w:right="-17" w:rightChars="-8" w:firstLine="513" w:firstLineChars="214"/>
        <w:rPr>
          <w:rFonts w:hint="eastAsia" w:ascii="宋体" w:hAnsi="宋体"/>
          <w:sz w:val="24"/>
        </w:rPr>
      </w:pPr>
      <w:r>
        <w:rPr>
          <w:rFonts w:hint="eastAsia" w:ascii="宋体" w:hAnsi="宋体"/>
          <w:sz w:val="24"/>
        </w:rPr>
        <w:t>在</w:t>
      </w:r>
      <w:r>
        <w:rPr>
          <w:rFonts w:ascii="宋体" w:hAnsi="宋体"/>
          <w:sz w:val="24"/>
        </w:rPr>
        <w:t>250℃</w:t>
      </w:r>
      <w:r>
        <w:rPr>
          <w:rFonts w:hint="eastAsia" w:ascii="宋体" w:hAnsi="宋体"/>
          <w:sz w:val="24"/>
        </w:rPr>
        <w:t>高温下，电缆正常工作。在950</w:t>
      </w:r>
      <w:r>
        <w:rPr>
          <w:rFonts w:ascii="宋体" w:hAnsi="宋体"/>
          <w:sz w:val="24"/>
        </w:rPr>
        <w:t>℃</w:t>
      </w:r>
      <w:r>
        <w:rPr>
          <w:rFonts w:hint="eastAsia" w:ascii="宋体" w:hAnsi="宋体"/>
          <w:sz w:val="24"/>
        </w:rPr>
        <w:t>时，电缆维持正常运行180分钟。</w:t>
      </w:r>
    </w:p>
    <w:p>
      <w:pPr>
        <w:snapToGrid w:val="0"/>
        <w:spacing w:line="360" w:lineRule="auto"/>
        <w:ind w:right="-17" w:rightChars="-8" w:firstLine="513" w:firstLineChars="214"/>
        <w:rPr>
          <w:rFonts w:hint="eastAsia" w:ascii="宋体" w:hAnsi="宋体"/>
          <w:sz w:val="24"/>
        </w:rPr>
      </w:pPr>
      <w:r>
        <w:rPr>
          <w:rFonts w:hint="eastAsia" w:ascii="宋体" w:hAnsi="宋体"/>
          <w:sz w:val="24"/>
        </w:rPr>
        <w:t xml:space="preserve">电缆弯曲半径应不小于6倍电缆的实际外径。 </w:t>
      </w:r>
    </w:p>
    <w:p>
      <w:pPr>
        <w:snapToGrid w:val="0"/>
        <w:spacing w:line="360" w:lineRule="auto"/>
        <w:ind w:right="-17" w:rightChars="-8" w:firstLine="513" w:firstLineChars="214"/>
        <w:rPr>
          <w:rFonts w:ascii="宋体" w:hAnsi="宋体"/>
          <w:sz w:val="24"/>
        </w:rPr>
      </w:pPr>
      <w:r>
        <w:rPr>
          <w:rFonts w:hint="eastAsia" w:hAnsi="宋体" w:cs="宋体"/>
          <w:kern w:val="32"/>
          <w:sz w:val="24"/>
          <w:lang w:val="en-US" w:eastAsia="zh-CN"/>
        </w:rPr>
        <w:t>2.</w:t>
      </w:r>
      <w:r>
        <w:rPr>
          <w:rFonts w:hint="eastAsia" w:ascii="宋体" w:hAnsi="宋体"/>
          <w:sz w:val="24"/>
        </w:rPr>
        <w:t>导体</w:t>
      </w:r>
      <w:bookmarkEnd w:id="6"/>
    </w:p>
    <w:p>
      <w:pPr>
        <w:snapToGrid w:val="0"/>
        <w:spacing w:line="360" w:lineRule="auto"/>
        <w:ind w:right="-17" w:rightChars="-8" w:firstLine="513" w:firstLineChars="214"/>
        <w:rPr>
          <w:rFonts w:hint="eastAsia" w:ascii="宋体" w:hAnsi="宋体"/>
          <w:sz w:val="24"/>
        </w:rPr>
      </w:pPr>
      <w:r>
        <w:rPr>
          <w:rFonts w:hint="eastAsia" w:ascii="宋体" w:hAnsi="宋体"/>
          <w:sz w:val="24"/>
        </w:rPr>
        <w:t>导体采用不低于GB5231规定的TU2级或T2级的退火铜材料，含铜量不小于99.99％，且具有近似圆形的实芯截面。导体电阻校正值应符合GB5231、JGJ232-2011的规定。短路后直流电阻比率的变化率不大于0.2。</w:t>
      </w:r>
    </w:p>
    <w:p>
      <w:pPr>
        <w:snapToGrid w:val="0"/>
        <w:spacing w:line="360" w:lineRule="auto"/>
        <w:ind w:right="-17" w:rightChars="-8" w:firstLine="513" w:firstLineChars="214"/>
        <w:rPr>
          <w:rFonts w:hint="eastAsia" w:ascii="宋体" w:hAnsi="宋体"/>
          <w:sz w:val="24"/>
        </w:rPr>
      </w:pPr>
      <w:bookmarkStart w:id="7" w:name="_Toc152994093"/>
      <w:r>
        <w:rPr>
          <w:rFonts w:hint="eastAsia" w:ascii="宋体" w:hAnsi="宋体"/>
          <w:sz w:val="24"/>
        </w:rPr>
        <w:t>3</w:t>
      </w:r>
      <w:r>
        <w:rPr>
          <w:rFonts w:hint="eastAsia" w:hAnsi="宋体"/>
          <w:sz w:val="24"/>
          <w:lang w:val="en-US" w:eastAsia="zh-CN"/>
        </w:rPr>
        <w:t>.</w:t>
      </w:r>
      <w:r>
        <w:rPr>
          <w:rFonts w:hint="eastAsia" w:ascii="宋体" w:hAnsi="宋体"/>
          <w:sz w:val="24"/>
        </w:rPr>
        <w:t>绝缘</w:t>
      </w:r>
      <w:bookmarkEnd w:id="7"/>
    </w:p>
    <w:p>
      <w:pPr>
        <w:snapToGrid w:val="0"/>
        <w:spacing w:line="360" w:lineRule="auto"/>
        <w:ind w:right="-17" w:rightChars="-8" w:firstLine="513" w:firstLineChars="214"/>
        <w:rPr>
          <w:rFonts w:hint="eastAsia" w:ascii="宋体" w:hAnsi="宋体"/>
          <w:sz w:val="24"/>
        </w:rPr>
      </w:pPr>
      <w:r>
        <w:rPr>
          <w:rFonts w:hint="eastAsia" w:ascii="宋体" w:hAnsi="宋体"/>
          <w:sz w:val="24"/>
        </w:rPr>
        <w:t>绝缘应由压缩氧化镁等粉状无机矿物组成，其电性能符合GB/T13033的要求，粉状矿物应具有高、低温化学稳定性，对铜无腐蚀作用。成品电缆应确保绝缘粉紧密、均匀。绝缘标称厚度符合GB/T13033的要求，绝缘厚度平均值不小于规定的标称值，电缆绝缘最薄点的厚度应不小于规定标称值的80%减去0.1mm。</w:t>
      </w:r>
    </w:p>
    <w:p>
      <w:pPr>
        <w:snapToGrid w:val="0"/>
        <w:spacing w:line="360" w:lineRule="auto"/>
        <w:ind w:right="-17" w:rightChars="-8" w:firstLine="513" w:firstLineChars="214"/>
        <w:rPr>
          <w:rFonts w:hint="eastAsia" w:ascii="宋体" w:hAnsi="宋体"/>
          <w:sz w:val="24"/>
        </w:rPr>
      </w:pPr>
      <w:bookmarkStart w:id="8" w:name="_Toc152994094"/>
      <w:r>
        <w:rPr>
          <w:rFonts w:hint="eastAsia" w:ascii="宋体" w:hAnsi="宋体"/>
          <w:sz w:val="24"/>
        </w:rPr>
        <w:t>4</w:t>
      </w:r>
      <w:r>
        <w:rPr>
          <w:rFonts w:hint="eastAsia" w:hAnsi="宋体"/>
          <w:sz w:val="24"/>
          <w:lang w:val="en-US" w:eastAsia="zh-CN"/>
        </w:rPr>
        <w:t>.</w:t>
      </w:r>
      <w:r>
        <w:rPr>
          <w:rFonts w:hint="eastAsia" w:ascii="宋体" w:hAnsi="宋体"/>
          <w:sz w:val="24"/>
        </w:rPr>
        <w:t>护套</w:t>
      </w:r>
      <w:bookmarkEnd w:id="8"/>
    </w:p>
    <w:p>
      <w:pPr>
        <w:snapToGrid w:val="0"/>
        <w:spacing w:line="360" w:lineRule="auto"/>
        <w:ind w:right="-17" w:rightChars="-8" w:firstLine="513" w:firstLineChars="214"/>
        <w:rPr>
          <w:rFonts w:hint="eastAsia" w:ascii="宋体" w:hAnsi="宋体"/>
          <w:sz w:val="24"/>
        </w:rPr>
      </w:pPr>
      <w:r>
        <w:rPr>
          <w:rFonts w:hint="eastAsia" w:ascii="宋体" w:hAnsi="宋体"/>
          <w:sz w:val="24"/>
        </w:rPr>
        <w:t>铜护套应采用不低于GB5231规定的TP级磷脱氧铜管或T2级铜管材料。</w:t>
      </w:r>
    </w:p>
    <w:p>
      <w:pPr>
        <w:snapToGrid w:val="0"/>
        <w:spacing w:line="360" w:lineRule="auto"/>
        <w:ind w:right="-17" w:rightChars="-8" w:firstLine="513" w:firstLineChars="214"/>
        <w:rPr>
          <w:rFonts w:hint="eastAsia" w:ascii="宋体" w:hAnsi="宋体"/>
          <w:sz w:val="24"/>
        </w:rPr>
      </w:pPr>
      <w:r>
        <w:rPr>
          <w:rFonts w:hint="eastAsia" w:ascii="宋体" w:hAnsi="宋体"/>
          <w:sz w:val="24"/>
        </w:rPr>
        <w:t>电缆表面圆整，电缆不圆度小于5％  。</w:t>
      </w:r>
    </w:p>
    <w:p>
      <w:pPr>
        <w:snapToGrid w:val="0"/>
        <w:spacing w:line="360" w:lineRule="auto"/>
        <w:ind w:right="-17" w:rightChars="-8" w:firstLine="513" w:firstLineChars="214"/>
        <w:rPr>
          <w:rFonts w:hint="eastAsia" w:ascii="宋体" w:hAnsi="宋体"/>
          <w:sz w:val="24"/>
        </w:rPr>
      </w:pPr>
      <w:r>
        <w:rPr>
          <w:rFonts w:hint="eastAsia" w:ascii="宋体" w:hAnsi="宋体"/>
          <w:sz w:val="24"/>
        </w:rPr>
        <w:t>铜护套标称厚度和性能应符合GB/T13033的规定，铜护套最薄点的厚度不小于平均厚度的90%</w:t>
      </w:r>
    </w:p>
    <w:p>
      <w:pPr>
        <w:snapToGrid w:val="0"/>
        <w:spacing w:line="360" w:lineRule="auto"/>
        <w:ind w:right="-17" w:rightChars="-8" w:firstLine="513" w:firstLineChars="214"/>
        <w:rPr>
          <w:rFonts w:hint="eastAsia" w:ascii="宋体" w:hAnsi="宋体"/>
          <w:sz w:val="24"/>
        </w:rPr>
      </w:pPr>
      <w:r>
        <w:rPr>
          <w:rFonts w:hint="eastAsia" w:ascii="宋体" w:hAnsi="宋体"/>
          <w:sz w:val="24"/>
        </w:rPr>
        <w:t>铜护套电阻校正值应符合</w:t>
      </w:r>
      <w:r>
        <w:rPr>
          <w:rFonts w:ascii="宋体" w:hAnsi="宋体"/>
          <w:sz w:val="24"/>
        </w:rPr>
        <w:t>20</w:t>
      </w:r>
      <w:r>
        <w:rPr>
          <w:rFonts w:hint="eastAsia" w:ascii="宋体" w:hAnsi="宋体"/>
          <w:sz w:val="24"/>
        </w:rPr>
        <w:t>℃时应应符合GB5231、JGJ232-2011的规定。</w:t>
      </w:r>
    </w:p>
    <w:p>
      <w:pPr>
        <w:snapToGrid w:val="0"/>
        <w:spacing w:line="360" w:lineRule="auto"/>
        <w:ind w:right="-17" w:rightChars="-8" w:firstLine="513" w:firstLineChars="214"/>
        <w:rPr>
          <w:rFonts w:hint="eastAsia" w:ascii="宋体" w:hAnsi="宋体"/>
          <w:sz w:val="24"/>
        </w:rPr>
      </w:pPr>
      <w:r>
        <w:rPr>
          <w:rFonts w:hint="eastAsia" w:ascii="宋体" w:hAnsi="宋体"/>
          <w:sz w:val="24"/>
        </w:rPr>
        <w:t>铜护套作为保护导体使用，接地连接线的最小允许截面积应符合</w:t>
      </w:r>
      <w:r>
        <w:rPr>
          <w:rFonts w:ascii="宋体" w:hAnsi="宋体"/>
          <w:sz w:val="24"/>
        </w:rPr>
        <w:t>GB 50054-2011</w:t>
      </w:r>
      <w:r>
        <w:rPr>
          <w:rFonts w:hint="eastAsia" w:ascii="宋体" w:hAnsi="宋体"/>
          <w:sz w:val="24"/>
        </w:rPr>
        <w:t>-3.2.14以及JGJ 232-2011-4.10.1的规定。</w:t>
      </w:r>
    </w:p>
    <w:p>
      <w:pPr>
        <w:snapToGrid w:val="0"/>
        <w:spacing w:line="360" w:lineRule="auto"/>
        <w:ind w:right="-17" w:rightChars="-8" w:firstLine="513" w:firstLineChars="214"/>
        <w:rPr>
          <w:rFonts w:hint="eastAsia" w:ascii="宋体" w:hAnsi="宋体"/>
          <w:sz w:val="24"/>
        </w:rPr>
      </w:pPr>
      <w:bookmarkStart w:id="9" w:name="_Toc152994095"/>
      <w:r>
        <w:rPr>
          <w:rFonts w:hint="eastAsia" w:ascii="宋体" w:hAnsi="宋体"/>
          <w:sz w:val="24"/>
        </w:rPr>
        <w:t>5</w:t>
      </w:r>
      <w:r>
        <w:rPr>
          <w:rFonts w:hint="eastAsia" w:hAnsi="宋体"/>
          <w:sz w:val="24"/>
          <w:lang w:val="en-US" w:eastAsia="zh-CN"/>
        </w:rPr>
        <w:t>.</w:t>
      </w:r>
      <w:r>
        <w:rPr>
          <w:rFonts w:hint="eastAsia" w:ascii="宋体" w:hAnsi="宋体"/>
          <w:sz w:val="24"/>
        </w:rPr>
        <w:t>接地铜片</w:t>
      </w:r>
      <w:bookmarkEnd w:id="9"/>
    </w:p>
    <w:p>
      <w:pPr>
        <w:snapToGrid w:val="0"/>
        <w:spacing w:line="360" w:lineRule="auto"/>
        <w:ind w:right="-17" w:rightChars="-8" w:firstLine="513" w:firstLineChars="214"/>
        <w:rPr>
          <w:rFonts w:hint="eastAsia" w:ascii="宋体" w:hAnsi="宋体"/>
          <w:sz w:val="24"/>
        </w:rPr>
      </w:pPr>
      <w:r>
        <w:rPr>
          <w:rFonts w:hint="eastAsia" w:ascii="宋体" w:hAnsi="宋体"/>
          <w:sz w:val="24"/>
        </w:rPr>
        <w:t>供货商必须提供按照建设部标准图集《矿物绝缘电缆敷设》中，所规定的接地铜片，并提供详细的零件图。</w:t>
      </w:r>
    </w:p>
    <w:p>
      <w:pPr>
        <w:snapToGrid w:val="0"/>
        <w:spacing w:line="360" w:lineRule="auto"/>
        <w:ind w:right="-17" w:rightChars="-8" w:firstLine="513" w:firstLineChars="214"/>
        <w:rPr>
          <w:rFonts w:hint="eastAsia" w:ascii="宋体" w:hAnsi="宋体"/>
          <w:sz w:val="24"/>
        </w:rPr>
      </w:pPr>
      <w:bookmarkStart w:id="10" w:name="_Toc152994096"/>
      <w:r>
        <w:rPr>
          <w:rFonts w:hint="eastAsia" w:ascii="宋体" w:hAnsi="宋体"/>
          <w:sz w:val="24"/>
        </w:rPr>
        <w:t>6</w:t>
      </w:r>
      <w:r>
        <w:rPr>
          <w:rFonts w:hint="eastAsia" w:hAnsi="宋体"/>
          <w:sz w:val="24"/>
          <w:lang w:val="en-US" w:eastAsia="zh-CN"/>
        </w:rPr>
        <w:t>.</w:t>
      </w:r>
      <w:r>
        <w:rPr>
          <w:rFonts w:hint="eastAsia" w:ascii="宋体" w:hAnsi="宋体"/>
          <w:sz w:val="24"/>
        </w:rPr>
        <w:t>分线箱</w:t>
      </w:r>
      <w:bookmarkEnd w:id="10"/>
    </w:p>
    <w:p>
      <w:pPr>
        <w:snapToGrid w:val="0"/>
        <w:spacing w:line="360" w:lineRule="auto"/>
        <w:ind w:right="-17" w:rightChars="-8" w:firstLine="513" w:firstLineChars="214"/>
        <w:rPr>
          <w:rFonts w:hint="eastAsia" w:ascii="宋体" w:hAnsi="宋体"/>
          <w:sz w:val="24"/>
        </w:rPr>
      </w:pPr>
      <w:r>
        <w:rPr>
          <w:rFonts w:hint="eastAsia" w:ascii="宋体" w:hAnsi="宋体"/>
          <w:sz w:val="24"/>
        </w:rPr>
        <w:t>分线箱是用于连接主干线与分支线的装置。连接箱的材料为</w:t>
      </w:r>
      <w:r>
        <w:rPr>
          <w:rFonts w:ascii="宋体" w:hAnsi="宋体"/>
          <w:sz w:val="24"/>
        </w:rPr>
        <w:t>优质敷铝锌钢板</w:t>
      </w:r>
      <w:r>
        <w:rPr>
          <w:rFonts w:hint="eastAsia" w:ascii="宋体" w:hAnsi="宋体"/>
          <w:sz w:val="24"/>
        </w:rPr>
        <w:t>，外壳</w:t>
      </w:r>
      <w:r>
        <w:rPr>
          <w:rFonts w:ascii="宋体" w:hAnsi="宋体"/>
          <w:sz w:val="24"/>
        </w:rPr>
        <w:t>厚度不小于2mm</w:t>
      </w:r>
      <w:r>
        <w:rPr>
          <w:rFonts w:hint="eastAsia" w:ascii="宋体" w:hAnsi="宋体"/>
          <w:sz w:val="24"/>
        </w:rPr>
        <w:t>，</w:t>
      </w:r>
      <w:r>
        <w:rPr>
          <w:rFonts w:ascii="宋体" w:hAnsi="宋体"/>
          <w:sz w:val="24"/>
        </w:rPr>
        <w:t>其防护等级</w:t>
      </w:r>
      <w:r>
        <w:rPr>
          <w:rFonts w:hint="eastAsia" w:ascii="宋体" w:hAnsi="宋体"/>
          <w:sz w:val="24"/>
        </w:rPr>
        <w:t>不低于GB 4208-2008的</w:t>
      </w:r>
      <w:r>
        <w:rPr>
          <w:rFonts w:ascii="宋体" w:hAnsi="宋体"/>
          <w:sz w:val="24"/>
        </w:rPr>
        <w:t>要求</w:t>
      </w:r>
      <w:r>
        <w:rPr>
          <w:rFonts w:hint="eastAsia" w:ascii="宋体" w:hAnsi="宋体"/>
          <w:sz w:val="24"/>
        </w:rPr>
        <w:t>。箱内连接排的载流量需大于主干导体的载流量。铜排表面需镀锡处理。铜排与箱体之间需有绝缘子进行绝缘。</w:t>
      </w:r>
    </w:p>
    <w:p>
      <w:pPr>
        <w:snapToGrid w:val="0"/>
        <w:spacing w:line="360" w:lineRule="auto"/>
        <w:ind w:right="-17" w:rightChars="-8" w:firstLine="513" w:firstLineChars="214"/>
        <w:rPr>
          <w:rFonts w:hint="eastAsia" w:ascii="宋体" w:hAnsi="宋体"/>
          <w:sz w:val="24"/>
        </w:rPr>
      </w:pPr>
      <w:bookmarkStart w:id="11" w:name="_Toc152994097"/>
      <w:r>
        <w:rPr>
          <w:rFonts w:hint="eastAsia" w:ascii="宋体" w:hAnsi="宋体"/>
          <w:sz w:val="24"/>
        </w:rPr>
        <w:t>7</w:t>
      </w:r>
      <w:r>
        <w:rPr>
          <w:rFonts w:hint="eastAsia" w:hAnsi="宋体"/>
          <w:sz w:val="24"/>
          <w:lang w:val="en-US" w:eastAsia="zh-CN"/>
        </w:rPr>
        <w:t>.</w:t>
      </w:r>
      <w:r>
        <w:rPr>
          <w:rFonts w:hint="eastAsia" w:ascii="宋体" w:hAnsi="宋体"/>
          <w:sz w:val="24"/>
        </w:rPr>
        <w:t>中间连接器</w:t>
      </w:r>
      <w:bookmarkEnd w:id="11"/>
    </w:p>
    <w:p>
      <w:pPr>
        <w:snapToGrid w:val="0"/>
        <w:spacing w:line="360" w:lineRule="auto"/>
        <w:ind w:right="-17" w:rightChars="-8" w:firstLine="513" w:firstLineChars="214"/>
        <w:rPr>
          <w:rFonts w:hint="eastAsia" w:ascii="宋体" w:hAnsi="宋体"/>
          <w:sz w:val="24"/>
        </w:rPr>
      </w:pPr>
      <w:r>
        <w:rPr>
          <w:rFonts w:hint="eastAsia" w:ascii="宋体" w:hAnsi="宋体"/>
          <w:sz w:val="24"/>
        </w:rPr>
        <w:t>当电缆长度不够长时，需采用中间连接器附件。中间连接器附件是能将两种相同规格的电缆连接起来成为一根电缆的装置，包括但不限于中间封套、中间连接铜管、两套终端密封罐、热缩套管、中间连接端子。耐火等级应不低于电缆本体。</w:t>
      </w:r>
    </w:p>
    <w:p>
      <w:pPr>
        <w:snapToGrid w:val="0"/>
        <w:spacing w:line="360" w:lineRule="auto"/>
        <w:ind w:right="-17" w:rightChars="-8" w:firstLine="513" w:firstLineChars="214"/>
        <w:rPr>
          <w:rFonts w:hint="eastAsia" w:ascii="宋体" w:hAnsi="宋体"/>
          <w:sz w:val="24"/>
        </w:rPr>
      </w:pPr>
      <w:r>
        <w:rPr>
          <w:rFonts w:hint="eastAsia" w:ascii="宋体" w:hAnsi="宋体"/>
          <w:sz w:val="24"/>
        </w:rPr>
        <w:t>8</w:t>
      </w:r>
      <w:r>
        <w:rPr>
          <w:rFonts w:hint="eastAsia" w:hAnsi="宋体"/>
          <w:sz w:val="24"/>
          <w:lang w:val="en-US" w:eastAsia="zh-CN"/>
        </w:rPr>
        <w:t>.</w:t>
      </w:r>
      <w:r>
        <w:rPr>
          <w:rFonts w:hint="eastAsia" w:ascii="宋体" w:hAnsi="宋体"/>
          <w:sz w:val="24"/>
        </w:rPr>
        <w:t>所有电缆应满足GB/T 13033标准，可直接安装在管道、支架或直接用夹子固定，所有电缆必须有足够的强度以满足电力排管施工的需要。</w:t>
      </w:r>
    </w:p>
    <w:p>
      <w:pPr>
        <w:pStyle w:val="10"/>
        <w:spacing w:line="360" w:lineRule="auto"/>
        <w:ind w:left="482" w:hanging="482"/>
        <w:outlineLvl w:val="1"/>
        <w:rPr>
          <w:rFonts w:hint="eastAsia" w:ascii="宋体" w:hAnsi="宋体" w:eastAsia="宋体" w:cs="Times New Roman"/>
          <w:kern w:val="0"/>
          <w:sz w:val="24"/>
          <w:lang w:val="zh-CN" w:eastAsia="zh-CN" w:bidi="ar-SA"/>
        </w:rPr>
      </w:pPr>
      <w:bookmarkStart w:id="12" w:name="_Toc454872298"/>
      <w:bookmarkStart w:id="13" w:name="_Toc152994101"/>
      <w:r>
        <w:rPr>
          <w:rFonts w:hint="eastAsia" w:ascii="宋体" w:hAnsi="宋体" w:eastAsia="宋体" w:cs="Times New Roman"/>
          <w:kern w:val="0"/>
          <w:sz w:val="24"/>
          <w:lang w:val="en-US" w:eastAsia="zh-CN" w:bidi="ar-SA"/>
        </w:rPr>
        <w:t>6.1.8</w:t>
      </w:r>
      <w:r>
        <w:rPr>
          <w:rFonts w:hint="eastAsia" w:ascii="宋体" w:hAnsi="宋体" w:eastAsia="宋体" w:cs="Times New Roman"/>
          <w:kern w:val="0"/>
          <w:sz w:val="24"/>
          <w:lang w:val="zh-CN" w:eastAsia="zh-CN" w:bidi="ar-SA"/>
        </w:rPr>
        <w:t>其它</w:t>
      </w:r>
      <w:bookmarkEnd w:id="12"/>
    </w:p>
    <w:p>
      <w:pPr>
        <w:snapToGrid w:val="0"/>
        <w:spacing w:line="360" w:lineRule="auto"/>
        <w:ind w:right="-17" w:rightChars="-8" w:firstLine="513" w:firstLineChars="214"/>
        <w:rPr>
          <w:rFonts w:hint="eastAsia" w:ascii="宋体" w:hAnsi="宋体"/>
          <w:sz w:val="24"/>
        </w:rPr>
      </w:pPr>
      <w:r>
        <w:rPr>
          <w:rFonts w:hint="eastAsia" w:ascii="宋体" w:hAnsi="宋体"/>
          <w:sz w:val="24"/>
        </w:rPr>
        <w:t>1</w:t>
      </w:r>
      <w:r>
        <w:rPr>
          <w:rFonts w:hint="eastAsia" w:hAnsi="宋体"/>
          <w:sz w:val="24"/>
          <w:lang w:val="en-US" w:eastAsia="zh-CN"/>
        </w:rPr>
        <w:t>.</w:t>
      </w:r>
      <w:r>
        <w:rPr>
          <w:rFonts w:hint="eastAsia" w:ascii="宋体" w:hAnsi="宋体"/>
          <w:sz w:val="24"/>
        </w:rPr>
        <w:t>试验</w:t>
      </w:r>
      <w:bookmarkEnd w:id="13"/>
    </w:p>
    <w:p>
      <w:pPr>
        <w:snapToGrid w:val="0"/>
        <w:spacing w:line="360" w:lineRule="auto"/>
        <w:ind w:right="-17" w:rightChars="-8" w:firstLine="513" w:firstLineChars="214"/>
        <w:rPr>
          <w:rFonts w:hint="eastAsia" w:ascii="宋体" w:hAnsi="宋体"/>
          <w:sz w:val="24"/>
        </w:rPr>
      </w:pPr>
      <w:r>
        <w:rPr>
          <w:rFonts w:hint="eastAsia" w:ascii="宋体" w:hAnsi="宋体"/>
          <w:sz w:val="24"/>
        </w:rPr>
        <w:t>1）导体直流电阻试验   导体直流电阻试验在每一电缆所有导体上进行测量，符合GB/T3048的规定。</w:t>
      </w:r>
    </w:p>
    <w:p>
      <w:pPr>
        <w:snapToGrid w:val="0"/>
        <w:spacing w:line="360" w:lineRule="auto"/>
        <w:ind w:right="-17" w:rightChars="-8" w:firstLine="513" w:firstLineChars="214"/>
        <w:rPr>
          <w:rFonts w:hint="eastAsia" w:ascii="宋体" w:hAnsi="宋体"/>
          <w:sz w:val="24"/>
        </w:rPr>
      </w:pPr>
      <w:r>
        <w:rPr>
          <w:rFonts w:hint="eastAsia" w:ascii="宋体" w:hAnsi="宋体"/>
          <w:sz w:val="24"/>
        </w:rPr>
        <w:t>耐压试验</w:t>
      </w:r>
    </w:p>
    <w:p>
      <w:pPr>
        <w:snapToGrid w:val="0"/>
        <w:spacing w:line="360" w:lineRule="auto"/>
        <w:ind w:right="-17" w:rightChars="-8" w:firstLine="513" w:firstLineChars="214"/>
        <w:rPr>
          <w:rFonts w:hint="eastAsia" w:ascii="宋体" w:hAnsi="宋体"/>
          <w:sz w:val="24"/>
        </w:rPr>
      </w:pPr>
      <w:r>
        <w:rPr>
          <w:rFonts w:hint="eastAsia" w:ascii="宋体" w:hAnsi="宋体"/>
          <w:sz w:val="24"/>
        </w:rPr>
        <w:t>2）耐压试验在每一导体和护套之间和芯与芯之间施加工频电压进行测量，符合GB/T13033的规定：试样段电压试验（2500V持续15min），不击穿。</w:t>
      </w:r>
    </w:p>
    <w:p>
      <w:pPr>
        <w:snapToGrid w:val="0"/>
        <w:spacing w:line="360" w:lineRule="auto"/>
        <w:ind w:right="-17" w:rightChars="-8" w:firstLine="513" w:firstLineChars="214"/>
        <w:rPr>
          <w:rFonts w:hint="eastAsia" w:ascii="宋体" w:hAnsi="宋体"/>
          <w:sz w:val="24"/>
        </w:rPr>
      </w:pPr>
      <w:r>
        <w:rPr>
          <w:rFonts w:hint="eastAsia" w:ascii="宋体" w:hAnsi="宋体"/>
          <w:sz w:val="24"/>
        </w:rPr>
        <w:t>弯曲后电压试验（1250V持续15min），不击穿。压扁后电压试验（1250V持续15min），不击穿。</w:t>
      </w:r>
    </w:p>
    <w:p>
      <w:pPr>
        <w:snapToGrid w:val="0"/>
        <w:spacing w:line="360" w:lineRule="auto"/>
        <w:ind w:right="-17" w:rightChars="-8" w:firstLine="513" w:firstLineChars="214"/>
        <w:rPr>
          <w:rFonts w:hint="eastAsia" w:ascii="宋体" w:hAnsi="宋体"/>
          <w:sz w:val="24"/>
        </w:rPr>
      </w:pPr>
      <w:r>
        <w:rPr>
          <w:rFonts w:hint="eastAsia" w:ascii="宋体" w:hAnsi="宋体"/>
          <w:sz w:val="24"/>
        </w:rPr>
        <w:t>3）保持线路完整性试验</w:t>
      </w:r>
    </w:p>
    <w:p>
      <w:pPr>
        <w:snapToGrid w:val="0"/>
        <w:spacing w:line="360" w:lineRule="auto"/>
        <w:ind w:right="-17" w:rightChars="-8" w:firstLine="513" w:firstLineChars="214"/>
        <w:rPr>
          <w:rFonts w:hint="eastAsia" w:ascii="宋体" w:hAnsi="宋体"/>
          <w:sz w:val="24"/>
        </w:rPr>
      </w:pPr>
      <w:r>
        <w:rPr>
          <w:rFonts w:hint="eastAsia" w:ascii="宋体" w:hAnsi="宋体"/>
          <w:sz w:val="24"/>
        </w:rPr>
        <w:t>保持线路完整性试验需满足</w:t>
      </w:r>
      <w:r>
        <w:rPr>
          <w:rFonts w:ascii="宋体" w:hAnsi="宋体"/>
          <w:sz w:val="24"/>
        </w:rPr>
        <w:t>GB/T 19216.21</w:t>
      </w:r>
      <w:r>
        <w:rPr>
          <w:rFonts w:hint="eastAsia" w:ascii="宋体" w:hAnsi="宋体"/>
          <w:sz w:val="24"/>
        </w:rPr>
        <w:t>的规定。</w:t>
      </w:r>
    </w:p>
    <w:p>
      <w:pPr>
        <w:snapToGrid w:val="0"/>
        <w:spacing w:line="360" w:lineRule="auto"/>
        <w:ind w:right="-17" w:rightChars="-8" w:firstLine="513" w:firstLineChars="214"/>
        <w:rPr>
          <w:rFonts w:hint="eastAsia" w:ascii="宋体" w:hAnsi="宋体"/>
          <w:sz w:val="24"/>
        </w:rPr>
      </w:pPr>
      <w:r>
        <w:rPr>
          <w:rFonts w:hint="eastAsia" w:ascii="宋体" w:hAnsi="宋体"/>
          <w:sz w:val="24"/>
        </w:rPr>
        <w:t>4）绝缘试验</w:t>
      </w:r>
    </w:p>
    <w:p>
      <w:pPr>
        <w:snapToGrid w:val="0"/>
        <w:spacing w:line="360" w:lineRule="auto"/>
        <w:ind w:right="-17" w:rightChars="-8" w:firstLine="513" w:firstLineChars="214"/>
        <w:rPr>
          <w:rFonts w:hint="eastAsia" w:ascii="宋体" w:hAnsi="宋体"/>
          <w:sz w:val="24"/>
        </w:rPr>
      </w:pPr>
      <w:r>
        <w:rPr>
          <w:rFonts w:hint="eastAsia" w:ascii="宋体" w:hAnsi="宋体"/>
          <w:sz w:val="24"/>
        </w:rPr>
        <w:t>绝缘试验在每一导体和护套之间进行测量，符合GB/T13033规定。</w:t>
      </w:r>
    </w:p>
    <w:p>
      <w:pPr>
        <w:snapToGrid w:val="0"/>
        <w:spacing w:line="360" w:lineRule="auto"/>
        <w:ind w:right="-17" w:rightChars="-8" w:firstLine="513" w:firstLineChars="214"/>
        <w:rPr>
          <w:rFonts w:hint="eastAsia" w:ascii="宋体" w:hAnsi="宋体"/>
          <w:sz w:val="24"/>
        </w:rPr>
      </w:pPr>
      <w:r>
        <w:rPr>
          <w:rFonts w:hint="eastAsia" w:ascii="宋体" w:hAnsi="宋体"/>
          <w:sz w:val="24"/>
        </w:rPr>
        <w:t>抽样试验</w:t>
      </w:r>
    </w:p>
    <w:p>
      <w:pPr>
        <w:snapToGrid w:val="0"/>
        <w:spacing w:line="360" w:lineRule="auto"/>
        <w:ind w:right="-17" w:rightChars="-8" w:firstLine="513" w:firstLineChars="214"/>
        <w:rPr>
          <w:rFonts w:hint="eastAsia" w:ascii="宋体" w:hAnsi="宋体"/>
          <w:sz w:val="24"/>
        </w:rPr>
      </w:pPr>
      <w:r>
        <w:rPr>
          <w:rFonts w:hint="eastAsia" w:ascii="宋体" w:hAnsi="宋体"/>
          <w:sz w:val="24"/>
        </w:rPr>
        <w:t>5）抽样试验按GB/T13033-2007及下表要求进行，并将试验报告提交业主。</w:t>
      </w:r>
    </w:p>
    <w:p>
      <w:pPr>
        <w:snapToGrid w:val="0"/>
        <w:spacing w:line="360" w:lineRule="auto"/>
        <w:ind w:right="-17" w:rightChars="-8" w:firstLine="513" w:firstLineChars="214"/>
        <w:jc w:val="center"/>
        <w:rPr>
          <w:rFonts w:hint="eastAsia" w:ascii="宋体" w:hAnsi="宋体"/>
          <w:sz w:val="24"/>
        </w:rPr>
      </w:pPr>
      <w:r>
        <w:rPr>
          <w:rFonts w:hint="eastAsia" w:ascii="宋体" w:hAnsi="宋体"/>
          <w:sz w:val="24"/>
        </w:rPr>
        <w:t>抽样试验项目</w:t>
      </w:r>
    </w:p>
    <w:tbl>
      <w:tblPr>
        <w:tblStyle w:val="12"/>
        <w:tblW w:w="8233" w:type="dxa"/>
        <w:tblInd w:w="28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4075"/>
        <w:gridCol w:w="2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top"/>
          </w:tcPr>
          <w:p>
            <w:pPr>
              <w:pStyle w:val="5"/>
              <w:keepNext w:val="0"/>
              <w:keepLines w:val="0"/>
              <w:spacing w:line="240" w:lineRule="auto"/>
              <w:ind w:left="739" w:hanging="739" w:hangingChars="308"/>
              <w:jc w:val="center"/>
              <w:rPr>
                <w:rFonts w:hint="eastAsia" w:ascii="宋体" w:hAnsi="宋体"/>
                <w:b w:val="0"/>
                <w:sz w:val="24"/>
                <w:szCs w:val="24"/>
              </w:rPr>
            </w:pPr>
            <w:r>
              <w:rPr>
                <w:rFonts w:hint="eastAsia" w:ascii="宋体" w:hAnsi="宋体"/>
                <w:b w:val="0"/>
                <w:sz w:val="24"/>
                <w:szCs w:val="24"/>
              </w:rPr>
              <w:t>序号</w:t>
            </w:r>
          </w:p>
        </w:tc>
        <w:tc>
          <w:tcPr>
            <w:tcW w:w="4075" w:type="dxa"/>
            <w:vAlign w:val="top"/>
          </w:tcPr>
          <w:p>
            <w:pPr>
              <w:pStyle w:val="5"/>
              <w:keepNext w:val="0"/>
              <w:keepLines w:val="0"/>
              <w:spacing w:line="240" w:lineRule="auto"/>
              <w:ind w:firstLine="463" w:firstLineChars="193"/>
              <w:jc w:val="center"/>
              <w:rPr>
                <w:rFonts w:hint="eastAsia" w:ascii="宋体" w:hAnsi="宋体"/>
                <w:b w:val="0"/>
                <w:sz w:val="24"/>
                <w:szCs w:val="24"/>
              </w:rPr>
            </w:pPr>
            <w:r>
              <w:rPr>
                <w:rFonts w:hint="eastAsia" w:ascii="宋体" w:hAnsi="宋体"/>
                <w:b w:val="0"/>
                <w:sz w:val="24"/>
                <w:szCs w:val="24"/>
              </w:rPr>
              <w:t>试验项目</w:t>
            </w:r>
          </w:p>
        </w:tc>
        <w:tc>
          <w:tcPr>
            <w:tcW w:w="2837" w:type="dxa"/>
            <w:vAlign w:val="top"/>
          </w:tcPr>
          <w:p>
            <w:pPr>
              <w:pStyle w:val="5"/>
              <w:keepNext w:val="0"/>
              <w:keepLines w:val="0"/>
              <w:spacing w:line="240" w:lineRule="auto"/>
              <w:ind w:firstLine="463" w:firstLineChars="193"/>
              <w:jc w:val="center"/>
              <w:rPr>
                <w:rFonts w:hint="eastAsia" w:ascii="宋体" w:hAnsi="宋体"/>
                <w:b w:val="0"/>
                <w:sz w:val="24"/>
                <w:szCs w:val="24"/>
              </w:rPr>
            </w:pPr>
            <w:r>
              <w:rPr>
                <w:rFonts w:hint="eastAsia" w:ascii="宋体" w:hAnsi="宋体"/>
                <w:b w:val="0"/>
                <w:sz w:val="24"/>
                <w:szCs w:val="24"/>
              </w:rPr>
              <w:t>试验方法标准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top"/>
          </w:tcPr>
          <w:p>
            <w:pPr>
              <w:pStyle w:val="5"/>
              <w:keepNext w:val="0"/>
              <w:keepLines w:val="0"/>
              <w:spacing w:line="240" w:lineRule="auto"/>
              <w:ind w:firstLine="463" w:firstLineChars="193"/>
              <w:rPr>
                <w:rFonts w:hint="eastAsia" w:ascii="宋体" w:hAnsi="宋体"/>
                <w:b w:val="0"/>
                <w:sz w:val="24"/>
                <w:szCs w:val="24"/>
              </w:rPr>
            </w:pPr>
            <w:r>
              <w:rPr>
                <w:rFonts w:hint="eastAsia" w:ascii="宋体" w:hAnsi="宋体"/>
                <w:b w:val="0"/>
                <w:sz w:val="24"/>
                <w:szCs w:val="24"/>
              </w:rPr>
              <w:t>1</w:t>
            </w:r>
          </w:p>
        </w:tc>
        <w:tc>
          <w:tcPr>
            <w:tcW w:w="4075" w:type="dxa"/>
            <w:vAlign w:val="top"/>
          </w:tcPr>
          <w:p>
            <w:pPr>
              <w:pStyle w:val="5"/>
              <w:keepNext w:val="0"/>
              <w:keepLines w:val="0"/>
              <w:spacing w:line="240" w:lineRule="auto"/>
              <w:ind w:firstLine="463" w:firstLineChars="193"/>
              <w:jc w:val="center"/>
              <w:rPr>
                <w:rFonts w:hint="eastAsia" w:ascii="宋体" w:hAnsi="宋体"/>
                <w:b w:val="0"/>
                <w:sz w:val="24"/>
                <w:szCs w:val="24"/>
              </w:rPr>
            </w:pPr>
            <w:r>
              <w:rPr>
                <w:rFonts w:hint="eastAsia" w:ascii="宋体" w:hAnsi="宋体"/>
                <w:b w:val="0"/>
                <w:sz w:val="24"/>
                <w:szCs w:val="24"/>
              </w:rPr>
              <w:t>结构检查</w:t>
            </w:r>
          </w:p>
        </w:tc>
        <w:tc>
          <w:tcPr>
            <w:tcW w:w="2837" w:type="dxa"/>
            <w:vAlign w:val="top"/>
          </w:tcPr>
          <w:p>
            <w:pPr>
              <w:pStyle w:val="5"/>
              <w:keepNext w:val="0"/>
              <w:keepLines w:val="0"/>
              <w:spacing w:line="240" w:lineRule="auto"/>
              <w:ind w:firstLine="463" w:firstLineChars="193"/>
              <w:jc w:val="center"/>
              <w:rPr>
                <w:rFonts w:hint="eastAsia" w:ascii="宋体" w:hAnsi="宋体"/>
                <w:b w:val="0"/>
                <w:sz w:val="24"/>
                <w:szCs w:val="24"/>
              </w:rPr>
            </w:pPr>
            <w:r>
              <w:rPr>
                <w:rFonts w:hint="eastAsia" w:ascii="宋体" w:hAnsi="宋体"/>
                <w:b w:val="0"/>
                <w:sz w:val="24"/>
                <w:szCs w:val="24"/>
              </w:rPr>
              <w:t>GB/T 2951.1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top"/>
          </w:tcPr>
          <w:p>
            <w:pPr>
              <w:pStyle w:val="5"/>
              <w:keepNext w:val="0"/>
              <w:keepLines w:val="0"/>
              <w:spacing w:line="240" w:lineRule="auto"/>
              <w:ind w:firstLine="463" w:firstLineChars="193"/>
              <w:rPr>
                <w:rFonts w:hint="eastAsia" w:ascii="宋体" w:hAnsi="宋体"/>
                <w:b w:val="0"/>
                <w:sz w:val="24"/>
                <w:szCs w:val="24"/>
              </w:rPr>
            </w:pPr>
            <w:r>
              <w:rPr>
                <w:rFonts w:hint="eastAsia" w:ascii="宋体" w:hAnsi="宋体"/>
                <w:b w:val="0"/>
                <w:sz w:val="24"/>
                <w:szCs w:val="24"/>
              </w:rPr>
              <w:t>2</w:t>
            </w:r>
          </w:p>
        </w:tc>
        <w:tc>
          <w:tcPr>
            <w:tcW w:w="4075" w:type="dxa"/>
            <w:vAlign w:val="top"/>
          </w:tcPr>
          <w:p>
            <w:pPr>
              <w:pStyle w:val="5"/>
              <w:keepNext w:val="0"/>
              <w:keepLines w:val="0"/>
              <w:spacing w:line="240" w:lineRule="auto"/>
              <w:ind w:firstLine="463" w:firstLineChars="193"/>
              <w:jc w:val="center"/>
              <w:rPr>
                <w:rFonts w:hint="eastAsia" w:ascii="宋体" w:hAnsi="宋体"/>
                <w:b w:val="0"/>
                <w:sz w:val="24"/>
                <w:szCs w:val="24"/>
              </w:rPr>
            </w:pPr>
            <w:r>
              <w:rPr>
                <w:rFonts w:hint="eastAsia" w:ascii="宋体" w:hAnsi="宋体"/>
                <w:b w:val="0"/>
                <w:sz w:val="24"/>
                <w:szCs w:val="24"/>
              </w:rPr>
              <w:t>交流电压试验</w:t>
            </w:r>
          </w:p>
        </w:tc>
        <w:tc>
          <w:tcPr>
            <w:tcW w:w="2837" w:type="dxa"/>
            <w:vAlign w:val="top"/>
          </w:tcPr>
          <w:p>
            <w:pPr>
              <w:pStyle w:val="5"/>
              <w:keepNext w:val="0"/>
              <w:keepLines w:val="0"/>
              <w:spacing w:line="240" w:lineRule="auto"/>
              <w:ind w:firstLine="463" w:firstLineChars="193"/>
              <w:jc w:val="center"/>
              <w:rPr>
                <w:rFonts w:hint="eastAsia" w:ascii="宋体" w:hAnsi="宋体"/>
                <w:b w:val="0"/>
                <w:sz w:val="24"/>
                <w:szCs w:val="24"/>
              </w:rPr>
            </w:pPr>
            <w:r>
              <w:rPr>
                <w:rFonts w:hint="eastAsia" w:ascii="宋体" w:hAnsi="宋体"/>
                <w:b w:val="0"/>
                <w:sz w:val="24"/>
                <w:szCs w:val="24"/>
              </w:rPr>
              <w:t>GB/T 3048.8</w:t>
            </w:r>
          </w:p>
        </w:tc>
      </w:tr>
    </w:tbl>
    <w:p>
      <w:pPr>
        <w:snapToGrid w:val="0"/>
        <w:spacing w:line="360" w:lineRule="auto"/>
        <w:ind w:right="-17" w:rightChars="-8" w:firstLine="513" w:firstLineChars="214"/>
        <w:rPr>
          <w:rFonts w:hint="eastAsia" w:ascii="宋体" w:hAnsi="宋体"/>
          <w:sz w:val="24"/>
        </w:rPr>
      </w:pPr>
      <w:r>
        <w:rPr>
          <w:rFonts w:hint="eastAsia" w:ascii="宋体" w:hAnsi="宋体"/>
          <w:sz w:val="24"/>
        </w:rPr>
        <w:t>6）检验报告</w:t>
      </w:r>
    </w:p>
    <w:p>
      <w:pPr>
        <w:snapToGrid w:val="0"/>
        <w:spacing w:line="360" w:lineRule="auto"/>
        <w:ind w:right="-17" w:rightChars="-8" w:firstLine="513" w:firstLineChars="214"/>
        <w:rPr>
          <w:rFonts w:hint="eastAsia" w:ascii="宋体" w:hAnsi="宋体"/>
          <w:sz w:val="24"/>
        </w:rPr>
      </w:pPr>
      <w:r>
        <w:rPr>
          <w:rFonts w:hint="eastAsia" w:ascii="宋体" w:hAnsi="宋体"/>
          <w:sz w:val="24"/>
        </w:rPr>
        <w:t>供货商须提供国家电线电缆质量监督检验中心颁发的矿物绝缘电缆的检验报告。</w:t>
      </w:r>
    </w:p>
    <w:p>
      <w:pPr>
        <w:snapToGrid w:val="0"/>
        <w:spacing w:line="360" w:lineRule="auto"/>
        <w:ind w:right="-17" w:rightChars="-8" w:firstLine="513" w:firstLineChars="214"/>
        <w:rPr>
          <w:rFonts w:hint="eastAsia" w:ascii="宋体" w:hAnsi="宋体"/>
          <w:sz w:val="24"/>
        </w:rPr>
      </w:pPr>
      <w:r>
        <w:rPr>
          <w:rFonts w:hint="eastAsia" w:ascii="宋体" w:hAnsi="宋体"/>
          <w:sz w:val="24"/>
        </w:rPr>
        <w:t>安装后的电气试验：电缆线路工频耐压交流2500V/1min。</w:t>
      </w:r>
    </w:p>
    <w:p>
      <w:pPr>
        <w:snapToGrid w:val="0"/>
        <w:spacing w:line="360" w:lineRule="auto"/>
        <w:ind w:right="-17" w:rightChars="-8" w:firstLine="513" w:firstLineChars="214"/>
        <w:rPr>
          <w:rFonts w:hint="eastAsia" w:ascii="宋体" w:hAnsi="宋体"/>
          <w:sz w:val="24"/>
        </w:rPr>
      </w:pPr>
      <w:bookmarkStart w:id="14" w:name="_Toc152994102"/>
      <w:r>
        <w:rPr>
          <w:rFonts w:hint="eastAsia" w:ascii="宋体" w:hAnsi="宋体"/>
          <w:sz w:val="24"/>
        </w:rPr>
        <w:t>2</w:t>
      </w:r>
      <w:r>
        <w:rPr>
          <w:rFonts w:hint="eastAsia" w:hAnsi="宋体"/>
          <w:sz w:val="24"/>
          <w:lang w:val="en-US" w:eastAsia="zh-CN"/>
        </w:rPr>
        <w:t>.</w:t>
      </w:r>
      <w:r>
        <w:rPr>
          <w:rFonts w:hint="eastAsia" w:ascii="宋体" w:hAnsi="宋体"/>
          <w:sz w:val="24"/>
        </w:rPr>
        <w:t>封端</w:t>
      </w:r>
      <w:bookmarkEnd w:id="14"/>
    </w:p>
    <w:p>
      <w:pPr>
        <w:snapToGrid w:val="0"/>
        <w:spacing w:line="360" w:lineRule="auto"/>
        <w:ind w:right="-17" w:rightChars="-8" w:firstLine="513" w:firstLineChars="214"/>
        <w:rPr>
          <w:rFonts w:hint="eastAsia" w:ascii="宋体" w:hAnsi="宋体"/>
          <w:sz w:val="24"/>
        </w:rPr>
      </w:pPr>
      <w:r>
        <w:rPr>
          <w:rFonts w:hint="eastAsia" w:ascii="宋体" w:hAnsi="宋体"/>
          <w:sz w:val="24"/>
        </w:rPr>
        <w:t>1）封端由一种隔潮密封的部件构成。</w:t>
      </w:r>
    </w:p>
    <w:p>
      <w:pPr>
        <w:snapToGrid w:val="0"/>
        <w:spacing w:line="360" w:lineRule="auto"/>
        <w:ind w:right="-17" w:rightChars="-8" w:firstLine="513" w:firstLineChars="214"/>
        <w:rPr>
          <w:rFonts w:hint="eastAsia" w:ascii="宋体" w:hAnsi="宋体"/>
          <w:sz w:val="24"/>
        </w:rPr>
      </w:pPr>
      <w:r>
        <w:rPr>
          <w:rFonts w:hint="eastAsia" w:ascii="宋体" w:hAnsi="宋体"/>
          <w:sz w:val="24"/>
        </w:rPr>
        <w:t>用任意一适当的方法（如熔接、铜焊、压接或钎焊）把保护导体连接到一金属密封罐上，或把它连接到能在电缆护套上直接使用的其它形式的金属配件上（如夹子或接线端子）。若提供机械保护时，保护导体的截面应不小于2.5mm2；若不提供机械保护时，保护导体的截面应不小于4mm2；同时配件应满足GB/T13033.2电气连续性试验的要求。</w:t>
      </w:r>
    </w:p>
    <w:p>
      <w:pPr>
        <w:snapToGrid w:val="0"/>
        <w:spacing w:line="360" w:lineRule="auto"/>
        <w:ind w:right="-17" w:rightChars="-8" w:firstLine="513" w:firstLineChars="214"/>
        <w:rPr>
          <w:rFonts w:hint="eastAsia" w:ascii="宋体" w:hAnsi="宋体"/>
          <w:sz w:val="24"/>
        </w:rPr>
      </w:pPr>
      <w:r>
        <w:rPr>
          <w:rFonts w:hint="eastAsia" w:ascii="宋体" w:hAnsi="宋体"/>
          <w:sz w:val="24"/>
        </w:rPr>
        <w:t>封端应按GB/T13033.2规定进行相关试验。</w:t>
      </w:r>
    </w:p>
    <w:p>
      <w:pPr>
        <w:snapToGrid w:val="0"/>
        <w:spacing w:line="360" w:lineRule="auto"/>
        <w:ind w:right="-17" w:rightChars="-8" w:firstLine="513" w:firstLineChars="214"/>
        <w:rPr>
          <w:rFonts w:hint="eastAsia" w:ascii="宋体" w:hAnsi="宋体"/>
          <w:sz w:val="24"/>
        </w:rPr>
      </w:pPr>
      <w:r>
        <w:rPr>
          <w:rFonts w:hint="eastAsia" w:ascii="宋体" w:hAnsi="宋体"/>
          <w:sz w:val="24"/>
        </w:rPr>
        <w:t>2）填料：固定在电缆护套上的密封罐或外壳应用类似于电缆护套的材料，或能确保无电化学腐蚀的材料制成，并符合GB/T13033.2机械性能试验的要求。</w:t>
      </w:r>
    </w:p>
    <w:p>
      <w:pPr>
        <w:snapToGrid w:val="0"/>
        <w:spacing w:line="360" w:lineRule="auto"/>
        <w:ind w:right="-17" w:rightChars="-8" w:firstLine="513" w:firstLineChars="214"/>
        <w:rPr>
          <w:rFonts w:hint="eastAsia" w:ascii="宋体" w:hAnsi="宋体"/>
          <w:sz w:val="24"/>
        </w:rPr>
      </w:pPr>
      <w:r>
        <w:rPr>
          <w:rFonts w:hint="eastAsia" w:ascii="宋体" w:hAnsi="宋体"/>
          <w:sz w:val="24"/>
        </w:rPr>
        <w:t>3）密封料：终端密封料，密封完后应能符合GB/T13033.2电压试验和绝缘电阻试验的要求。</w:t>
      </w:r>
    </w:p>
    <w:p>
      <w:pPr>
        <w:snapToGrid w:val="0"/>
        <w:spacing w:line="360" w:lineRule="auto"/>
        <w:ind w:right="-17" w:rightChars="-8" w:firstLine="513" w:firstLineChars="214"/>
        <w:rPr>
          <w:rFonts w:hint="eastAsia" w:ascii="宋体" w:hAnsi="宋体"/>
          <w:sz w:val="24"/>
        </w:rPr>
      </w:pPr>
      <w:r>
        <w:rPr>
          <w:rFonts w:hint="eastAsia" w:ascii="宋体" w:hAnsi="宋体"/>
          <w:sz w:val="24"/>
        </w:rPr>
        <w:t>4）导体外露部分绝缘套管： 导体外露绝缘套管材料的最高工作温度应不低于封端的最高工作温度。</w:t>
      </w:r>
    </w:p>
    <w:p>
      <w:pPr>
        <w:snapToGrid w:val="0"/>
        <w:spacing w:line="360" w:lineRule="auto"/>
        <w:ind w:right="-17" w:rightChars="-8" w:firstLine="513" w:firstLineChars="214"/>
        <w:rPr>
          <w:rFonts w:hint="eastAsia" w:ascii="宋体" w:hAnsi="宋体"/>
          <w:sz w:val="24"/>
        </w:rPr>
      </w:pPr>
      <w:bookmarkStart w:id="15" w:name="_Toc152994103"/>
      <w:bookmarkStart w:id="16" w:name="_Toc232298966"/>
      <w:bookmarkStart w:id="17" w:name="_Toc231824975"/>
      <w:r>
        <w:rPr>
          <w:rFonts w:hint="eastAsia" w:ascii="宋体" w:hAnsi="宋体"/>
          <w:sz w:val="24"/>
        </w:rPr>
        <w:t>5）封端试验</w:t>
      </w:r>
      <w:bookmarkEnd w:id="15"/>
      <w:bookmarkEnd w:id="16"/>
      <w:bookmarkEnd w:id="17"/>
      <w:r>
        <w:rPr>
          <w:rFonts w:hint="eastAsia" w:ascii="宋体" w:hAnsi="宋体"/>
          <w:sz w:val="24"/>
        </w:rPr>
        <w:t>：电压试验：电缆封端经受2500V电压，试验持续时间5min，不击穿。绝缘电阻试验：用80～500V的直流电压施加到导体间及全部导体束在一起与护套间测得的绝缘电阻不少于100MΩ。绝缘完整型试验：经GB/T13033.3绝缘电阻试验的封端，在GB/T13033.3规定的环境试验后，进行本项绝缘完整性试验。在试样导体及全部导体束在一起与地之间施加相当电缆额定电压5min，绝缘应不击穿。最高工作温度试验：试样加热到比供货商规定的最高温度高5~10℃，在此温度下，通过GB/T13033.3规定的试验。温度循环试验：试样应加热到比供货商规定的最高工作温度高5~10℃，并在该温度下，保持16±1h，然后移至冷冻箱，并在供货商规定的最低工作温度下（±5℃），保持8±1h，该循环重复20次。20次循环后应使试样恢复到室温，然后放入25℃，相对湿度95±5％的潮湿箱中16h，从潮湿箱取出后，除去表面水分，试样通过GB/T13033.3规定的试验。</w:t>
      </w:r>
    </w:p>
    <w:p>
      <w:pPr>
        <w:snapToGrid w:val="0"/>
        <w:spacing w:line="360" w:lineRule="auto"/>
        <w:ind w:right="-17" w:rightChars="-8" w:firstLine="513" w:firstLineChars="214"/>
        <w:rPr>
          <w:rFonts w:hint="eastAsia" w:ascii="宋体" w:hAnsi="宋体"/>
          <w:sz w:val="24"/>
        </w:rPr>
      </w:pPr>
      <w:r>
        <w:rPr>
          <w:rFonts w:hint="eastAsia" w:ascii="宋体" w:hAnsi="宋体" w:cs="宋体"/>
          <w:kern w:val="32"/>
          <w:sz w:val="24"/>
        </w:rPr>
        <w:t>3</w:t>
      </w:r>
      <w:r>
        <w:rPr>
          <w:rFonts w:hint="eastAsia" w:hAnsi="宋体" w:cs="宋体"/>
          <w:kern w:val="32"/>
          <w:sz w:val="24"/>
          <w:lang w:val="en-US" w:eastAsia="zh-CN"/>
        </w:rPr>
        <w:t>.</w:t>
      </w:r>
      <w:r>
        <w:rPr>
          <w:rFonts w:hint="eastAsia" w:ascii="宋体" w:hAnsi="宋体"/>
          <w:sz w:val="24"/>
        </w:rPr>
        <w:t>包装、运输和贮存</w:t>
      </w:r>
    </w:p>
    <w:p>
      <w:pPr>
        <w:snapToGrid w:val="0"/>
        <w:spacing w:line="360" w:lineRule="auto"/>
        <w:ind w:right="-17" w:rightChars="-8" w:firstLine="513" w:firstLineChars="214"/>
        <w:rPr>
          <w:rFonts w:hint="eastAsia" w:ascii="宋体" w:hAnsi="宋体"/>
          <w:sz w:val="24"/>
        </w:rPr>
      </w:pPr>
      <w:r>
        <w:rPr>
          <w:rFonts w:hint="eastAsia" w:ascii="宋体" w:hAnsi="宋体"/>
          <w:sz w:val="24"/>
        </w:rPr>
        <w:t>1)</w:t>
      </w:r>
      <w:r>
        <w:rPr>
          <w:rFonts w:hint="eastAsia" w:ascii="宋体" w:hAnsi="宋体"/>
          <w:sz w:val="24"/>
        </w:rPr>
        <w:tab/>
      </w:r>
      <w:r>
        <w:rPr>
          <w:rFonts w:hint="eastAsia" w:ascii="宋体" w:hAnsi="宋体"/>
          <w:sz w:val="24"/>
        </w:rPr>
        <w:t>产品由供方的检查部门检查合格后方可出厂，每个出厂的包装件上附有产品质量合格证和质保书，产品试验报告和安装使用说明书。</w:t>
      </w:r>
    </w:p>
    <w:p>
      <w:pPr>
        <w:snapToGrid w:val="0"/>
        <w:spacing w:line="360" w:lineRule="auto"/>
        <w:ind w:right="-17" w:rightChars="-8" w:firstLine="513" w:firstLineChars="214"/>
        <w:rPr>
          <w:rFonts w:hint="eastAsia" w:ascii="宋体" w:hAnsi="宋体"/>
          <w:sz w:val="24"/>
        </w:rPr>
      </w:pPr>
      <w:r>
        <w:rPr>
          <w:rFonts w:hint="eastAsia" w:ascii="宋体" w:hAnsi="宋体"/>
          <w:sz w:val="24"/>
        </w:rPr>
        <w:t>2)</w:t>
      </w:r>
      <w:r>
        <w:rPr>
          <w:rFonts w:hint="eastAsia" w:ascii="宋体" w:hAnsi="宋体"/>
          <w:sz w:val="24"/>
        </w:rPr>
        <w:tab/>
      </w:r>
      <w:r>
        <w:rPr>
          <w:rFonts w:hint="eastAsia" w:ascii="宋体" w:hAnsi="宋体"/>
          <w:sz w:val="24"/>
        </w:rPr>
        <w:t>密封和卷盘：电缆工厂试验后，其两端应立即密封以避免潮气及污秽及昆虫进入。电缆卷盘应有适当保护以避免吊装及运输过程中的机械损伤。电缆的电压，长度，导体截面，芯数，重量及净重等应清楚标识在电缆盘上。电缆盘的卷绕方向应用箭头表示。</w:t>
      </w:r>
    </w:p>
    <w:p>
      <w:pPr>
        <w:snapToGrid w:val="0"/>
        <w:spacing w:line="360" w:lineRule="auto"/>
        <w:ind w:right="-17" w:rightChars="-8" w:firstLine="513" w:firstLineChars="214"/>
        <w:rPr>
          <w:rFonts w:hint="eastAsia" w:ascii="宋体" w:hAnsi="宋体"/>
          <w:sz w:val="24"/>
        </w:rPr>
      </w:pPr>
      <w:r>
        <w:rPr>
          <w:rFonts w:hint="eastAsia" w:ascii="宋体" w:hAnsi="宋体"/>
          <w:sz w:val="24"/>
        </w:rPr>
        <w:t>3)</w:t>
      </w:r>
      <w:r>
        <w:rPr>
          <w:rFonts w:hint="eastAsia" w:ascii="宋体" w:hAnsi="宋体"/>
          <w:sz w:val="24"/>
        </w:rPr>
        <w:tab/>
      </w:r>
      <w:r>
        <w:rPr>
          <w:rFonts w:hint="eastAsia" w:ascii="宋体" w:hAnsi="宋体"/>
          <w:sz w:val="24"/>
        </w:rPr>
        <w:t>电缆盘的直径不大于3.5m。</w:t>
      </w:r>
    </w:p>
    <w:p>
      <w:pPr>
        <w:snapToGrid w:val="0"/>
        <w:spacing w:line="360" w:lineRule="auto"/>
        <w:ind w:right="-17" w:rightChars="-8" w:firstLine="513" w:firstLineChars="214"/>
        <w:rPr>
          <w:rFonts w:hint="eastAsia" w:ascii="宋体" w:hAnsi="宋体"/>
          <w:sz w:val="24"/>
        </w:rPr>
      </w:pPr>
      <w:r>
        <w:rPr>
          <w:rFonts w:hint="eastAsia" w:ascii="宋体" w:hAnsi="宋体"/>
          <w:sz w:val="24"/>
        </w:rPr>
        <w:t>4)</w:t>
      </w:r>
      <w:r>
        <w:rPr>
          <w:rFonts w:hint="eastAsia" w:ascii="宋体" w:hAnsi="宋体"/>
          <w:sz w:val="24"/>
        </w:rPr>
        <w:tab/>
      </w:r>
      <w:r>
        <w:rPr>
          <w:rFonts w:hint="eastAsia" w:ascii="宋体" w:hAnsi="宋体"/>
          <w:sz w:val="24"/>
        </w:rPr>
        <w:t>每个出厂的电缆盘上附有产品检验合格证，电缆盘上标明：</w:t>
      </w:r>
    </w:p>
    <w:p>
      <w:pPr>
        <w:snapToGrid w:val="0"/>
        <w:spacing w:line="360" w:lineRule="auto"/>
        <w:ind w:right="-17" w:rightChars="-8" w:firstLine="513" w:firstLineChars="214"/>
        <w:rPr>
          <w:rFonts w:ascii="宋体" w:hAnsi="宋体"/>
          <w:sz w:val="24"/>
        </w:rPr>
      </w:pPr>
      <w:r>
        <w:rPr>
          <w:rFonts w:hint="eastAsia" w:ascii="宋体" w:hAnsi="宋体" w:cs="宋体"/>
          <w:sz w:val="24"/>
        </w:rPr>
        <w:t></w:t>
      </w:r>
      <w:r>
        <w:rPr>
          <w:rFonts w:hint="eastAsia" w:ascii="宋体" w:hAnsi="宋体" w:cs="宋体"/>
          <w:sz w:val="24"/>
        </w:rPr>
        <w:tab/>
      </w:r>
      <w:r>
        <w:rPr>
          <w:rFonts w:hint="eastAsia" w:ascii="宋体" w:hAnsi="宋体"/>
          <w:sz w:val="24"/>
        </w:rPr>
        <w:t>制造厂名；</w:t>
      </w:r>
    </w:p>
    <w:p>
      <w:pPr>
        <w:snapToGrid w:val="0"/>
        <w:spacing w:line="360" w:lineRule="auto"/>
        <w:ind w:right="-17" w:rightChars="-8" w:firstLine="513" w:firstLineChars="214"/>
        <w:rPr>
          <w:rFonts w:ascii="宋体" w:hAnsi="宋体"/>
          <w:sz w:val="24"/>
        </w:rPr>
      </w:pPr>
      <w:r>
        <w:rPr>
          <w:rFonts w:hint="eastAsia" w:ascii="宋体" w:hAnsi="宋体" w:cs="宋体"/>
          <w:sz w:val="24"/>
        </w:rPr>
        <w:t></w:t>
      </w:r>
      <w:r>
        <w:rPr>
          <w:rFonts w:hint="eastAsia" w:ascii="宋体" w:hAnsi="宋体" w:cs="宋体"/>
          <w:sz w:val="24"/>
        </w:rPr>
        <w:tab/>
      </w:r>
      <w:r>
        <w:rPr>
          <w:rFonts w:hint="eastAsia" w:ascii="宋体" w:hAnsi="宋体"/>
          <w:sz w:val="24"/>
        </w:rPr>
        <w:t>型号、规格和电压等级：</w:t>
      </w:r>
      <w:r>
        <w:rPr>
          <w:rFonts w:ascii="宋体" w:hAnsi="宋体"/>
          <w:sz w:val="24"/>
        </w:rPr>
        <w:t xml:space="preserve"> V</w:t>
      </w:r>
      <w:r>
        <w:rPr>
          <w:rFonts w:hint="eastAsia" w:ascii="宋体" w:hAnsi="宋体"/>
          <w:sz w:val="24"/>
        </w:rPr>
        <w:t>；</w:t>
      </w:r>
    </w:p>
    <w:p>
      <w:pPr>
        <w:snapToGrid w:val="0"/>
        <w:spacing w:line="360" w:lineRule="auto"/>
        <w:ind w:right="-17" w:rightChars="-8" w:firstLine="513" w:firstLineChars="214"/>
        <w:rPr>
          <w:rFonts w:ascii="宋体" w:hAnsi="宋体"/>
          <w:sz w:val="24"/>
        </w:rPr>
      </w:pPr>
      <w:r>
        <w:rPr>
          <w:rFonts w:hint="eastAsia" w:ascii="宋体" w:hAnsi="宋体" w:cs="宋体"/>
          <w:sz w:val="24"/>
        </w:rPr>
        <w:t></w:t>
      </w:r>
      <w:r>
        <w:rPr>
          <w:rFonts w:hint="eastAsia" w:ascii="宋体" w:hAnsi="宋体" w:cs="宋体"/>
          <w:sz w:val="24"/>
        </w:rPr>
        <w:tab/>
      </w:r>
      <w:r>
        <w:rPr>
          <w:rFonts w:hint="eastAsia" w:ascii="宋体" w:hAnsi="宋体"/>
          <w:sz w:val="24"/>
        </w:rPr>
        <w:t>长度：</w:t>
      </w:r>
      <w:r>
        <w:rPr>
          <w:rFonts w:ascii="宋体" w:hAnsi="宋体"/>
          <w:sz w:val="24"/>
        </w:rPr>
        <w:t>m</w:t>
      </w:r>
      <w:r>
        <w:rPr>
          <w:rFonts w:hint="eastAsia" w:ascii="宋体" w:hAnsi="宋体"/>
          <w:sz w:val="24"/>
        </w:rPr>
        <w:t>；</w:t>
      </w:r>
    </w:p>
    <w:p>
      <w:pPr>
        <w:snapToGrid w:val="0"/>
        <w:spacing w:line="360" w:lineRule="auto"/>
        <w:ind w:right="-17" w:rightChars="-8" w:firstLine="513" w:firstLineChars="214"/>
        <w:rPr>
          <w:rFonts w:ascii="宋体" w:hAnsi="宋体"/>
          <w:sz w:val="24"/>
        </w:rPr>
      </w:pPr>
      <w:r>
        <w:rPr>
          <w:rFonts w:hint="eastAsia" w:ascii="宋体" w:hAnsi="宋体" w:cs="宋体"/>
          <w:sz w:val="24"/>
        </w:rPr>
        <w:t></w:t>
      </w:r>
      <w:r>
        <w:rPr>
          <w:rFonts w:hint="eastAsia" w:ascii="宋体" w:hAnsi="宋体" w:cs="宋体"/>
          <w:sz w:val="24"/>
        </w:rPr>
        <w:tab/>
      </w:r>
      <w:r>
        <w:rPr>
          <w:rFonts w:hint="eastAsia" w:ascii="宋体" w:hAnsi="宋体"/>
          <w:sz w:val="24"/>
        </w:rPr>
        <w:t>电缆盘编号</w:t>
      </w:r>
      <w:r>
        <w:rPr>
          <w:rFonts w:ascii="宋体" w:hAnsi="宋体"/>
          <w:sz w:val="24"/>
        </w:rPr>
        <w:t xml:space="preserve"> </w:t>
      </w:r>
      <w:r>
        <w:rPr>
          <w:rFonts w:hint="eastAsia" w:ascii="宋体" w:hAnsi="宋体"/>
          <w:sz w:val="24"/>
        </w:rPr>
        <w:t>：</w:t>
      </w:r>
    </w:p>
    <w:p>
      <w:pPr>
        <w:snapToGrid w:val="0"/>
        <w:spacing w:line="360" w:lineRule="auto"/>
        <w:ind w:right="-17" w:rightChars="-8" w:firstLine="513" w:firstLineChars="214"/>
        <w:rPr>
          <w:rFonts w:ascii="宋体" w:hAnsi="宋体"/>
          <w:sz w:val="24"/>
        </w:rPr>
      </w:pPr>
      <w:r>
        <w:rPr>
          <w:rFonts w:hint="eastAsia" w:ascii="宋体" w:hAnsi="宋体" w:cs="宋体"/>
          <w:sz w:val="24"/>
        </w:rPr>
        <w:t></w:t>
      </w:r>
      <w:r>
        <w:rPr>
          <w:rFonts w:hint="eastAsia" w:ascii="宋体" w:hAnsi="宋体" w:cs="宋体"/>
          <w:sz w:val="24"/>
        </w:rPr>
        <w:tab/>
      </w:r>
      <w:r>
        <w:rPr>
          <w:rFonts w:hint="eastAsia" w:ascii="宋体" w:hAnsi="宋体"/>
          <w:sz w:val="24"/>
        </w:rPr>
        <w:t>制造日期：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p>
    <w:p>
      <w:pPr>
        <w:snapToGrid w:val="0"/>
        <w:spacing w:line="360" w:lineRule="auto"/>
        <w:ind w:right="-17" w:rightChars="-8" w:firstLine="513" w:firstLineChars="214"/>
        <w:rPr>
          <w:rFonts w:ascii="宋体" w:hAnsi="宋体"/>
          <w:sz w:val="24"/>
        </w:rPr>
      </w:pPr>
      <w:r>
        <w:rPr>
          <w:rFonts w:hint="eastAsia" w:ascii="宋体" w:hAnsi="宋体" w:cs="宋体"/>
          <w:sz w:val="24"/>
        </w:rPr>
        <w:t></w:t>
      </w:r>
      <w:r>
        <w:rPr>
          <w:rFonts w:hint="eastAsia" w:ascii="宋体" w:hAnsi="宋体" w:cs="宋体"/>
          <w:sz w:val="24"/>
        </w:rPr>
        <w:tab/>
      </w:r>
      <w:r>
        <w:rPr>
          <w:rFonts w:hint="eastAsia" w:ascii="宋体" w:hAnsi="宋体"/>
          <w:sz w:val="24"/>
        </w:rPr>
        <w:t>标准编号；</w:t>
      </w:r>
    </w:p>
    <w:p>
      <w:pPr>
        <w:rPr>
          <w:rFonts w:hint="eastAsia" w:ascii="宋体" w:hAnsi="宋体"/>
          <w:sz w:val="24"/>
        </w:rPr>
      </w:pPr>
      <w:r>
        <w:rPr>
          <w:rFonts w:hint="eastAsia" w:ascii="宋体" w:hAnsi="宋体" w:cs="宋体"/>
          <w:sz w:val="24"/>
        </w:rPr>
        <w:t></w:t>
      </w:r>
      <w:r>
        <w:rPr>
          <w:rFonts w:hint="eastAsia" w:ascii="宋体" w:hAnsi="宋体" w:cs="宋体"/>
          <w:sz w:val="24"/>
        </w:rPr>
        <w:tab/>
      </w:r>
      <w:r>
        <w:rPr>
          <w:rFonts w:hint="eastAsia" w:ascii="宋体" w:hAnsi="宋体"/>
          <w:sz w:val="24"/>
        </w:rPr>
        <w:t>电缆盘正确旋转方向的箭头。</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snapToGrid w:val="0"/>
        <w:spacing w:line="360" w:lineRule="auto"/>
        <w:rPr>
          <w:rFonts w:hint="eastAsia" w:ascii="黑体" w:hAnsi="宋体" w:eastAsia="黑体"/>
          <w:sz w:val="32"/>
          <w:szCs w:val="32"/>
        </w:rPr>
      </w:pPr>
      <w:r>
        <w:rPr>
          <w:rFonts w:hint="eastAsia" w:hAnsi="宋体"/>
          <w:b/>
          <w:sz w:val="28"/>
          <w:szCs w:val="21"/>
          <w:lang w:val="en-US" w:eastAsia="zh-CN"/>
        </w:rPr>
        <w:t xml:space="preserve">6.2  </w:t>
      </w:r>
      <w:r>
        <w:rPr>
          <w:rFonts w:hint="eastAsia" w:hAnsi="宋体"/>
          <w:b/>
          <w:sz w:val="28"/>
          <w:szCs w:val="21"/>
        </w:rPr>
        <w:t>动力与照明系统配电箱、插座箱技术</w:t>
      </w:r>
      <w:r>
        <w:rPr>
          <w:rFonts w:hint="eastAsia" w:hAnsi="宋体"/>
          <w:b/>
          <w:sz w:val="28"/>
          <w:szCs w:val="21"/>
          <w:lang w:val="en-US" w:eastAsia="zh-CN"/>
        </w:rPr>
        <w:t>要求</w:t>
      </w:r>
    </w:p>
    <w:p>
      <w:pPr>
        <w:rPr>
          <w:rFonts w:hint="default" w:hAnsi="宋体"/>
          <w:b/>
          <w:sz w:val="24"/>
        </w:rPr>
      </w:pPr>
    </w:p>
    <w:p>
      <w:pPr>
        <w:rPr>
          <w:rFonts w:hint="default"/>
        </w:rPr>
      </w:pPr>
    </w:p>
    <w:p>
      <w:pPr>
        <w:pStyle w:val="4"/>
        <w:spacing w:before="120"/>
        <w:rPr>
          <w:sz w:val="22"/>
          <w:szCs w:val="15"/>
        </w:rPr>
      </w:pPr>
      <w:bookmarkStart w:id="18" w:name="_Toc456279557"/>
      <w:r>
        <w:rPr>
          <w:sz w:val="22"/>
          <w:szCs w:val="15"/>
        </w:rPr>
        <w:t>1.1.1</w:t>
      </w:r>
      <w:r>
        <w:rPr>
          <w:rFonts w:hint="eastAsia"/>
          <w:sz w:val="22"/>
          <w:szCs w:val="15"/>
        </w:rPr>
        <w:t>工程概况</w:t>
      </w:r>
      <w:bookmarkEnd w:id="18"/>
    </w:p>
    <w:p>
      <w:pPr>
        <w:spacing w:line="360" w:lineRule="auto"/>
        <w:ind w:firstLine="420" w:firstLineChars="200"/>
        <w:rPr>
          <w:rFonts w:hint="eastAsia"/>
        </w:rPr>
      </w:pPr>
      <w:r>
        <w:rPr>
          <w:rFonts w:hint="eastAsia"/>
        </w:rPr>
        <w:t>西安市地铁4号线南起航天产业基地，北至北客站。线路全长35.2km，全部为地下线，共设29座车站，设航天城车辆段和草滩停车场。4号线控制中心位于航天城车辆段内；另有维修基地、物流中心位于航天车辆段内，线网控制中心、培训中心位于2号线渭河车辆段内。</w:t>
      </w:r>
    </w:p>
    <w:p>
      <w:pPr>
        <w:spacing w:line="360" w:lineRule="auto"/>
        <w:ind w:firstLine="420" w:firstLineChars="200"/>
        <w:rPr>
          <w:rFonts w:hint="eastAsia"/>
        </w:rPr>
      </w:pPr>
      <w:r>
        <w:rPr>
          <w:rFonts w:hint="eastAsia"/>
        </w:rPr>
        <w:t>四号线共设置3座主变电站，其中北端设置行政中心主变（已经建成投产），与2号线共享；中部设置金花主变（已经建成），与1号线、3号线共享；南端在飞天路站附近新建1座主变电站，并与14号线共享。</w:t>
      </w:r>
    </w:p>
    <w:p>
      <w:pPr>
        <w:spacing w:line="360" w:lineRule="auto"/>
        <w:ind w:firstLine="420" w:firstLineChars="200"/>
        <w:rPr>
          <w:rFonts w:hint="eastAsia"/>
        </w:rPr>
      </w:pPr>
      <w:r>
        <w:rPr>
          <w:rFonts w:hint="eastAsia"/>
        </w:rPr>
        <w:t>共设牵引降压混合变电所15座，其中正线设置13座牵引降压混合变电所，车辆段、停车场各设1座牵引降压混合变电所；设降压变电所16座，均在正线车站设置；设跟随式降压变电所13座，其中车站物业9座，航天车辆段内检修库1座、运用库1座、4号线控制中心1座，草滩停车场内停车列检库1座；预留跟随式降压变电所4座，其中航天车辆段内维修基地1座、物流中心1座，渭河车辆段内线网控制中心1座、培训中心1座。</w:t>
      </w:r>
    </w:p>
    <w:p>
      <w:pPr>
        <w:spacing w:line="360" w:lineRule="auto"/>
        <w:ind w:firstLine="420" w:firstLineChars="200"/>
        <w:rPr>
          <w:rFonts w:hint="eastAsia"/>
          <w:b/>
          <w:smallCaps/>
        </w:rPr>
      </w:pPr>
      <w:r>
        <w:rPr>
          <w:rFonts w:hint="eastAsia"/>
        </w:rPr>
        <w:t>工程自2011年年初开工建设，2018年年底通车试运营。</w:t>
      </w:r>
    </w:p>
    <w:p>
      <w:pPr>
        <w:pStyle w:val="4"/>
        <w:spacing w:before="120"/>
        <w:rPr>
          <w:rFonts w:hint="eastAsia"/>
          <w:sz w:val="22"/>
          <w:szCs w:val="15"/>
        </w:rPr>
      </w:pPr>
      <w:bookmarkStart w:id="19" w:name="_Toc456279558"/>
      <w:r>
        <w:rPr>
          <w:rFonts w:hint="eastAsia"/>
          <w:sz w:val="22"/>
          <w:szCs w:val="15"/>
        </w:rPr>
        <w:t>1.1.2单位制</w:t>
      </w:r>
      <w:bookmarkEnd w:id="19"/>
    </w:p>
    <w:p>
      <w:pPr>
        <w:spacing w:line="360" w:lineRule="auto"/>
        <w:ind w:firstLine="480"/>
        <w:rPr>
          <w:rFonts w:hAnsi="宋体"/>
        </w:rPr>
      </w:pPr>
      <w:r>
        <w:rPr>
          <w:rFonts w:hint="eastAsia" w:hAnsi="宋体"/>
        </w:rPr>
        <w:t>所有部件和元器件的设计、制造、安装都必须采用国际标准化组织规定的公制单位。</w:t>
      </w:r>
    </w:p>
    <w:p>
      <w:pPr>
        <w:spacing w:line="360" w:lineRule="auto"/>
        <w:ind w:firstLine="480"/>
        <w:rPr>
          <w:rFonts w:hAnsi="宋体"/>
        </w:rPr>
      </w:pPr>
      <w:r>
        <w:rPr>
          <w:rFonts w:hint="eastAsia" w:hAnsi="宋体"/>
        </w:rPr>
        <w:t>投标人提供的文件和资料的所有标注必须采用公制单位。</w:t>
      </w:r>
    </w:p>
    <w:p>
      <w:pPr>
        <w:pStyle w:val="4"/>
        <w:spacing w:before="120"/>
        <w:rPr>
          <w:rFonts w:hint="eastAsia"/>
          <w:sz w:val="22"/>
          <w:szCs w:val="15"/>
        </w:rPr>
      </w:pPr>
      <w:bookmarkStart w:id="20" w:name="_Toc456279559"/>
      <w:r>
        <w:rPr>
          <w:rFonts w:hint="eastAsia"/>
          <w:sz w:val="22"/>
          <w:szCs w:val="15"/>
        </w:rPr>
        <w:t>1.1.3适用标准</w:t>
      </w:r>
      <w:bookmarkEnd w:id="20"/>
    </w:p>
    <w:p>
      <w:pPr>
        <w:spacing w:line="360" w:lineRule="auto"/>
        <w:ind w:firstLine="480"/>
        <w:rPr>
          <w:rFonts w:hint="eastAsia" w:hAnsi="宋体"/>
        </w:rPr>
      </w:pPr>
      <w:r>
        <w:rPr>
          <w:rFonts w:hint="eastAsia" w:hAnsi="宋体"/>
        </w:rPr>
        <w:t>配电箱、插座箱的制造、试验和验收应满足但不限于以下标准：</w:t>
      </w:r>
    </w:p>
    <w:p>
      <w:pPr>
        <w:spacing w:line="360" w:lineRule="auto"/>
        <w:ind w:firstLine="480"/>
        <w:rPr>
          <w:rFonts w:hint="eastAsia" w:hAnsi="宋体"/>
        </w:rPr>
      </w:pPr>
      <w:r>
        <w:rPr>
          <w:rFonts w:hint="eastAsia" w:hAnsi="宋体"/>
        </w:rPr>
        <w:t>GB 50157</w:t>
      </w:r>
      <w:r>
        <w:rPr>
          <w:rFonts w:hAnsi="宋体"/>
        </w:rPr>
        <w:t>—</w:t>
      </w:r>
      <w:r>
        <w:rPr>
          <w:rFonts w:hint="eastAsia" w:hAnsi="宋体"/>
        </w:rPr>
        <w:t>2013《地铁设计规范》</w:t>
      </w:r>
    </w:p>
    <w:p>
      <w:pPr>
        <w:spacing w:line="360" w:lineRule="auto"/>
        <w:ind w:firstLine="480"/>
        <w:rPr>
          <w:rFonts w:hAnsi="宋体"/>
        </w:rPr>
      </w:pPr>
      <w:r>
        <w:rPr>
          <w:rFonts w:hAnsi="宋体"/>
        </w:rPr>
        <w:t>GB 156-</w:t>
      </w:r>
      <w:r>
        <w:rPr>
          <w:rFonts w:hint="eastAsia" w:hAnsi="宋体"/>
        </w:rPr>
        <w:t>2007</w:t>
      </w:r>
      <w:r>
        <w:rPr>
          <w:rFonts w:hAnsi="宋体"/>
        </w:rPr>
        <w:t>《标准电压》</w:t>
      </w:r>
    </w:p>
    <w:p>
      <w:pPr>
        <w:spacing w:line="360" w:lineRule="auto"/>
        <w:ind w:firstLine="480"/>
        <w:rPr>
          <w:rFonts w:hAnsi="宋体"/>
        </w:rPr>
      </w:pPr>
      <w:r>
        <w:rPr>
          <w:rFonts w:hAnsi="宋体"/>
        </w:rPr>
        <w:t>GB 4208-</w:t>
      </w:r>
      <w:r>
        <w:rPr>
          <w:rFonts w:hint="eastAsia" w:hAnsi="宋体"/>
        </w:rPr>
        <w:t>2008</w:t>
      </w:r>
      <w:r>
        <w:rPr>
          <w:rFonts w:hAnsi="宋体"/>
        </w:rPr>
        <w:t>《外壳防护等级（IP代码）》</w:t>
      </w:r>
    </w:p>
    <w:p>
      <w:pPr>
        <w:spacing w:line="360" w:lineRule="auto"/>
        <w:ind w:firstLine="480"/>
        <w:rPr>
          <w:rFonts w:hAnsi="宋体"/>
        </w:rPr>
      </w:pPr>
      <w:r>
        <w:rPr>
          <w:rFonts w:hAnsi="宋体"/>
        </w:rPr>
        <w:t>GB 14048.1-20</w:t>
      </w:r>
      <w:r>
        <w:rPr>
          <w:rFonts w:hint="eastAsia" w:hAnsi="宋体"/>
        </w:rPr>
        <w:t>12</w:t>
      </w:r>
      <w:r>
        <w:rPr>
          <w:rFonts w:hAnsi="宋体"/>
        </w:rPr>
        <w:t xml:space="preserve">《低压开关设备和控制设备 </w:t>
      </w:r>
      <w:r>
        <w:rPr>
          <w:rFonts w:hint="eastAsia" w:hAnsi="宋体"/>
        </w:rPr>
        <w:t xml:space="preserve">第1部分 </w:t>
      </w:r>
      <w:r>
        <w:rPr>
          <w:rFonts w:hAnsi="宋体"/>
        </w:rPr>
        <w:t>总则》</w:t>
      </w:r>
    </w:p>
    <w:p>
      <w:pPr>
        <w:spacing w:line="360" w:lineRule="auto"/>
        <w:ind w:firstLine="480"/>
        <w:rPr>
          <w:rFonts w:hAnsi="宋体"/>
        </w:rPr>
      </w:pPr>
      <w:r>
        <w:rPr>
          <w:rFonts w:hAnsi="宋体"/>
        </w:rPr>
        <w:t>GB 14048.2-200</w:t>
      </w:r>
      <w:r>
        <w:rPr>
          <w:rFonts w:hint="eastAsia" w:hAnsi="宋体"/>
        </w:rPr>
        <w:t>8</w:t>
      </w:r>
      <w:r>
        <w:rPr>
          <w:rFonts w:hAnsi="宋体"/>
        </w:rPr>
        <w:t>《低压开关设备和控制设备</w:t>
      </w:r>
      <w:r>
        <w:rPr>
          <w:rFonts w:hint="eastAsia" w:hAnsi="宋体"/>
        </w:rPr>
        <w:t xml:space="preserve"> 第2部分 </w:t>
      </w:r>
      <w:r>
        <w:rPr>
          <w:rFonts w:hAnsi="宋体"/>
        </w:rPr>
        <w:t>断路器》</w:t>
      </w:r>
    </w:p>
    <w:p>
      <w:pPr>
        <w:spacing w:line="360" w:lineRule="auto"/>
        <w:ind w:firstLine="480"/>
        <w:rPr>
          <w:rFonts w:hAnsi="宋体"/>
        </w:rPr>
      </w:pPr>
      <w:r>
        <w:rPr>
          <w:rFonts w:hAnsi="宋体"/>
        </w:rPr>
        <w:t>GB</w:t>
      </w:r>
      <w:r>
        <w:rPr>
          <w:rFonts w:hint="eastAsia" w:hAnsi="宋体"/>
        </w:rPr>
        <w:t xml:space="preserve"> </w:t>
      </w:r>
      <w:r>
        <w:rPr>
          <w:rFonts w:hAnsi="宋体"/>
        </w:rPr>
        <w:t>14048.</w:t>
      </w:r>
      <w:r>
        <w:rPr>
          <w:rFonts w:hint="eastAsia" w:hAnsi="宋体"/>
        </w:rPr>
        <w:t>3</w:t>
      </w:r>
      <w:r>
        <w:rPr>
          <w:rFonts w:hAnsi="宋体"/>
        </w:rPr>
        <w:t>-200</w:t>
      </w:r>
      <w:r>
        <w:rPr>
          <w:rFonts w:hint="eastAsia" w:hAnsi="宋体"/>
        </w:rPr>
        <w:t>8</w:t>
      </w:r>
      <w:r>
        <w:rPr>
          <w:rFonts w:hAnsi="宋体"/>
        </w:rPr>
        <w:t>《低压开关设备和控制设备 第3部分</w:t>
      </w:r>
      <w:r>
        <w:rPr>
          <w:rFonts w:hint="eastAsia" w:hAnsi="宋体"/>
        </w:rPr>
        <w:t xml:space="preserve"> </w:t>
      </w:r>
      <w:r>
        <w:rPr>
          <w:rFonts w:hAnsi="宋体"/>
        </w:rPr>
        <w:t>开关、隔离器、隔离开关及熔断器组合电器》</w:t>
      </w:r>
    </w:p>
    <w:p>
      <w:pPr>
        <w:spacing w:line="360" w:lineRule="auto"/>
        <w:ind w:firstLine="480"/>
        <w:rPr>
          <w:rFonts w:hint="eastAsia" w:hAnsi="宋体"/>
        </w:rPr>
      </w:pPr>
      <w:r>
        <w:rPr>
          <w:rFonts w:hAnsi="宋体"/>
        </w:rPr>
        <w:t>GB 14048.4-</w:t>
      </w:r>
      <w:r>
        <w:rPr>
          <w:rFonts w:hint="eastAsia" w:hAnsi="宋体"/>
        </w:rPr>
        <w:t>2010</w:t>
      </w:r>
      <w:r>
        <w:rPr>
          <w:rFonts w:hAnsi="宋体"/>
        </w:rPr>
        <w:t>《低压开关设备和控制设备</w:t>
      </w:r>
      <w:r>
        <w:rPr>
          <w:rFonts w:hint="eastAsia" w:hAnsi="宋体"/>
        </w:rPr>
        <w:t xml:space="preserve"> </w:t>
      </w:r>
      <w:r>
        <w:rPr>
          <w:rFonts w:hAnsi="宋体"/>
        </w:rPr>
        <w:t>机电式接触器和电动机启动器》</w:t>
      </w:r>
    </w:p>
    <w:p>
      <w:pPr>
        <w:spacing w:line="360" w:lineRule="auto"/>
        <w:ind w:firstLine="480"/>
        <w:rPr>
          <w:rFonts w:hint="eastAsia" w:hAnsi="宋体"/>
        </w:rPr>
      </w:pPr>
      <w:r>
        <w:rPr>
          <w:rFonts w:hAnsi="宋体"/>
        </w:rPr>
        <w:t>GB 14048.</w:t>
      </w:r>
      <w:r>
        <w:rPr>
          <w:rFonts w:hint="eastAsia" w:hAnsi="宋体"/>
        </w:rPr>
        <w:t>5</w:t>
      </w:r>
      <w:r>
        <w:rPr>
          <w:rFonts w:hAnsi="宋体"/>
        </w:rPr>
        <w:t>-</w:t>
      </w:r>
      <w:r>
        <w:rPr>
          <w:rFonts w:hint="eastAsia" w:hAnsi="宋体"/>
        </w:rPr>
        <w:t>2008</w:t>
      </w:r>
      <w:r>
        <w:rPr>
          <w:rFonts w:hAnsi="宋体"/>
        </w:rPr>
        <w:t>《低压开关设备和控制设备</w:t>
      </w:r>
      <w:r>
        <w:rPr>
          <w:rFonts w:hint="eastAsia" w:hAnsi="宋体"/>
        </w:rPr>
        <w:t xml:space="preserve"> </w:t>
      </w:r>
      <w:r>
        <w:rPr>
          <w:rFonts w:hAnsi="宋体"/>
        </w:rPr>
        <w:t>第</w:t>
      </w:r>
      <w:r>
        <w:rPr>
          <w:rFonts w:hint="eastAsia" w:hAnsi="宋体"/>
        </w:rPr>
        <w:t>5-1</w:t>
      </w:r>
      <w:r>
        <w:rPr>
          <w:rFonts w:hAnsi="宋体"/>
        </w:rPr>
        <w:t>部分</w:t>
      </w:r>
      <w:r>
        <w:rPr>
          <w:rFonts w:hint="eastAsia" w:hAnsi="宋体"/>
        </w:rPr>
        <w:t xml:space="preserve"> 控制电路电器和开关元件.机电式控制电路电器</w:t>
      </w:r>
      <w:r>
        <w:rPr>
          <w:rFonts w:hAnsi="宋体"/>
        </w:rPr>
        <w:t>》</w:t>
      </w:r>
    </w:p>
    <w:p>
      <w:pPr>
        <w:spacing w:line="360" w:lineRule="auto"/>
        <w:ind w:firstLine="480"/>
        <w:rPr>
          <w:rFonts w:hint="eastAsia" w:hAnsi="宋体"/>
        </w:rPr>
      </w:pPr>
      <w:r>
        <w:rPr>
          <w:rFonts w:hAnsi="宋体"/>
        </w:rPr>
        <w:t>GB 14048.</w:t>
      </w:r>
      <w:r>
        <w:rPr>
          <w:rFonts w:hint="eastAsia" w:hAnsi="宋体"/>
        </w:rPr>
        <w:t>6</w:t>
      </w:r>
      <w:r>
        <w:rPr>
          <w:rFonts w:hAnsi="宋体"/>
        </w:rPr>
        <w:t>-</w:t>
      </w:r>
      <w:r>
        <w:rPr>
          <w:rFonts w:hint="eastAsia" w:hAnsi="宋体"/>
        </w:rPr>
        <w:t>2008</w:t>
      </w:r>
      <w:r>
        <w:rPr>
          <w:rFonts w:hAnsi="宋体"/>
        </w:rPr>
        <w:t>《低压开关设备和控制设备</w:t>
      </w:r>
      <w:r>
        <w:rPr>
          <w:rFonts w:hint="eastAsia" w:hAnsi="宋体"/>
        </w:rPr>
        <w:t xml:space="preserve"> </w:t>
      </w:r>
      <w:r>
        <w:rPr>
          <w:rFonts w:hAnsi="宋体"/>
        </w:rPr>
        <w:t>第</w:t>
      </w:r>
      <w:r>
        <w:rPr>
          <w:rFonts w:hint="eastAsia" w:hAnsi="宋体"/>
        </w:rPr>
        <w:t>4-2</w:t>
      </w:r>
      <w:r>
        <w:rPr>
          <w:rFonts w:hAnsi="宋体"/>
        </w:rPr>
        <w:t>部分</w:t>
      </w:r>
      <w:r>
        <w:rPr>
          <w:rFonts w:hint="eastAsia" w:hAnsi="宋体"/>
        </w:rPr>
        <w:t xml:space="preserve"> 接触器和电机启动器.交流半导体电动机控制器和启动器（含软启动器）</w:t>
      </w:r>
      <w:r>
        <w:rPr>
          <w:rFonts w:hAnsi="宋体"/>
        </w:rPr>
        <w:t>》</w:t>
      </w:r>
    </w:p>
    <w:p>
      <w:pPr>
        <w:spacing w:line="360" w:lineRule="auto"/>
        <w:ind w:firstLine="480"/>
        <w:rPr>
          <w:rFonts w:hint="eastAsia" w:hAnsi="宋体"/>
        </w:rPr>
      </w:pPr>
      <w:r>
        <w:rPr>
          <w:rFonts w:hAnsi="宋体"/>
        </w:rPr>
        <w:t>GB</w:t>
      </w:r>
      <w:r>
        <w:rPr>
          <w:rFonts w:hint="eastAsia" w:hAnsi="宋体"/>
        </w:rPr>
        <w:t>/T</w:t>
      </w:r>
      <w:r>
        <w:rPr>
          <w:rFonts w:hAnsi="宋体"/>
        </w:rPr>
        <w:t xml:space="preserve"> 14048.</w:t>
      </w:r>
      <w:r>
        <w:rPr>
          <w:rFonts w:hint="eastAsia" w:hAnsi="宋体"/>
        </w:rPr>
        <w:t>7</w:t>
      </w:r>
      <w:r>
        <w:rPr>
          <w:rFonts w:hAnsi="宋体"/>
        </w:rPr>
        <w:t>-</w:t>
      </w:r>
      <w:r>
        <w:rPr>
          <w:rFonts w:hint="eastAsia" w:hAnsi="宋体"/>
        </w:rPr>
        <w:t>2006</w:t>
      </w:r>
      <w:r>
        <w:rPr>
          <w:rFonts w:hAnsi="宋体"/>
        </w:rPr>
        <w:t>《低压开关设备和控制设备 第7-1部分：辅助器件 铜导体的接线端子排》</w:t>
      </w:r>
    </w:p>
    <w:p>
      <w:pPr>
        <w:spacing w:line="360" w:lineRule="auto"/>
        <w:ind w:firstLine="480"/>
        <w:rPr>
          <w:rFonts w:hint="eastAsia" w:hAnsi="宋体"/>
        </w:rPr>
      </w:pPr>
      <w:r>
        <w:rPr>
          <w:rFonts w:hAnsi="宋体"/>
        </w:rPr>
        <w:t>GB</w:t>
      </w:r>
      <w:r>
        <w:rPr>
          <w:rFonts w:hint="eastAsia" w:hAnsi="宋体"/>
        </w:rPr>
        <w:t>/T</w:t>
      </w:r>
      <w:r>
        <w:rPr>
          <w:rFonts w:hAnsi="宋体"/>
        </w:rPr>
        <w:t xml:space="preserve"> 14048.</w:t>
      </w:r>
      <w:r>
        <w:rPr>
          <w:rFonts w:hint="eastAsia" w:hAnsi="宋体"/>
        </w:rPr>
        <w:t>8</w:t>
      </w:r>
      <w:r>
        <w:rPr>
          <w:rFonts w:hAnsi="宋体"/>
        </w:rPr>
        <w:t>-</w:t>
      </w:r>
      <w:r>
        <w:rPr>
          <w:rFonts w:hint="eastAsia" w:hAnsi="宋体"/>
        </w:rPr>
        <w:t>2006</w:t>
      </w:r>
      <w:r>
        <w:rPr>
          <w:rFonts w:hAnsi="宋体"/>
        </w:rPr>
        <w:t>《低压开关设备和控制设备 第7-2部分：辅助器件 铜导体的保护导体接线端子排》</w:t>
      </w:r>
    </w:p>
    <w:p>
      <w:pPr>
        <w:spacing w:line="360" w:lineRule="auto"/>
        <w:ind w:firstLine="480"/>
        <w:rPr>
          <w:rFonts w:hint="eastAsia" w:hAnsi="宋体"/>
        </w:rPr>
      </w:pPr>
      <w:r>
        <w:rPr>
          <w:rFonts w:hint="eastAsia" w:hAnsi="宋体"/>
          <w:bCs/>
        </w:rPr>
        <w:t>GB 14048.9-2008《</w:t>
      </w:r>
      <w:r>
        <w:rPr>
          <w:rFonts w:hint="eastAsia" w:hAnsi="宋体"/>
        </w:rPr>
        <w:t>低压开关设备和控制设备 第6-2部分：多功能电器（设备）控制与保护开关电器（设备）(CPS)</w:t>
      </w:r>
      <w:r>
        <w:rPr>
          <w:rFonts w:hint="eastAsia" w:hAnsi="宋体"/>
          <w:bCs/>
        </w:rPr>
        <w:t>》</w:t>
      </w:r>
    </w:p>
    <w:p>
      <w:pPr>
        <w:spacing w:line="360" w:lineRule="auto"/>
        <w:ind w:firstLine="480"/>
        <w:rPr>
          <w:rFonts w:hint="eastAsia" w:hAnsi="宋体"/>
        </w:rPr>
      </w:pPr>
      <w:r>
        <w:rPr>
          <w:rFonts w:hAnsi="宋体"/>
        </w:rPr>
        <w:fldChar w:fldCharType="begin"/>
      </w:r>
      <w:r>
        <w:rPr>
          <w:rFonts w:hAnsi="宋体"/>
        </w:rPr>
        <w:instrText xml:space="preserve"> HYPERLINK "http://220.181.176.160/stdlinfo/servlet/com.sac.sacQuery.GjbzcxDetailServlet?std_code=GB/T%2014048.11-2008" </w:instrText>
      </w:r>
      <w:r>
        <w:rPr>
          <w:rFonts w:hAnsi="宋体"/>
        </w:rPr>
        <w:fldChar w:fldCharType="separate"/>
      </w:r>
      <w:r>
        <w:rPr>
          <w:rFonts w:hAnsi="宋体"/>
        </w:rPr>
        <w:t>GB/T 14048.11-2008</w:t>
      </w:r>
      <w:r>
        <w:rPr>
          <w:rFonts w:hAnsi="宋体"/>
        </w:rPr>
        <w:fldChar w:fldCharType="end"/>
      </w:r>
      <w:r>
        <w:rPr>
          <w:rFonts w:hint="eastAsia" w:hAnsi="宋体"/>
        </w:rPr>
        <w:t>《</w:t>
      </w:r>
      <w:r>
        <w:rPr>
          <w:rFonts w:hAnsi="宋体"/>
        </w:rPr>
        <w:t>低压开关设备和控制设备 第6-1部分：多功能电器 转换开关电器</w:t>
      </w:r>
      <w:r>
        <w:rPr>
          <w:rFonts w:hint="eastAsia" w:hAnsi="宋体"/>
        </w:rPr>
        <w:t>》</w:t>
      </w:r>
    </w:p>
    <w:p>
      <w:pPr>
        <w:spacing w:line="360" w:lineRule="auto"/>
        <w:ind w:firstLine="480"/>
        <w:rPr>
          <w:rFonts w:hint="eastAsia" w:hAnsi="宋体"/>
        </w:rPr>
      </w:pPr>
      <w:r>
        <w:rPr>
          <w:rFonts w:hAnsi="宋体"/>
        </w:rPr>
        <w:fldChar w:fldCharType="begin"/>
      </w:r>
      <w:r>
        <w:rPr>
          <w:rFonts w:hAnsi="宋体"/>
        </w:rPr>
        <w:instrText xml:space="preserve"> HYPERLINK "http://220.181.176.160/stdlinfo/servlet/com.sac.sacQuery.GjbzcxDetailServlet?std_code=GB/T%2014048.18-2008" </w:instrText>
      </w:r>
      <w:r>
        <w:rPr>
          <w:rFonts w:hAnsi="宋体"/>
        </w:rPr>
        <w:fldChar w:fldCharType="separate"/>
      </w:r>
      <w:r>
        <w:rPr>
          <w:rFonts w:hAnsi="宋体"/>
        </w:rPr>
        <w:t>GB/T 14048.18-2008</w:t>
      </w:r>
      <w:r>
        <w:rPr>
          <w:rFonts w:hAnsi="宋体"/>
        </w:rPr>
        <w:fldChar w:fldCharType="end"/>
      </w:r>
      <w:r>
        <w:rPr>
          <w:rFonts w:hint="eastAsia" w:hAnsi="宋体"/>
        </w:rPr>
        <w:t>《</w:t>
      </w:r>
      <w:r>
        <w:rPr>
          <w:rFonts w:hAnsi="宋体"/>
        </w:rPr>
        <w:t>低压开关设备和控制设备 第7-3部分：辅助器件 熔断器接线端子排的安全要求</w:t>
      </w:r>
      <w:r>
        <w:rPr>
          <w:rFonts w:hint="eastAsia" w:hAnsi="宋体"/>
        </w:rPr>
        <w:t>》</w:t>
      </w:r>
    </w:p>
    <w:p>
      <w:pPr>
        <w:spacing w:line="360" w:lineRule="auto"/>
        <w:ind w:firstLine="480"/>
        <w:rPr>
          <w:rFonts w:hAnsi="宋体"/>
        </w:rPr>
      </w:pPr>
      <w:r>
        <w:rPr>
          <w:rFonts w:hAnsi="宋体"/>
        </w:rPr>
        <w:t>GB 7251.1-</w:t>
      </w:r>
      <w:r>
        <w:rPr>
          <w:rFonts w:hint="eastAsia" w:hAnsi="宋体"/>
        </w:rPr>
        <w:t>2013</w:t>
      </w:r>
      <w:r>
        <w:rPr>
          <w:rFonts w:hAnsi="宋体"/>
        </w:rPr>
        <w:t>《低压成套开关设备和控制设备 第1部分：型式试验和部分型式试验 成套设备》</w:t>
      </w:r>
    </w:p>
    <w:p>
      <w:pPr>
        <w:spacing w:line="360" w:lineRule="auto"/>
        <w:ind w:firstLine="480"/>
        <w:rPr>
          <w:rFonts w:hint="eastAsia" w:hAnsi="宋体"/>
        </w:rPr>
      </w:pPr>
      <w:r>
        <w:rPr>
          <w:rFonts w:hAnsi="宋体"/>
        </w:rPr>
        <w:t>GB/T 5585.1-2005</w:t>
      </w:r>
      <w:r>
        <w:rPr>
          <w:rFonts w:hint="eastAsia" w:hAnsi="宋体"/>
        </w:rPr>
        <w:t>《电工用铜、铝及其合金母线 第一部分：铜和铜合金母线》</w:t>
      </w:r>
    </w:p>
    <w:p>
      <w:pPr>
        <w:spacing w:line="360" w:lineRule="auto"/>
        <w:ind w:firstLine="480"/>
        <w:rPr>
          <w:rFonts w:hint="eastAsia" w:hAnsi="宋体"/>
        </w:rPr>
      </w:pPr>
      <w:r>
        <w:rPr>
          <w:rFonts w:hAnsi="宋体"/>
        </w:rPr>
        <w:t>GB 7251.3-</w:t>
      </w:r>
      <w:r>
        <w:rPr>
          <w:rFonts w:hint="eastAsia" w:hAnsi="宋体"/>
        </w:rPr>
        <w:t>2006</w:t>
      </w:r>
      <w:r>
        <w:rPr>
          <w:rFonts w:hAnsi="宋体"/>
        </w:rPr>
        <w:t>《低压成套开关设备和控制设备 第三部分：对非专业人员可进入场地的低压成套设备和控制设备---配电板的特殊要求》</w:t>
      </w:r>
    </w:p>
    <w:p>
      <w:pPr>
        <w:spacing w:line="360" w:lineRule="auto"/>
        <w:ind w:firstLine="480"/>
        <w:rPr>
          <w:rFonts w:hint="eastAsia" w:hAnsi="宋体"/>
        </w:rPr>
      </w:pPr>
      <w:r>
        <w:rPr>
          <w:rFonts w:hAnsi="宋体"/>
        </w:rPr>
        <w:t>GB/T 7251.8-2005</w:t>
      </w:r>
      <w:r>
        <w:rPr>
          <w:rFonts w:hint="eastAsia" w:hAnsi="宋体"/>
        </w:rPr>
        <w:t xml:space="preserve"> </w:t>
      </w:r>
      <w:r>
        <w:rPr>
          <w:rFonts w:hAnsi="宋体"/>
        </w:rPr>
        <w:t>《低压成套开关设备和控制设备 智能型成套设备通用技术要求》</w:t>
      </w:r>
    </w:p>
    <w:p>
      <w:pPr>
        <w:spacing w:line="360" w:lineRule="auto"/>
        <w:ind w:firstLine="480"/>
        <w:rPr>
          <w:rFonts w:hint="eastAsia" w:hAnsi="宋体"/>
        </w:rPr>
      </w:pPr>
      <w:r>
        <w:rPr>
          <w:rFonts w:hAnsi="宋体"/>
        </w:rPr>
        <w:fldChar w:fldCharType="begin"/>
      </w:r>
      <w:r>
        <w:rPr>
          <w:rFonts w:hAnsi="宋体"/>
        </w:rPr>
        <w:instrText xml:space="preserve"> HYPERLINK "http://220.181.176.160/stdlinfo/servlet/com.sac.sacQuery.GjbzcxDetailServlet?std_code=GB/T%2020641-2006" </w:instrText>
      </w:r>
      <w:r>
        <w:rPr>
          <w:rFonts w:hAnsi="宋体"/>
        </w:rPr>
        <w:fldChar w:fldCharType="separate"/>
      </w:r>
      <w:r>
        <w:rPr>
          <w:rFonts w:hAnsi="宋体"/>
        </w:rPr>
        <w:t>GB/T 20641-20</w:t>
      </w:r>
      <w:r>
        <w:rPr>
          <w:rFonts w:hint="eastAsia" w:hAnsi="宋体"/>
        </w:rPr>
        <w:t>14</w:t>
      </w:r>
      <w:r>
        <w:rPr>
          <w:rFonts w:hAnsi="宋体"/>
        </w:rPr>
        <w:fldChar w:fldCharType="end"/>
      </w:r>
      <w:r>
        <w:rPr>
          <w:rFonts w:hint="eastAsia" w:hAnsi="宋体"/>
        </w:rPr>
        <w:t>《</w:t>
      </w:r>
      <w:r>
        <w:rPr>
          <w:rFonts w:hAnsi="宋体"/>
        </w:rPr>
        <w:t>低压成套开关设备和控制设备空壳体的一般要求</w:t>
      </w:r>
      <w:r>
        <w:rPr>
          <w:rFonts w:hint="eastAsia" w:hAnsi="宋体"/>
        </w:rPr>
        <w:t>》</w:t>
      </w:r>
    </w:p>
    <w:p>
      <w:pPr>
        <w:spacing w:line="360" w:lineRule="auto"/>
        <w:ind w:firstLine="480"/>
        <w:rPr>
          <w:rFonts w:hint="eastAsia" w:hAnsi="宋体"/>
        </w:rPr>
      </w:pPr>
      <w:r>
        <w:rPr>
          <w:rFonts w:hAnsi="宋体"/>
        </w:rPr>
        <w:fldChar w:fldCharType="begin"/>
      </w:r>
      <w:r>
        <w:rPr>
          <w:rFonts w:hAnsi="宋体"/>
        </w:rPr>
        <w:instrText xml:space="preserve"> HYPERLINK "http://220.181.176.160/stdlinfo/servlet/com.sac.sacQuery.GjbzcxDetailServlet?std_code=GB/T%2024621.1-2009" </w:instrText>
      </w:r>
      <w:r>
        <w:rPr>
          <w:rFonts w:hAnsi="宋体"/>
        </w:rPr>
        <w:fldChar w:fldCharType="separate"/>
      </w:r>
      <w:r>
        <w:rPr>
          <w:rFonts w:hAnsi="宋体"/>
        </w:rPr>
        <w:t>GB/T 24621.1-2009</w:t>
      </w:r>
      <w:r>
        <w:rPr>
          <w:rFonts w:hAnsi="宋体"/>
        </w:rPr>
        <w:fldChar w:fldCharType="end"/>
      </w:r>
      <w:r>
        <w:rPr>
          <w:rFonts w:hint="eastAsia" w:hAnsi="宋体"/>
        </w:rPr>
        <w:t>《</w:t>
      </w:r>
      <w:r>
        <w:rPr>
          <w:rFonts w:hAnsi="宋体"/>
        </w:rPr>
        <w:t>低压成套开关设备和控制设备的电气安全应用指南 第1部分：成套开关设备</w:t>
      </w:r>
      <w:r>
        <w:rPr>
          <w:rFonts w:hint="eastAsia" w:hAnsi="宋体"/>
        </w:rPr>
        <w:t>》</w:t>
      </w:r>
    </w:p>
    <w:p>
      <w:pPr>
        <w:spacing w:line="360" w:lineRule="auto"/>
        <w:ind w:firstLine="480"/>
        <w:rPr>
          <w:rFonts w:hAnsi="宋体"/>
        </w:rPr>
      </w:pPr>
      <w:r>
        <w:rPr>
          <w:rFonts w:hAnsi="宋体"/>
        </w:rPr>
        <w:t>GB 7947-20</w:t>
      </w:r>
      <w:r>
        <w:rPr>
          <w:rFonts w:hint="eastAsia" w:hAnsi="宋体"/>
        </w:rPr>
        <w:t>10</w:t>
      </w:r>
      <w:r>
        <w:rPr>
          <w:rFonts w:hAnsi="宋体"/>
        </w:rPr>
        <w:t>《人机界面标志标识的基本和安全规则 导体的颜色或数字标识》</w:t>
      </w:r>
    </w:p>
    <w:p>
      <w:pPr>
        <w:spacing w:line="360" w:lineRule="auto"/>
        <w:ind w:firstLine="480"/>
        <w:rPr>
          <w:rFonts w:hAnsi="宋体"/>
        </w:rPr>
      </w:pPr>
      <w:r>
        <w:rPr>
          <w:rFonts w:hAnsi="宋体"/>
        </w:rPr>
        <w:t>GB/T 4207-</w:t>
      </w:r>
      <w:r>
        <w:rPr>
          <w:rFonts w:hint="eastAsia" w:hAnsi="宋体"/>
        </w:rPr>
        <w:t>2012</w:t>
      </w:r>
      <w:r>
        <w:rPr>
          <w:rFonts w:hAnsi="宋体"/>
        </w:rPr>
        <w:t>《固体绝缘材料在潮湿条件下相比电痕化指数和耐电痕化指数的测定方法》</w:t>
      </w:r>
    </w:p>
    <w:p>
      <w:pPr>
        <w:spacing w:line="360" w:lineRule="auto"/>
        <w:ind w:firstLine="480"/>
        <w:rPr>
          <w:rFonts w:hint="eastAsia" w:hAnsi="宋体"/>
        </w:rPr>
      </w:pPr>
      <w:r>
        <w:rPr>
          <w:rFonts w:hAnsi="宋体"/>
        </w:rPr>
        <w:fldChar w:fldCharType="begin"/>
      </w:r>
      <w:r>
        <w:rPr>
          <w:rFonts w:hAnsi="宋体"/>
        </w:rPr>
        <w:instrText xml:space="preserve"> HYPERLINK "http://220.181.176.160/stdlinfo/servlet/com.sac.sacQuery.GjbzcxDetailServlet?std_code=GB%2013539.1-2008" </w:instrText>
      </w:r>
      <w:r>
        <w:rPr>
          <w:rFonts w:hAnsi="宋体"/>
        </w:rPr>
        <w:fldChar w:fldCharType="separate"/>
      </w:r>
      <w:r>
        <w:rPr>
          <w:rFonts w:hAnsi="宋体"/>
        </w:rPr>
        <w:t>GB 13539.1-2008</w:t>
      </w:r>
      <w:r>
        <w:rPr>
          <w:rFonts w:hAnsi="宋体"/>
        </w:rPr>
        <w:fldChar w:fldCharType="end"/>
      </w:r>
      <w:r>
        <w:rPr>
          <w:rFonts w:hAnsi="宋体"/>
        </w:rPr>
        <w:t>《低压熔断器 第1部分：基本要求》</w:t>
      </w:r>
    </w:p>
    <w:p>
      <w:pPr>
        <w:spacing w:line="360" w:lineRule="auto"/>
        <w:ind w:firstLine="480"/>
        <w:rPr>
          <w:rFonts w:hint="eastAsia" w:hAnsi="宋体"/>
        </w:rPr>
      </w:pPr>
      <w:r>
        <w:rPr>
          <w:rFonts w:hAnsi="宋体"/>
        </w:rPr>
        <w:fldChar w:fldCharType="begin"/>
      </w:r>
      <w:r>
        <w:rPr>
          <w:rFonts w:hAnsi="宋体"/>
        </w:rPr>
        <w:instrText xml:space="preserve"> HYPERLINK "http://220.181.176.160/stdlinfo/servlet/com.sac.sacQuery.GjbzcxDetailServlet?std_code=GB/T%2013539.2-2008" </w:instrText>
      </w:r>
      <w:r>
        <w:rPr>
          <w:rFonts w:hAnsi="宋体"/>
        </w:rPr>
        <w:fldChar w:fldCharType="separate"/>
      </w:r>
      <w:r>
        <w:rPr>
          <w:rFonts w:hAnsi="宋体"/>
        </w:rPr>
        <w:t>GB/T 13539.2-2008</w:t>
      </w:r>
      <w:r>
        <w:rPr>
          <w:rFonts w:hAnsi="宋体"/>
        </w:rPr>
        <w:fldChar w:fldCharType="end"/>
      </w:r>
      <w:r>
        <w:rPr>
          <w:rFonts w:hAnsi="宋体"/>
        </w:rPr>
        <w:t>《低压熔断器 第2部分：专职人员使用的熔断器的补充要求（主要用于工业的熔断器）标准化熔断器系统示例A至I》</w:t>
      </w:r>
    </w:p>
    <w:p>
      <w:pPr>
        <w:spacing w:line="360" w:lineRule="auto"/>
        <w:ind w:firstLine="480"/>
        <w:rPr>
          <w:rFonts w:hint="eastAsia" w:hAnsi="宋体"/>
        </w:rPr>
      </w:pPr>
      <w:r>
        <w:rPr>
          <w:rFonts w:hAnsi="宋体"/>
        </w:rPr>
        <w:fldChar w:fldCharType="begin"/>
      </w:r>
      <w:r>
        <w:rPr>
          <w:rFonts w:hAnsi="宋体"/>
        </w:rPr>
        <w:instrText xml:space="preserve"> HYPERLINK "http://220.181.176.160/stdlinfo/servlet/com.sac.sacQuery.GjbzcxDetailServlet?std_code=GB/T%2013539.4-2009" </w:instrText>
      </w:r>
      <w:r>
        <w:rPr>
          <w:rFonts w:hAnsi="宋体"/>
        </w:rPr>
        <w:fldChar w:fldCharType="separate"/>
      </w:r>
      <w:r>
        <w:rPr>
          <w:rFonts w:hAnsi="宋体"/>
        </w:rPr>
        <w:t>GB/T 13539.4-2009</w:t>
      </w:r>
      <w:r>
        <w:rPr>
          <w:rFonts w:hAnsi="宋体"/>
        </w:rPr>
        <w:fldChar w:fldCharType="end"/>
      </w:r>
      <w:r>
        <w:rPr>
          <w:rFonts w:hAnsi="宋体"/>
        </w:rPr>
        <w:t>《低压熔断器 第4部分：半导体设备保护用熔断体的补充要求》</w:t>
      </w:r>
    </w:p>
    <w:p>
      <w:pPr>
        <w:spacing w:line="360" w:lineRule="auto"/>
        <w:ind w:firstLine="480"/>
        <w:rPr>
          <w:rFonts w:hAnsi="宋体"/>
        </w:rPr>
      </w:pPr>
      <w:r>
        <w:rPr>
          <w:rFonts w:hAnsi="宋体"/>
        </w:rPr>
        <w:t>GB 1207-</w:t>
      </w:r>
      <w:r>
        <w:rPr>
          <w:rFonts w:hint="eastAsia" w:hAnsi="宋体"/>
        </w:rPr>
        <w:t>2006</w:t>
      </w:r>
      <w:r>
        <w:rPr>
          <w:rFonts w:hAnsi="宋体"/>
        </w:rPr>
        <w:t>《电磁式电压互感器》</w:t>
      </w:r>
    </w:p>
    <w:p>
      <w:pPr>
        <w:spacing w:line="360" w:lineRule="auto"/>
        <w:ind w:firstLine="480"/>
        <w:rPr>
          <w:rFonts w:hAnsi="宋体"/>
        </w:rPr>
      </w:pPr>
      <w:r>
        <w:rPr>
          <w:rFonts w:hAnsi="宋体"/>
        </w:rPr>
        <w:t>GB 1208-</w:t>
      </w:r>
      <w:r>
        <w:rPr>
          <w:rFonts w:hint="eastAsia" w:hAnsi="宋体"/>
        </w:rPr>
        <w:t>2006</w:t>
      </w:r>
      <w:r>
        <w:rPr>
          <w:rFonts w:hAnsi="宋体"/>
        </w:rPr>
        <w:t>《电流互感器》</w:t>
      </w:r>
    </w:p>
    <w:p>
      <w:pPr>
        <w:spacing w:line="360" w:lineRule="auto"/>
        <w:ind w:firstLine="480"/>
        <w:rPr>
          <w:rFonts w:hint="eastAsia" w:hAnsi="宋体"/>
        </w:rPr>
      </w:pPr>
      <w:r>
        <w:rPr>
          <w:rFonts w:hAnsi="宋体"/>
        </w:rPr>
        <w:fldChar w:fldCharType="begin"/>
      </w:r>
      <w:r>
        <w:rPr>
          <w:rFonts w:hAnsi="宋体"/>
        </w:rPr>
        <w:instrText xml:space="preserve"> HYPERLINK "http://220.181.176.160/stdlinfo/servlet/com.sac.sacQuery.GjbzcxDetailServlet?std_code=GB/T%2017626.1-2006" </w:instrText>
      </w:r>
      <w:r>
        <w:rPr>
          <w:rFonts w:hAnsi="宋体"/>
        </w:rPr>
        <w:fldChar w:fldCharType="separate"/>
      </w:r>
      <w:r>
        <w:rPr>
          <w:rFonts w:hAnsi="宋体"/>
        </w:rPr>
        <w:t>GB/T 17626.1-2006</w:t>
      </w:r>
      <w:r>
        <w:rPr>
          <w:rFonts w:hAnsi="宋体"/>
        </w:rPr>
        <w:fldChar w:fldCharType="end"/>
      </w:r>
      <w:r>
        <w:rPr>
          <w:rFonts w:hAnsi="宋体"/>
        </w:rPr>
        <w:t>《电磁兼容 试验和测量技术 抗扰度试验总论》</w:t>
      </w:r>
    </w:p>
    <w:p>
      <w:pPr>
        <w:spacing w:line="360" w:lineRule="auto"/>
        <w:ind w:firstLine="480"/>
        <w:rPr>
          <w:rFonts w:hAnsi="宋体"/>
        </w:rPr>
      </w:pPr>
      <w:r>
        <w:rPr>
          <w:rFonts w:hAnsi="宋体"/>
        </w:rPr>
        <w:t>GB/T 17626.2-</w:t>
      </w:r>
      <w:r>
        <w:rPr>
          <w:rFonts w:hint="eastAsia" w:hAnsi="宋体"/>
        </w:rPr>
        <w:t>2006</w:t>
      </w:r>
      <w:r>
        <w:rPr>
          <w:rFonts w:hAnsi="宋体"/>
        </w:rPr>
        <w:t>《电磁兼容 试验和测量技术 静电放电抗扰度试验》</w:t>
      </w:r>
    </w:p>
    <w:p>
      <w:pPr>
        <w:spacing w:line="360" w:lineRule="auto"/>
        <w:ind w:firstLine="480"/>
        <w:rPr>
          <w:rFonts w:hAnsi="宋体"/>
        </w:rPr>
      </w:pPr>
      <w:r>
        <w:rPr>
          <w:rFonts w:hAnsi="宋体"/>
        </w:rPr>
        <w:t>GB/T 17626.3-</w:t>
      </w:r>
      <w:r>
        <w:rPr>
          <w:rFonts w:hint="eastAsia" w:hAnsi="宋体"/>
        </w:rPr>
        <w:t>2006</w:t>
      </w:r>
      <w:r>
        <w:rPr>
          <w:rFonts w:hAnsi="宋体"/>
        </w:rPr>
        <w:t>《电磁兼容 试验和测量技术 射频电磁场辐射抗扰度试验》</w:t>
      </w:r>
    </w:p>
    <w:p>
      <w:pPr>
        <w:spacing w:line="360" w:lineRule="auto"/>
        <w:ind w:firstLine="480"/>
        <w:rPr>
          <w:rFonts w:hAnsi="宋体"/>
        </w:rPr>
      </w:pPr>
      <w:r>
        <w:rPr>
          <w:rFonts w:hAnsi="宋体"/>
        </w:rPr>
        <w:t>GB/T 17626.4-</w:t>
      </w:r>
      <w:r>
        <w:rPr>
          <w:rFonts w:hint="eastAsia" w:hAnsi="宋体"/>
        </w:rPr>
        <w:t>200</w:t>
      </w:r>
      <w:r>
        <w:rPr>
          <w:rFonts w:hAnsi="宋体"/>
        </w:rPr>
        <w:t>8《电磁兼容 试验和测量技术 电快速瞬变脉冲群抗扰度试验》</w:t>
      </w:r>
    </w:p>
    <w:p>
      <w:pPr>
        <w:spacing w:line="360" w:lineRule="auto"/>
        <w:ind w:firstLine="480"/>
        <w:rPr>
          <w:rFonts w:hAnsi="宋体"/>
        </w:rPr>
      </w:pPr>
      <w:r>
        <w:rPr>
          <w:rFonts w:hAnsi="宋体"/>
        </w:rPr>
        <w:t>GB/T 17626.5-</w:t>
      </w:r>
      <w:r>
        <w:rPr>
          <w:rFonts w:hint="eastAsia" w:hAnsi="宋体"/>
        </w:rPr>
        <w:t>2008</w:t>
      </w:r>
      <w:r>
        <w:rPr>
          <w:rFonts w:hAnsi="宋体"/>
        </w:rPr>
        <w:t>《电磁兼容 试验和测量技术 浪涌（冲击）抗扰度试验》</w:t>
      </w:r>
    </w:p>
    <w:p>
      <w:pPr>
        <w:spacing w:line="360" w:lineRule="auto"/>
        <w:ind w:firstLine="480"/>
        <w:rPr>
          <w:rFonts w:hint="eastAsia" w:hAnsi="宋体"/>
        </w:rPr>
      </w:pPr>
      <w:r>
        <w:rPr>
          <w:rFonts w:hAnsi="宋体"/>
        </w:rPr>
        <w:t>GB/T</w:t>
      </w:r>
      <w:r>
        <w:rPr>
          <w:rFonts w:hint="eastAsia" w:hAnsi="宋体"/>
        </w:rPr>
        <w:t>.</w:t>
      </w:r>
      <w:r>
        <w:rPr>
          <w:rFonts w:hAnsi="宋体"/>
        </w:rPr>
        <w:t>4025-20</w:t>
      </w:r>
      <w:r>
        <w:rPr>
          <w:rFonts w:hint="eastAsia" w:hAnsi="宋体"/>
        </w:rPr>
        <w:t>10</w:t>
      </w:r>
      <w:r>
        <w:rPr>
          <w:rFonts w:hAnsi="宋体"/>
        </w:rPr>
        <w:t>《人-机界面</w:t>
      </w:r>
      <w:r>
        <w:rPr>
          <w:rFonts w:hint="eastAsia" w:hAnsi="宋体"/>
        </w:rPr>
        <w:t xml:space="preserve"> </w:t>
      </w:r>
      <w:r>
        <w:rPr>
          <w:rFonts w:hAnsi="宋体"/>
        </w:rPr>
        <w:t>标志和符号的基本安全规则-指示器和操作机构的编码规则》</w:t>
      </w:r>
    </w:p>
    <w:p>
      <w:pPr>
        <w:spacing w:line="360" w:lineRule="auto"/>
        <w:ind w:firstLine="480"/>
        <w:rPr>
          <w:rFonts w:hAnsi="宋体"/>
        </w:rPr>
      </w:pPr>
      <w:r>
        <w:rPr>
          <w:rFonts w:hAnsi="宋体"/>
        </w:rPr>
        <w:t>GB/T 15153.1-1998</w:t>
      </w:r>
      <w:r>
        <w:rPr>
          <w:rFonts w:hint="eastAsia" w:hAnsi="宋体"/>
        </w:rPr>
        <w:t>《远动设备及系统</w:t>
      </w:r>
      <w:r>
        <w:rPr>
          <w:rFonts w:hAnsi="宋体"/>
        </w:rPr>
        <w:t xml:space="preserve"> </w:t>
      </w:r>
      <w:r>
        <w:rPr>
          <w:rFonts w:hint="eastAsia" w:hAnsi="宋体"/>
        </w:rPr>
        <w:t>第</w:t>
      </w:r>
      <w:r>
        <w:rPr>
          <w:rFonts w:hAnsi="宋体"/>
        </w:rPr>
        <w:t>2</w:t>
      </w:r>
      <w:r>
        <w:rPr>
          <w:rFonts w:hint="eastAsia" w:hAnsi="宋体"/>
        </w:rPr>
        <w:t>部分</w:t>
      </w:r>
      <w:r>
        <w:rPr>
          <w:rFonts w:hAnsi="宋体"/>
        </w:rPr>
        <w:t>:</w:t>
      </w:r>
      <w:r>
        <w:rPr>
          <w:rFonts w:hint="eastAsia" w:hAnsi="宋体"/>
        </w:rPr>
        <w:t>工作条件</w:t>
      </w:r>
      <w:r>
        <w:rPr>
          <w:rFonts w:hAnsi="宋体"/>
        </w:rPr>
        <w:t xml:space="preserve"> </w:t>
      </w:r>
      <w:r>
        <w:rPr>
          <w:rFonts w:hint="eastAsia" w:hAnsi="宋体"/>
        </w:rPr>
        <w:t>第</w:t>
      </w:r>
      <w:r>
        <w:rPr>
          <w:rFonts w:hAnsi="宋体"/>
        </w:rPr>
        <w:t>1</w:t>
      </w:r>
      <w:r>
        <w:rPr>
          <w:rFonts w:hint="eastAsia" w:hAnsi="宋体"/>
        </w:rPr>
        <w:t>篇</w:t>
      </w:r>
      <w:r>
        <w:rPr>
          <w:rFonts w:hAnsi="宋体"/>
        </w:rPr>
        <w:t>:</w:t>
      </w:r>
      <w:r>
        <w:rPr>
          <w:rFonts w:hint="eastAsia" w:hAnsi="宋体"/>
        </w:rPr>
        <w:t>电源和电磁兼容性》</w:t>
      </w:r>
    </w:p>
    <w:p>
      <w:pPr>
        <w:spacing w:line="360" w:lineRule="auto"/>
        <w:ind w:firstLine="480"/>
        <w:rPr>
          <w:rFonts w:hAnsi="宋体"/>
        </w:rPr>
      </w:pPr>
      <w:r>
        <w:rPr>
          <w:rFonts w:hAnsi="宋体"/>
        </w:rPr>
        <w:t>GB/T 15153.2-200</w:t>
      </w:r>
      <w:r>
        <w:rPr>
          <w:rFonts w:hint="eastAsia" w:hAnsi="宋体"/>
        </w:rPr>
        <w:t>0《远动设备及系统</w:t>
      </w:r>
      <w:r>
        <w:rPr>
          <w:rFonts w:hAnsi="宋体"/>
        </w:rPr>
        <w:t xml:space="preserve"> </w:t>
      </w:r>
      <w:r>
        <w:rPr>
          <w:rFonts w:hint="eastAsia" w:hAnsi="宋体"/>
        </w:rPr>
        <w:t>第</w:t>
      </w:r>
      <w:r>
        <w:rPr>
          <w:rFonts w:hAnsi="宋体"/>
        </w:rPr>
        <w:t>2</w:t>
      </w:r>
      <w:r>
        <w:rPr>
          <w:rFonts w:hint="eastAsia" w:hAnsi="宋体"/>
        </w:rPr>
        <w:t>部分</w:t>
      </w:r>
      <w:r>
        <w:rPr>
          <w:rFonts w:hAnsi="宋体"/>
        </w:rPr>
        <w:t>:</w:t>
      </w:r>
      <w:r>
        <w:rPr>
          <w:rFonts w:hint="eastAsia" w:hAnsi="宋体"/>
        </w:rPr>
        <w:t>工作条件</w:t>
      </w:r>
      <w:r>
        <w:rPr>
          <w:rFonts w:hAnsi="宋体"/>
        </w:rPr>
        <w:t xml:space="preserve"> </w:t>
      </w:r>
      <w:r>
        <w:rPr>
          <w:rFonts w:hint="eastAsia" w:hAnsi="宋体"/>
        </w:rPr>
        <w:t>第</w:t>
      </w:r>
      <w:r>
        <w:rPr>
          <w:rFonts w:hAnsi="宋体"/>
        </w:rPr>
        <w:t>2</w:t>
      </w:r>
      <w:r>
        <w:rPr>
          <w:rFonts w:hint="eastAsia" w:hAnsi="宋体"/>
        </w:rPr>
        <w:t>篇</w:t>
      </w:r>
      <w:r>
        <w:rPr>
          <w:rFonts w:hAnsi="宋体"/>
        </w:rPr>
        <w:t>:</w:t>
      </w:r>
      <w:r>
        <w:rPr>
          <w:rFonts w:hint="eastAsia" w:hAnsi="宋体"/>
        </w:rPr>
        <w:t>环境条件</w:t>
      </w:r>
      <w:r>
        <w:rPr>
          <w:rFonts w:hAnsi="宋体"/>
        </w:rPr>
        <w:t>(</w:t>
      </w:r>
      <w:r>
        <w:rPr>
          <w:rFonts w:hint="eastAsia" w:hAnsi="宋体"/>
        </w:rPr>
        <w:t>气候、机械和其他非电影响因素</w:t>
      </w:r>
      <w:r>
        <w:rPr>
          <w:rFonts w:hAnsi="宋体"/>
        </w:rPr>
        <w:t>)</w:t>
      </w:r>
      <w:r>
        <w:rPr>
          <w:rFonts w:hint="eastAsia" w:hAnsi="宋体"/>
        </w:rPr>
        <w:t>》</w:t>
      </w:r>
    </w:p>
    <w:p>
      <w:pPr>
        <w:spacing w:line="360" w:lineRule="auto"/>
        <w:ind w:firstLine="480"/>
        <w:rPr>
          <w:rFonts w:hAnsi="宋体"/>
        </w:rPr>
      </w:pPr>
      <w:r>
        <w:rPr>
          <w:rFonts w:hAnsi="宋体"/>
        </w:rPr>
        <w:t xml:space="preserve">GB/T </w:t>
      </w:r>
      <w:r>
        <w:rPr>
          <w:rFonts w:hint="eastAsia" w:hAnsi="宋体"/>
        </w:rPr>
        <w:t>15316</w:t>
      </w:r>
      <w:r>
        <w:rPr>
          <w:rFonts w:hAnsi="宋体"/>
        </w:rPr>
        <w:t>-200</w:t>
      </w:r>
      <w:r>
        <w:rPr>
          <w:rFonts w:hint="eastAsia" w:hAnsi="宋体"/>
        </w:rPr>
        <w:t>9《节能监测技术通则》</w:t>
      </w:r>
      <w:r>
        <w:rPr>
          <w:rFonts w:hAnsi="宋体"/>
        </w:rPr>
        <w:tab/>
      </w:r>
      <w:r>
        <w:rPr>
          <w:rFonts w:hAnsi="宋体"/>
        </w:rPr>
        <w:tab/>
      </w:r>
      <w:r>
        <w:rPr>
          <w:rFonts w:hAnsi="宋体"/>
        </w:rPr>
        <w:tab/>
      </w:r>
      <w:r>
        <w:rPr>
          <w:rFonts w:hAnsi="宋体"/>
        </w:rPr>
        <w:tab/>
      </w:r>
      <w:r>
        <w:rPr>
          <w:rFonts w:hAnsi="宋体"/>
        </w:rPr>
        <w:tab/>
      </w:r>
    </w:p>
    <w:p>
      <w:pPr>
        <w:spacing w:line="360" w:lineRule="auto"/>
        <w:ind w:firstLine="480"/>
        <w:rPr>
          <w:rFonts w:hAnsi="宋体"/>
        </w:rPr>
      </w:pPr>
      <w:r>
        <w:rPr>
          <w:rFonts w:hAnsi="宋体"/>
        </w:rPr>
        <w:t>GB50174-2008</w:t>
      </w:r>
      <w:r>
        <w:rPr>
          <w:rFonts w:hint="eastAsia" w:hAnsi="宋体"/>
        </w:rPr>
        <w:t>《电子信息系统机房设计规范》</w:t>
      </w:r>
      <w:r>
        <w:rPr>
          <w:rFonts w:hAnsi="宋体"/>
        </w:rPr>
        <w:tab/>
      </w:r>
      <w:r>
        <w:rPr>
          <w:rFonts w:hAnsi="宋体"/>
        </w:rPr>
        <w:tab/>
      </w:r>
      <w:r>
        <w:rPr>
          <w:rFonts w:hAnsi="宋体"/>
        </w:rPr>
        <w:tab/>
      </w:r>
    </w:p>
    <w:p>
      <w:pPr>
        <w:spacing w:line="360" w:lineRule="auto"/>
        <w:ind w:firstLine="480"/>
        <w:rPr>
          <w:rFonts w:hAnsi="宋体"/>
        </w:rPr>
      </w:pPr>
      <w:r>
        <w:rPr>
          <w:rFonts w:hAnsi="宋体"/>
        </w:rPr>
        <w:t>DL/T 448—2000</w:t>
      </w:r>
      <w:r>
        <w:rPr>
          <w:rFonts w:hint="eastAsia" w:hAnsi="宋体"/>
        </w:rPr>
        <w:t>《电能计量装置技术管理规程》</w:t>
      </w:r>
    </w:p>
    <w:p>
      <w:pPr>
        <w:spacing w:line="360" w:lineRule="auto"/>
        <w:ind w:firstLine="480"/>
        <w:rPr>
          <w:rFonts w:hAnsi="宋体"/>
        </w:rPr>
      </w:pPr>
      <w:r>
        <w:rPr>
          <w:rFonts w:hint="eastAsia" w:hAnsi="宋体"/>
        </w:rPr>
        <w:t>GB/T16935.1-2008 GB/T 16935.1-2008 低压系统内设备的绝缘配合 第1部分：原理、要求和试验</w:t>
      </w:r>
    </w:p>
    <w:p>
      <w:pPr>
        <w:spacing w:line="360" w:lineRule="auto"/>
        <w:ind w:firstLine="480"/>
        <w:rPr>
          <w:rFonts w:hAnsi="宋体"/>
        </w:rPr>
      </w:pPr>
      <w:r>
        <w:rPr>
          <w:rFonts w:hint="eastAsia" w:hAnsi="宋体"/>
        </w:rPr>
        <w:t>GB/Z 16935.2-2013低压系统内设备的绝缘配合 第2-1部分:应用指南 GB/T 16935系列应用解释,定尺寸示例及介电试验</w:t>
      </w:r>
    </w:p>
    <w:p>
      <w:pPr>
        <w:spacing w:line="360" w:lineRule="auto"/>
        <w:ind w:firstLine="480"/>
        <w:rPr>
          <w:rFonts w:hAnsi="宋体"/>
        </w:rPr>
      </w:pPr>
      <w:r>
        <w:rPr>
          <w:rFonts w:hint="eastAsia" w:hAnsi="宋体"/>
        </w:rPr>
        <w:t>GB/T 16935.3-2005低压系统内设备的绝缘配合 第3部分:利用涂层、罐封和模压进行防污保护</w:t>
      </w:r>
    </w:p>
    <w:p>
      <w:pPr>
        <w:spacing w:line="360" w:lineRule="auto"/>
        <w:ind w:firstLine="480"/>
        <w:rPr>
          <w:rFonts w:hAnsi="宋体"/>
        </w:rPr>
      </w:pPr>
      <w:r>
        <w:rPr>
          <w:rFonts w:hint="eastAsia" w:hAnsi="宋体"/>
        </w:rPr>
        <w:t>GB/T 16935.5-2008  低压系统内设备的绝缘配合 第5部分:不超过2mm的电气间隙和爬电距离的确定方法</w:t>
      </w:r>
    </w:p>
    <w:p>
      <w:pPr>
        <w:spacing w:line="360" w:lineRule="auto"/>
        <w:ind w:firstLine="480"/>
        <w:rPr>
          <w:rFonts w:hint="eastAsia" w:hAnsi="宋体"/>
        </w:rPr>
      </w:pPr>
      <w:r>
        <w:rPr>
          <w:rFonts w:hAnsi="宋体"/>
        </w:rPr>
        <w:t>GB/T 5585.1-2005</w:t>
      </w:r>
      <w:r>
        <w:rPr>
          <w:rFonts w:hint="eastAsia" w:hAnsi="宋体"/>
        </w:rPr>
        <w:t>《电工用铜、铝及其合金母线 第一部分：第一部分：铜和铜合金母线》</w:t>
      </w:r>
    </w:p>
    <w:p>
      <w:pPr>
        <w:pStyle w:val="4"/>
        <w:spacing w:before="120"/>
        <w:rPr>
          <w:rFonts w:hint="eastAsia"/>
          <w:sz w:val="22"/>
          <w:szCs w:val="15"/>
          <w:lang w:eastAsia="zh-CN"/>
        </w:rPr>
      </w:pPr>
      <w:bookmarkStart w:id="21" w:name="_Toc456279560"/>
      <w:r>
        <w:rPr>
          <w:rFonts w:hint="eastAsia"/>
          <w:sz w:val="22"/>
          <w:szCs w:val="15"/>
          <w:lang w:eastAsia="zh-CN"/>
        </w:rPr>
        <w:t>1.2基本条件</w:t>
      </w:r>
      <w:bookmarkEnd w:id="21"/>
    </w:p>
    <w:p>
      <w:pPr>
        <w:pStyle w:val="4"/>
        <w:spacing w:before="120"/>
        <w:rPr>
          <w:rFonts w:hint="eastAsia"/>
          <w:sz w:val="22"/>
          <w:szCs w:val="15"/>
          <w:lang w:eastAsia="zh-CN"/>
        </w:rPr>
      </w:pPr>
      <w:bookmarkStart w:id="22" w:name="_Toc456279561"/>
      <w:r>
        <w:rPr>
          <w:rFonts w:hint="eastAsia"/>
          <w:sz w:val="22"/>
          <w:szCs w:val="15"/>
          <w:lang w:eastAsia="zh-CN"/>
        </w:rPr>
        <w:t>1.2.1基本要求</w:t>
      </w:r>
      <w:bookmarkEnd w:id="22"/>
    </w:p>
    <w:p>
      <w:pPr>
        <w:spacing w:line="360" w:lineRule="auto"/>
        <w:ind w:firstLine="480"/>
        <w:rPr>
          <w:rFonts w:hAnsi="宋体"/>
        </w:rPr>
      </w:pPr>
      <w:r>
        <w:rPr>
          <w:rFonts w:hint="eastAsia" w:hAnsi="宋体"/>
        </w:rPr>
        <w:t>为保证地铁各种用电设备安全地、可靠地、连续地运行，要求配电箱、插座箱满足地铁环境条件、技术先进、生产工艺成熟可靠、结构紧凑、便于安装和维护等性能指标。</w:t>
      </w:r>
    </w:p>
    <w:p>
      <w:pPr>
        <w:spacing w:line="360" w:lineRule="auto"/>
        <w:ind w:firstLine="480"/>
        <w:rPr>
          <w:rFonts w:hAnsi="宋体"/>
        </w:rPr>
      </w:pPr>
      <w:r>
        <w:rPr>
          <w:rFonts w:hint="eastAsia" w:hAnsi="宋体"/>
        </w:rPr>
        <w:t>箱内所有设备、元器件和材料应为阻燃或不燃产品，满足国家或地方消防部门的要求。</w:t>
      </w:r>
    </w:p>
    <w:p>
      <w:pPr>
        <w:spacing w:line="360" w:lineRule="auto"/>
        <w:ind w:firstLine="480"/>
        <w:rPr>
          <w:rFonts w:hAnsi="宋体"/>
        </w:rPr>
      </w:pPr>
      <w:r>
        <w:rPr>
          <w:rFonts w:hint="eastAsia" w:hAnsi="宋体"/>
        </w:rPr>
        <w:t>箱内所有设备、元器件应选用体积小、低损耗、低噪音、无自爆、阻燃的定型产品。</w:t>
      </w:r>
    </w:p>
    <w:p>
      <w:pPr>
        <w:pStyle w:val="4"/>
        <w:spacing w:before="120"/>
        <w:rPr>
          <w:rFonts w:hint="eastAsia"/>
          <w:sz w:val="22"/>
          <w:szCs w:val="15"/>
          <w:lang w:eastAsia="zh-CN"/>
        </w:rPr>
      </w:pPr>
      <w:bookmarkStart w:id="23" w:name="_Toc456279562"/>
      <w:r>
        <w:rPr>
          <w:rFonts w:hint="eastAsia"/>
          <w:sz w:val="22"/>
          <w:szCs w:val="15"/>
          <w:lang w:eastAsia="zh-CN"/>
        </w:rPr>
        <w:t>1.2.2工程环境</w:t>
      </w:r>
      <w:bookmarkEnd w:id="23"/>
    </w:p>
    <w:p>
      <w:pPr>
        <w:spacing w:line="360" w:lineRule="auto"/>
        <w:ind w:firstLine="480"/>
        <w:rPr>
          <w:rFonts w:hint="eastAsia" w:hAnsi="宋体"/>
        </w:rPr>
      </w:pPr>
      <w:r>
        <w:rPr>
          <w:rFonts w:hint="eastAsia" w:hAnsi="宋体"/>
        </w:rPr>
        <w:t>使用环境条件</w:t>
      </w:r>
    </w:p>
    <w:p>
      <w:pPr>
        <w:spacing w:line="360" w:lineRule="auto"/>
        <w:ind w:firstLine="480"/>
        <w:rPr>
          <w:rFonts w:hint="eastAsia" w:hAnsi="宋体"/>
        </w:rPr>
      </w:pPr>
      <w:r>
        <w:rPr>
          <w:rFonts w:hint="eastAsia" w:hAnsi="宋体"/>
        </w:rPr>
        <w:t>环境温度：-21～+42℃（室外）；－5～＋40℃（室内）</w:t>
      </w:r>
    </w:p>
    <w:p>
      <w:pPr>
        <w:spacing w:line="360" w:lineRule="auto"/>
        <w:ind w:firstLine="480"/>
        <w:rPr>
          <w:rFonts w:hAnsi="宋体"/>
        </w:rPr>
      </w:pPr>
      <w:r>
        <w:rPr>
          <w:rFonts w:hint="eastAsia" w:hAnsi="宋体"/>
        </w:rPr>
        <w:t>相对湿度：日平均值不大于</w:t>
      </w:r>
      <w:r>
        <w:rPr>
          <w:rFonts w:hAnsi="宋体"/>
        </w:rPr>
        <w:t>95%</w:t>
      </w:r>
      <w:r>
        <w:rPr>
          <w:rFonts w:hint="eastAsia" w:hAnsi="宋体"/>
        </w:rPr>
        <w:t>；月平均值不大于</w:t>
      </w:r>
      <w:r>
        <w:rPr>
          <w:rFonts w:hAnsi="宋体"/>
        </w:rPr>
        <w:t>90%</w:t>
      </w:r>
      <w:r>
        <w:rPr>
          <w:rFonts w:hint="eastAsia" w:hAnsi="宋体"/>
        </w:rPr>
        <w:t>（</w:t>
      </w:r>
      <w:r>
        <w:rPr>
          <w:rFonts w:hAnsi="宋体"/>
        </w:rPr>
        <w:t>25</w:t>
      </w:r>
      <w:r>
        <w:rPr>
          <w:rFonts w:hint="eastAsia" w:hAnsi="宋体"/>
        </w:rPr>
        <w:t>℃）。</w:t>
      </w:r>
    </w:p>
    <w:p>
      <w:pPr>
        <w:spacing w:line="360" w:lineRule="auto"/>
        <w:ind w:firstLine="480"/>
        <w:rPr>
          <w:rFonts w:hint="eastAsia" w:hAnsi="宋体"/>
        </w:rPr>
      </w:pPr>
      <w:r>
        <w:rPr>
          <w:rFonts w:hint="eastAsia" w:hAnsi="宋体"/>
        </w:rPr>
        <w:t>海拔高度：≤1000m</w:t>
      </w:r>
    </w:p>
    <w:p>
      <w:pPr>
        <w:spacing w:line="360" w:lineRule="auto"/>
        <w:ind w:firstLine="480"/>
        <w:rPr>
          <w:rFonts w:hint="eastAsia" w:hAnsi="宋体"/>
        </w:rPr>
      </w:pPr>
      <w:r>
        <w:rPr>
          <w:rFonts w:hint="eastAsia" w:hAnsi="宋体"/>
        </w:rPr>
        <w:t>最大地震烈度：8度</w:t>
      </w:r>
    </w:p>
    <w:p>
      <w:pPr>
        <w:spacing w:line="360" w:lineRule="auto"/>
        <w:ind w:firstLine="480"/>
        <w:rPr>
          <w:rFonts w:hint="eastAsia" w:hAnsi="宋体"/>
        </w:rPr>
      </w:pPr>
      <w:r>
        <w:rPr>
          <w:rFonts w:hint="eastAsia" w:hAnsi="宋体"/>
        </w:rPr>
        <w:t>雷暴日：13.7日/年</w:t>
      </w:r>
    </w:p>
    <w:p>
      <w:pPr>
        <w:spacing w:line="360" w:lineRule="auto"/>
        <w:ind w:firstLine="480"/>
        <w:rPr>
          <w:rFonts w:hint="eastAsia" w:hAnsi="宋体"/>
        </w:rPr>
      </w:pPr>
      <w:r>
        <w:rPr>
          <w:rFonts w:hint="eastAsia" w:hAnsi="宋体"/>
        </w:rPr>
        <w:t>振动：f&lt;10Hz时，振幅为0.3mm；10Hz&lt;f&lt;150Hz时，加速度为1m/s2。</w:t>
      </w:r>
    </w:p>
    <w:p>
      <w:pPr>
        <w:spacing w:line="360" w:lineRule="auto"/>
        <w:ind w:firstLine="480"/>
        <w:rPr>
          <w:rFonts w:hint="eastAsia" w:hAnsi="宋体"/>
        </w:rPr>
      </w:pPr>
      <w:r>
        <w:rPr>
          <w:rFonts w:hint="eastAsia" w:hAnsi="宋体"/>
        </w:rPr>
        <w:t>室外条件：暖温带半湿润大陆性季风气候，春季干旱，夏季炎热，秋季潮湿多雨，冬季寒冷干燥。</w:t>
      </w:r>
    </w:p>
    <w:p>
      <w:pPr>
        <w:spacing w:line="360" w:lineRule="auto"/>
        <w:ind w:firstLine="480"/>
        <w:rPr>
          <w:rFonts w:hint="eastAsia" w:hAnsi="宋体"/>
        </w:rPr>
      </w:pPr>
      <w:r>
        <w:rPr>
          <w:rFonts w:hint="eastAsia" w:hAnsi="宋体"/>
        </w:rPr>
        <w:t>承包商提供的设备，其技术参数应能保证可靠地运用于西安市典型的环境条件之中。</w:t>
      </w:r>
    </w:p>
    <w:p>
      <w:pPr>
        <w:pStyle w:val="4"/>
        <w:spacing w:before="120"/>
        <w:rPr>
          <w:rFonts w:hint="eastAsia"/>
          <w:sz w:val="22"/>
          <w:szCs w:val="15"/>
          <w:lang w:eastAsia="zh-CN"/>
        </w:rPr>
      </w:pPr>
      <w:bookmarkStart w:id="24" w:name="_Toc456279563"/>
      <w:r>
        <w:rPr>
          <w:rFonts w:hint="eastAsia"/>
          <w:sz w:val="22"/>
          <w:szCs w:val="15"/>
          <w:lang w:eastAsia="zh-CN"/>
        </w:rPr>
        <w:t>1.3技术要求</w:t>
      </w:r>
      <w:bookmarkEnd w:id="24"/>
    </w:p>
    <w:p>
      <w:pPr>
        <w:pStyle w:val="4"/>
        <w:spacing w:before="120"/>
        <w:rPr>
          <w:rFonts w:hint="eastAsia"/>
          <w:sz w:val="22"/>
          <w:szCs w:val="15"/>
          <w:lang w:eastAsia="zh-CN"/>
        </w:rPr>
      </w:pPr>
      <w:bookmarkStart w:id="25" w:name="_Toc456279564"/>
      <w:r>
        <w:rPr>
          <w:rFonts w:hint="eastAsia"/>
          <w:sz w:val="22"/>
          <w:szCs w:val="15"/>
          <w:lang w:eastAsia="zh-CN"/>
        </w:rPr>
        <w:t>1.3.1 配电箱</w:t>
      </w:r>
      <w:bookmarkEnd w:id="25"/>
    </w:p>
    <w:p>
      <w:pPr>
        <w:pStyle w:val="16"/>
        <w:rPr>
          <w:rFonts w:hint="eastAsia"/>
          <w:color w:val="auto"/>
        </w:rPr>
      </w:pPr>
      <w:bookmarkStart w:id="26" w:name="_Toc456279565"/>
      <w:bookmarkStart w:id="27" w:name="_Toc439843441"/>
      <w:r>
        <w:rPr>
          <w:rFonts w:hint="eastAsia"/>
          <w:color w:val="auto"/>
          <w:lang w:eastAsia="zh-CN"/>
        </w:rPr>
        <w:t>1.3.</w:t>
      </w:r>
      <w:r>
        <w:rPr>
          <w:rFonts w:hint="eastAsia"/>
          <w:color w:val="auto"/>
          <w:szCs w:val="24"/>
        </w:rPr>
        <w:t>1</w:t>
      </w:r>
      <w:r>
        <w:rPr>
          <w:rFonts w:hint="eastAsia"/>
          <w:color w:val="auto"/>
          <w:szCs w:val="24"/>
          <w:lang w:eastAsia="zh-CN"/>
        </w:rPr>
        <w:t>.</w:t>
      </w:r>
      <w:r>
        <w:rPr>
          <w:rFonts w:hint="eastAsia"/>
          <w:color w:val="auto"/>
        </w:rPr>
        <w:t>1 使用场所及范围</w:t>
      </w:r>
      <w:bookmarkEnd w:id="26"/>
      <w:bookmarkEnd w:id="27"/>
    </w:p>
    <w:p>
      <w:pPr>
        <w:spacing w:line="360" w:lineRule="auto"/>
        <w:ind w:firstLine="480"/>
        <w:rPr>
          <w:rFonts w:hint="eastAsia" w:hAnsi="宋体"/>
        </w:rPr>
      </w:pPr>
      <w:r>
        <w:rPr>
          <w:rFonts w:hint="eastAsia" w:hAnsi="宋体"/>
        </w:rPr>
        <w:t>本部分“配电箱”指动力配电箱、照明配电箱、控制箱（包括现场手操箱）、双电源切换箱、</w:t>
      </w:r>
      <w:r>
        <w:rPr>
          <w:rFonts w:hint="eastAsia"/>
        </w:rPr>
        <w:t>接地母排箱、接地母排、等电位联接箱</w:t>
      </w:r>
      <w:r>
        <w:rPr>
          <w:rFonts w:hint="eastAsia" w:hAnsi="宋体"/>
        </w:rPr>
        <w:t>等。配电箱为封闭式户内成套设备，其功能为向车站、区间、车辆段及停车场等场所用电设备提供电源及控制，保证地铁各种用电设备安全、连续正常使用。</w:t>
      </w:r>
    </w:p>
    <w:p>
      <w:pPr>
        <w:spacing w:line="360" w:lineRule="auto"/>
        <w:ind w:firstLine="480"/>
        <w:rPr>
          <w:rFonts w:hint="eastAsia" w:hAnsi="宋体"/>
        </w:rPr>
      </w:pPr>
      <w:r>
        <w:rPr>
          <w:rFonts w:hint="eastAsia" w:hAnsi="宋体"/>
        </w:rPr>
        <w:t>配电箱及箱内所有元器件和材料应为阻燃或不燃产品，消防设备配电箱应为不燃物品。</w:t>
      </w:r>
    </w:p>
    <w:p>
      <w:pPr>
        <w:spacing w:line="360" w:lineRule="auto"/>
        <w:ind w:firstLine="480"/>
        <w:rPr>
          <w:rFonts w:hint="eastAsia" w:hAnsi="宋体"/>
        </w:rPr>
      </w:pPr>
      <w:r>
        <w:rPr>
          <w:rFonts w:hint="eastAsia" w:hAnsi="宋体"/>
        </w:rPr>
        <w:t>配电箱的安装应能满足土建设计预留的条件。</w:t>
      </w:r>
    </w:p>
    <w:p>
      <w:pPr>
        <w:spacing w:line="360" w:lineRule="auto"/>
        <w:ind w:firstLine="480"/>
        <w:rPr>
          <w:rFonts w:hint="eastAsia" w:hAnsi="宋体"/>
        </w:rPr>
      </w:pPr>
      <w:r>
        <w:rPr>
          <w:rFonts w:hint="eastAsia" w:hAnsi="宋体"/>
        </w:rPr>
        <w:t>（1）试验电压</w:t>
      </w:r>
    </w:p>
    <w:p>
      <w:pPr>
        <w:spacing w:line="360" w:lineRule="auto"/>
        <w:ind w:firstLine="480"/>
        <w:rPr>
          <w:rFonts w:hint="eastAsia" w:hAnsi="宋体"/>
        </w:rPr>
      </w:pPr>
      <w:r>
        <w:rPr>
          <w:rFonts w:hint="eastAsia" w:hAnsi="宋体"/>
        </w:rPr>
        <w:t xml:space="preserve"> 各种电气设备、器材的试验电压值应按GB/T 16935进行修正。</w:t>
      </w:r>
    </w:p>
    <w:p>
      <w:pPr>
        <w:spacing w:line="360" w:lineRule="auto"/>
        <w:ind w:firstLine="480"/>
        <w:rPr>
          <w:rFonts w:hint="eastAsia" w:hAnsi="宋体"/>
        </w:rPr>
      </w:pPr>
      <w:r>
        <w:rPr>
          <w:rFonts w:hint="eastAsia" w:hAnsi="宋体"/>
        </w:rPr>
        <w:t>（2）控制电压</w:t>
      </w:r>
    </w:p>
    <w:p>
      <w:pPr>
        <w:spacing w:line="360" w:lineRule="auto"/>
        <w:ind w:firstLine="480"/>
        <w:rPr>
          <w:rFonts w:hint="eastAsia" w:hAnsi="宋体"/>
        </w:rPr>
      </w:pPr>
      <w:r>
        <w:rPr>
          <w:rFonts w:hint="eastAsia" w:hAnsi="宋体"/>
        </w:rPr>
        <w:t xml:space="preserve"> 各种电气设备、器材的回路电压，采用如下标准值：</w:t>
      </w:r>
    </w:p>
    <w:p>
      <w:pPr>
        <w:spacing w:line="360" w:lineRule="auto"/>
        <w:ind w:firstLine="480"/>
        <w:rPr>
          <w:rFonts w:hint="eastAsia" w:hAnsi="宋体"/>
        </w:rPr>
      </w:pPr>
      <w:r>
        <w:rPr>
          <w:rFonts w:hint="eastAsia" w:hAnsi="宋体"/>
        </w:rPr>
        <w:t xml:space="preserve"> 1）控制回路： AC220V</w:t>
      </w:r>
    </w:p>
    <w:p>
      <w:pPr>
        <w:spacing w:line="360" w:lineRule="auto"/>
        <w:ind w:firstLine="480"/>
        <w:rPr>
          <w:rFonts w:hint="eastAsia" w:hAnsi="宋体"/>
        </w:rPr>
      </w:pPr>
      <w:r>
        <w:rPr>
          <w:rFonts w:hint="eastAsia" w:hAnsi="宋体"/>
        </w:rPr>
        <w:t xml:space="preserve"> 2）保护回路： AC220V</w:t>
      </w:r>
    </w:p>
    <w:p>
      <w:pPr>
        <w:spacing w:line="360" w:lineRule="auto"/>
        <w:ind w:firstLine="480"/>
        <w:rPr>
          <w:rFonts w:hint="eastAsia" w:hAnsi="宋体"/>
        </w:rPr>
      </w:pPr>
      <w:r>
        <w:rPr>
          <w:rFonts w:hint="eastAsia" w:hAnsi="宋体"/>
        </w:rPr>
        <w:t xml:space="preserve"> 3）信号及显示回路： AC220V</w:t>
      </w:r>
    </w:p>
    <w:p>
      <w:pPr>
        <w:spacing w:line="360" w:lineRule="auto"/>
        <w:ind w:firstLine="480"/>
        <w:rPr>
          <w:rFonts w:hint="eastAsia" w:hAnsi="宋体"/>
        </w:rPr>
      </w:pPr>
      <w:r>
        <w:rPr>
          <w:rFonts w:hint="eastAsia" w:hAnsi="宋体"/>
        </w:rPr>
        <w:t xml:space="preserve"> 在上述标准值的 80%～120%范围内，各种电气设备、器材应能保证可靠动作。</w:t>
      </w:r>
    </w:p>
    <w:p>
      <w:pPr>
        <w:spacing w:line="360" w:lineRule="auto"/>
        <w:ind w:firstLine="480"/>
        <w:rPr>
          <w:rFonts w:hint="eastAsia" w:hAnsi="宋体"/>
        </w:rPr>
      </w:pPr>
      <w:r>
        <w:rPr>
          <w:rFonts w:hint="eastAsia" w:hAnsi="宋体"/>
        </w:rPr>
        <w:t>（3）涂色</w:t>
      </w:r>
    </w:p>
    <w:p>
      <w:pPr>
        <w:spacing w:line="360" w:lineRule="auto"/>
        <w:ind w:firstLine="480"/>
        <w:rPr>
          <w:rFonts w:hint="eastAsia" w:hAnsi="宋体"/>
        </w:rPr>
      </w:pPr>
      <w:r>
        <w:rPr>
          <w:rFonts w:hint="eastAsia" w:hAnsi="宋体"/>
        </w:rPr>
        <w:t>所有电气设备、器材喷涂的颜色应按标准颜色及喷涂工艺进行，并取得招标人的同意。</w:t>
      </w:r>
    </w:p>
    <w:p>
      <w:pPr>
        <w:spacing w:line="360" w:lineRule="auto"/>
        <w:ind w:firstLine="480"/>
        <w:rPr>
          <w:rFonts w:hint="eastAsia" w:hAnsi="宋体"/>
        </w:rPr>
      </w:pPr>
      <w:r>
        <w:rPr>
          <w:rFonts w:hint="eastAsia" w:hAnsi="宋体"/>
        </w:rPr>
        <w:t>（4）标识</w:t>
      </w:r>
    </w:p>
    <w:p>
      <w:pPr>
        <w:spacing w:line="360" w:lineRule="auto"/>
        <w:ind w:firstLine="480"/>
        <w:rPr>
          <w:rFonts w:hint="eastAsia" w:hAnsi="宋体"/>
        </w:rPr>
      </w:pPr>
      <w:r>
        <w:rPr>
          <w:rFonts w:hint="eastAsia" w:hAnsi="宋体"/>
        </w:rPr>
        <w:t xml:space="preserve"> 各设备、器材均应有铭牌，铭牌的内容按中华人民共和国及招标人的有关标准确定。</w:t>
      </w:r>
    </w:p>
    <w:p>
      <w:pPr>
        <w:pStyle w:val="16"/>
        <w:rPr>
          <w:rFonts w:hint="eastAsia"/>
          <w:color w:val="auto"/>
        </w:rPr>
      </w:pPr>
      <w:bookmarkStart w:id="28" w:name="_Toc456279566"/>
      <w:bookmarkStart w:id="29" w:name="_Toc439843442"/>
      <w:r>
        <w:rPr>
          <w:rFonts w:hint="eastAsia"/>
          <w:color w:val="auto"/>
          <w:lang w:eastAsia="zh-CN"/>
        </w:rPr>
        <w:t>1.3.</w:t>
      </w:r>
      <w:r>
        <w:rPr>
          <w:rFonts w:hint="eastAsia"/>
          <w:color w:val="auto"/>
        </w:rPr>
        <w:t>1.</w:t>
      </w:r>
      <w:r>
        <w:rPr>
          <w:rFonts w:hint="eastAsia"/>
          <w:color w:val="auto"/>
          <w:lang w:eastAsia="zh-CN"/>
        </w:rPr>
        <w:t>2</w:t>
      </w:r>
      <w:r>
        <w:rPr>
          <w:rFonts w:hint="eastAsia"/>
          <w:color w:val="auto"/>
        </w:rPr>
        <w:t xml:space="preserve"> 技术条件</w:t>
      </w:r>
      <w:bookmarkEnd w:id="28"/>
      <w:bookmarkEnd w:id="29"/>
    </w:p>
    <w:p>
      <w:pPr>
        <w:spacing w:line="360" w:lineRule="auto"/>
        <w:ind w:firstLine="480"/>
        <w:rPr>
          <w:rFonts w:hint="eastAsia" w:hAnsi="宋体"/>
        </w:rPr>
      </w:pPr>
      <w:r>
        <w:rPr>
          <w:rFonts w:hint="eastAsia" w:hAnsi="宋体"/>
        </w:rPr>
        <w:t>（1）主要特点</w:t>
      </w:r>
    </w:p>
    <w:p>
      <w:pPr>
        <w:spacing w:line="360" w:lineRule="auto"/>
        <w:ind w:firstLine="480"/>
        <w:rPr>
          <w:rFonts w:hint="eastAsia" w:hAnsi="宋体"/>
        </w:rPr>
      </w:pPr>
      <w:r>
        <w:rPr>
          <w:rFonts w:hint="eastAsia" w:hAnsi="宋体"/>
        </w:rPr>
        <w:t>配电箱为封闭式成套设备，适应地铁环境条件，技术先进、生产工艺成熟可靠、便于安装和维护。</w:t>
      </w:r>
    </w:p>
    <w:p>
      <w:pPr>
        <w:spacing w:line="360" w:lineRule="auto"/>
        <w:ind w:firstLine="480"/>
        <w:rPr>
          <w:rFonts w:hint="eastAsia" w:hAnsi="宋体"/>
        </w:rPr>
      </w:pPr>
      <w:r>
        <w:rPr>
          <w:rFonts w:hint="eastAsia" w:hAnsi="宋体"/>
        </w:rPr>
        <w:t>设计紧凑，以较小的空间能容纳较多的功能单元；箱体的宽度、高度、深度可按模数任意变化；标准化设计，结构紧凑，通用性强，箱体在满足功能的条件下要尽量小。</w:t>
      </w:r>
    </w:p>
    <w:p>
      <w:pPr>
        <w:spacing w:line="360" w:lineRule="auto"/>
        <w:ind w:firstLine="480"/>
        <w:rPr>
          <w:rFonts w:hint="eastAsia" w:hAnsi="宋体"/>
        </w:rPr>
      </w:pPr>
      <w:r>
        <w:rPr>
          <w:rFonts w:hint="eastAsia" w:hAnsi="宋体"/>
        </w:rPr>
        <w:t>箱体外部美观，操作方便；所有箱体均配置钥匙门锁。</w:t>
      </w:r>
    </w:p>
    <w:p>
      <w:pPr>
        <w:spacing w:line="360" w:lineRule="auto"/>
        <w:ind w:firstLine="480"/>
        <w:rPr>
          <w:rFonts w:hint="eastAsia" w:hAnsi="宋体"/>
        </w:rPr>
      </w:pPr>
      <w:r>
        <w:rPr>
          <w:rFonts w:hint="eastAsia" w:hAnsi="宋体"/>
        </w:rPr>
        <w:t>照明配电箱设置可视窗便于观察箱内电器元件工作情况；面盖采用防火设计，电气强度高，机械性能可靠，不易变形，阻燃性好。</w:t>
      </w:r>
    </w:p>
    <w:p>
      <w:pPr>
        <w:tabs>
          <w:tab w:val="left" w:pos="720"/>
        </w:tabs>
        <w:spacing w:line="360" w:lineRule="auto"/>
        <w:ind w:firstLine="420" w:firstLineChars="200"/>
        <w:rPr>
          <w:rFonts w:hint="eastAsia"/>
        </w:rPr>
      </w:pPr>
      <w:r>
        <w:rPr>
          <w:rFonts w:hint="eastAsia"/>
        </w:rPr>
        <w:t>配电箱门打开后，如存在裸露的带电体，须设置聚碳酸脂透明绝缘挡板，以防触电。</w:t>
      </w:r>
    </w:p>
    <w:p>
      <w:pPr>
        <w:spacing w:line="360" w:lineRule="auto"/>
        <w:ind w:firstLine="420" w:firstLineChars="200"/>
        <w:rPr>
          <w:rFonts w:hint="eastAsia"/>
        </w:rPr>
      </w:pPr>
      <w:r>
        <w:rPr>
          <w:rFonts w:hint="eastAsia"/>
        </w:rPr>
        <w:t>配电箱的最终尺寸、颜色、箱内布置在设计联络时确定。</w:t>
      </w:r>
    </w:p>
    <w:p>
      <w:pPr>
        <w:spacing w:line="360" w:lineRule="auto"/>
        <w:ind w:firstLine="480"/>
        <w:rPr>
          <w:rFonts w:hint="eastAsia" w:hAnsi="宋体"/>
        </w:rPr>
      </w:pPr>
      <w:r>
        <w:rPr>
          <w:rFonts w:hint="eastAsia" w:hAnsi="宋体"/>
        </w:rPr>
        <w:t>箱体开门方向，设计联络时定，开启角度≥135°，箱门设计为内铰链。</w:t>
      </w:r>
    </w:p>
    <w:p>
      <w:pPr>
        <w:spacing w:line="360" w:lineRule="auto"/>
        <w:ind w:firstLine="480"/>
        <w:rPr>
          <w:rFonts w:hint="eastAsia" w:hAnsi="宋体"/>
        </w:rPr>
      </w:pPr>
      <w:r>
        <w:rPr>
          <w:rFonts w:hint="eastAsia" w:hAnsi="宋体"/>
        </w:rPr>
        <w:t>配电箱内所有元器件和材料为高强度阻燃产品（消防设备配电箱应为高强度不燃产品），能有效加强防护安全性能。配电箱为体积小、低损耗、低噪音、无自爆、高强度、防潮、阻燃等定型产品。</w:t>
      </w:r>
    </w:p>
    <w:p>
      <w:pPr>
        <w:spacing w:line="360" w:lineRule="auto"/>
        <w:ind w:firstLine="480"/>
        <w:rPr>
          <w:rFonts w:hint="eastAsia" w:hAnsi="宋体"/>
        </w:rPr>
      </w:pPr>
      <w:r>
        <w:rPr>
          <w:rFonts w:hint="eastAsia" w:hAnsi="宋体"/>
        </w:rPr>
        <w:t>配电箱的主母线采用绝缘母线夹固定在箱体后部或上部。箱内设独立的PE接地系统和N中性导体，各回路接地或接零都需就近联接，具有较高的接地可靠性。</w:t>
      </w:r>
    </w:p>
    <w:p>
      <w:pPr>
        <w:spacing w:line="360" w:lineRule="auto"/>
        <w:ind w:firstLine="480"/>
        <w:rPr>
          <w:rFonts w:hint="eastAsia" w:hAnsi="宋体"/>
        </w:rPr>
      </w:pPr>
      <w:r>
        <w:rPr>
          <w:rFonts w:hint="eastAsia" w:hAnsi="宋体"/>
        </w:rPr>
        <w:t>（2）外形尺寸及安装要求</w:t>
      </w:r>
    </w:p>
    <w:p>
      <w:pPr>
        <w:spacing w:line="360" w:lineRule="auto"/>
        <w:ind w:firstLine="420" w:firstLineChars="200"/>
        <w:rPr>
          <w:rFonts w:hint="eastAsia"/>
        </w:rPr>
      </w:pPr>
      <w:r>
        <w:rPr>
          <w:rFonts w:hint="eastAsia"/>
        </w:rPr>
        <w:t>1）</w:t>
      </w:r>
      <w:r>
        <w:rPr>
          <w:rFonts w:hint="eastAsia" w:hAnsi="宋体"/>
        </w:rPr>
        <w:t>可</w:t>
      </w:r>
      <w:r>
        <w:rPr>
          <w:rFonts w:hint="eastAsia"/>
        </w:rPr>
        <w:t>挂</w:t>
      </w:r>
      <w:r>
        <w:rPr>
          <w:rFonts w:hint="eastAsia" w:hAnsi="宋体"/>
        </w:rPr>
        <w:t>墙，落地式安装。</w:t>
      </w:r>
    </w:p>
    <w:p>
      <w:pPr>
        <w:spacing w:line="360" w:lineRule="auto"/>
        <w:ind w:firstLine="480"/>
        <w:rPr>
          <w:rFonts w:hint="eastAsia"/>
        </w:rPr>
      </w:pPr>
      <w:r>
        <w:rPr>
          <w:rFonts w:hint="eastAsia" w:hAnsi="宋体"/>
        </w:rPr>
        <w:t>2）</w:t>
      </w:r>
      <w:r>
        <w:rPr>
          <w:rFonts w:hint="eastAsia"/>
        </w:rPr>
        <w:t>配电箱外形参考尺寸（单位为mm）如下，配电箱的宽、高、深均不能大于800、2200、350：</w:t>
      </w:r>
    </w:p>
    <w:p>
      <w:pPr>
        <w:spacing w:line="360" w:lineRule="auto"/>
        <w:ind w:firstLine="420" w:firstLineChars="200"/>
        <w:rPr>
          <w:rFonts w:hint="eastAsia"/>
        </w:rPr>
      </w:pPr>
      <w:r>
        <w:rPr>
          <w:rFonts w:hint="eastAsia"/>
        </w:rPr>
        <w:t>宽： 200、300、400、500、600、800</w:t>
      </w:r>
    </w:p>
    <w:p>
      <w:pPr>
        <w:spacing w:line="360" w:lineRule="auto"/>
        <w:ind w:firstLine="420" w:firstLineChars="200"/>
        <w:rPr>
          <w:rFonts w:hint="eastAsia"/>
        </w:rPr>
      </w:pPr>
      <w:r>
        <w:rPr>
          <w:rFonts w:hint="eastAsia"/>
        </w:rPr>
        <w:t>高:  300、400、500、600、700、800、1000、2200</w:t>
      </w:r>
    </w:p>
    <w:p>
      <w:pPr>
        <w:spacing w:line="360" w:lineRule="auto"/>
        <w:ind w:firstLine="420" w:firstLineChars="200"/>
        <w:rPr>
          <w:rFonts w:hint="eastAsia"/>
        </w:rPr>
      </w:pPr>
      <w:r>
        <w:rPr>
          <w:rFonts w:hint="eastAsia"/>
        </w:rPr>
        <w:t>深:  150、200、250，300、350</w:t>
      </w:r>
    </w:p>
    <w:p>
      <w:pPr>
        <w:spacing w:line="360" w:lineRule="auto"/>
        <w:ind w:firstLine="480"/>
        <w:rPr>
          <w:rFonts w:hint="eastAsia" w:hAnsi="宋体"/>
        </w:rPr>
      </w:pPr>
      <w:r>
        <w:rPr>
          <w:rFonts w:hint="eastAsia" w:hAnsi="宋体"/>
        </w:rPr>
        <w:t>3）公共区（站厅、站台）、出入口通道一般采用嵌入式安装（要采取防潮措施），设备区一般采用挂墙式安装，照明配电室内的配电箱一般采用挂墙式安装。高度大于1200采用落地式安装。</w:t>
      </w:r>
    </w:p>
    <w:p>
      <w:pPr>
        <w:spacing w:line="360" w:lineRule="auto"/>
        <w:ind w:firstLine="480"/>
        <w:rPr>
          <w:rFonts w:hint="eastAsia" w:hAnsi="宋体"/>
        </w:rPr>
      </w:pPr>
      <w:r>
        <w:rPr>
          <w:rFonts w:hint="eastAsia" w:hAnsi="宋体"/>
        </w:rPr>
        <w:t>4）相同系统图，配电箱的外形尺寸应相同。</w:t>
      </w:r>
    </w:p>
    <w:p>
      <w:pPr>
        <w:spacing w:line="360" w:lineRule="auto"/>
        <w:ind w:firstLine="480"/>
        <w:rPr>
          <w:rFonts w:hint="eastAsia" w:hAnsi="宋体"/>
        </w:rPr>
      </w:pPr>
      <w:r>
        <w:rPr>
          <w:rFonts w:hint="eastAsia" w:hAnsi="宋体"/>
        </w:rPr>
        <w:t>5）嵌入式安装/暗装的箱体厚度不应大于250mm，特殊情况应征得工点设计单位同意。</w:t>
      </w:r>
    </w:p>
    <w:p>
      <w:pPr>
        <w:spacing w:line="360" w:lineRule="auto"/>
        <w:ind w:firstLine="480"/>
        <w:rPr>
          <w:rFonts w:hint="eastAsia" w:hAnsi="宋体"/>
        </w:rPr>
      </w:pPr>
      <w:r>
        <w:rPr>
          <w:rFonts w:hint="eastAsia" w:hAnsi="宋体"/>
        </w:rPr>
        <w:t>（3）接口要求</w:t>
      </w:r>
    </w:p>
    <w:p>
      <w:pPr>
        <w:spacing w:line="360" w:lineRule="auto"/>
        <w:ind w:firstLine="480"/>
        <w:rPr>
          <w:rFonts w:hint="eastAsia" w:hAnsi="宋体"/>
        </w:rPr>
      </w:pPr>
      <w:r>
        <w:rPr>
          <w:rFonts w:hint="eastAsia" w:hAnsi="宋体"/>
        </w:rPr>
        <w:t>配电箱与火灾报警系统（FAS）、设备监控系统（BAS）的接口位置在各类电控箱内端子排处，FAS、BAS专业由此接引。</w:t>
      </w:r>
    </w:p>
    <w:p>
      <w:pPr>
        <w:spacing w:line="360" w:lineRule="auto"/>
        <w:ind w:firstLine="480"/>
        <w:rPr>
          <w:rFonts w:hint="eastAsia" w:hAnsi="宋体"/>
        </w:rPr>
      </w:pPr>
      <w:r>
        <w:rPr>
          <w:rFonts w:hint="eastAsia" w:hAnsi="宋体"/>
        </w:rPr>
        <w:t>配电箱各回路根据功能采用就地控制和FAS、BAS远程监控，设自动／手动控制转换开关，并实现远程监控功能。</w:t>
      </w:r>
    </w:p>
    <w:p>
      <w:pPr>
        <w:spacing w:line="360" w:lineRule="auto"/>
        <w:ind w:firstLine="480"/>
        <w:rPr>
          <w:rFonts w:hint="eastAsia" w:hAnsi="宋体"/>
          <w:b/>
        </w:rPr>
      </w:pPr>
      <w:r>
        <w:rPr>
          <w:rFonts w:hint="eastAsia" w:hAnsi="宋体"/>
          <w:b/>
        </w:rPr>
        <w:t>消防负荷配电箱应能够提供电源开关状态给FAS专业。</w:t>
      </w:r>
    </w:p>
    <w:p>
      <w:pPr>
        <w:pStyle w:val="16"/>
        <w:rPr>
          <w:rFonts w:hint="eastAsia"/>
          <w:color w:val="auto"/>
        </w:rPr>
      </w:pPr>
      <w:bookmarkStart w:id="30" w:name="_Toc456279567"/>
      <w:bookmarkStart w:id="31" w:name="_Toc439843443"/>
      <w:r>
        <w:rPr>
          <w:rFonts w:hint="eastAsia"/>
          <w:color w:val="auto"/>
          <w:lang w:eastAsia="zh-CN"/>
        </w:rPr>
        <w:t>1.3.</w:t>
      </w:r>
      <w:r>
        <w:rPr>
          <w:rFonts w:hint="eastAsia"/>
          <w:color w:val="auto"/>
        </w:rPr>
        <w:t>1.</w:t>
      </w:r>
      <w:r>
        <w:rPr>
          <w:rFonts w:hint="eastAsia"/>
          <w:color w:val="auto"/>
          <w:lang w:eastAsia="zh-CN"/>
        </w:rPr>
        <w:t>3</w:t>
      </w:r>
      <w:r>
        <w:rPr>
          <w:rFonts w:hint="eastAsia"/>
          <w:color w:val="auto"/>
        </w:rPr>
        <w:t xml:space="preserve"> 基本技术参数</w:t>
      </w:r>
      <w:bookmarkEnd w:id="30"/>
      <w:bookmarkEnd w:id="31"/>
    </w:p>
    <w:p>
      <w:pPr>
        <w:spacing w:line="360" w:lineRule="auto"/>
        <w:ind w:firstLine="480"/>
        <w:rPr>
          <w:rFonts w:hint="eastAsia" w:hAnsi="宋体"/>
        </w:rPr>
      </w:pPr>
      <w:r>
        <w:rPr>
          <w:rFonts w:hint="eastAsia" w:hAnsi="宋体"/>
        </w:rPr>
        <w:t>（1）系统参数</w:t>
      </w:r>
    </w:p>
    <w:p>
      <w:pPr>
        <w:spacing w:line="360" w:lineRule="auto"/>
        <w:ind w:firstLine="480"/>
        <w:jc w:val="center"/>
        <w:rPr>
          <w:rFonts w:hint="eastAsia" w:hAnsi="宋体"/>
        </w:rPr>
      </w:pPr>
      <w:r>
        <w:rPr>
          <w:rFonts w:hint="eastAsia" w:hAnsi="宋体"/>
        </w:rPr>
        <w:t>配电箱低压配电系统参数</w:t>
      </w:r>
    </w:p>
    <w:tbl>
      <w:tblPr>
        <w:tblStyle w:val="12"/>
        <w:tblW w:w="8349" w:type="dxa"/>
        <w:jc w:val="center"/>
        <w:tblInd w:w="7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7"/>
        <w:gridCol w:w="1543"/>
        <w:gridCol w:w="4105"/>
        <w:gridCol w:w="18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3" w:hRule="atLeast"/>
          <w:jc w:val="center"/>
        </w:trPr>
        <w:tc>
          <w:tcPr>
            <w:tcW w:w="867" w:type="dxa"/>
            <w:vAlign w:val="center"/>
          </w:tcPr>
          <w:p>
            <w:pPr>
              <w:spacing w:before="60" w:after="60" w:line="160" w:lineRule="exact"/>
              <w:jc w:val="center"/>
              <w:rPr>
                <w:rFonts w:hint="eastAsia" w:hAnsi="宋体"/>
                <w:szCs w:val="21"/>
              </w:rPr>
            </w:pPr>
            <w:r>
              <w:rPr>
                <w:rFonts w:hint="eastAsia" w:hAnsi="宋体"/>
                <w:szCs w:val="21"/>
              </w:rPr>
              <w:t>序号</w:t>
            </w:r>
          </w:p>
        </w:tc>
        <w:tc>
          <w:tcPr>
            <w:tcW w:w="1543" w:type="dxa"/>
            <w:vAlign w:val="center"/>
          </w:tcPr>
          <w:p>
            <w:pPr>
              <w:spacing w:before="60" w:after="60" w:line="160" w:lineRule="exact"/>
              <w:jc w:val="center"/>
              <w:rPr>
                <w:rFonts w:hint="eastAsia" w:hAnsi="宋体"/>
                <w:szCs w:val="21"/>
              </w:rPr>
            </w:pPr>
            <w:r>
              <w:rPr>
                <w:rFonts w:hint="eastAsia" w:hAnsi="宋体"/>
                <w:szCs w:val="21"/>
              </w:rPr>
              <w:t>项目</w:t>
            </w:r>
          </w:p>
        </w:tc>
        <w:tc>
          <w:tcPr>
            <w:tcW w:w="4105" w:type="dxa"/>
            <w:vAlign w:val="center"/>
          </w:tcPr>
          <w:p>
            <w:pPr>
              <w:spacing w:before="60" w:after="60" w:line="160" w:lineRule="exact"/>
              <w:jc w:val="center"/>
              <w:rPr>
                <w:rFonts w:hint="eastAsia" w:hAnsi="宋体"/>
                <w:szCs w:val="21"/>
              </w:rPr>
            </w:pPr>
            <w:r>
              <w:rPr>
                <w:rFonts w:hint="eastAsia" w:hAnsi="宋体"/>
                <w:szCs w:val="21"/>
              </w:rPr>
              <w:t>内容</w:t>
            </w:r>
          </w:p>
        </w:tc>
        <w:tc>
          <w:tcPr>
            <w:tcW w:w="1834" w:type="dxa"/>
            <w:vAlign w:val="top"/>
          </w:tcPr>
          <w:p>
            <w:pPr>
              <w:spacing w:before="60" w:after="60" w:line="160" w:lineRule="exact"/>
              <w:jc w:val="center"/>
              <w:rPr>
                <w:rFonts w:hint="eastAsia" w:hAnsi="宋体"/>
                <w:szCs w:val="21"/>
              </w:rPr>
            </w:pPr>
            <w:r>
              <w:rPr>
                <w:rFonts w:hint="eastAsia"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3" w:hRule="atLeast"/>
          <w:jc w:val="center"/>
        </w:trPr>
        <w:tc>
          <w:tcPr>
            <w:tcW w:w="867" w:type="dxa"/>
            <w:vAlign w:val="center"/>
          </w:tcPr>
          <w:p>
            <w:pPr>
              <w:spacing w:before="60" w:after="60" w:line="160" w:lineRule="exact"/>
              <w:jc w:val="center"/>
              <w:rPr>
                <w:rFonts w:hint="eastAsia" w:hAnsi="宋体"/>
                <w:szCs w:val="21"/>
              </w:rPr>
            </w:pPr>
            <w:r>
              <w:rPr>
                <w:rFonts w:hint="eastAsia" w:hAnsi="宋体"/>
                <w:szCs w:val="21"/>
              </w:rPr>
              <w:t>1</w:t>
            </w:r>
          </w:p>
        </w:tc>
        <w:tc>
          <w:tcPr>
            <w:tcW w:w="1543" w:type="dxa"/>
            <w:vAlign w:val="center"/>
          </w:tcPr>
          <w:p>
            <w:pPr>
              <w:spacing w:before="60" w:after="60" w:line="160" w:lineRule="exact"/>
              <w:jc w:val="center"/>
              <w:rPr>
                <w:rFonts w:hint="eastAsia" w:hAnsi="宋体"/>
                <w:szCs w:val="21"/>
              </w:rPr>
            </w:pPr>
            <w:r>
              <w:rPr>
                <w:rFonts w:hint="eastAsia" w:hAnsi="宋体"/>
                <w:szCs w:val="21"/>
              </w:rPr>
              <w:t>系统制式</w:t>
            </w:r>
          </w:p>
        </w:tc>
        <w:tc>
          <w:tcPr>
            <w:tcW w:w="4105" w:type="dxa"/>
            <w:vAlign w:val="center"/>
          </w:tcPr>
          <w:p>
            <w:pPr>
              <w:spacing w:before="60" w:after="60" w:line="160" w:lineRule="exact"/>
              <w:jc w:val="center"/>
              <w:rPr>
                <w:rFonts w:hint="eastAsia" w:hAnsi="宋体"/>
                <w:szCs w:val="21"/>
              </w:rPr>
            </w:pPr>
            <w:r>
              <w:rPr>
                <w:rFonts w:hint="eastAsia" w:hAnsi="宋体"/>
                <w:szCs w:val="21"/>
              </w:rPr>
              <w:t>三相四线制</w:t>
            </w:r>
          </w:p>
        </w:tc>
        <w:tc>
          <w:tcPr>
            <w:tcW w:w="1834" w:type="dxa"/>
            <w:vAlign w:val="top"/>
          </w:tcPr>
          <w:p>
            <w:pPr>
              <w:spacing w:before="60" w:after="60" w:line="160" w:lineRule="exact"/>
              <w:jc w:val="center"/>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3" w:hRule="atLeast"/>
          <w:jc w:val="center"/>
        </w:trPr>
        <w:tc>
          <w:tcPr>
            <w:tcW w:w="867" w:type="dxa"/>
            <w:vAlign w:val="center"/>
          </w:tcPr>
          <w:p>
            <w:pPr>
              <w:spacing w:before="60" w:after="60" w:line="160" w:lineRule="exact"/>
              <w:jc w:val="center"/>
              <w:rPr>
                <w:rFonts w:hint="eastAsia" w:hAnsi="宋体"/>
                <w:szCs w:val="21"/>
              </w:rPr>
            </w:pPr>
            <w:r>
              <w:rPr>
                <w:rFonts w:hint="eastAsia" w:hAnsi="宋体"/>
                <w:szCs w:val="21"/>
              </w:rPr>
              <w:t>2</w:t>
            </w:r>
          </w:p>
        </w:tc>
        <w:tc>
          <w:tcPr>
            <w:tcW w:w="1543" w:type="dxa"/>
            <w:vAlign w:val="center"/>
          </w:tcPr>
          <w:p>
            <w:pPr>
              <w:spacing w:before="60" w:after="60" w:line="160" w:lineRule="exact"/>
              <w:jc w:val="center"/>
              <w:rPr>
                <w:rFonts w:hint="eastAsia" w:hAnsi="宋体"/>
                <w:szCs w:val="21"/>
              </w:rPr>
            </w:pPr>
            <w:r>
              <w:rPr>
                <w:rFonts w:hint="eastAsia" w:hAnsi="宋体"/>
                <w:szCs w:val="21"/>
              </w:rPr>
              <w:t>电压</w:t>
            </w:r>
          </w:p>
        </w:tc>
        <w:tc>
          <w:tcPr>
            <w:tcW w:w="4105" w:type="dxa"/>
            <w:vAlign w:val="center"/>
          </w:tcPr>
          <w:p>
            <w:pPr>
              <w:spacing w:before="60" w:after="60" w:line="160" w:lineRule="exact"/>
              <w:jc w:val="center"/>
              <w:rPr>
                <w:rFonts w:hint="eastAsia" w:hAnsi="宋体"/>
                <w:szCs w:val="21"/>
              </w:rPr>
            </w:pPr>
            <w:r>
              <w:rPr>
                <w:rFonts w:hint="eastAsia" w:hAnsi="宋体"/>
                <w:szCs w:val="21"/>
              </w:rPr>
              <w:t>AC  0</w:t>
            </w:r>
            <w:r>
              <w:rPr>
                <w:rFonts w:hAnsi="宋体"/>
                <w:szCs w:val="21"/>
              </w:rPr>
              <w:t>.4kV</w:t>
            </w:r>
          </w:p>
        </w:tc>
        <w:tc>
          <w:tcPr>
            <w:tcW w:w="1834" w:type="dxa"/>
            <w:vAlign w:val="top"/>
          </w:tcPr>
          <w:p>
            <w:pPr>
              <w:spacing w:before="60" w:after="60" w:line="160" w:lineRule="exact"/>
              <w:jc w:val="center"/>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3" w:hRule="atLeast"/>
          <w:jc w:val="center"/>
        </w:trPr>
        <w:tc>
          <w:tcPr>
            <w:tcW w:w="867" w:type="dxa"/>
            <w:vAlign w:val="center"/>
          </w:tcPr>
          <w:p>
            <w:pPr>
              <w:spacing w:before="60" w:after="60" w:line="160" w:lineRule="exact"/>
              <w:jc w:val="center"/>
              <w:rPr>
                <w:rFonts w:hint="eastAsia" w:hAnsi="宋体"/>
                <w:szCs w:val="21"/>
              </w:rPr>
            </w:pPr>
            <w:r>
              <w:rPr>
                <w:rFonts w:hint="eastAsia" w:hAnsi="宋体"/>
                <w:szCs w:val="21"/>
              </w:rPr>
              <w:t>3</w:t>
            </w:r>
          </w:p>
        </w:tc>
        <w:tc>
          <w:tcPr>
            <w:tcW w:w="1543" w:type="dxa"/>
            <w:vAlign w:val="center"/>
          </w:tcPr>
          <w:p>
            <w:pPr>
              <w:spacing w:before="60" w:after="60" w:line="160" w:lineRule="exact"/>
              <w:jc w:val="center"/>
              <w:rPr>
                <w:rFonts w:hAnsi="宋体"/>
                <w:szCs w:val="21"/>
              </w:rPr>
            </w:pPr>
            <w:r>
              <w:rPr>
                <w:rFonts w:hAnsi="宋体"/>
                <w:szCs w:val="21"/>
              </w:rPr>
              <w:t>额定绝缘电压</w:t>
            </w:r>
          </w:p>
        </w:tc>
        <w:tc>
          <w:tcPr>
            <w:tcW w:w="4105" w:type="dxa"/>
            <w:vAlign w:val="center"/>
          </w:tcPr>
          <w:p>
            <w:pPr>
              <w:spacing w:before="60" w:after="60" w:line="160" w:lineRule="exact"/>
              <w:jc w:val="center"/>
              <w:rPr>
                <w:rFonts w:hint="eastAsia" w:hAnsi="宋体"/>
                <w:szCs w:val="21"/>
              </w:rPr>
            </w:pPr>
            <w:r>
              <w:rPr>
                <w:rFonts w:hint="eastAsia" w:hAnsi="宋体"/>
                <w:szCs w:val="21"/>
              </w:rPr>
              <w:t>1000</w:t>
            </w:r>
            <w:r>
              <w:rPr>
                <w:rFonts w:hAnsi="宋体"/>
                <w:szCs w:val="21"/>
              </w:rPr>
              <w:t>V</w:t>
            </w:r>
            <w:r>
              <w:rPr>
                <w:rFonts w:hint="eastAsia" w:hAnsi="宋体"/>
                <w:szCs w:val="21"/>
              </w:rPr>
              <w:t xml:space="preserve"> AC</w:t>
            </w:r>
          </w:p>
        </w:tc>
        <w:tc>
          <w:tcPr>
            <w:tcW w:w="1834" w:type="dxa"/>
            <w:vAlign w:val="top"/>
          </w:tcPr>
          <w:p>
            <w:pPr>
              <w:spacing w:before="60" w:after="60" w:line="160" w:lineRule="exact"/>
              <w:jc w:val="center"/>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3" w:hRule="atLeast"/>
          <w:jc w:val="center"/>
        </w:trPr>
        <w:tc>
          <w:tcPr>
            <w:tcW w:w="867" w:type="dxa"/>
            <w:vAlign w:val="center"/>
          </w:tcPr>
          <w:p>
            <w:pPr>
              <w:spacing w:before="60" w:after="60" w:line="160" w:lineRule="exact"/>
              <w:jc w:val="center"/>
              <w:rPr>
                <w:rFonts w:hint="eastAsia" w:hAnsi="宋体"/>
                <w:szCs w:val="21"/>
              </w:rPr>
            </w:pPr>
            <w:r>
              <w:rPr>
                <w:rFonts w:hint="eastAsia" w:hAnsi="宋体"/>
                <w:szCs w:val="21"/>
              </w:rPr>
              <w:t>4</w:t>
            </w:r>
          </w:p>
        </w:tc>
        <w:tc>
          <w:tcPr>
            <w:tcW w:w="1543" w:type="dxa"/>
            <w:vAlign w:val="center"/>
          </w:tcPr>
          <w:p>
            <w:pPr>
              <w:spacing w:before="60" w:after="60" w:line="160" w:lineRule="exact"/>
              <w:jc w:val="center"/>
              <w:rPr>
                <w:rFonts w:hint="eastAsia" w:hAnsi="宋体"/>
                <w:szCs w:val="21"/>
              </w:rPr>
            </w:pPr>
            <w:r>
              <w:rPr>
                <w:rFonts w:hint="eastAsia" w:hAnsi="宋体"/>
                <w:szCs w:val="21"/>
              </w:rPr>
              <w:t>额定频率</w:t>
            </w:r>
          </w:p>
        </w:tc>
        <w:tc>
          <w:tcPr>
            <w:tcW w:w="4105" w:type="dxa"/>
            <w:vAlign w:val="center"/>
          </w:tcPr>
          <w:p>
            <w:pPr>
              <w:spacing w:before="60" w:after="60" w:line="160" w:lineRule="exact"/>
              <w:jc w:val="center"/>
              <w:rPr>
                <w:rFonts w:hAnsi="宋体"/>
                <w:szCs w:val="21"/>
              </w:rPr>
            </w:pPr>
            <w:r>
              <w:rPr>
                <w:rFonts w:hAnsi="宋体"/>
                <w:szCs w:val="21"/>
              </w:rPr>
              <w:t>50Hz</w:t>
            </w:r>
          </w:p>
        </w:tc>
        <w:tc>
          <w:tcPr>
            <w:tcW w:w="1834" w:type="dxa"/>
            <w:vAlign w:val="top"/>
          </w:tcPr>
          <w:p>
            <w:pPr>
              <w:spacing w:before="60" w:after="60" w:line="160" w:lineRule="exact"/>
              <w:jc w:val="center"/>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3" w:hRule="atLeast"/>
          <w:jc w:val="center"/>
        </w:trPr>
        <w:tc>
          <w:tcPr>
            <w:tcW w:w="867" w:type="dxa"/>
            <w:vAlign w:val="center"/>
          </w:tcPr>
          <w:p>
            <w:pPr>
              <w:spacing w:before="60" w:after="60" w:line="160" w:lineRule="exact"/>
              <w:jc w:val="center"/>
              <w:rPr>
                <w:rFonts w:hint="eastAsia" w:hAnsi="宋体"/>
                <w:szCs w:val="21"/>
              </w:rPr>
            </w:pPr>
            <w:r>
              <w:rPr>
                <w:rFonts w:hint="eastAsia" w:hAnsi="宋体"/>
                <w:szCs w:val="21"/>
              </w:rPr>
              <w:t>5</w:t>
            </w:r>
          </w:p>
        </w:tc>
        <w:tc>
          <w:tcPr>
            <w:tcW w:w="1543" w:type="dxa"/>
            <w:vAlign w:val="center"/>
          </w:tcPr>
          <w:p>
            <w:pPr>
              <w:spacing w:before="60" w:after="60" w:line="160" w:lineRule="exact"/>
              <w:jc w:val="center"/>
              <w:rPr>
                <w:rFonts w:hAnsi="宋体"/>
                <w:szCs w:val="21"/>
              </w:rPr>
            </w:pPr>
            <w:r>
              <w:rPr>
                <w:rFonts w:hAnsi="宋体"/>
                <w:szCs w:val="21"/>
              </w:rPr>
              <w:t>额定分散系数</w:t>
            </w:r>
          </w:p>
        </w:tc>
        <w:tc>
          <w:tcPr>
            <w:tcW w:w="4105" w:type="dxa"/>
            <w:vAlign w:val="center"/>
          </w:tcPr>
          <w:p>
            <w:pPr>
              <w:spacing w:before="60" w:after="60"/>
              <w:jc w:val="center"/>
              <w:rPr>
                <w:rFonts w:hAnsi="宋体"/>
                <w:szCs w:val="21"/>
              </w:rPr>
            </w:pPr>
            <w:r>
              <w:rPr>
                <w:rFonts w:hAnsi="宋体"/>
                <w:szCs w:val="21"/>
              </w:rPr>
              <w:t>符合GB 7251.1-</w:t>
            </w:r>
            <w:r>
              <w:rPr>
                <w:rFonts w:hint="eastAsia" w:hAnsi="宋体"/>
                <w:szCs w:val="21"/>
              </w:rPr>
              <w:t>2013</w:t>
            </w:r>
            <w:r>
              <w:rPr>
                <w:rFonts w:hAnsi="宋体"/>
                <w:szCs w:val="21"/>
              </w:rPr>
              <w:t>中4.7的规定制造厂规定额定分散系数，并用于温升试验</w:t>
            </w:r>
          </w:p>
        </w:tc>
        <w:tc>
          <w:tcPr>
            <w:tcW w:w="1834" w:type="dxa"/>
            <w:vAlign w:val="top"/>
          </w:tcPr>
          <w:p>
            <w:pPr>
              <w:spacing w:before="60" w:after="60" w:line="160" w:lineRule="exact"/>
              <w:jc w:val="center"/>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3" w:hRule="atLeast"/>
          <w:jc w:val="center"/>
        </w:trPr>
        <w:tc>
          <w:tcPr>
            <w:tcW w:w="867" w:type="dxa"/>
            <w:vAlign w:val="center"/>
          </w:tcPr>
          <w:p>
            <w:pPr>
              <w:spacing w:before="60" w:after="60" w:line="160" w:lineRule="exact"/>
              <w:jc w:val="center"/>
              <w:rPr>
                <w:rFonts w:hint="eastAsia" w:hAnsi="宋体"/>
                <w:szCs w:val="21"/>
              </w:rPr>
            </w:pPr>
            <w:r>
              <w:rPr>
                <w:rFonts w:hint="eastAsia" w:hAnsi="宋体"/>
                <w:szCs w:val="21"/>
              </w:rPr>
              <w:t>6</w:t>
            </w:r>
          </w:p>
        </w:tc>
        <w:tc>
          <w:tcPr>
            <w:tcW w:w="1543" w:type="dxa"/>
            <w:vAlign w:val="center"/>
          </w:tcPr>
          <w:p>
            <w:pPr>
              <w:spacing w:before="60" w:after="60" w:line="160" w:lineRule="exact"/>
              <w:jc w:val="center"/>
              <w:rPr>
                <w:rFonts w:hAnsi="宋体"/>
                <w:szCs w:val="21"/>
              </w:rPr>
            </w:pPr>
            <w:r>
              <w:rPr>
                <w:rFonts w:hAnsi="宋体"/>
                <w:szCs w:val="21"/>
              </w:rPr>
              <w:t>辅助回路的额定电压</w:t>
            </w:r>
          </w:p>
        </w:tc>
        <w:tc>
          <w:tcPr>
            <w:tcW w:w="4105" w:type="dxa"/>
            <w:vAlign w:val="center"/>
          </w:tcPr>
          <w:p>
            <w:pPr>
              <w:spacing w:before="60" w:after="60" w:line="160" w:lineRule="exact"/>
              <w:jc w:val="center"/>
              <w:rPr>
                <w:rFonts w:hint="eastAsia" w:hAnsi="宋体"/>
                <w:szCs w:val="21"/>
              </w:rPr>
            </w:pPr>
            <w:r>
              <w:rPr>
                <w:rFonts w:hAnsi="宋体"/>
                <w:szCs w:val="21"/>
              </w:rPr>
              <w:t>AC220V</w:t>
            </w:r>
            <w:r>
              <w:rPr>
                <w:rFonts w:hint="eastAsia" w:hAnsi="宋体"/>
                <w:szCs w:val="21"/>
              </w:rPr>
              <w:t>、DC24V</w:t>
            </w:r>
          </w:p>
        </w:tc>
        <w:tc>
          <w:tcPr>
            <w:tcW w:w="1834" w:type="dxa"/>
            <w:vAlign w:val="top"/>
          </w:tcPr>
          <w:p>
            <w:pPr>
              <w:spacing w:before="60" w:after="60" w:line="160" w:lineRule="exact"/>
              <w:jc w:val="center"/>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3" w:hRule="atLeast"/>
          <w:jc w:val="center"/>
        </w:trPr>
        <w:tc>
          <w:tcPr>
            <w:tcW w:w="867" w:type="dxa"/>
            <w:vAlign w:val="center"/>
          </w:tcPr>
          <w:p>
            <w:pPr>
              <w:spacing w:before="60" w:after="60" w:line="160" w:lineRule="exact"/>
              <w:jc w:val="center"/>
              <w:rPr>
                <w:rFonts w:hint="eastAsia" w:hAnsi="宋体"/>
                <w:szCs w:val="21"/>
              </w:rPr>
            </w:pPr>
            <w:r>
              <w:rPr>
                <w:rFonts w:hint="eastAsia" w:hAnsi="宋体"/>
                <w:szCs w:val="21"/>
              </w:rPr>
              <w:t>7</w:t>
            </w:r>
          </w:p>
        </w:tc>
        <w:tc>
          <w:tcPr>
            <w:tcW w:w="1543" w:type="dxa"/>
            <w:vAlign w:val="center"/>
          </w:tcPr>
          <w:p>
            <w:pPr>
              <w:spacing w:before="60" w:after="60" w:line="160" w:lineRule="exact"/>
              <w:jc w:val="center"/>
              <w:rPr>
                <w:rFonts w:hint="eastAsia" w:hAnsi="宋体"/>
                <w:szCs w:val="21"/>
              </w:rPr>
            </w:pPr>
            <w:r>
              <w:rPr>
                <w:rFonts w:hint="eastAsia" w:hAnsi="宋体"/>
                <w:szCs w:val="21"/>
              </w:rPr>
              <w:t>系统接地</w:t>
            </w:r>
          </w:p>
        </w:tc>
        <w:tc>
          <w:tcPr>
            <w:tcW w:w="4105" w:type="dxa"/>
            <w:vAlign w:val="center"/>
          </w:tcPr>
          <w:p>
            <w:pPr>
              <w:spacing w:before="60" w:after="60" w:line="160" w:lineRule="exact"/>
              <w:jc w:val="center"/>
              <w:rPr>
                <w:rFonts w:hint="eastAsia" w:hAnsi="宋体"/>
                <w:szCs w:val="21"/>
              </w:rPr>
            </w:pPr>
            <w:r>
              <w:rPr>
                <w:rFonts w:hint="eastAsia" w:hAnsi="宋体"/>
                <w:szCs w:val="21"/>
              </w:rPr>
              <w:t>TN－S系统，中性点直接接地</w:t>
            </w:r>
          </w:p>
        </w:tc>
        <w:tc>
          <w:tcPr>
            <w:tcW w:w="1834" w:type="dxa"/>
            <w:vAlign w:val="top"/>
          </w:tcPr>
          <w:p>
            <w:pPr>
              <w:spacing w:before="60" w:after="60" w:line="160" w:lineRule="exact"/>
              <w:jc w:val="center"/>
              <w:rPr>
                <w:rFonts w:hint="eastAsia" w:hAnsi="宋体"/>
                <w:szCs w:val="21"/>
              </w:rPr>
            </w:pPr>
          </w:p>
        </w:tc>
      </w:tr>
    </w:tbl>
    <w:p>
      <w:pPr>
        <w:spacing w:line="360" w:lineRule="auto"/>
        <w:ind w:firstLine="480"/>
        <w:jc w:val="center"/>
        <w:rPr>
          <w:rFonts w:hint="eastAsia" w:hAnsi="宋体"/>
        </w:rPr>
      </w:pPr>
      <w:r>
        <w:rPr>
          <w:rFonts w:hint="eastAsia" w:hAnsi="宋体"/>
        </w:rPr>
        <w:t>配电箱基本技术参数</w:t>
      </w:r>
    </w:p>
    <w:tbl>
      <w:tblPr>
        <w:tblStyle w:val="12"/>
        <w:tblW w:w="8324" w:type="dxa"/>
        <w:jc w:val="center"/>
        <w:tblInd w:w="1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3"/>
        <w:gridCol w:w="1417"/>
        <w:gridCol w:w="5103"/>
        <w:gridCol w:w="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953" w:type="dxa"/>
            <w:vAlign w:val="center"/>
          </w:tcPr>
          <w:p>
            <w:pPr>
              <w:spacing w:before="60" w:after="60"/>
              <w:jc w:val="center"/>
              <w:rPr>
                <w:rFonts w:hint="eastAsia" w:hAnsi="宋体"/>
                <w:szCs w:val="21"/>
              </w:rPr>
            </w:pPr>
            <w:r>
              <w:rPr>
                <w:rFonts w:hint="eastAsia" w:hAnsi="宋体"/>
                <w:szCs w:val="21"/>
              </w:rPr>
              <w:t>序号</w:t>
            </w:r>
          </w:p>
        </w:tc>
        <w:tc>
          <w:tcPr>
            <w:tcW w:w="1417" w:type="dxa"/>
            <w:vAlign w:val="center"/>
          </w:tcPr>
          <w:p>
            <w:pPr>
              <w:spacing w:before="60" w:after="60"/>
              <w:jc w:val="center"/>
              <w:rPr>
                <w:rFonts w:hint="eastAsia" w:hAnsi="宋体"/>
                <w:szCs w:val="21"/>
              </w:rPr>
            </w:pPr>
            <w:r>
              <w:rPr>
                <w:rFonts w:hint="eastAsia" w:hAnsi="宋体"/>
                <w:szCs w:val="21"/>
              </w:rPr>
              <w:t>项目</w:t>
            </w:r>
          </w:p>
        </w:tc>
        <w:tc>
          <w:tcPr>
            <w:tcW w:w="5103" w:type="dxa"/>
            <w:vAlign w:val="center"/>
          </w:tcPr>
          <w:p>
            <w:pPr>
              <w:spacing w:before="60" w:after="60"/>
              <w:jc w:val="center"/>
              <w:rPr>
                <w:rFonts w:hint="eastAsia" w:hAnsi="宋体"/>
                <w:szCs w:val="21"/>
              </w:rPr>
            </w:pPr>
            <w:r>
              <w:rPr>
                <w:rFonts w:hint="eastAsia" w:hAnsi="宋体"/>
                <w:szCs w:val="21"/>
              </w:rPr>
              <w:t>内容</w:t>
            </w:r>
          </w:p>
        </w:tc>
        <w:tc>
          <w:tcPr>
            <w:tcW w:w="851" w:type="dxa"/>
            <w:vAlign w:val="top"/>
          </w:tcPr>
          <w:p>
            <w:pPr>
              <w:spacing w:before="60" w:after="60"/>
              <w:jc w:val="center"/>
              <w:rPr>
                <w:rFonts w:hint="eastAsia" w:hAnsi="宋体"/>
                <w:szCs w:val="21"/>
              </w:rPr>
            </w:pPr>
            <w:r>
              <w:rPr>
                <w:rFonts w:hint="eastAsia"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953" w:type="dxa"/>
            <w:vAlign w:val="center"/>
          </w:tcPr>
          <w:p>
            <w:pPr>
              <w:spacing w:before="60" w:after="60"/>
              <w:jc w:val="center"/>
              <w:rPr>
                <w:rFonts w:hint="eastAsia" w:hAnsi="宋体"/>
                <w:szCs w:val="21"/>
              </w:rPr>
            </w:pPr>
            <w:r>
              <w:rPr>
                <w:rFonts w:hint="eastAsia" w:hAnsi="宋体"/>
                <w:szCs w:val="21"/>
              </w:rPr>
              <w:t>1</w:t>
            </w:r>
          </w:p>
        </w:tc>
        <w:tc>
          <w:tcPr>
            <w:tcW w:w="1417" w:type="dxa"/>
            <w:vAlign w:val="center"/>
          </w:tcPr>
          <w:p>
            <w:pPr>
              <w:pStyle w:val="17"/>
              <w:spacing w:before="60" w:after="60" w:line="240" w:lineRule="auto"/>
              <w:jc w:val="center"/>
              <w:rPr>
                <w:rFonts w:hint="eastAsia"/>
                <w:sz w:val="21"/>
                <w:szCs w:val="21"/>
              </w:rPr>
            </w:pPr>
            <w:r>
              <w:rPr>
                <w:rFonts w:hint="eastAsia"/>
                <w:sz w:val="21"/>
                <w:szCs w:val="21"/>
              </w:rPr>
              <w:t>电气间隙</w:t>
            </w:r>
          </w:p>
        </w:tc>
        <w:tc>
          <w:tcPr>
            <w:tcW w:w="5103" w:type="dxa"/>
            <w:vAlign w:val="center"/>
          </w:tcPr>
          <w:p>
            <w:pPr>
              <w:spacing w:before="60" w:after="60"/>
              <w:jc w:val="center"/>
              <w:rPr>
                <w:rFonts w:hint="eastAsia" w:hAnsi="宋体"/>
                <w:szCs w:val="21"/>
              </w:rPr>
            </w:pPr>
            <w:r>
              <w:rPr>
                <w:rFonts w:hint="eastAsia" w:hAnsi="宋体"/>
                <w:szCs w:val="21"/>
              </w:rPr>
              <w:t>10</w:t>
            </w:r>
            <w:r>
              <w:rPr>
                <w:rFonts w:hAnsi="宋体"/>
                <w:szCs w:val="21"/>
              </w:rPr>
              <w:t>mm</w:t>
            </w:r>
          </w:p>
        </w:tc>
        <w:tc>
          <w:tcPr>
            <w:tcW w:w="851" w:type="dxa"/>
            <w:vAlign w:val="top"/>
          </w:tcPr>
          <w:p>
            <w:pPr>
              <w:spacing w:before="60" w:after="60"/>
              <w:jc w:val="center"/>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jc w:val="center"/>
        </w:trPr>
        <w:tc>
          <w:tcPr>
            <w:tcW w:w="953" w:type="dxa"/>
            <w:vAlign w:val="center"/>
          </w:tcPr>
          <w:p>
            <w:pPr>
              <w:spacing w:before="60" w:after="60"/>
              <w:jc w:val="center"/>
              <w:rPr>
                <w:rFonts w:hint="eastAsia" w:hAnsi="宋体"/>
                <w:szCs w:val="21"/>
              </w:rPr>
            </w:pPr>
            <w:r>
              <w:rPr>
                <w:rFonts w:hint="eastAsia" w:hAnsi="宋体"/>
                <w:szCs w:val="21"/>
              </w:rPr>
              <w:t>2</w:t>
            </w:r>
          </w:p>
        </w:tc>
        <w:tc>
          <w:tcPr>
            <w:tcW w:w="1417" w:type="dxa"/>
            <w:vAlign w:val="center"/>
          </w:tcPr>
          <w:p>
            <w:pPr>
              <w:pStyle w:val="17"/>
              <w:spacing w:before="60" w:after="60" w:line="240" w:lineRule="auto"/>
              <w:jc w:val="center"/>
              <w:rPr>
                <w:rFonts w:hint="eastAsia"/>
                <w:sz w:val="21"/>
                <w:szCs w:val="21"/>
              </w:rPr>
            </w:pPr>
            <w:r>
              <w:rPr>
                <w:rFonts w:hint="eastAsia"/>
                <w:sz w:val="21"/>
                <w:szCs w:val="21"/>
              </w:rPr>
              <w:t>爬电距离</w:t>
            </w:r>
          </w:p>
        </w:tc>
        <w:tc>
          <w:tcPr>
            <w:tcW w:w="5103" w:type="dxa"/>
            <w:vAlign w:val="center"/>
          </w:tcPr>
          <w:p>
            <w:pPr>
              <w:spacing w:before="60" w:after="60"/>
              <w:jc w:val="center"/>
              <w:rPr>
                <w:rFonts w:hint="eastAsia" w:hAnsi="宋体"/>
                <w:szCs w:val="21"/>
              </w:rPr>
            </w:pPr>
            <w:r>
              <w:rPr>
                <w:rFonts w:hint="eastAsia" w:hAnsi="宋体"/>
                <w:szCs w:val="21"/>
              </w:rPr>
              <w:t>12</w:t>
            </w:r>
            <w:r>
              <w:rPr>
                <w:rFonts w:hAnsi="宋体"/>
                <w:szCs w:val="21"/>
              </w:rPr>
              <w:t>mm</w:t>
            </w:r>
          </w:p>
        </w:tc>
        <w:tc>
          <w:tcPr>
            <w:tcW w:w="851" w:type="dxa"/>
            <w:vAlign w:val="top"/>
          </w:tcPr>
          <w:p>
            <w:pPr>
              <w:spacing w:before="60" w:after="60"/>
              <w:jc w:val="center"/>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jc w:val="center"/>
        </w:trPr>
        <w:tc>
          <w:tcPr>
            <w:tcW w:w="953" w:type="dxa"/>
            <w:vAlign w:val="center"/>
          </w:tcPr>
          <w:p>
            <w:pPr>
              <w:spacing w:before="60" w:after="60"/>
              <w:jc w:val="center"/>
              <w:rPr>
                <w:rFonts w:hint="eastAsia" w:hAnsi="宋体"/>
                <w:szCs w:val="21"/>
              </w:rPr>
            </w:pPr>
            <w:r>
              <w:rPr>
                <w:rFonts w:hint="eastAsia" w:hAnsi="宋体"/>
                <w:szCs w:val="21"/>
              </w:rPr>
              <w:t>3</w:t>
            </w:r>
          </w:p>
        </w:tc>
        <w:tc>
          <w:tcPr>
            <w:tcW w:w="1417" w:type="dxa"/>
            <w:vAlign w:val="center"/>
          </w:tcPr>
          <w:p>
            <w:pPr>
              <w:pStyle w:val="17"/>
              <w:spacing w:before="60" w:after="60" w:line="240" w:lineRule="auto"/>
              <w:jc w:val="center"/>
              <w:rPr>
                <w:rFonts w:hint="eastAsia"/>
                <w:sz w:val="21"/>
                <w:szCs w:val="21"/>
              </w:rPr>
            </w:pPr>
            <w:r>
              <w:rPr>
                <w:rFonts w:hint="eastAsia"/>
                <w:sz w:val="21"/>
                <w:szCs w:val="21"/>
              </w:rPr>
              <w:t>隔离距离</w:t>
            </w:r>
          </w:p>
        </w:tc>
        <w:tc>
          <w:tcPr>
            <w:tcW w:w="5103" w:type="dxa"/>
            <w:vAlign w:val="center"/>
          </w:tcPr>
          <w:p>
            <w:pPr>
              <w:pStyle w:val="17"/>
              <w:spacing w:before="60" w:after="60" w:line="240" w:lineRule="auto"/>
              <w:jc w:val="both"/>
              <w:rPr>
                <w:rFonts w:hint="eastAsia"/>
                <w:sz w:val="21"/>
                <w:szCs w:val="21"/>
              </w:rPr>
            </w:pPr>
            <w:r>
              <w:rPr>
                <w:rFonts w:hint="eastAsia"/>
                <w:sz w:val="21"/>
                <w:szCs w:val="21"/>
              </w:rPr>
              <w:t>应符合GB.14048的有关要求，同时考虑到制造公差和由于磨损而造成的尺寸变化。</w:t>
            </w:r>
          </w:p>
        </w:tc>
        <w:tc>
          <w:tcPr>
            <w:tcW w:w="851" w:type="dxa"/>
            <w:vAlign w:val="top"/>
          </w:tcPr>
          <w:p>
            <w:pPr>
              <w:pStyle w:val="17"/>
              <w:spacing w:before="60" w:after="60" w:line="240" w:lineRule="auto"/>
              <w:jc w:val="both"/>
              <w:rPr>
                <w:rFonts w:hint="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jc w:val="center"/>
        </w:trPr>
        <w:tc>
          <w:tcPr>
            <w:tcW w:w="953" w:type="dxa"/>
            <w:vAlign w:val="center"/>
          </w:tcPr>
          <w:p>
            <w:pPr>
              <w:spacing w:before="60" w:after="60"/>
              <w:jc w:val="center"/>
              <w:rPr>
                <w:rFonts w:hint="eastAsia" w:hAnsi="宋体"/>
                <w:szCs w:val="21"/>
              </w:rPr>
            </w:pPr>
            <w:r>
              <w:rPr>
                <w:rFonts w:hint="eastAsia" w:hAnsi="宋体"/>
                <w:szCs w:val="21"/>
              </w:rPr>
              <w:t>4</w:t>
            </w:r>
          </w:p>
        </w:tc>
        <w:tc>
          <w:tcPr>
            <w:tcW w:w="1417" w:type="dxa"/>
            <w:vAlign w:val="center"/>
          </w:tcPr>
          <w:p>
            <w:pPr>
              <w:pStyle w:val="17"/>
              <w:spacing w:before="60" w:after="60" w:line="240" w:lineRule="auto"/>
              <w:jc w:val="center"/>
              <w:rPr>
                <w:rFonts w:hint="eastAsia"/>
                <w:sz w:val="21"/>
                <w:szCs w:val="21"/>
              </w:rPr>
            </w:pPr>
            <w:r>
              <w:rPr>
                <w:rFonts w:hint="eastAsia"/>
                <w:sz w:val="21"/>
                <w:szCs w:val="21"/>
              </w:rPr>
              <w:t>耐压水平</w:t>
            </w:r>
          </w:p>
        </w:tc>
        <w:tc>
          <w:tcPr>
            <w:tcW w:w="5103" w:type="dxa"/>
            <w:vAlign w:val="center"/>
          </w:tcPr>
          <w:p>
            <w:pPr>
              <w:pStyle w:val="18"/>
              <w:spacing w:before="60" w:after="60" w:line="240" w:lineRule="auto"/>
              <w:ind w:firstLine="420"/>
              <w:jc w:val="center"/>
              <w:rPr>
                <w:rFonts w:hint="eastAsia"/>
                <w:color w:val="auto"/>
                <w:sz w:val="21"/>
                <w:szCs w:val="21"/>
              </w:rPr>
            </w:pPr>
            <w:r>
              <w:rPr>
                <w:rFonts w:hint="eastAsia"/>
                <w:color w:val="auto"/>
                <w:sz w:val="21"/>
                <w:szCs w:val="21"/>
              </w:rPr>
              <w:t>2</w:t>
            </w:r>
            <w:r>
              <w:rPr>
                <w:color w:val="auto"/>
                <w:sz w:val="21"/>
                <w:szCs w:val="21"/>
              </w:rPr>
              <w:t>.5kV  50Hz  1</w:t>
            </w:r>
            <w:r>
              <w:rPr>
                <w:rFonts w:hint="eastAsia"/>
                <w:color w:val="auto"/>
                <w:sz w:val="21"/>
                <w:szCs w:val="21"/>
              </w:rPr>
              <w:t>分钟</w:t>
            </w:r>
          </w:p>
        </w:tc>
        <w:tc>
          <w:tcPr>
            <w:tcW w:w="851" w:type="dxa"/>
            <w:vAlign w:val="top"/>
          </w:tcPr>
          <w:p>
            <w:pPr>
              <w:pStyle w:val="18"/>
              <w:spacing w:before="60" w:after="60" w:line="240" w:lineRule="auto"/>
              <w:ind w:firstLine="420"/>
              <w:jc w:val="center"/>
              <w:rPr>
                <w:rFonts w:hint="eastAsia"/>
                <w:color w:val="auto"/>
                <w:sz w:val="21"/>
                <w:szCs w:val="21"/>
              </w:rPr>
            </w:pPr>
          </w:p>
        </w:tc>
      </w:tr>
      <w:tr>
        <w:tblPrEx>
          <w:tblLayout w:type="fixed"/>
          <w:tblCellMar>
            <w:top w:w="0" w:type="dxa"/>
            <w:left w:w="108" w:type="dxa"/>
            <w:bottom w:w="0" w:type="dxa"/>
            <w:right w:w="108" w:type="dxa"/>
          </w:tblCellMar>
        </w:tblPrEx>
        <w:trPr>
          <w:trHeight w:val="442" w:hRule="atLeast"/>
          <w:jc w:val="center"/>
        </w:trPr>
        <w:tc>
          <w:tcPr>
            <w:tcW w:w="953" w:type="dxa"/>
            <w:vAlign w:val="center"/>
          </w:tcPr>
          <w:p>
            <w:pPr>
              <w:spacing w:before="60" w:after="60"/>
              <w:jc w:val="center"/>
              <w:rPr>
                <w:rFonts w:hint="eastAsia" w:hAnsi="宋体"/>
                <w:szCs w:val="21"/>
              </w:rPr>
            </w:pPr>
            <w:r>
              <w:rPr>
                <w:rFonts w:hint="eastAsia" w:hAnsi="宋体"/>
                <w:szCs w:val="21"/>
              </w:rPr>
              <w:t>5</w:t>
            </w:r>
          </w:p>
        </w:tc>
        <w:tc>
          <w:tcPr>
            <w:tcW w:w="1417" w:type="dxa"/>
            <w:vAlign w:val="center"/>
          </w:tcPr>
          <w:p>
            <w:pPr>
              <w:pStyle w:val="17"/>
              <w:spacing w:before="60" w:after="60" w:line="240" w:lineRule="auto"/>
              <w:jc w:val="center"/>
              <w:rPr>
                <w:rFonts w:hint="eastAsia"/>
                <w:sz w:val="21"/>
                <w:szCs w:val="21"/>
              </w:rPr>
            </w:pPr>
            <w:r>
              <w:rPr>
                <w:rFonts w:hint="eastAsia"/>
                <w:sz w:val="21"/>
                <w:szCs w:val="21"/>
              </w:rPr>
              <w:t>温升</w:t>
            </w:r>
          </w:p>
        </w:tc>
        <w:tc>
          <w:tcPr>
            <w:tcW w:w="5103" w:type="dxa"/>
            <w:vAlign w:val="center"/>
          </w:tcPr>
          <w:p>
            <w:pPr>
              <w:pStyle w:val="18"/>
              <w:spacing w:before="60" w:after="60" w:line="240" w:lineRule="auto"/>
              <w:ind w:firstLine="420"/>
              <w:jc w:val="center"/>
              <w:rPr>
                <w:rFonts w:hint="eastAsia"/>
                <w:color w:val="auto"/>
                <w:sz w:val="21"/>
                <w:szCs w:val="21"/>
              </w:rPr>
            </w:pPr>
            <w:r>
              <w:rPr>
                <w:color w:val="auto"/>
                <w:sz w:val="21"/>
                <w:szCs w:val="21"/>
              </w:rPr>
              <w:t>符合GB 7251.1-</w:t>
            </w:r>
            <w:r>
              <w:rPr>
                <w:rFonts w:hint="eastAsia"/>
                <w:color w:val="auto"/>
                <w:sz w:val="21"/>
                <w:szCs w:val="21"/>
              </w:rPr>
              <w:t>2013</w:t>
            </w:r>
            <w:r>
              <w:rPr>
                <w:color w:val="auto"/>
                <w:sz w:val="21"/>
                <w:szCs w:val="21"/>
              </w:rPr>
              <w:t>中7.3的规定</w:t>
            </w:r>
          </w:p>
        </w:tc>
        <w:tc>
          <w:tcPr>
            <w:tcW w:w="851" w:type="dxa"/>
            <w:vAlign w:val="top"/>
          </w:tcPr>
          <w:p>
            <w:pPr>
              <w:pStyle w:val="18"/>
              <w:spacing w:before="60" w:after="60" w:line="240" w:lineRule="auto"/>
              <w:ind w:firstLine="420"/>
              <w:jc w:val="center"/>
              <w:rPr>
                <w:color w:val="auto"/>
                <w:sz w:val="21"/>
                <w:szCs w:val="21"/>
              </w:rPr>
            </w:pPr>
          </w:p>
        </w:tc>
      </w:tr>
      <w:tr>
        <w:tblPrEx>
          <w:tblLayout w:type="fixed"/>
          <w:tblCellMar>
            <w:top w:w="0" w:type="dxa"/>
            <w:left w:w="108" w:type="dxa"/>
            <w:bottom w:w="0" w:type="dxa"/>
            <w:right w:w="108" w:type="dxa"/>
          </w:tblCellMar>
        </w:tblPrEx>
        <w:trPr>
          <w:trHeight w:val="442" w:hRule="atLeast"/>
          <w:jc w:val="center"/>
        </w:trPr>
        <w:tc>
          <w:tcPr>
            <w:tcW w:w="953" w:type="dxa"/>
            <w:vAlign w:val="center"/>
          </w:tcPr>
          <w:p>
            <w:pPr>
              <w:spacing w:before="60" w:after="60"/>
              <w:jc w:val="center"/>
              <w:rPr>
                <w:rFonts w:hint="eastAsia" w:hAnsi="宋体"/>
                <w:szCs w:val="21"/>
              </w:rPr>
            </w:pPr>
            <w:r>
              <w:rPr>
                <w:rFonts w:hint="eastAsia" w:hAnsi="宋体"/>
                <w:szCs w:val="21"/>
              </w:rPr>
              <w:t>6</w:t>
            </w:r>
          </w:p>
        </w:tc>
        <w:tc>
          <w:tcPr>
            <w:tcW w:w="1417" w:type="dxa"/>
            <w:vAlign w:val="center"/>
          </w:tcPr>
          <w:p>
            <w:pPr>
              <w:pStyle w:val="17"/>
              <w:spacing w:before="60" w:after="60" w:line="240" w:lineRule="auto"/>
              <w:jc w:val="center"/>
              <w:rPr>
                <w:rFonts w:hint="eastAsia"/>
                <w:sz w:val="21"/>
                <w:szCs w:val="21"/>
              </w:rPr>
            </w:pPr>
            <w:r>
              <w:rPr>
                <w:rFonts w:hint="eastAsia"/>
                <w:sz w:val="21"/>
                <w:szCs w:val="21"/>
              </w:rPr>
              <w:t>防护等级</w:t>
            </w:r>
          </w:p>
        </w:tc>
        <w:tc>
          <w:tcPr>
            <w:tcW w:w="5103" w:type="dxa"/>
            <w:vAlign w:val="center"/>
          </w:tcPr>
          <w:p>
            <w:pPr>
              <w:pStyle w:val="18"/>
              <w:spacing w:before="60" w:after="60" w:line="240" w:lineRule="auto"/>
              <w:ind w:firstLine="420"/>
              <w:jc w:val="center"/>
              <w:rPr>
                <w:color w:val="auto"/>
                <w:sz w:val="21"/>
                <w:szCs w:val="21"/>
              </w:rPr>
            </w:pPr>
            <w:r>
              <w:rPr>
                <w:rFonts w:hint="eastAsia"/>
                <w:color w:val="auto"/>
                <w:sz w:val="21"/>
                <w:szCs w:val="21"/>
              </w:rPr>
              <w:t>见附件</w:t>
            </w:r>
          </w:p>
        </w:tc>
        <w:tc>
          <w:tcPr>
            <w:tcW w:w="851" w:type="dxa"/>
            <w:vAlign w:val="top"/>
          </w:tcPr>
          <w:p>
            <w:pPr>
              <w:pStyle w:val="18"/>
              <w:spacing w:before="60" w:after="60" w:line="240" w:lineRule="auto"/>
              <w:ind w:firstLine="420"/>
              <w:jc w:val="center"/>
              <w:rPr>
                <w:color w:val="auto"/>
                <w:sz w:val="21"/>
                <w:szCs w:val="21"/>
              </w:rPr>
            </w:pPr>
          </w:p>
        </w:tc>
      </w:tr>
    </w:tbl>
    <w:p>
      <w:pPr>
        <w:spacing w:line="360" w:lineRule="auto"/>
        <w:ind w:firstLine="480"/>
        <w:rPr>
          <w:rFonts w:hint="eastAsia" w:hAnsi="宋体"/>
        </w:rPr>
      </w:pPr>
      <w:r>
        <w:rPr>
          <w:rFonts w:hint="eastAsia" w:hAnsi="宋体"/>
        </w:rPr>
        <w:t>（2） 结构、功能说明</w:t>
      </w:r>
    </w:p>
    <w:p>
      <w:pPr>
        <w:spacing w:line="360" w:lineRule="auto"/>
        <w:ind w:firstLine="480"/>
        <w:rPr>
          <w:rFonts w:hint="eastAsia" w:hAnsi="宋体"/>
        </w:rPr>
      </w:pPr>
      <w:r>
        <w:rPr>
          <w:rFonts w:hint="eastAsia" w:hAnsi="宋体"/>
        </w:rPr>
        <w:t>1）配电箱结构</w:t>
      </w:r>
    </w:p>
    <w:p>
      <w:pPr>
        <w:spacing w:line="360" w:lineRule="auto"/>
        <w:ind w:firstLine="480"/>
        <w:rPr>
          <w:rFonts w:hint="eastAsia" w:hAnsi="宋体"/>
        </w:rPr>
      </w:pPr>
      <w:r>
        <w:rPr>
          <w:rFonts w:hint="eastAsia" w:hAnsi="宋体"/>
        </w:rPr>
        <w:t>配电箱为固定式结构，材料采用优质冷扎钢板，组装牢固，钢板厚度不小于1.5mm；落地安装的配电箱钢板厚度不小于2mm。</w:t>
      </w:r>
    </w:p>
    <w:p>
      <w:pPr>
        <w:spacing w:line="360" w:lineRule="auto"/>
        <w:ind w:firstLine="480"/>
        <w:rPr>
          <w:rFonts w:hint="eastAsia" w:hAnsi="宋体"/>
        </w:rPr>
      </w:pPr>
      <w:r>
        <w:rPr>
          <w:rFonts w:hint="eastAsia" w:hAnsi="宋体"/>
        </w:rPr>
        <w:t>箱体表面应采用环氧粉末喷涂工艺，内部构件均应热镀锌，以保证具有良好的防腐能力。</w:t>
      </w:r>
    </w:p>
    <w:p>
      <w:pPr>
        <w:spacing w:line="360" w:lineRule="auto"/>
        <w:ind w:firstLine="480"/>
        <w:rPr>
          <w:rFonts w:hint="eastAsia" w:hAnsi="宋体"/>
        </w:rPr>
      </w:pPr>
      <w:r>
        <w:rPr>
          <w:rFonts w:hint="eastAsia" w:hAnsi="宋体"/>
        </w:rPr>
        <w:t>配电箱有足够的机械强度，元件在操作时不会摇晃及变形。</w:t>
      </w:r>
    </w:p>
    <w:p>
      <w:pPr>
        <w:spacing w:line="360" w:lineRule="auto"/>
        <w:ind w:firstLine="480"/>
        <w:rPr>
          <w:rFonts w:hint="eastAsia" w:hAnsi="宋体"/>
        </w:rPr>
      </w:pPr>
      <w:r>
        <w:rPr>
          <w:rFonts w:hint="eastAsia" w:hAnsi="宋体"/>
        </w:rPr>
        <w:t>配电箱的结构设计满足建筑布置及其它因素对箱体的特殊要求。</w:t>
      </w:r>
    </w:p>
    <w:p>
      <w:pPr>
        <w:spacing w:line="360" w:lineRule="auto"/>
        <w:ind w:firstLine="480"/>
        <w:rPr>
          <w:rFonts w:hint="eastAsia" w:hAnsi="宋体"/>
        </w:rPr>
      </w:pPr>
      <w:r>
        <w:rPr>
          <w:rFonts w:hint="eastAsia" w:hAnsi="宋体"/>
        </w:rPr>
        <w:t>配电箱的进出线位置可进行适当调整。</w:t>
      </w:r>
    </w:p>
    <w:p>
      <w:pPr>
        <w:spacing w:line="360" w:lineRule="auto"/>
        <w:ind w:firstLine="480"/>
        <w:rPr>
          <w:rFonts w:hint="eastAsia" w:hAnsi="宋体"/>
        </w:rPr>
      </w:pPr>
      <w:r>
        <w:rPr>
          <w:rFonts w:hint="eastAsia" w:hAnsi="宋体"/>
        </w:rPr>
        <w:t>箱门及颜色：箱门开启灵活，采用紧固件连接，紧固件具有防腐镀层或涂层，紧固连接有防松脱措施。所有配电箱的颜色由招标人确定。</w:t>
      </w:r>
    </w:p>
    <w:p>
      <w:pPr>
        <w:spacing w:line="360" w:lineRule="auto"/>
        <w:ind w:firstLine="480"/>
        <w:rPr>
          <w:rFonts w:hint="eastAsia" w:hAnsi="宋体"/>
        </w:rPr>
      </w:pPr>
      <w:r>
        <w:rPr>
          <w:rFonts w:hint="eastAsia" w:hAnsi="宋体"/>
        </w:rPr>
        <w:t>箱内母线和导线的颜色和排列：箱内母线和导线的颜色符合GB/T2681《电工成套装置中的导线颜色》的规定。外部保护导体的接线端标有接地符号。</w:t>
      </w:r>
    </w:p>
    <w:p>
      <w:pPr>
        <w:spacing w:line="360" w:lineRule="auto"/>
        <w:ind w:firstLine="480"/>
        <w:rPr>
          <w:rFonts w:hint="eastAsia" w:hAnsi="宋体"/>
        </w:rPr>
      </w:pPr>
      <w:r>
        <w:rPr>
          <w:rFonts w:hint="eastAsia" w:hAnsi="宋体"/>
        </w:rPr>
        <w:t>2）箱内母线及绝缘导线敷设</w:t>
      </w:r>
    </w:p>
    <w:p>
      <w:pPr>
        <w:spacing w:line="360" w:lineRule="auto"/>
        <w:ind w:firstLine="480"/>
        <w:rPr>
          <w:rFonts w:hint="eastAsia" w:hAnsi="宋体"/>
        </w:rPr>
      </w:pPr>
      <w:r>
        <w:rPr>
          <w:rFonts w:hint="eastAsia" w:hAnsi="宋体"/>
        </w:rPr>
        <w:t>配电箱箱内主母线和配电母线配备独立的N线和PE线，选用铜排，其相对导电率≥99%。</w:t>
      </w:r>
    </w:p>
    <w:p>
      <w:pPr>
        <w:spacing w:line="360" w:lineRule="auto"/>
        <w:ind w:firstLine="480"/>
        <w:rPr>
          <w:rFonts w:hint="eastAsia" w:hAnsi="宋体"/>
        </w:rPr>
      </w:pPr>
      <w:r>
        <w:rPr>
          <w:rFonts w:hint="eastAsia" w:hAnsi="宋体"/>
        </w:rPr>
        <w:t>母线采用能承受装置的额定短时耐受电流和额定峰值耐受电流所产生的机械应力和热应力冲击的绝缘支撑件进行固定，同时可保证母线与其它部件之间的距离不会偏移。母线之间的连接有足够和持久的接触压力，且不会使母线产生永久变形。</w:t>
      </w:r>
    </w:p>
    <w:p>
      <w:pPr>
        <w:spacing w:line="360" w:lineRule="auto"/>
        <w:ind w:firstLine="480"/>
        <w:rPr>
          <w:rFonts w:hint="eastAsia" w:hAnsi="宋体"/>
        </w:rPr>
      </w:pPr>
      <w:r>
        <w:rPr>
          <w:rFonts w:hint="eastAsia" w:hAnsi="宋体"/>
        </w:rPr>
        <w:t>配电箱内所用的绝缘导线应为低烟、无卤、阻燃型耐热铜质多股绞线，能够满足相应的电流要求、动稳定和热稳定要求、敷设方法要求、绝缘类型要求以及所连接的元件种类的要求。箱内一般二次线应不小于1.5mm</w:t>
      </w:r>
      <w:r>
        <w:rPr>
          <w:rFonts w:hint="eastAsia" w:hAnsi="宋体"/>
          <w:vertAlign w:val="superscript"/>
        </w:rPr>
        <w:t>2</w:t>
      </w:r>
      <w:r>
        <w:rPr>
          <w:rFonts w:hint="eastAsia" w:hAnsi="宋体"/>
        </w:rPr>
        <w:t>（测量回路应不小于2.5mm</w:t>
      </w:r>
      <w:r>
        <w:rPr>
          <w:rFonts w:hint="eastAsia" w:hAnsi="宋体"/>
          <w:vertAlign w:val="superscript"/>
        </w:rPr>
        <w:t>2</w:t>
      </w:r>
      <w:r>
        <w:rPr>
          <w:rFonts w:hint="eastAsia" w:hAnsi="宋体"/>
        </w:rPr>
        <w:t>）的绝缘导线，可动部分的过渡应柔软，并能承受住挠曲而不致疲劳损坏。绝缘导线的额定电压至少应同相应电路的额定绝缘电压相一致，绝缘导线不应支靠在不同电位的裸带电部件和带有尖角的边缘上，应使用线夹固定在骨架或支架上，最好敷设在引线槽内。</w:t>
      </w:r>
    </w:p>
    <w:p>
      <w:pPr>
        <w:spacing w:line="360" w:lineRule="auto"/>
        <w:ind w:firstLine="480"/>
        <w:rPr>
          <w:rFonts w:hint="eastAsia" w:hAnsi="宋体"/>
        </w:rPr>
      </w:pPr>
      <w:r>
        <w:rPr>
          <w:rFonts w:hint="eastAsia" w:hAnsi="宋体"/>
        </w:rPr>
        <w:t>3）配电箱的铭牌</w:t>
      </w:r>
    </w:p>
    <w:p>
      <w:pPr>
        <w:spacing w:line="360" w:lineRule="auto"/>
        <w:ind w:firstLine="480"/>
        <w:rPr>
          <w:rFonts w:hint="eastAsia" w:hAnsi="宋体"/>
        </w:rPr>
      </w:pPr>
      <w:r>
        <w:rPr>
          <w:rFonts w:hint="eastAsia" w:hAnsi="宋体"/>
        </w:rPr>
        <w:t>包括以下内容：制造商名称和商标、型号、名称和出厂序号、使用参数、出厂日期、车站名称、箱体编号等。</w:t>
      </w:r>
    </w:p>
    <w:p>
      <w:pPr>
        <w:spacing w:line="360" w:lineRule="auto"/>
        <w:ind w:firstLine="480"/>
        <w:rPr>
          <w:rFonts w:hint="eastAsia" w:hAnsi="宋体"/>
        </w:rPr>
      </w:pPr>
      <w:r>
        <w:rPr>
          <w:rFonts w:hint="eastAsia" w:hAnsi="宋体"/>
        </w:rPr>
        <w:t>4）配电箱内主要电器组件和断路器、操作机构、互感器、熔断器等均具有耐久而清晰的铭牌。在正常运行中，各元件的铭牌便于识别。</w:t>
      </w:r>
    </w:p>
    <w:p>
      <w:pPr>
        <w:spacing w:line="360" w:lineRule="auto"/>
        <w:ind w:firstLine="480"/>
        <w:rPr>
          <w:rFonts w:hint="eastAsia" w:hAnsi="宋体"/>
        </w:rPr>
      </w:pPr>
      <w:r>
        <w:rPr>
          <w:rFonts w:hint="eastAsia" w:hAnsi="宋体"/>
        </w:rPr>
        <w:t>5）外接导线端子适用随额定电流而定的最小至最大截面积的铜导线和电缆的连接。接线用的有效空间允许导线和线芯分开的多芯电缆，而导线不承受影响其寿命的应力。电缆入口、盖板等在电缆正确安装好后，能够达到所规定的防触电要求和防护等级。</w:t>
      </w:r>
    </w:p>
    <w:p>
      <w:pPr>
        <w:spacing w:line="360" w:lineRule="auto"/>
        <w:ind w:firstLine="480"/>
        <w:rPr>
          <w:rFonts w:hint="eastAsia" w:hAnsi="宋体"/>
        </w:rPr>
      </w:pPr>
      <w:r>
        <w:rPr>
          <w:rFonts w:hint="eastAsia" w:hAnsi="宋体"/>
        </w:rPr>
        <w:t>6）保护性接地：配电箱内设有独立的PE接地系统，并且贯穿整个装置。PE线的材料采用铜排，能与配电箱箱体、接地保护导体可靠连接。</w:t>
      </w:r>
    </w:p>
    <w:p>
      <w:pPr>
        <w:spacing w:line="360" w:lineRule="auto"/>
        <w:ind w:firstLine="480"/>
        <w:rPr>
          <w:rFonts w:hint="eastAsia" w:hAnsi="宋体"/>
        </w:rPr>
      </w:pPr>
      <w:r>
        <w:rPr>
          <w:rFonts w:hint="eastAsia" w:hAnsi="宋体"/>
        </w:rPr>
        <w:t xml:space="preserve">7）所有电器设备、元件及其附件在系统电压: AC </w:t>
      </w:r>
      <w:r>
        <w:rPr>
          <w:rFonts w:hAnsi="宋体"/>
        </w:rPr>
        <w:t>220V±10%</w:t>
      </w:r>
      <w:r>
        <w:rPr>
          <w:rFonts w:hint="eastAsia" w:hAnsi="宋体"/>
        </w:rPr>
        <w:t>/380±10%，系统额定频率: 50Hz±2Hz下能长期稳定可靠运行。</w:t>
      </w:r>
    </w:p>
    <w:p>
      <w:pPr>
        <w:spacing w:line="360" w:lineRule="auto"/>
        <w:ind w:firstLine="480"/>
        <w:rPr>
          <w:rFonts w:hint="eastAsia" w:hAnsi="宋体"/>
        </w:rPr>
      </w:pPr>
      <w:r>
        <w:rPr>
          <w:rFonts w:hint="eastAsia" w:hAnsi="宋体"/>
        </w:rPr>
        <w:t>8）所有电器设备、元件及其附件均采用工业级产品，具有抗电磁干扰能力，满足相关国际、国家标准。</w:t>
      </w:r>
    </w:p>
    <w:p>
      <w:pPr>
        <w:spacing w:line="360" w:lineRule="auto"/>
        <w:ind w:firstLine="480"/>
        <w:rPr>
          <w:rFonts w:hint="eastAsia" w:hAnsi="宋体"/>
        </w:rPr>
      </w:pPr>
      <w:r>
        <w:rPr>
          <w:rFonts w:hint="eastAsia" w:hAnsi="宋体"/>
        </w:rPr>
        <w:t>9）配电箱的二次回路设计，符合招标人所提出的控制、保护要求。</w:t>
      </w:r>
    </w:p>
    <w:p>
      <w:pPr>
        <w:spacing w:line="360" w:lineRule="auto"/>
        <w:ind w:firstLine="480"/>
        <w:rPr>
          <w:rFonts w:hint="eastAsia" w:hAnsi="宋体"/>
        </w:rPr>
      </w:pPr>
      <w:r>
        <w:rPr>
          <w:rFonts w:hint="eastAsia" w:hAnsi="宋体"/>
        </w:rPr>
        <w:t>10)设置相应控制、信号回路，预留BAS、FAS监控接口条件。</w:t>
      </w:r>
    </w:p>
    <w:p>
      <w:pPr>
        <w:spacing w:line="360" w:lineRule="auto"/>
        <w:ind w:firstLine="480"/>
        <w:rPr>
          <w:rFonts w:hint="eastAsia"/>
        </w:rPr>
      </w:pPr>
      <w:r>
        <w:rPr>
          <w:rFonts w:hint="eastAsia"/>
        </w:rPr>
        <w:t>11）配电箱防护等级具体详见附件。</w:t>
      </w:r>
    </w:p>
    <w:p>
      <w:pPr>
        <w:spacing w:line="360" w:lineRule="auto"/>
        <w:ind w:firstLine="480"/>
        <w:rPr>
          <w:rFonts w:hint="eastAsia" w:hAnsi="宋体"/>
        </w:rPr>
      </w:pPr>
      <w:r>
        <w:rPr>
          <w:rFonts w:hint="eastAsia"/>
        </w:rPr>
        <w:t>12）为便于开关电器的上下级保护配合和方便管理，塑壳断路器、微型断路器、负荷开关、接触器、热继电器选用同一体系的产品。</w:t>
      </w:r>
    </w:p>
    <w:p>
      <w:pPr>
        <w:pStyle w:val="16"/>
        <w:rPr>
          <w:rFonts w:hint="eastAsia"/>
          <w:color w:val="auto"/>
        </w:rPr>
      </w:pPr>
      <w:bookmarkStart w:id="32" w:name="_Toc439843444"/>
      <w:bookmarkStart w:id="33" w:name="_Toc456279568"/>
      <w:r>
        <w:rPr>
          <w:rFonts w:hint="eastAsia"/>
          <w:color w:val="auto"/>
          <w:lang w:eastAsia="zh-CN"/>
        </w:rPr>
        <w:t>1.3.1</w:t>
      </w:r>
      <w:r>
        <w:rPr>
          <w:rFonts w:hint="eastAsia"/>
          <w:color w:val="auto"/>
        </w:rPr>
        <w:t>.</w:t>
      </w:r>
      <w:r>
        <w:rPr>
          <w:rFonts w:hint="eastAsia"/>
          <w:color w:val="auto"/>
          <w:lang w:eastAsia="zh-CN"/>
        </w:rPr>
        <w:t>4</w:t>
      </w:r>
      <w:r>
        <w:rPr>
          <w:rFonts w:hint="eastAsia"/>
          <w:color w:val="auto"/>
        </w:rPr>
        <w:t>主要元件选型</w:t>
      </w:r>
      <w:bookmarkEnd w:id="32"/>
      <w:bookmarkEnd w:id="33"/>
    </w:p>
    <w:p>
      <w:pPr>
        <w:spacing w:line="360" w:lineRule="auto"/>
        <w:ind w:firstLine="480"/>
        <w:rPr>
          <w:rFonts w:hint="eastAsia" w:hAnsi="宋体"/>
        </w:rPr>
      </w:pPr>
      <w:r>
        <w:rPr>
          <w:rFonts w:hint="eastAsia" w:hAnsi="宋体"/>
        </w:rPr>
        <w:t>（1） 塑壳断路器</w:t>
      </w:r>
    </w:p>
    <w:p>
      <w:pPr>
        <w:spacing w:line="540" w:lineRule="exact"/>
        <w:ind w:firstLine="420" w:firstLineChars="200"/>
        <w:rPr>
          <w:rFonts w:hAnsi="宋体" w:cs="Arial"/>
        </w:rPr>
      </w:pPr>
      <w:r>
        <w:rPr>
          <w:rFonts w:hint="eastAsia" w:hAnsi="宋体" w:cs="Arial"/>
        </w:rPr>
        <w:t>1）</w:t>
      </w:r>
      <w:r>
        <w:rPr>
          <w:rFonts w:hAnsi="宋体" w:cs="Arial"/>
        </w:rPr>
        <w:t>塑壳式断路器应符合下列主要技术要求：</w:t>
      </w:r>
    </w:p>
    <w:p>
      <w:pPr>
        <w:numPr>
          <w:ilvl w:val="0"/>
          <w:numId w:val="1"/>
        </w:numPr>
        <w:spacing w:line="540" w:lineRule="exact"/>
        <w:rPr>
          <w:rFonts w:hAnsi="宋体" w:cs="Arial"/>
        </w:rPr>
      </w:pPr>
      <w:r>
        <w:rPr>
          <w:rFonts w:hAnsi="宋体" w:cs="Arial"/>
        </w:rPr>
        <w:t>满足系统电压、电流、频率以及分断能力的性能水平要求。</w:t>
      </w:r>
    </w:p>
    <w:p>
      <w:pPr>
        <w:numPr>
          <w:ilvl w:val="0"/>
          <w:numId w:val="1"/>
        </w:numPr>
        <w:spacing w:line="540" w:lineRule="exact"/>
        <w:rPr>
          <w:rFonts w:hAnsi="宋体" w:cs="Arial"/>
        </w:rPr>
      </w:pPr>
      <w:r>
        <w:rPr>
          <w:rFonts w:hAnsi="宋体" w:cs="Arial"/>
        </w:rPr>
        <w:t>塑壳式断路器应</w:t>
      </w:r>
      <w:r>
        <w:rPr>
          <w:rFonts w:hint="eastAsia" w:hAnsi="宋体" w:cs="Arial"/>
        </w:rPr>
        <w:t>具</w:t>
      </w:r>
      <w:r>
        <w:rPr>
          <w:rFonts w:hAnsi="宋体" w:cs="Arial"/>
        </w:rPr>
        <w:t>有限流分断能力</w:t>
      </w:r>
      <w:r>
        <w:rPr>
          <w:rFonts w:hint="eastAsia" w:hAnsi="宋体" w:cs="Arial"/>
        </w:rPr>
        <w:t>，</w:t>
      </w:r>
      <w:r>
        <w:rPr>
          <w:rFonts w:hAnsi="宋体" w:cs="Arial"/>
        </w:rPr>
        <w:t>分断能力</w:t>
      </w:r>
      <w:r>
        <w:rPr>
          <w:rFonts w:hint="eastAsia" w:hAnsi="宋体" w:cs="Arial"/>
        </w:rPr>
        <w:t>36</w:t>
      </w:r>
      <w:r>
        <w:rPr>
          <w:rFonts w:hAnsi="宋体" w:cs="Arial"/>
        </w:rPr>
        <w:t xml:space="preserve"> kA</w:t>
      </w:r>
      <w:r>
        <w:rPr>
          <w:rFonts w:hint="eastAsia" w:hAnsi="宋体" w:cs="Arial"/>
        </w:rPr>
        <w:t xml:space="preserve"> /50</w:t>
      </w:r>
      <w:r>
        <w:rPr>
          <w:rFonts w:hAnsi="宋体" w:cs="Arial"/>
        </w:rPr>
        <w:t>kA/400～415V范围内Ics＝</w:t>
      </w:r>
      <w:r>
        <w:rPr>
          <w:rFonts w:hint="eastAsia" w:hAnsi="宋体" w:cs="Arial"/>
        </w:rPr>
        <w:t>100%I</w:t>
      </w:r>
      <w:r>
        <w:rPr>
          <w:rFonts w:hAnsi="宋体" w:cs="Arial"/>
        </w:rPr>
        <w:t>cu。</w:t>
      </w:r>
    </w:p>
    <w:p>
      <w:pPr>
        <w:numPr>
          <w:ilvl w:val="0"/>
          <w:numId w:val="1"/>
        </w:numPr>
        <w:spacing w:line="540" w:lineRule="exact"/>
        <w:rPr>
          <w:rFonts w:hAnsi="宋体" w:cs="Arial"/>
        </w:rPr>
      </w:pPr>
      <w:r>
        <w:rPr>
          <w:rFonts w:hAnsi="宋体" w:cs="Arial"/>
        </w:rPr>
        <w:t>断路器应为模块化结构设计、安装方便，加装各种附件（如分励脱扣器、辅助触头、报警触头）而无需改变断路器结构和通风空调电控柜结构，同时</w:t>
      </w:r>
      <w:r>
        <w:rPr>
          <w:rFonts w:hint="eastAsia" w:hAnsi="宋体" w:cs="Arial"/>
        </w:rPr>
        <w:t>面</w:t>
      </w:r>
      <w:r>
        <w:rPr>
          <w:rFonts w:hAnsi="宋体" w:cs="Arial"/>
        </w:rPr>
        <w:t>板、附件为标准化设计</w:t>
      </w:r>
      <w:r>
        <w:rPr>
          <w:rFonts w:hint="eastAsia" w:hAnsi="宋体" w:cs="Arial"/>
        </w:rPr>
        <w:t>，塑壳断路器需加装电操时，电操采用电动机储能机构</w:t>
      </w:r>
      <w:r>
        <w:rPr>
          <w:rFonts w:hAnsi="宋体" w:cs="Arial"/>
        </w:rPr>
        <w:t xml:space="preserve">。 </w:t>
      </w:r>
    </w:p>
    <w:p>
      <w:pPr>
        <w:numPr>
          <w:ilvl w:val="0"/>
          <w:numId w:val="1"/>
        </w:numPr>
        <w:spacing w:line="540" w:lineRule="exact"/>
        <w:rPr>
          <w:rFonts w:hAnsi="宋体" w:cs="Arial"/>
        </w:rPr>
      </w:pPr>
      <w:r>
        <w:rPr>
          <w:rFonts w:hAnsi="宋体" w:cs="Arial"/>
        </w:rPr>
        <w:t>断路器零飞弧。</w:t>
      </w:r>
      <w:r>
        <w:rPr>
          <w:rFonts w:hAnsi="宋体" w:cs="Arial"/>
        </w:rPr>
        <w:tab/>
      </w:r>
    </w:p>
    <w:p>
      <w:pPr>
        <w:numPr>
          <w:ilvl w:val="0"/>
          <w:numId w:val="1"/>
        </w:numPr>
        <w:spacing w:line="540" w:lineRule="exact"/>
        <w:rPr>
          <w:rFonts w:hAnsi="宋体" w:cs="Arial"/>
        </w:rPr>
      </w:pPr>
      <w:r>
        <w:rPr>
          <w:rFonts w:hAnsi="宋体" w:cs="Arial"/>
        </w:rPr>
        <w:t>二次回路亦应具有插接式整体连接装置。</w:t>
      </w:r>
    </w:p>
    <w:p>
      <w:pPr>
        <w:numPr>
          <w:ilvl w:val="0"/>
          <w:numId w:val="1"/>
        </w:numPr>
        <w:spacing w:line="540" w:lineRule="exact"/>
        <w:rPr>
          <w:rFonts w:hAnsi="宋体" w:cs="Arial"/>
        </w:rPr>
      </w:pPr>
      <w:r>
        <w:rPr>
          <w:rFonts w:hAnsi="宋体" w:cs="Arial"/>
        </w:rPr>
        <w:t>电动机出线回路应选用有电动机保护特性的塑壳断路器。</w:t>
      </w:r>
    </w:p>
    <w:p>
      <w:pPr>
        <w:numPr>
          <w:ilvl w:val="0"/>
          <w:numId w:val="1"/>
        </w:numPr>
        <w:spacing w:line="540" w:lineRule="exact"/>
        <w:rPr>
          <w:rFonts w:hAnsi="宋体" w:cs="Arial"/>
        </w:rPr>
      </w:pPr>
      <w:r>
        <w:rPr>
          <w:rFonts w:hAnsi="宋体" w:cs="Arial"/>
        </w:rPr>
        <w:t>塑壳断路器应为抗湿热型产品。</w:t>
      </w:r>
    </w:p>
    <w:p>
      <w:pPr>
        <w:numPr>
          <w:ilvl w:val="0"/>
          <w:numId w:val="1"/>
        </w:numPr>
        <w:spacing w:line="540" w:lineRule="exact"/>
        <w:rPr>
          <w:rFonts w:hint="eastAsia" w:hAnsi="宋体" w:cs="Arial"/>
        </w:rPr>
      </w:pPr>
      <w:r>
        <w:rPr>
          <w:rFonts w:hAnsi="宋体" w:cs="Arial"/>
        </w:rPr>
        <w:t>低压交流塑壳式断路器的电气技术性能及参数见下表</w:t>
      </w:r>
      <w:r>
        <w:rPr>
          <w:rFonts w:hint="eastAsia" w:hAnsi="宋体" w:cs="Arial"/>
        </w:rPr>
        <w:t>：</w:t>
      </w:r>
    </w:p>
    <w:p>
      <w:pPr>
        <w:spacing w:line="360" w:lineRule="auto"/>
        <w:ind w:firstLine="480"/>
        <w:jc w:val="center"/>
        <w:rPr>
          <w:rFonts w:hint="eastAsia" w:hAnsi="宋体"/>
        </w:rPr>
      </w:pPr>
      <w:r>
        <w:rPr>
          <w:rFonts w:hint="eastAsia" w:hAnsi="宋体"/>
        </w:rPr>
        <w:t>塑壳断路器性能指标</w:t>
      </w:r>
    </w:p>
    <w:tbl>
      <w:tblPr>
        <w:tblStyle w:val="12"/>
        <w:tblW w:w="7797"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496"/>
        <w:gridCol w:w="968"/>
        <w:gridCol w:w="1134"/>
        <w:gridCol w:w="1134"/>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76" w:type="dxa"/>
            <w:gridSpan w:val="2"/>
            <w:vAlign w:val="center"/>
          </w:tcPr>
          <w:p>
            <w:pPr>
              <w:rPr>
                <w:rFonts w:hAnsi="宋体" w:cs="Arial"/>
              </w:rPr>
            </w:pPr>
            <w:r>
              <w:rPr>
                <w:rFonts w:hAnsi="宋体" w:cs="Arial"/>
              </w:rPr>
              <w:t>框架等级额定电流（A）</w:t>
            </w:r>
          </w:p>
        </w:tc>
        <w:tc>
          <w:tcPr>
            <w:tcW w:w="968" w:type="dxa"/>
            <w:vAlign w:val="center"/>
          </w:tcPr>
          <w:p>
            <w:pPr>
              <w:rPr>
                <w:rFonts w:hAnsi="宋体" w:cs="Arial"/>
              </w:rPr>
            </w:pPr>
            <w:r>
              <w:rPr>
                <w:rFonts w:hAnsi="宋体" w:cs="Arial"/>
              </w:rPr>
              <w:t>100</w:t>
            </w:r>
          </w:p>
        </w:tc>
        <w:tc>
          <w:tcPr>
            <w:tcW w:w="1134" w:type="dxa"/>
            <w:vAlign w:val="center"/>
          </w:tcPr>
          <w:p>
            <w:pPr>
              <w:rPr>
                <w:rFonts w:hAnsi="宋体" w:cs="Arial"/>
              </w:rPr>
            </w:pPr>
            <w:r>
              <w:rPr>
                <w:rFonts w:hAnsi="宋体" w:cs="Arial"/>
              </w:rPr>
              <w:t>160</w:t>
            </w:r>
          </w:p>
        </w:tc>
        <w:tc>
          <w:tcPr>
            <w:tcW w:w="1134" w:type="dxa"/>
            <w:vAlign w:val="center"/>
          </w:tcPr>
          <w:p>
            <w:pPr>
              <w:rPr>
                <w:rFonts w:hAnsi="宋体" w:cs="Arial"/>
              </w:rPr>
            </w:pPr>
            <w:r>
              <w:rPr>
                <w:rFonts w:hAnsi="宋体" w:cs="Arial"/>
              </w:rPr>
              <w:t>250</w:t>
            </w:r>
          </w:p>
        </w:tc>
        <w:tc>
          <w:tcPr>
            <w:tcW w:w="992" w:type="dxa"/>
            <w:vAlign w:val="center"/>
          </w:tcPr>
          <w:p>
            <w:pPr>
              <w:rPr>
                <w:rFonts w:hAnsi="宋体" w:cs="Arial"/>
              </w:rPr>
            </w:pPr>
            <w:r>
              <w:rPr>
                <w:rFonts w:hAnsi="宋体" w:cs="Arial"/>
              </w:rPr>
              <w:t>400</w:t>
            </w:r>
          </w:p>
        </w:tc>
        <w:tc>
          <w:tcPr>
            <w:tcW w:w="993" w:type="dxa"/>
            <w:vAlign w:val="center"/>
          </w:tcPr>
          <w:p>
            <w:pPr>
              <w:rPr>
                <w:rFonts w:hAnsi="宋体" w:cs="Arial"/>
              </w:rPr>
            </w:pPr>
            <w:r>
              <w:rPr>
                <w:rFonts w:hAnsi="宋体" w:cs="Arial"/>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76" w:type="dxa"/>
            <w:gridSpan w:val="2"/>
            <w:vAlign w:val="center"/>
          </w:tcPr>
          <w:p>
            <w:pPr>
              <w:rPr>
                <w:rFonts w:hAnsi="宋体" w:cs="Arial"/>
              </w:rPr>
            </w:pPr>
            <w:r>
              <w:rPr>
                <w:rFonts w:hAnsi="宋体" w:cs="Arial"/>
              </w:rPr>
              <w:t>额定工作电压（V）</w:t>
            </w:r>
          </w:p>
        </w:tc>
        <w:tc>
          <w:tcPr>
            <w:tcW w:w="5221" w:type="dxa"/>
            <w:gridSpan w:val="5"/>
            <w:vAlign w:val="center"/>
          </w:tcPr>
          <w:p>
            <w:pPr>
              <w:rPr>
                <w:rFonts w:hint="eastAsia" w:hAnsi="宋体" w:cs="Arial"/>
              </w:rPr>
            </w:pPr>
            <w:r>
              <w:rPr>
                <w:rFonts w:hint="eastAsia" w:hAnsi="宋体" w:cs="Arial"/>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76" w:type="dxa"/>
            <w:gridSpan w:val="2"/>
            <w:vAlign w:val="center"/>
          </w:tcPr>
          <w:p>
            <w:pPr>
              <w:rPr>
                <w:rFonts w:hAnsi="宋体" w:cs="Arial"/>
              </w:rPr>
            </w:pPr>
            <w:r>
              <w:rPr>
                <w:rFonts w:hAnsi="宋体" w:cs="Arial"/>
              </w:rPr>
              <w:t>额定绝缘电压（V）</w:t>
            </w:r>
          </w:p>
        </w:tc>
        <w:tc>
          <w:tcPr>
            <w:tcW w:w="5221" w:type="dxa"/>
            <w:gridSpan w:val="5"/>
            <w:vAlign w:val="center"/>
          </w:tcPr>
          <w:p>
            <w:pPr>
              <w:rPr>
                <w:rFonts w:hAnsi="宋体" w:cs="Arial"/>
                <w:szCs w:val="21"/>
              </w:rPr>
            </w:pPr>
            <w:r>
              <w:rPr>
                <w:rFonts w:hint="eastAsia" w:hAnsi="宋体" w:cs="Arial"/>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76" w:type="dxa"/>
            <w:gridSpan w:val="2"/>
            <w:vAlign w:val="center"/>
          </w:tcPr>
          <w:p>
            <w:pPr>
              <w:rPr>
                <w:rFonts w:hAnsi="宋体" w:cs="Arial"/>
              </w:rPr>
            </w:pPr>
            <w:r>
              <w:rPr>
                <w:rFonts w:ascii="Arial" w:hAnsi="Arial" w:cs="Arial"/>
              </w:rPr>
              <w:t>额定冲击</w:t>
            </w:r>
            <w:r>
              <w:rPr>
                <w:rFonts w:hAnsi="宋体" w:cs="Arial"/>
              </w:rPr>
              <w:t>耐压水平（kV）</w:t>
            </w:r>
          </w:p>
        </w:tc>
        <w:tc>
          <w:tcPr>
            <w:tcW w:w="5221" w:type="dxa"/>
            <w:gridSpan w:val="5"/>
            <w:vAlign w:val="center"/>
          </w:tcPr>
          <w:p>
            <w:pPr>
              <w:rPr>
                <w:rFonts w:hAnsi="宋体" w:cs="Arial"/>
                <w:szCs w:val="21"/>
              </w:rPr>
            </w:pPr>
            <w:r>
              <w:rPr>
                <w:rFonts w:hAnsi="宋体" w:cs="Arial"/>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76" w:type="dxa"/>
            <w:gridSpan w:val="2"/>
            <w:vAlign w:val="center"/>
          </w:tcPr>
          <w:p>
            <w:pPr>
              <w:rPr>
                <w:rFonts w:hAnsi="宋体" w:cs="Arial"/>
              </w:rPr>
            </w:pPr>
            <w:r>
              <w:rPr>
                <w:rFonts w:hAnsi="宋体" w:cs="Arial"/>
              </w:rPr>
              <w:t>极数</w:t>
            </w:r>
          </w:p>
        </w:tc>
        <w:tc>
          <w:tcPr>
            <w:tcW w:w="5221" w:type="dxa"/>
            <w:gridSpan w:val="5"/>
            <w:vAlign w:val="center"/>
          </w:tcPr>
          <w:p>
            <w:pPr>
              <w:rPr>
                <w:rFonts w:hAnsi="宋体" w:cs="Arial"/>
              </w:rPr>
            </w:pPr>
            <w:r>
              <w:rPr>
                <w:rFonts w:hAnsi="宋体" w:cs="Arial"/>
              </w:rPr>
              <w:t>进线开关</w:t>
            </w:r>
            <w:r>
              <w:rPr>
                <w:rFonts w:hint="eastAsia" w:hAnsi="宋体" w:cs="Arial"/>
              </w:rPr>
              <w:t>3、</w:t>
            </w:r>
            <w:r>
              <w:rPr>
                <w:rFonts w:hAnsi="宋体" w:cs="Arial"/>
              </w:rPr>
              <w:t>4极；出线开关选用3极</w:t>
            </w:r>
            <w:r>
              <w:rPr>
                <w:rFonts w:hint="eastAsia" w:hAnsi="宋体" w:cs="Arial"/>
              </w:rPr>
              <w:t>/2</w:t>
            </w:r>
            <w:r>
              <w:rPr>
                <w:rFonts w:hAnsi="宋体" w:cs="Arial"/>
              </w:rPr>
              <w:t>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76" w:type="dxa"/>
            <w:gridSpan w:val="2"/>
            <w:vAlign w:val="center"/>
          </w:tcPr>
          <w:p>
            <w:pPr>
              <w:rPr>
                <w:rFonts w:hAnsi="宋体" w:cs="Arial"/>
              </w:rPr>
            </w:pPr>
            <w:r>
              <w:rPr>
                <w:rFonts w:hint="eastAsia" w:hAnsi="宋体" w:cs="Arial"/>
              </w:rPr>
              <w:t>操作方式</w:t>
            </w:r>
          </w:p>
        </w:tc>
        <w:tc>
          <w:tcPr>
            <w:tcW w:w="5221" w:type="dxa"/>
            <w:gridSpan w:val="5"/>
            <w:vAlign w:val="center"/>
          </w:tcPr>
          <w:p>
            <w:pPr>
              <w:rPr>
                <w:rFonts w:hAnsi="宋体" w:cs="Arial"/>
              </w:rPr>
            </w:pPr>
            <w:r>
              <w:rPr>
                <w:rFonts w:hint="eastAsia" w:hAnsi="宋体" w:cs="Arial"/>
              </w:rPr>
              <w:t>手动</w:t>
            </w:r>
            <w:r>
              <w:rPr>
                <w:rFonts w:hAnsi="宋体" w:cs="Arial"/>
              </w:rPr>
              <w:t>/</w:t>
            </w:r>
            <w:r>
              <w:rPr>
                <w:rFonts w:hint="eastAsia" w:hAnsi="宋体" w:cs="Arial"/>
              </w:rPr>
              <w:t>电动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76" w:type="dxa"/>
            <w:gridSpan w:val="2"/>
            <w:vAlign w:val="center"/>
          </w:tcPr>
          <w:p>
            <w:pPr>
              <w:rPr>
                <w:rFonts w:hAnsi="宋体" w:cs="Arial"/>
              </w:rPr>
            </w:pPr>
            <w:r>
              <w:rPr>
                <w:rFonts w:hint="eastAsia" w:hAnsi="宋体" w:cs="Arial"/>
              </w:rPr>
              <w:t>脱器形式</w:t>
            </w:r>
          </w:p>
        </w:tc>
        <w:tc>
          <w:tcPr>
            <w:tcW w:w="5221" w:type="dxa"/>
            <w:gridSpan w:val="5"/>
            <w:vAlign w:val="center"/>
          </w:tcPr>
          <w:p>
            <w:pPr>
              <w:rPr>
                <w:rFonts w:hint="eastAsia" w:hAnsi="宋体" w:cs="Arial"/>
              </w:rPr>
            </w:pPr>
            <w:r>
              <w:rPr>
                <w:rFonts w:hint="eastAsia" w:hAnsi="宋体" w:cs="Arial"/>
              </w:rPr>
              <w:t>电子脱扣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576" w:type="dxa"/>
            <w:gridSpan w:val="2"/>
            <w:vAlign w:val="center"/>
          </w:tcPr>
          <w:p>
            <w:pPr>
              <w:rPr>
                <w:rFonts w:hAnsi="宋体" w:cs="Arial"/>
              </w:rPr>
            </w:pPr>
            <w:r>
              <w:rPr>
                <w:rFonts w:hint="eastAsia" w:hAnsi="宋体"/>
                <w:szCs w:val="21"/>
              </w:rPr>
              <w:t>分断能力</w:t>
            </w:r>
          </w:p>
        </w:tc>
        <w:tc>
          <w:tcPr>
            <w:tcW w:w="5221" w:type="dxa"/>
            <w:gridSpan w:val="5"/>
            <w:vAlign w:val="center"/>
          </w:tcPr>
          <w:p>
            <w:pPr>
              <w:spacing w:before="60" w:after="60" w:line="220" w:lineRule="exact"/>
              <w:rPr>
                <w:rFonts w:hint="eastAsia" w:hAnsi="宋体"/>
                <w:szCs w:val="21"/>
              </w:rPr>
            </w:pPr>
            <w:r>
              <w:rPr>
                <w:rFonts w:hint="eastAsia" w:hAnsi="宋体"/>
                <w:szCs w:val="21"/>
              </w:rPr>
              <w:t>额定短路接通容量（峰值）</w:t>
            </w:r>
            <w:r>
              <w:rPr>
                <w:rFonts w:hAnsi="宋体"/>
                <w:szCs w:val="21"/>
              </w:rPr>
              <w:t xml:space="preserve">Icm </w:t>
            </w:r>
            <w:r>
              <w:rPr>
                <w:rFonts w:hint="eastAsia" w:hAnsi="宋体"/>
                <w:szCs w:val="21"/>
              </w:rPr>
              <w:t>=36－150k</w:t>
            </w:r>
            <w:r>
              <w:rPr>
                <w:rFonts w:hAnsi="宋体"/>
                <w:szCs w:val="21"/>
              </w:rPr>
              <w:t>A</w:t>
            </w:r>
            <w:r>
              <w:rPr>
                <w:rFonts w:hint="eastAsia" w:hAnsi="宋体"/>
                <w:szCs w:val="21"/>
              </w:rPr>
              <w:t>；</w:t>
            </w:r>
          </w:p>
          <w:p>
            <w:pPr>
              <w:jc w:val="center"/>
              <w:rPr>
                <w:rFonts w:hint="eastAsia" w:hAnsi="宋体"/>
                <w:szCs w:val="21"/>
              </w:rPr>
            </w:pPr>
            <w:r>
              <w:rPr>
                <w:rFonts w:hint="eastAsia" w:hAnsi="宋体"/>
                <w:szCs w:val="21"/>
              </w:rPr>
              <w:t xml:space="preserve">额定极限断路分断容量 </w:t>
            </w:r>
            <w:r>
              <w:rPr>
                <w:rFonts w:hAnsi="宋体"/>
                <w:szCs w:val="21"/>
              </w:rPr>
              <w:t>Icu</w:t>
            </w:r>
            <w:r>
              <w:rPr>
                <w:rFonts w:hint="eastAsia" w:hAnsi="宋体"/>
                <w:szCs w:val="21"/>
              </w:rPr>
              <w:t>=36 k</w:t>
            </w:r>
            <w:r>
              <w:rPr>
                <w:rFonts w:hAnsi="宋体"/>
                <w:szCs w:val="21"/>
              </w:rPr>
              <w:t>A</w:t>
            </w:r>
            <w:r>
              <w:rPr>
                <w:rFonts w:hint="eastAsia" w:hAnsi="宋体" w:cs="Arial"/>
              </w:rPr>
              <w:t>（馈线）、50</w:t>
            </w:r>
            <w:r>
              <w:rPr>
                <w:rFonts w:hint="eastAsia" w:hAnsi="宋体"/>
                <w:szCs w:val="21"/>
              </w:rPr>
              <w:t xml:space="preserve"> k</w:t>
            </w:r>
            <w:r>
              <w:rPr>
                <w:rFonts w:hAnsi="宋体"/>
                <w:szCs w:val="21"/>
              </w:rPr>
              <w:t>A</w:t>
            </w:r>
            <w:r>
              <w:rPr>
                <w:rFonts w:hint="eastAsia" w:hAnsi="宋体" w:cs="Arial"/>
              </w:rPr>
              <w:t>（进线）</w:t>
            </w:r>
            <w:r>
              <w:rPr>
                <w:rFonts w:hint="eastAsia" w:hAnsi="宋体"/>
                <w:szCs w:val="21"/>
              </w:rPr>
              <w:t>；</w:t>
            </w:r>
          </w:p>
          <w:p>
            <w:pPr>
              <w:rPr>
                <w:rFonts w:hint="eastAsia" w:hAnsi="宋体" w:cs="Arial"/>
              </w:rPr>
            </w:pPr>
            <w:r>
              <w:rPr>
                <w:rFonts w:hint="eastAsia" w:hAnsi="宋体"/>
                <w:szCs w:val="21"/>
              </w:rPr>
              <w:t xml:space="preserve">额定工作短路断开容量 </w:t>
            </w:r>
            <w:r>
              <w:rPr>
                <w:rFonts w:hAnsi="宋体"/>
                <w:szCs w:val="21"/>
              </w:rPr>
              <w:t>Ics</w:t>
            </w:r>
            <w:r>
              <w:rPr>
                <w:rFonts w:hint="eastAsia" w:hAnsi="宋体"/>
                <w:szCs w:val="21"/>
              </w:rPr>
              <w:t>=</w:t>
            </w:r>
            <w:r>
              <w:rPr>
                <w:rFonts w:hAnsi="宋体"/>
                <w:szCs w:val="21"/>
              </w:rPr>
              <w:t>100%Icu</w:t>
            </w:r>
            <w:r>
              <w:rPr>
                <w:rFonts w:hint="eastAsia"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76" w:type="dxa"/>
            <w:gridSpan w:val="2"/>
            <w:vAlign w:val="center"/>
          </w:tcPr>
          <w:p>
            <w:pPr>
              <w:rPr>
                <w:rFonts w:hint="eastAsia" w:hAnsi="宋体" w:cs="Arial"/>
              </w:rPr>
            </w:pPr>
            <w:r>
              <w:rPr>
                <w:rFonts w:hint="eastAsia" w:hAnsi="宋体" w:cs="Arial"/>
              </w:rPr>
              <w:t>电气</w:t>
            </w:r>
            <w:r>
              <w:rPr>
                <w:rFonts w:hAnsi="宋体" w:cs="Arial"/>
              </w:rPr>
              <w:t>寿命（次）</w:t>
            </w:r>
            <w:r>
              <w:rPr>
                <w:rFonts w:hint="eastAsia" w:hAnsi="宋体" w:cs="Arial"/>
              </w:rPr>
              <w:t>440V-In</w:t>
            </w:r>
          </w:p>
        </w:tc>
        <w:tc>
          <w:tcPr>
            <w:tcW w:w="968" w:type="dxa"/>
            <w:vAlign w:val="center"/>
          </w:tcPr>
          <w:p>
            <w:pPr>
              <w:rPr>
                <w:rFonts w:hAnsi="宋体" w:cs="Arial"/>
              </w:rPr>
            </w:pPr>
            <w:r>
              <w:rPr>
                <w:rFonts w:hAnsi="宋体" w:cs="Arial"/>
              </w:rPr>
              <w:t>&lt;</w:t>
            </w:r>
            <w:r>
              <w:rPr>
                <w:rFonts w:hint="eastAsia" w:hAnsi="宋体" w:cs="Arial"/>
              </w:rPr>
              <w:t>3</w:t>
            </w:r>
            <w:r>
              <w:rPr>
                <w:rFonts w:hAnsi="宋体" w:cs="Arial"/>
              </w:rPr>
              <w:t>0000</w:t>
            </w:r>
          </w:p>
        </w:tc>
        <w:tc>
          <w:tcPr>
            <w:tcW w:w="1134" w:type="dxa"/>
            <w:vAlign w:val="center"/>
          </w:tcPr>
          <w:p>
            <w:pPr>
              <w:rPr>
                <w:rFonts w:hAnsi="宋体" w:cs="Arial"/>
              </w:rPr>
            </w:pPr>
            <w:r>
              <w:rPr>
                <w:rFonts w:hAnsi="宋体" w:cs="Arial"/>
              </w:rPr>
              <w:t>&lt;</w:t>
            </w:r>
            <w:r>
              <w:rPr>
                <w:rFonts w:hint="eastAsia" w:hAnsi="宋体" w:cs="Arial"/>
              </w:rPr>
              <w:t>20</w:t>
            </w:r>
            <w:r>
              <w:rPr>
                <w:rFonts w:hAnsi="宋体" w:cs="Arial"/>
              </w:rPr>
              <w:t>000</w:t>
            </w:r>
          </w:p>
        </w:tc>
        <w:tc>
          <w:tcPr>
            <w:tcW w:w="1134" w:type="dxa"/>
            <w:vAlign w:val="center"/>
          </w:tcPr>
          <w:p>
            <w:pPr>
              <w:rPr>
                <w:rFonts w:hAnsi="宋体" w:cs="Arial"/>
              </w:rPr>
            </w:pPr>
            <w:r>
              <w:rPr>
                <w:rFonts w:hAnsi="宋体" w:cs="Arial"/>
              </w:rPr>
              <w:t>&lt;</w:t>
            </w:r>
            <w:r>
              <w:rPr>
                <w:rFonts w:hint="eastAsia" w:hAnsi="宋体" w:cs="Arial"/>
              </w:rPr>
              <w:t>10</w:t>
            </w:r>
            <w:r>
              <w:rPr>
                <w:rFonts w:hAnsi="宋体" w:cs="Arial"/>
              </w:rPr>
              <w:t>000</w:t>
            </w:r>
          </w:p>
        </w:tc>
        <w:tc>
          <w:tcPr>
            <w:tcW w:w="992" w:type="dxa"/>
            <w:vAlign w:val="center"/>
          </w:tcPr>
          <w:p>
            <w:pPr>
              <w:rPr>
                <w:rFonts w:hAnsi="宋体" w:cs="Arial"/>
              </w:rPr>
            </w:pPr>
            <w:r>
              <w:rPr>
                <w:rFonts w:hAnsi="宋体" w:cs="Arial"/>
              </w:rPr>
              <w:t>&lt;</w:t>
            </w:r>
            <w:r>
              <w:rPr>
                <w:rFonts w:hint="eastAsia" w:hAnsi="宋体" w:cs="Arial"/>
              </w:rPr>
              <w:t>6</w:t>
            </w:r>
            <w:r>
              <w:rPr>
                <w:rFonts w:hAnsi="宋体" w:cs="Arial"/>
              </w:rPr>
              <w:t>000</w:t>
            </w:r>
          </w:p>
        </w:tc>
        <w:tc>
          <w:tcPr>
            <w:tcW w:w="993" w:type="dxa"/>
            <w:vAlign w:val="center"/>
          </w:tcPr>
          <w:p>
            <w:pPr>
              <w:rPr>
                <w:rFonts w:hAnsi="宋体" w:cs="Arial"/>
              </w:rPr>
            </w:pPr>
            <w:r>
              <w:rPr>
                <w:rFonts w:hAnsi="宋体" w:cs="Arial"/>
              </w:rPr>
              <w:t>&lt;</w:t>
            </w:r>
            <w:r>
              <w:rPr>
                <w:rFonts w:hint="eastAsia" w:hAnsi="宋体" w:cs="Arial"/>
              </w:rPr>
              <w:t>4</w:t>
            </w:r>
            <w:r>
              <w:rPr>
                <w:rFonts w:hAnsi="宋体" w:cs="Aria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80" w:type="dxa"/>
            <w:vMerge w:val="restart"/>
            <w:vAlign w:val="center"/>
          </w:tcPr>
          <w:p>
            <w:pPr>
              <w:rPr>
                <w:rFonts w:hAnsi="宋体" w:cs="Arial"/>
              </w:rPr>
            </w:pPr>
            <w:r>
              <w:rPr>
                <w:rFonts w:hAnsi="宋体" w:cs="Arial"/>
              </w:rPr>
              <w:t>可配附件</w:t>
            </w:r>
          </w:p>
        </w:tc>
        <w:tc>
          <w:tcPr>
            <w:tcW w:w="1496" w:type="dxa"/>
            <w:vAlign w:val="center"/>
          </w:tcPr>
          <w:p>
            <w:pPr>
              <w:rPr>
                <w:rFonts w:hAnsi="宋体" w:cs="Arial"/>
              </w:rPr>
            </w:pPr>
            <w:r>
              <w:rPr>
                <w:rFonts w:hAnsi="宋体" w:cs="Arial"/>
              </w:rPr>
              <w:t>分励脱扣器</w:t>
            </w:r>
          </w:p>
        </w:tc>
        <w:tc>
          <w:tcPr>
            <w:tcW w:w="968" w:type="dxa"/>
            <w:vAlign w:val="center"/>
          </w:tcPr>
          <w:p>
            <w:pPr>
              <w:rPr>
                <w:rFonts w:hAnsi="宋体" w:cs="Arial"/>
              </w:rPr>
            </w:pPr>
            <w:r>
              <w:rPr>
                <w:rFonts w:hAnsi="宋体" w:cs="Arial"/>
              </w:rPr>
              <w:t>√</w:t>
            </w:r>
          </w:p>
        </w:tc>
        <w:tc>
          <w:tcPr>
            <w:tcW w:w="1134" w:type="dxa"/>
            <w:vAlign w:val="center"/>
          </w:tcPr>
          <w:p>
            <w:pPr>
              <w:rPr>
                <w:rFonts w:hAnsi="宋体" w:cs="Arial"/>
              </w:rPr>
            </w:pPr>
            <w:r>
              <w:rPr>
                <w:rFonts w:hAnsi="宋体" w:cs="Arial"/>
              </w:rPr>
              <w:t>√</w:t>
            </w:r>
          </w:p>
        </w:tc>
        <w:tc>
          <w:tcPr>
            <w:tcW w:w="1134" w:type="dxa"/>
            <w:vAlign w:val="center"/>
          </w:tcPr>
          <w:p>
            <w:pPr>
              <w:rPr>
                <w:rFonts w:hAnsi="宋体" w:cs="Arial"/>
              </w:rPr>
            </w:pPr>
            <w:r>
              <w:rPr>
                <w:rFonts w:hAnsi="宋体" w:cs="Arial"/>
              </w:rPr>
              <w:t>√</w:t>
            </w:r>
          </w:p>
        </w:tc>
        <w:tc>
          <w:tcPr>
            <w:tcW w:w="992" w:type="dxa"/>
            <w:vAlign w:val="center"/>
          </w:tcPr>
          <w:p>
            <w:pPr>
              <w:rPr>
                <w:rFonts w:hAnsi="宋体" w:cs="Arial"/>
              </w:rPr>
            </w:pPr>
            <w:r>
              <w:rPr>
                <w:rFonts w:hAnsi="宋体" w:cs="Arial"/>
              </w:rPr>
              <w:t>√</w:t>
            </w:r>
          </w:p>
        </w:tc>
        <w:tc>
          <w:tcPr>
            <w:tcW w:w="993" w:type="dxa"/>
            <w:vAlign w:val="center"/>
          </w:tcPr>
          <w:p>
            <w:pPr>
              <w:rPr>
                <w:rFonts w:hAnsi="宋体" w:cs="Arial"/>
              </w:rPr>
            </w:pPr>
            <w:r>
              <w:rPr>
                <w:rFonts w:hAnsi="宋体"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80" w:type="dxa"/>
            <w:vMerge w:val="continue"/>
            <w:vAlign w:val="center"/>
          </w:tcPr>
          <w:p>
            <w:pPr>
              <w:rPr>
                <w:rFonts w:hAnsi="宋体" w:cs="Arial"/>
              </w:rPr>
            </w:pPr>
          </w:p>
        </w:tc>
        <w:tc>
          <w:tcPr>
            <w:tcW w:w="1496" w:type="dxa"/>
            <w:vAlign w:val="center"/>
          </w:tcPr>
          <w:p>
            <w:pPr>
              <w:rPr>
                <w:rFonts w:hAnsi="宋体" w:cs="Arial"/>
              </w:rPr>
            </w:pPr>
            <w:r>
              <w:rPr>
                <w:rFonts w:hAnsi="宋体" w:cs="Arial"/>
              </w:rPr>
              <w:t>辅助触点</w:t>
            </w:r>
          </w:p>
        </w:tc>
        <w:tc>
          <w:tcPr>
            <w:tcW w:w="968" w:type="dxa"/>
            <w:vAlign w:val="center"/>
          </w:tcPr>
          <w:p>
            <w:pPr>
              <w:rPr>
                <w:rFonts w:hAnsi="宋体" w:cs="Arial"/>
              </w:rPr>
            </w:pPr>
            <w:r>
              <w:rPr>
                <w:rFonts w:hAnsi="宋体" w:cs="Arial"/>
              </w:rPr>
              <w:t>√</w:t>
            </w:r>
          </w:p>
        </w:tc>
        <w:tc>
          <w:tcPr>
            <w:tcW w:w="1134" w:type="dxa"/>
            <w:vAlign w:val="center"/>
          </w:tcPr>
          <w:p>
            <w:pPr>
              <w:rPr>
                <w:rFonts w:hAnsi="宋体" w:cs="Arial"/>
              </w:rPr>
            </w:pPr>
            <w:r>
              <w:rPr>
                <w:rFonts w:hAnsi="宋体" w:cs="Arial"/>
              </w:rPr>
              <w:t>√</w:t>
            </w:r>
          </w:p>
        </w:tc>
        <w:tc>
          <w:tcPr>
            <w:tcW w:w="1134" w:type="dxa"/>
            <w:vAlign w:val="center"/>
          </w:tcPr>
          <w:p>
            <w:pPr>
              <w:rPr>
                <w:rFonts w:hAnsi="宋体" w:cs="Arial"/>
              </w:rPr>
            </w:pPr>
            <w:r>
              <w:rPr>
                <w:rFonts w:hAnsi="宋体" w:cs="Arial"/>
              </w:rPr>
              <w:t>√</w:t>
            </w:r>
          </w:p>
        </w:tc>
        <w:tc>
          <w:tcPr>
            <w:tcW w:w="992" w:type="dxa"/>
            <w:vAlign w:val="center"/>
          </w:tcPr>
          <w:p>
            <w:pPr>
              <w:rPr>
                <w:rFonts w:hAnsi="宋体" w:cs="Arial"/>
              </w:rPr>
            </w:pPr>
            <w:r>
              <w:rPr>
                <w:rFonts w:hAnsi="宋体" w:cs="Arial"/>
              </w:rPr>
              <w:t>√</w:t>
            </w:r>
          </w:p>
        </w:tc>
        <w:tc>
          <w:tcPr>
            <w:tcW w:w="993" w:type="dxa"/>
            <w:vAlign w:val="center"/>
          </w:tcPr>
          <w:p>
            <w:pPr>
              <w:rPr>
                <w:rFonts w:hAnsi="宋体" w:cs="Arial"/>
              </w:rPr>
            </w:pPr>
            <w:r>
              <w:rPr>
                <w:rFonts w:hAnsi="宋体"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80" w:type="dxa"/>
            <w:vMerge w:val="continue"/>
            <w:vAlign w:val="center"/>
          </w:tcPr>
          <w:p>
            <w:pPr>
              <w:rPr>
                <w:rFonts w:hAnsi="宋体" w:cs="Arial"/>
              </w:rPr>
            </w:pPr>
          </w:p>
        </w:tc>
        <w:tc>
          <w:tcPr>
            <w:tcW w:w="1496" w:type="dxa"/>
            <w:vAlign w:val="center"/>
          </w:tcPr>
          <w:p>
            <w:pPr>
              <w:rPr>
                <w:rFonts w:hAnsi="宋体" w:cs="Arial"/>
              </w:rPr>
            </w:pPr>
            <w:r>
              <w:rPr>
                <w:rFonts w:hAnsi="宋体" w:cs="Arial"/>
              </w:rPr>
              <w:t>报警触头</w:t>
            </w:r>
          </w:p>
        </w:tc>
        <w:tc>
          <w:tcPr>
            <w:tcW w:w="968" w:type="dxa"/>
            <w:vAlign w:val="center"/>
          </w:tcPr>
          <w:p>
            <w:pPr>
              <w:rPr>
                <w:rFonts w:hAnsi="宋体" w:cs="Arial"/>
              </w:rPr>
            </w:pPr>
            <w:r>
              <w:rPr>
                <w:rFonts w:hAnsi="宋体" w:cs="Arial"/>
              </w:rPr>
              <w:t>√</w:t>
            </w:r>
          </w:p>
        </w:tc>
        <w:tc>
          <w:tcPr>
            <w:tcW w:w="1134" w:type="dxa"/>
            <w:vAlign w:val="center"/>
          </w:tcPr>
          <w:p>
            <w:pPr>
              <w:rPr>
                <w:rFonts w:hAnsi="宋体" w:cs="Arial"/>
              </w:rPr>
            </w:pPr>
            <w:r>
              <w:rPr>
                <w:rFonts w:hAnsi="宋体" w:cs="Arial"/>
              </w:rPr>
              <w:t>√</w:t>
            </w:r>
          </w:p>
        </w:tc>
        <w:tc>
          <w:tcPr>
            <w:tcW w:w="1134" w:type="dxa"/>
            <w:vAlign w:val="center"/>
          </w:tcPr>
          <w:p>
            <w:pPr>
              <w:rPr>
                <w:rFonts w:hAnsi="宋体" w:cs="Arial"/>
              </w:rPr>
            </w:pPr>
            <w:r>
              <w:rPr>
                <w:rFonts w:hAnsi="宋体" w:cs="Arial"/>
              </w:rPr>
              <w:t>√</w:t>
            </w:r>
          </w:p>
        </w:tc>
        <w:tc>
          <w:tcPr>
            <w:tcW w:w="992" w:type="dxa"/>
            <w:vAlign w:val="center"/>
          </w:tcPr>
          <w:p>
            <w:pPr>
              <w:rPr>
                <w:rFonts w:hAnsi="宋体" w:cs="Arial"/>
              </w:rPr>
            </w:pPr>
            <w:r>
              <w:rPr>
                <w:rFonts w:hAnsi="宋体" w:cs="Arial"/>
              </w:rPr>
              <w:t>√</w:t>
            </w:r>
          </w:p>
        </w:tc>
        <w:tc>
          <w:tcPr>
            <w:tcW w:w="993" w:type="dxa"/>
            <w:vAlign w:val="center"/>
          </w:tcPr>
          <w:p>
            <w:pPr>
              <w:rPr>
                <w:rFonts w:hAnsi="宋体" w:cs="Arial"/>
              </w:rPr>
            </w:pPr>
            <w:r>
              <w:rPr>
                <w:rFonts w:hAnsi="宋体"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2576" w:type="dxa"/>
            <w:gridSpan w:val="2"/>
            <w:vAlign w:val="center"/>
          </w:tcPr>
          <w:p>
            <w:pPr>
              <w:rPr>
                <w:rFonts w:hAnsi="宋体" w:cs="Arial"/>
              </w:rPr>
            </w:pPr>
            <w:r>
              <w:rPr>
                <w:rFonts w:hAnsi="宋体" w:cs="Arial"/>
              </w:rPr>
              <w:t>安装型式</w:t>
            </w:r>
          </w:p>
        </w:tc>
        <w:tc>
          <w:tcPr>
            <w:tcW w:w="5221" w:type="dxa"/>
            <w:gridSpan w:val="5"/>
            <w:vAlign w:val="center"/>
          </w:tcPr>
          <w:p>
            <w:pPr>
              <w:rPr>
                <w:rFonts w:hAnsi="宋体" w:cs="Arial"/>
              </w:rPr>
            </w:pPr>
            <w:r>
              <w:rPr>
                <w:rFonts w:hint="eastAsia" w:hAnsi="宋体" w:cs="Arial"/>
              </w:rPr>
              <w:t>固定</w:t>
            </w:r>
            <w:r>
              <w:rPr>
                <w:rFonts w:hAnsi="宋体" w:cs="Arial"/>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2576" w:type="dxa"/>
            <w:gridSpan w:val="2"/>
            <w:vAlign w:val="center"/>
          </w:tcPr>
          <w:p>
            <w:pPr>
              <w:rPr>
                <w:rFonts w:hAnsi="宋体" w:cs="Arial"/>
              </w:rPr>
            </w:pPr>
            <w:r>
              <w:rPr>
                <w:rFonts w:hint="eastAsia" w:hAnsi="宋体"/>
                <w:szCs w:val="21"/>
              </w:rPr>
              <w:t>保护功能</w:t>
            </w:r>
          </w:p>
        </w:tc>
        <w:tc>
          <w:tcPr>
            <w:tcW w:w="5221" w:type="dxa"/>
            <w:gridSpan w:val="5"/>
            <w:vAlign w:val="center"/>
          </w:tcPr>
          <w:p>
            <w:pPr>
              <w:pStyle w:val="8"/>
              <w:spacing w:before="60" w:after="60" w:line="220" w:lineRule="exact"/>
              <w:ind w:left="0" w:leftChars="0" w:right="-1048"/>
              <w:rPr>
                <w:rFonts w:hint="eastAsia"/>
                <w:szCs w:val="21"/>
              </w:rPr>
            </w:pPr>
            <w:r>
              <w:rPr>
                <w:rFonts w:hint="eastAsia"/>
                <w:szCs w:val="21"/>
              </w:rPr>
              <w:t>(1)过载保护；</w:t>
            </w:r>
          </w:p>
          <w:p>
            <w:pPr>
              <w:pStyle w:val="8"/>
              <w:spacing w:before="60" w:after="60" w:line="220" w:lineRule="exact"/>
              <w:ind w:left="0" w:leftChars="0" w:right="-1048"/>
              <w:rPr>
                <w:rFonts w:hint="eastAsia"/>
                <w:szCs w:val="21"/>
              </w:rPr>
            </w:pPr>
            <w:r>
              <w:rPr>
                <w:rFonts w:hint="eastAsia"/>
                <w:szCs w:val="21"/>
              </w:rPr>
              <w:t>(2)延时保护；</w:t>
            </w:r>
          </w:p>
          <w:p>
            <w:pPr>
              <w:pStyle w:val="8"/>
              <w:spacing w:before="60" w:after="60" w:line="220" w:lineRule="exact"/>
              <w:ind w:left="0" w:leftChars="0" w:right="-1048"/>
              <w:rPr>
                <w:rFonts w:hint="eastAsia"/>
                <w:szCs w:val="21"/>
              </w:rPr>
            </w:pPr>
            <w:r>
              <w:rPr>
                <w:rFonts w:hint="eastAsia"/>
                <w:szCs w:val="21"/>
              </w:rPr>
              <w:t>(3)瞬时短路保护。</w:t>
            </w:r>
          </w:p>
          <w:p>
            <w:pPr>
              <w:pStyle w:val="8"/>
              <w:spacing w:before="60" w:after="60" w:line="220" w:lineRule="exact"/>
              <w:ind w:left="0" w:leftChars="0" w:right="-1048"/>
              <w:rPr>
                <w:rFonts w:hAnsi="宋体" w:cs="Arial"/>
                <w:szCs w:val="24"/>
              </w:rPr>
            </w:pPr>
            <w:r>
              <w:rPr>
                <w:rFonts w:hint="eastAsia"/>
                <w:szCs w:val="21"/>
              </w:rPr>
              <w:t>(4)能实现接地保护。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2576" w:type="dxa"/>
            <w:gridSpan w:val="2"/>
            <w:vAlign w:val="center"/>
          </w:tcPr>
          <w:p>
            <w:pPr>
              <w:rPr>
                <w:rFonts w:hAnsi="宋体" w:cs="Arial"/>
              </w:rPr>
            </w:pPr>
            <w:r>
              <w:rPr>
                <w:rFonts w:hint="eastAsia" w:hAnsi="宋体"/>
                <w:szCs w:val="21"/>
              </w:rPr>
              <w:t>电流调整范围</w:t>
            </w:r>
          </w:p>
        </w:tc>
        <w:tc>
          <w:tcPr>
            <w:tcW w:w="5221" w:type="dxa"/>
            <w:gridSpan w:val="5"/>
            <w:vAlign w:val="center"/>
          </w:tcPr>
          <w:p>
            <w:pPr>
              <w:rPr>
                <w:rFonts w:hAnsi="宋体" w:cs="Arial"/>
              </w:rPr>
            </w:pPr>
            <w:r>
              <w:rPr>
                <w:rFonts w:hint="eastAsia"/>
                <w:szCs w:val="21"/>
              </w:rPr>
              <w:t>过载</w:t>
            </w:r>
            <w:r>
              <w:rPr>
                <w:szCs w:val="21"/>
              </w:rPr>
              <w:t>整定范围是0.</w:t>
            </w:r>
            <w:r>
              <w:rPr>
                <w:rFonts w:hint="eastAsia"/>
                <w:szCs w:val="21"/>
              </w:rPr>
              <w:t>4～</w:t>
            </w:r>
            <w:r>
              <w:rPr>
                <w:szCs w:val="21"/>
              </w:rPr>
              <w:t>1.0In</w:t>
            </w:r>
            <w:r>
              <w:rPr>
                <w:rFonts w:hint="eastAsia"/>
                <w:szCs w:val="21"/>
              </w:rPr>
              <w:t xml:space="preserve"> ，级差0</w:t>
            </w:r>
            <w:r>
              <w:rPr>
                <w:szCs w:val="21"/>
              </w:rPr>
              <w:t>.04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2576" w:type="dxa"/>
            <w:gridSpan w:val="2"/>
            <w:vAlign w:val="center"/>
          </w:tcPr>
          <w:p>
            <w:pPr>
              <w:rPr>
                <w:rFonts w:hAnsi="宋体" w:cs="Arial"/>
              </w:rPr>
            </w:pPr>
            <w:r>
              <w:rPr>
                <w:rFonts w:hint="eastAsia"/>
                <w:szCs w:val="21"/>
              </w:rPr>
              <w:t>报警功能</w:t>
            </w:r>
          </w:p>
        </w:tc>
        <w:tc>
          <w:tcPr>
            <w:tcW w:w="5221" w:type="dxa"/>
            <w:gridSpan w:val="5"/>
            <w:vAlign w:val="center"/>
          </w:tcPr>
          <w:p>
            <w:pPr>
              <w:rPr>
                <w:rFonts w:hAnsi="宋体" w:cs="Arial"/>
              </w:rPr>
            </w:pPr>
            <w:r>
              <w:rPr>
                <w:rFonts w:hint="eastAsia"/>
                <w:szCs w:val="21"/>
              </w:rPr>
              <w:t>功能预报警和报警指示。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7797" w:type="dxa"/>
            <w:gridSpan w:val="7"/>
            <w:vAlign w:val="center"/>
          </w:tcPr>
          <w:p>
            <w:pPr>
              <w:rPr>
                <w:rFonts w:hAnsi="宋体" w:cs="Arial"/>
              </w:rPr>
            </w:pPr>
            <w:r>
              <w:rPr>
                <w:rFonts w:hint="eastAsia"/>
                <w:szCs w:val="21"/>
              </w:rPr>
              <w:t>全系列具有热带气候适应性、适应潮湿环境，属零飞弧产品，具有机械锁闭及挂锁。为了节约箱体体积，开关体积尽可能小</w:t>
            </w:r>
            <w:r>
              <w:rPr>
                <w:szCs w:val="21"/>
              </w:rPr>
              <w:t>,250A</w:t>
            </w:r>
            <w:r>
              <w:rPr>
                <w:rFonts w:hint="eastAsia"/>
                <w:szCs w:val="21"/>
              </w:rPr>
              <w:t>以下的开关厚度</w:t>
            </w:r>
            <w:r>
              <w:rPr>
                <w:szCs w:val="21"/>
              </w:rPr>
              <w:t>&lt;=</w:t>
            </w:r>
            <w:r>
              <w:rPr>
                <w:rFonts w:hint="eastAsia"/>
                <w:szCs w:val="21"/>
              </w:rPr>
              <w:t>90</w:t>
            </w:r>
            <w:r>
              <w:rPr>
                <w:szCs w:val="21"/>
              </w:rPr>
              <w:t>mm</w:t>
            </w:r>
          </w:p>
        </w:tc>
      </w:tr>
    </w:tbl>
    <w:p>
      <w:pPr>
        <w:numPr>
          <w:ilvl w:val="0"/>
          <w:numId w:val="1"/>
        </w:numPr>
        <w:spacing w:line="540" w:lineRule="exact"/>
        <w:rPr>
          <w:rFonts w:hint="eastAsia" w:hAnsi="宋体" w:cs="Arial"/>
        </w:rPr>
      </w:pPr>
      <w:r>
        <w:rPr>
          <w:rFonts w:hAnsi="宋体" w:cs="Arial"/>
        </w:rPr>
        <w:t>塑壳式断路器保护功能应包括：</w:t>
      </w:r>
      <w:r>
        <w:rPr>
          <w:rFonts w:hint="eastAsia" w:hAnsi="宋体" w:cs="Arial"/>
        </w:rPr>
        <w:t>具有三段保护(</w:t>
      </w:r>
      <w:r>
        <w:rPr>
          <w:rFonts w:hAnsi="宋体" w:cs="Arial"/>
        </w:rPr>
        <w:t>长延时保护、</w:t>
      </w:r>
      <w:r>
        <w:rPr>
          <w:rFonts w:hint="eastAsia" w:hAnsi="宋体" w:cs="Arial"/>
        </w:rPr>
        <w:t>短延时、</w:t>
      </w:r>
      <w:r>
        <w:rPr>
          <w:rFonts w:hAnsi="宋体" w:cs="Arial"/>
        </w:rPr>
        <w:t>瞬时脱扣</w:t>
      </w:r>
      <w:r>
        <w:rPr>
          <w:rFonts w:hint="eastAsia" w:hAnsi="宋体" w:cs="Arial"/>
        </w:rPr>
        <w:t>)的</w:t>
      </w:r>
      <w:r>
        <w:rPr>
          <w:rFonts w:hAnsi="宋体" w:cs="Arial"/>
        </w:rPr>
        <w:t>电子脱扣器。电子脱扣器</w:t>
      </w:r>
      <w:r>
        <w:rPr>
          <w:rFonts w:hint="eastAsia" w:hAnsi="宋体" w:cs="Arial"/>
        </w:rPr>
        <w:t>长延时、短延时的电流及时间均可调，可以在现场（带负荷）方便的进行保护参数的整定或保护功能的调整，以利于上下级短路保护的选择性配合。</w:t>
      </w:r>
    </w:p>
    <w:p>
      <w:pPr>
        <w:numPr>
          <w:ilvl w:val="0"/>
          <w:numId w:val="1"/>
        </w:numPr>
        <w:spacing w:line="540" w:lineRule="exact"/>
        <w:rPr>
          <w:rFonts w:hint="eastAsia" w:hAnsi="宋体" w:cs="Arial"/>
        </w:rPr>
      </w:pPr>
      <w:r>
        <w:rPr>
          <w:rFonts w:hint="eastAsia" w:hAnsi="宋体" w:cs="Arial"/>
        </w:rPr>
        <w:t>建议采用品质不低于施耐德、ABB、西门子等品牌。</w:t>
      </w:r>
    </w:p>
    <w:p>
      <w:pPr>
        <w:spacing w:line="360" w:lineRule="auto"/>
        <w:ind w:firstLine="480"/>
        <w:rPr>
          <w:rFonts w:hint="eastAsia" w:hAnsi="宋体"/>
        </w:rPr>
      </w:pPr>
      <w:r>
        <w:rPr>
          <w:rFonts w:hint="eastAsia" w:hAnsi="宋体"/>
        </w:rPr>
        <w:t xml:space="preserve"> (2) 热继电器</w:t>
      </w:r>
    </w:p>
    <w:p>
      <w:pPr>
        <w:spacing w:line="360" w:lineRule="auto"/>
        <w:ind w:firstLine="480"/>
        <w:rPr>
          <w:rFonts w:hint="eastAsia" w:hAnsi="宋体"/>
        </w:rPr>
      </w:pPr>
      <w:r>
        <w:rPr>
          <w:rFonts w:hint="eastAsia" w:hAnsi="宋体"/>
        </w:rPr>
        <w:t>热继电器保护额定工作电压至交流690V的电动机，其性能指标见下表。</w:t>
      </w:r>
    </w:p>
    <w:p>
      <w:pPr>
        <w:spacing w:line="360" w:lineRule="auto"/>
        <w:ind w:firstLine="480"/>
        <w:jc w:val="center"/>
        <w:rPr>
          <w:rFonts w:hint="eastAsia" w:hAnsi="宋体"/>
        </w:rPr>
      </w:pPr>
      <w:r>
        <w:rPr>
          <w:rFonts w:hint="eastAsia" w:hAnsi="宋体"/>
        </w:rPr>
        <w:t>热继电器性能指标</w:t>
      </w:r>
    </w:p>
    <w:tbl>
      <w:tblPr>
        <w:tblStyle w:val="12"/>
        <w:tblW w:w="829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3"/>
        <w:gridCol w:w="4962"/>
        <w:gridCol w:w="10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3" w:type="dxa"/>
            <w:vAlign w:val="center"/>
          </w:tcPr>
          <w:p>
            <w:pPr>
              <w:spacing w:before="60" w:after="60" w:line="240" w:lineRule="exact"/>
              <w:jc w:val="center"/>
              <w:rPr>
                <w:rFonts w:hint="eastAsia" w:hAnsi="宋体"/>
                <w:szCs w:val="21"/>
              </w:rPr>
            </w:pPr>
            <w:r>
              <w:rPr>
                <w:rFonts w:hint="eastAsia" w:hAnsi="宋体"/>
                <w:szCs w:val="21"/>
              </w:rPr>
              <w:t>名  称</w:t>
            </w:r>
          </w:p>
        </w:tc>
        <w:tc>
          <w:tcPr>
            <w:tcW w:w="4962" w:type="dxa"/>
            <w:vAlign w:val="center"/>
          </w:tcPr>
          <w:p>
            <w:pPr>
              <w:spacing w:before="60" w:after="60" w:line="240" w:lineRule="exact"/>
              <w:jc w:val="center"/>
              <w:rPr>
                <w:rFonts w:hint="eastAsia" w:hAnsi="宋体"/>
                <w:szCs w:val="21"/>
              </w:rPr>
            </w:pPr>
            <w:r>
              <w:rPr>
                <w:rFonts w:hint="eastAsia" w:hAnsi="宋体"/>
                <w:szCs w:val="21"/>
              </w:rPr>
              <w:t>电气参数</w:t>
            </w:r>
          </w:p>
        </w:tc>
        <w:tc>
          <w:tcPr>
            <w:tcW w:w="1070" w:type="dxa"/>
            <w:vAlign w:val="top"/>
          </w:tcPr>
          <w:p>
            <w:pPr>
              <w:spacing w:before="60" w:after="60" w:line="240" w:lineRule="exact"/>
              <w:jc w:val="center"/>
              <w:rPr>
                <w:rFonts w:hint="eastAsia" w:hAnsi="宋体"/>
                <w:szCs w:val="21"/>
              </w:rPr>
            </w:pPr>
            <w:r>
              <w:rPr>
                <w:rFonts w:hint="eastAsia" w:hAnsi="宋体"/>
                <w:szCs w:val="21"/>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3" w:type="dxa"/>
            <w:vAlign w:val="top"/>
          </w:tcPr>
          <w:p>
            <w:pPr>
              <w:spacing w:before="60" w:after="60" w:line="240" w:lineRule="exact"/>
              <w:rPr>
                <w:rFonts w:hAnsi="宋体"/>
                <w:szCs w:val="21"/>
              </w:rPr>
            </w:pPr>
            <w:r>
              <w:rPr>
                <w:rFonts w:hint="eastAsia" w:hAnsi="宋体"/>
                <w:szCs w:val="21"/>
              </w:rPr>
              <w:t>额定工作电压</w:t>
            </w:r>
          </w:p>
        </w:tc>
        <w:tc>
          <w:tcPr>
            <w:tcW w:w="4962" w:type="dxa"/>
            <w:vAlign w:val="top"/>
          </w:tcPr>
          <w:p>
            <w:pPr>
              <w:spacing w:before="60" w:after="60" w:line="240" w:lineRule="exact"/>
              <w:rPr>
                <w:rFonts w:hint="eastAsia" w:hAnsi="宋体"/>
                <w:szCs w:val="21"/>
              </w:rPr>
            </w:pPr>
            <w:r>
              <w:rPr>
                <w:rFonts w:hint="eastAsia" w:hAnsi="宋体"/>
                <w:szCs w:val="21"/>
              </w:rPr>
              <w:t>400V</w:t>
            </w:r>
          </w:p>
        </w:tc>
        <w:tc>
          <w:tcPr>
            <w:tcW w:w="1070" w:type="dxa"/>
            <w:vAlign w:val="top"/>
          </w:tcPr>
          <w:p>
            <w:pPr>
              <w:spacing w:before="60" w:after="60" w:line="24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3" w:type="dxa"/>
            <w:vAlign w:val="top"/>
          </w:tcPr>
          <w:p>
            <w:pPr>
              <w:spacing w:before="60" w:after="60" w:line="240" w:lineRule="exact"/>
              <w:rPr>
                <w:rFonts w:hAnsi="宋体"/>
                <w:szCs w:val="21"/>
              </w:rPr>
            </w:pPr>
            <w:r>
              <w:rPr>
                <w:rFonts w:hint="eastAsia" w:hAnsi="宋体"/>
                <w:szCs w:val="21"/>
              </w:rPr>
              <w:t>额定工作电流</w:t>
            </w:r>
          </w:p>
        </w:tc>
        <w:tc>
          <w:tcPr>
            <w:tcW w:w="4962" w:type="dxa"/>
            <w:vAlign w:val="top"/>
          </w:tcPr>
          <w:p>
            <w:pPr>
              <w:spacing w:before="60" w:after="60" w:line="240" w:lineRule="exact"/>
              <w:rPr>
                <w:rFonts w:hAnsi="宋体"/>
                <w:szCs w:val="21"/>
              </w:rPr>
            </w:pPr>
            <w:r>
              <w:rPr>
                <w:rFonts w:hint="eastAsia" w:hAnsi="宋体"/>
                <w:szCs w:val="21"/>
              </w:rPr>
              <w:t>0.1A-140A</w:t>
            </w:r>
          </w:p>
        </w:tc>
        <w:tc>
          <w:tcPr>
            <w:tcW w:w="1070" w:type="dxa"/>
            <w:vAlign w:val="top"/>
          </w:tcPr>
          <w:p>
            <w:pPr>
              <w:spacing w:before="60" w:after="60" w:line="24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3" w:type="dxa"/>
            <w:vAlign w:val="top"/>
          </w:tcPr>
          <w:p>
            <w:pPr>
              <w:spacing w:before="60" w:after="60" w:line="240" w:lineRule="exact"/>
              <w:rPr>
                <w:rFonts w:hint="eastAsia" w:hAnsi="宋体"/>
                <w:szCs w:val="21"/>
              </w:rPr>
            </w:pPr>
            <w:r>
              <w:rPr>
                <w:rFonts w:hint="eastAsia" w:hAnsi="宋体"/>
                <w:szCs w:val="21"/>
              </w:rPr>
              <w:t>额定冲击耐受电压</w:t>
            </w:r>
          </w:p>
        </w:tc>
        <w:tc>
          <w:tcPr>
            <w:tcW w:w="4962" w:type="dxa"/>
            <w:vAlign w:val="top"/>
          </w:tcPr>
          <w:p>
            <w:pPr>
              <w:pStyle w:val="7"/>
              <w:spacing w:before="60" w:after="60" w:line="240" w:lineRule="exact"/>
              <w:jc w:val="both"/>
              <w:rPr>
                <w:rFonts w:hint="eastAsia" w:hAnsi="宋体"/>
                <w:szCs w:val="21"/>
              </w:rPr>
            </w:pPr>
            <w:r>
              <w:rPr>
                <w:rFonts w:hint="eastAsia" w:hAnsi="宋体"/>
                <w:szCs w:val="21"/>
              </w:rPr>
              <w:t>6kV</w:t>
            </w:r>
          </w:p>
        </w:tc>
        <w:tc>
          <w:tcPr>
            <w:tcW w:w="1070" w:type="dxa"/>
            <w:vAlign w:val="top"/>
          </w:tcPr>
          <w:p>
            <w:pPr>
              <w:pStyle w:val="7"/>
              <w:spacing w:before="60" w:after="60" w:line="240" w:lineRule="exact"/>
              <w:jc w:val="both"/>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3" w:type="dxa"/>
            <w:vAlign w:val="top"/>
          </w:tcPr>
          <w:p>
            <w:pPr>
              <w:spacing w:before="60" w:after="60" w:line="240" w:lineRule="exact"/>
              <w:rPr>
                <w:rFonts w:hAnsi="宋体"/>
                <w:szCs w:val="21"/>
              </w:rPr>
            </w:pPr>
            <w:r>
              <w:rPr>
                <w:rFonts w:hint="eastAsia" w:hAnsi="宋体"/>
                <w:szCs w:val="21"/>
              </w:rPr>
              <w:t>保护功能</w:t>
            </w:r>
          </w:p>
        </w:tc>
        <w:tc>
          <w:tcPr>
            <w:tcW w:w="4962" w:type="dxa"/>
            <w:vAlign w:val="top"/>
          </w:tcPr>
          <w:p>
            <w:pPr>
              <w:spacing w:before="60" w:after="60" w:line="240" w:lineRule="exact"/>
              <w:rPr>
                <w:rFonts w:hAnsi="宋体"/>
                <w:szCs w:val="21"/>
              </w:rPr>
            </w:pPr>
            <w:r>
              <w:rPr>
                <w:rFonts w:hint="eastAsia" w:hAnsi="宋体"/>
                <w:szCs w:val="21"/>
              </w:rPr>
              <w:t>过载保护、缺相保护、温度补偿保护及复位功能。</w:t>
            </w:r>
          </w:p>
        </w:tc>
        <w:tc>
          <w:tcPr>
            <w:tcW w:w="1070" w:type="dxa"/>
            <w:vAlign w:val="top"/>
          </w:tcPr>
          <w:p>
            <w:pPr>
              <w:spacing w:before="60" w:after="60" w:line="24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3" w:type="dxa"/>
            <w:vAlign w:val="top"/>
          </w:tcPr>
          <w:p>
            <w:pPr>
              <w:spacing w:before="60" w:after="60" w:line="240" w:lineRule="exact"/>
              <w:rPr>
                <w:rFonts w:hint="eastAsia" w:hAnsi="宋体"/>
                <w:szCs w:val="21"/>
              </w:rPr>
            </w:pPr>
            <w:r>
              <w:rPr>
                <w:rFonts w:hint="eastAsia" w:hAnsi="宋体"/>
                <w:szCs w:val="21"/>
              </w:rPr>
              <w:t>脱扣机构</w:t>
            </w:r>
          </w:p>
        </w:tc>
        <w:tc>
          <w:tcPr>
            <w:tcW w:w="4962" w:type="dxa"/>
            <w:vAlign w:val="center"/>
          </w:tcPr>
          <w:p>
            <w:pPr>
              <w:spacing w:before="60" w:after="60" w:line="240" w:lineRule="exact"/>
              <w:rPr>
                <w:rFonts w:hint="eastAsia" w:hAnsi="宋体"/>
                <w:szCs w:val="21"/>
              </w:rPr>
            </w:pPr>
            <w:r>
              <w:rPr>
                <w:rFonts w:hint="eastAsia" w:hAnsi="宋体"/>
                <w:szCs w:val="21"/>
              </w:rPr>
              <w:t>具有自由脱扣机构，发生故障时，即使按压复位按钮，也不能改变其脱扣状态。</w:t>
            </w:r>
          </w:p>
        </w:tc>
        <w:tc>
          <w:tcPr>
            <w:tcW w:w="1070" w:type="dxa"/>
            <w:vAlign w:val="top"/>
          </w:tcPr>
          <w:p>
            <w:pPr>
              <w:spacing w:before="60" w:after="60" w:line="24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3" w:type="dxa"/>
            <w:vAlign w:val="top"/>
          </w:tcPr>
          <w:p>
            <w:pPr>
              <w:spacing w:before="60" w:after="60" w:line="240" w:lineRule="exact"/>
              <w:rPr>
                <w:rFonts w:hAnsi="宋体"/>
                <w:szCs w:val="21"/>
              </w:rPr>
            </w:pPr>
            <w:r>
              <w:rPr>
                <w:rFonts w:hint="eastAsia" w:hAnsi="宋体"/>
                <w:szCs w:val="21"/>
              </w:rPr>
              <w:t>动作指示器</w:t>
            </w:r>
          </w:p>
        </w:tc>
        <w:tc>
          <w:tcPr>
            <w:tcW w:w="4962" w:type="dxa"/>
            <w:vAlign w:val="top"/>
          </w:tcPr>
          <w:p>
            <w:pPr>
              <w:spacing w:before="60" w:after="60" w:line="240" w:lineRule="exact"/>
              <w:rPr>
                <w:rFonts w:hAnsi="宋体"/>
                <w:szCs w:val="21"/>
              </w:rPr>
            </w:pPr>
            <w:r>
              <w:rPr>
                <w:rFonts w:hint="eastAsia" w:hAnsi="宋体"/>
                <w:szCs w:val="21"/>
              </w:rPr>
              <w:t>可清晰地显示热继电器动作与否。</w:t>
            </w:r>
          </w:p>
        </w:tc>
        <w:tc>
          <w:tcPr>
            <w:tcW w:w="1070" w:type="dxa"/>
            <w:vAlign w:val="top"/>
          </w:tcPr>
          <w:p>
            <w:pPr>
              <w:spacing w:before="60" w:after="60" w:line="240" w:lineRule="exact"/>
              <w:rPr>
                <w:rFonts w:hint="eastAsia" w:hAnsi="宋体"/>
                <w:szCs w:val="21"/>
              </w:rPr>
            </w:pPr>
          </w:p>
        </w:tc>
      </w:tr>
    </w:tbl>
    <w:p>
      <w:pPr>
        <w:spacing w:line="360" w:lineRule="auto"/>
        <w:ind w:firstLine="480"/>
        <w:rPr>
          <w:rFonts w:hint="eastAsia" w:hAnsi="宋体"/>
        </w:rPr>
      </w:pPr>
      <w:r>
        <w:rPr>
          <w:rFonts w:hint="eastAsia" w:hAnsi="宋体"/>
        </w:rPr>
        <w:t>（3）微型断路器</w:t>
      </w:r>
    </w:p>
    <w:p>
      <w:pPr>
        <w:spacing w:line="360" w:lineRule="auto"/>
        <w:ind w:firstLine="480"/>
        <w:rPr>
          <w:rFonts w:hint="eastAsia" w:hAnsi="宋体"/>
        </w:rPr>
      </w:pPr>
      <w:r>
        <w:rPr>
          <w:rFonts w:hint="eastAsia" w:hAnsi="宋体"/>
        </w:rPr>
        <w:t>性能指标见下表。</w:t>
      </w:r>
    </w:p>
    <w:p>
      <w:pPr>
        <w:spacing w:line="360" w:lineRule="auto"/>
        <w:ind w:firstLine="480"/>
        <w:jc w:val="center"/>
        <w:rPr>
          <w:rFonts w:hint="eastAsia" w:hAnsi="宋体"/>
        </w:rPr>
      </w:pPr>
      <w:r>
        <w:rPr>
          <w:rFonts w:hint="eastAsia" w:hAnsi="宋体"/>
        </w:rPr>
        <w:t>微型断路器性能指标</w:t>
      </w:r>
    </w:p>
    <w:tbl>
      <w:tblPr>
        <w:tblStyle w:val="12"/>
        <w:tblW w:w="81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5"/>
        <w:gridCol w:w="4369"/>
        <w:gridCol w:w="15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73" w:hRule="atLeast"/>
        </w:trPr>
        <w:tc>
          <w:tcPr>
            <w:tcW w:w="2235" w:type="dxa"/>
            <w:vAlign w:val="center"/>
          </w:tcPr>
          <w:p>
            <w:pPr>
              <w:spacing w:before="60" w:after="60" w:line="220" w:lineRule="exact"/>
              <w:jc w:val="center"/>
              <w:rPr>
                <w:rFonts w:hint="eastAsia" w:hAnsi="宋体"/>
                <w:szCs w:val="21"/>
              </w:rPr>
            </w:pPr>
            <w:r>
              <w:rPr>
                <w:rFonts w:hint="eastAsia" w:hAnsi="宋体"/>
                <w:szCs w:val="21"/>
              </w:rPr>
              <w:t>名  称</w:t>
            </w:r>
          </w:p>
        </w:tc>
        <w:tc>
          <w:tcPr>
            <w:tcW w:w="4369" w:type="dxa"/>
            <w:vAlign w:val="center"/>
          </w:tcPr>
          <w:p>
            <w:pPr>
              <w:spacing w:before="60" w:after="60" w:line="220" w:lineRule="exact"/>
              <w:jc w:val="center"/>
              <w:rPr>
                <w:rFonts w:hint="eastAsia" w:hAnsi="宋体"/>
                <w:szCs w:val="21"/>
              </w:rPr>
            </w:pPr>
            <w:r>
              <w:rPr>
                <w:rFonts w:hint="eastAsia" w:hAnsi="宋体"/>
                <w:szCs w:val="21"/>
              </w:rPr>
              <w:t>电气参数</w:t>
            </w:r>
          </w:p>
        </w:tc>
        <w:tc>
          <w:tcPr>
            <w:tcW w:w="1584" w:type="dxa"/>
            <w:vAlign w:val="center"/>
          </w:tcPr>
          <w:p>
            <w:pPr>
              <w:spacing w:before="60" w:after="60" w:line="220" w:lineRule="exact"/>
              <w:jc w:val="center"/>
              <w:rPr>
                <w:rFonts w:hint="eastAsia" w:hAnsi="宋体"/>
                <w:szCs w:val="21"/>
              </w:rPr>
            </w:pPr>
            <w:r>
              <w:rPr>
                <w:rFonts w:hint="eastAsia" w:hAnsi="宋体"/>
                <w:szCs w:val="21"/>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2235" w:type="dxa"/>
            <w:vAlign w:val="top"/>
          </w:tcPr>
          <w:p>
            <w:pPr>
              <w:spacing w:before="60" w:after="60" w:line="220" w:lineRule="exact"/>
              <w:rPr>
                <w:rFonts w:hint="eastAsia" w:hAnsi="宋体"/>
                <w:szCs w:val="21"/>
              </w:rPr>
            </w:pPr>
            <w:r>
              <w:rPr>
                <w:rFonts w:hint="eastAsia" w:hAnsi="宋体"/>
                <w:szCs w:val="21"/>
              </w:rPr>
              <w:t>额定电流（A）</w:t>
            </w:r>
          </w:p>
        </w:tc>
        <w:tc>
          <w:tcPr>
            <w:tcW w:w="4369" w:type="dxa"/>
            <w:vAlign w:val="center"/>
          </w:tcPr>
          <w:p>
            <w:pPr>
              <w:spacing w:before="60" w:after="60" w:line="220" w:lineRule="exact"/>
              <w:rPr>
                <w:rFonts w:hint="eastAsia" w:hAnsi="宋体"/>
                <w:szCs w:val="21"/>
              </w:rPr>
            </w:pPr>
            <w:r>
              <w:rPr>
                <w:rFonts w:hint="eastAsia" w:hAnsi="宋体"/>
                <w:szCs w:val="21"/>
              </w:rPr>
              <w:t>1～125</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5" w:hRule="atLeast"/>
        </w:trPr>
        <w:tc>
          <w:tcPr>
            <w:tcW w:w="2235" w:type="dxa"/>
            <w:vAlign w:val="top"/>
          </w:tcPr>
          <w:p>
            <w:pPr>
              <w:spacing w:before="60" w:after="60" w:line="220" w:lineRule="exact"/>
              <w:rPr>
                <w:rFonts w:hint="eastAsia" w:hAnsi="宋体"/>
                <w:szCs w:val="21"/>
              </w:rPr>
            </w:pPr>
            <w:r>
              <w:rPr>
                <w:rFonts w:hint="eastAsia" w:hAnsi="宋体"/>
                <w:szCs w:val="21"/>
              </w:rPr>
              <w:t>额定工作电压（V）</w:t>
            </w:r>
          </w:p>
        </w:tc>
        <w:tc>
          <w:tcPr>
            <w:tcW w:w="4369" w:type="dxa"/>
            <w:vAlign w:val="center"/>
          </w:tcPr>
          <w:p>
            <w:pPr>
              <w:spacing w:before="60" w:after="60" w:line="220" w:lineRule="exact"/>
              <w:rPr>
                <w:rFonts w:hint="eastAsia" w:hAnsi="宋体"/>
                <w:szCs w:val="21"/>
              </w:rPr>
            </w:pPr>
            <w:r>
              <w:rPr>
                <w:rFonts w:hint="eastAsia" w:hAnsi="宋体"/>
                <w:szCs w:val="21"/>
              </w:rPr>
              <w:t>230/400  AC</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00" w:hRule="atLeast"/>
        </w:trPr>
        <w:tc>
          <w:tcPr>
            <w:tcW w:w="2235" w:type="dxa"/>
            <w:vAlign w:val="top"/>
          </w:tcPr>
          <w:p>
            <w:pPr>
              <w:spacing w:before="60" w:after="60" w:line="220" w:lineRule="exact"/>
              <w:rPr>
                <w:rFonts w:hint="eastAsia" w:hAnsi="宋体"/>
                <w:szCs w:val="21"/>
              </w:rPr>
            </w:pPr>
            <w:r>
              <w:rPr>
                <w:rFonts w:hint="eastAsia" w:hAnsi="宋体"/>
                <w:szCs w:val="21"/>
              </w:rPr>
              <w:t>冲击耐压</w:t>
            </w:r>
          </w:p>
        </w:tc>
        <w:tc>
          <w:tcPr>
            <w:tcW w:w="4369" w:type="dxa"/>
            <w:vAlign w:val="center"/>
          </w:tcPr>
          <w:p>
            <w:pPr>
              <w:spacing w:before="60" w:after="60" w:line="220" w:lineRule="exact"/>
              <w:rPr>
                <w:rFonts w:hint="eastAsia" w:hAnsi="宋体"/>
                <w:szCs w:val="21"/>
              </w:rPr>
            </w:pPr>
            <w:r>
              <w:rPr>
                <w:rFonts w:hint="eastAsia" w:hAnsi="宋体"/>
                <w:szCs w:val="21"/>
              </w:rPr>
              <w:t>6000V</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40" w:hRule="atLeast"/>
        </w:trPr>
        <w:tc>
          <w:tcPr>
            <w:tcW w:w="2235" w:type="dxa"/>
            <w:vAlign w:val="top"/>
          </w:tcPr>
          <w:p>
            <w:pPr>
              <w:spacing w:before="60" w:after="60" w:line="220" w:lineRule="exact"/>
              <w:rPr>
                <w:rFonts w:hint="eastAsia" w:hAnsi="宋体"/>
                <w:szCs w:val="21"/>
              </w:rPr>
            </w:pPr>
            <w:r>
              <w:rPr>
                <w:rFonts w:hint="eastAsia" w:hAnsi="宋体"/>
                <w:szCs w:val="21"/>
              </w:rPr>
              <w:t>脱扣时间（S）</w:t>
            </w:r>
          </w:p>
        </w:tc>
        <w:tc>
          <w:tcPr>
            <w:tcW w:w="4369" w:type="dxa"/>
            <w:vAlign w:val="center"/>
          </w:tcPr>
          <w:p>
            <w:pPr>
              <w:spacing w:before="60" w:after="60" w:line="220" w:lineRule="exact"/>
              <w:rPr>
                <w:rFonts w:hint="eastAsia" w:hAnsi="宋体"/>
                <w:szCs w:val="21"/>
              </w:rPr>
            </w:pPr>
            <w:r>
              <w:rPr>
                <w:rFonts w:hint="eastAsia" w:hAnsi="宋体"/>
                <w:szCs w:val="21"/>
              </w:rPr>
              <w:t>&lt; 0.1</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60" w:hRule="atLeast"/>
        </w:trPr>
        <w:tc>
          <w:tcPr>
            <w:tcW w:w="2235" w:type="dxa"/>
            <w:vAlign w:val="top"/>
          </w:tcPr>
          <w:p>
            <w:pPr>
              <w:spacing w:before="60" w:after="60" w:line="220" w:lineRule="exact"/>
              <w:rPr>
                <w:rFonts w:hint="eastAsia" w:hAnsi="宋体"/>
                <w:szCs w:val="21"/>
              </w:rPr>
            </w:pPr>
            <w:r>
              <w:rPr>
                <w:rFonts w:hint="eastAsia" w:hAnsi="宋体"/>
                <w:szCs w:val="21"/>
              </w:rPr>
              <w:t>分断能力（kA）</w:t>
            </w:r>
          </w:p>
        </w:tc>
        <w:tc>
          <w:tcPr>
            <w:tcW w:w="4369" w:type="dxa"/>
            <w:vAlign w:val="center"/>
          </w:tcPr>
          <w:p>
            <w:pPr>
              <w:spacing w:before="60" w:after="60" w:line="220" w:lineRule="exact"/>
              <w:rPr>
                <w:rFonts w:hint="eastAsia" w:hAnsi="宋体"/>
                <w:szCs w:val="21"/>
              </w:rPr>
            </w:pPr>
            <w:r>
              <w:rPr>
                <w:rFonts w:hint="eastAsia" w:hAnsi="宋体"/>
                <w:szCs w:val="21"/>
              </w:rPr>
              <w:t>≥10</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80" w:hRule="atLeast"/>
        </w:trPr>
        <w:tc>
          <w:tcPr>
            <w:tcW w:w="2235" w:type="dxa"/>
            <w:vAlign w:val="top"/>
          </w:tcPr>
          <w:p>
            <w:pPr>
              <w:spacing w:before="60" w:after="60" w:line="220" w:lineRule="exact"/>
              <w:rPr>
                <w:rFonts w:hint="eastAsia" w:hAnsi="宋体"/>
                <w:szCs w:val="21"/>
              </w:rPr>
            </w:pPr>
            <w:r>
              <w:rPr>
                <w:rFonts w:hint="eastAsia" w:hAnsi="宋体"/>
                <w:szCs w:val="21"/>
              </w:rPr>
              <w:t>机械寿命（次）</w:t>
            </w:r>
          </w:p>
        </w:tc>
        <w:tc>
          <w:tcPr>
            <w:tcW w:w="4369" w:type="dxa"/>
            <w:vAlign w:val="center"/>
          </w:tcPr>
          <w:p>
            <w:pPr>
              <w:spacing w:before="60" w:after="60" w:line="220" w:lineRule="exact"/>
              <w:rPr>
                <w:rFonts w:hint="eastAsia" w:hAnsi="宋体"/>
                <w:szCs w:val="21"/>
              </w:rPr>
            </w:pPr>
            <w:r>
              <w:rPr>
                <w:rFonts w:hint="eastAsia" w:hAnsi="宋体"/>
                <w:szCs w:val="21"/>
              </w:rPr>
              <w:t>20000</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0" w:hRule="atLeast"/>
        </w:trPr>
        <w:tc>
          <w:tcPr>
            <w:tcW w:w="2235" w:type="dxa"/>
            <w:vAlign w:val="top"/>
          </w:tcPr>
          <w:p>
            <w:pPr>
              <w:spacing w:before="60" w:after="60" w:line="220" w:lineRule="exact"/>
              <w:rPr>
                <w:rFonts w:hint="eastAsia" w:hAnsi="宋体"/>
                <w:szCs w:val="21"/>
              </w:rPr>
            </w:pPr>
            <w:r>
              <w:rPr>
                <w:rFonts w:hint="eastAsia" w:hAnsi="宋体"/>
                <w:szCs w:val="21"/>
              </w:rPr>
              <w:t>保护</w:t>
            </w:r>
          </w:p>
        </w:tc>
        <w:tc>
          <w:tcPr>
            <w:tcW w:w="4369" w:type="dxa"/>
            <w:vAlign w:val="center"/>
          </w:tcPr>
          <w:p>
            <w:pPr>
              <w:spacing w:before="60" w:after="60" w:line="220" w:lineRule="exact"/>
              <w:rPr>
                <w:rFonts w:hint="eastAsia" w:hAnsi="宋体"/>
                <w:szCs w:val="21"/>
              </w:rPr>
            </w:pPr>
            <w:r>
              <w:rPr>
                <w:rFonts w:hint="eastAsia" w:hAnsi="宋体"/>
                <w:szCs w:val="21"/>
              </w:rPr>
              <w:t>过载、短路、接地</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00" w:hRule="atLeast"/>
        </w:trPr>
        <w:tc>
          <w:tcPr>
            <w:tcW w:w="2235" w:type="dxa"/>
            <w:vAlign w:val="top"/>
          </w:tcPr>
          <w:p>
            <w:pPr>
              <w:spacing w:before="60" w:after="60" w:line="220" w:lineRule="exact"/>
              <w:rPr>
                <w:rFonts w:hint="eastAsia" w:hAnsi="宋体"/>
                <w:szCs w:val="21"/>
              </w:rPr>
            </w:pPr>
            <w:r>
              <w:rPr>
                <w:rFonts w:hint="eastAsia" w:hAnsi="宋体"/>
                <w:szCs w:val="21"/>
              </w:rPr>
              <w:t>漏电形式</w:t>
            </w:r>
          </w:p>
        </w:tc>
        <w:tc>
          <w:tcPr>
            <w:tcW w:w="4369" w:type="dxa"/>
            <w:vAlign w:val="center"/>
          </w:tcPr>
          <w:p>
            <w:pPr>
              <w:spacing w:before="60" w:after="60" w:line="220" w:lineRule="exact"/>
              <w:rPr>
                <w:rFonts w:hint="eastAsia" w:hAnsi="宋体"/>
                <w:szCs w:val="21"/>
              </w:rPr>
            </w:pPr>
            <w:r>
              <w:rPr>
                <w:rFonts w:hint="eastAsia" w:hAnsi="宋体"/>
                <w:szCs w:val="21"/>
              </w:rPr>
              <w:t>电磁式（插座配电回路需要带漏电保护功能）</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2235" w:type="dxa"/>
            <w:vAlign w:val="center"/>
          </w:tcPr>
          <w:p>
            <w:pPr>
              <w:spacing w:before="60" w:after="60" w:line="220" w:lineRule="exact"/>
              <w:rPr>
                <w:rFonts w:hint="eastAsia" w:hAnsi="宋体"/>
                <w:szCs w:val="21"/>
              </w:rPr>
            </w:pPr>
            <w:r>
              <w:rPr>
                <w:rFonts w:hint="eastAsia" w:hAnsi="宋体"/>
                <w:szCs w:val="21"/>
              </w:rPr>
              <w:t>极数</w:t>
            </w:r>
          </w:p>
        </w:tc>
        <w:tc>
          <w:tcPr>
            <w:tcW w:w="4369" w:type="dxa"/>
            <w:vAlign w:val="center"/>
          </w:tcPr>
          <w:p>
            <w:pPr>
              <w:spacing w:before="60" w:after="60" w:line="220" w:lineRule="exact"/>
              <w:rPr>
                <w:rFonts w:hint="eastAsia" w:hAnsi="宋体"/>
                <w:szCs w:val="21"/>
              </w:rPr>
            </w:pPr>
            <w:r>
              <w:rPr>
                <w:rFonts w:hint="eastAsia" w:hAnsi="宋体"/>
                <w:szCs w:val="21"/>
              </w:rPr>
              <w:t xml:space="preserve">1、2、3、4极 </w:t>
            </w:r>
          </w:p>
        </w:tc>
        <w:tc>
          <w:tcPr>
            <w:tcW w:w="1584" w:type="dxa"/>
            <w:vAlign w:val="top"/>
          </w:tcPr>
          <w:p>
            <w:pPr>
              <w:spacing w:before="60" w:after="60" w:line="220" w:lineRule="exact"/>
              <w:rPr>
                <w:rFonts w:hint="eastAsia" w:hAnsi="宋体"/>
                <w:szCs w:val="21"/>
              </w:rPr>
            </w:pPr>
            <w:r>
              <w:rPr>
                <w:rFonts w:hint="eastAsia" w:hAnsi="宋体"/>
                <w:szCs w:val="21"/>
              </w:rPr>
              <w:t>按照图纸要求选配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2235" w:type="dxa"/>
            <w:vAlign w:val="top"/>
          </w:tcPr>
          <w:p>
            <w:pPr>
              <w:spacing w:before="60" w:after="60" w:line="220" w:lineRule="exact"/>
              <w:rPr>
                <w:rFonts w:hint="eastAsia" w:hAnsi="宋体"/>
                <w:szCs w:val="21"/>
              </w:rPr>
            </w:pPr>
            <w:r>
              <w:rPr>
                <w:rFonts w:hint="eastAsia" w:hAnsi="宋体"/>
                <w:szCs w:val="21"/>
              </w:rPr>
              <w:t>辅助触点、报警触点、分励或失压脱扣器</w:t>
            </w:r>
          </w:p>
        </w:tc>
        <w:tc>
          <w:tcPr>
            <w:tcW w:w="4369" w:type="dxa"/>
            <w:vAlign w:val="center"/>
          </w:tcPr>
          <w:p>
            <w:pPr>
              <w:spacing w:before="60" w:after="60" w:line="220" w:lineRule="exact"/>
              <w:rPr>
                <w:rFonts w:hint="eastAsia" w:hAnsi="宋体"/>
                <w:szCs w:val="21"/>
              </w:rPr>
            </w:pPr>
            <w:r>
              <w:rPr>
                <w:rFonts w:hint="eastAsia" w:hAnsi="宋体"/>
                <w:szCs w:val="21"/>
              </w:rPr>
              <w:t>可配附件</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2235" w:type="dxa"/>
            <w:vAlign w:val="top"/>
          </w:tcPr>
          <w:p>
            <w:pPr>
              <w:spacing w:before="60" w:after="60" w:line="220" w:lineRule="exact"/>
              <w:rPr>
                <w:rFonts w:hint="eastAsia" w:hAnsi="宋体"/>
                <w:szCs w:val="21"/>
              </w:rPr>
            </w:pPr>
            <w:r>
              <w:rPr>
                <w:rFonts w:hint="eastAsia" w:hAnsi="宋体"/>
                <w:szCs w:val="21"/>
              </w:rPr>
              <w:t>脱扣器形式</w:t>
            </w:r>
          </w:p>
        </w:tc>
        <w:tc>
          <w:tcPr>
            <w:tcW w:w="4369" w:type="dxa"/>
            <w:vAlign w:val="center"/>
          </w:tcPr>
          <w:p>
            <w:pPr>
              <w:spacing w:before="60" w:after="60" w:line="220" w:lineRule="exact"/>
              <w:rPr>
                <w:rFonts w:hint="eastAsia" w:hAnsi="宋体"/>
                <w:szCs w:val="21"/>
              </w:rPr>
            </w:pPr>
            <w:r>
              <w:rPr>
                <w:rFonts w:hint="eastAsia" w:hAnsi="宋体"/>
                <w:szCs w:val="21"/>
              </w:rPr>
              <w:t>照明回路采用C脱扣曲线，其余全部选用D脱扣曲线</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2235" w:type="dxa"/>
            <w:vAlign w:val="top"/>
          </w:tcPr>
          <w:p>
            <w:pPr>
              <w:spacing w:before="60" w:after="60" w:line="220" w:lineRule="exact"/>
              <w:rPr>
                <w:rFonts w:hint="eastAsia" w:hAnsi="宋体"/>
                <w:szCs w:val="21"/>
              </w:rPr>
            </w:pPr>
            <w:r>
              <w:rPr>
                <w:rFonts w:hint="eastAsia" w:hAnsi="宋体"/>
                <w:szCs w:val="21"/>
              </w:rPr>
              <w:t>安装型式</w:t>
            </w:r>
          </w:p>
        </w:tc>
        <w:tc>
          <w:tcPr>
            <w:tcW w:w="4369" w:type="dxa"/>
            <w:vAlign w:val="center"/>
          </w:tcPr>
          <w:p>
            <w:pPr>
              <w:spacing w:before="60" w:after="60" w:line="220" w:lineRule="exact"/>
              <w:rPr>
                <w:rFonts w:hint="eastAsia" w:hAnsi="宋体"/>
                <w:szCs w:val="21"/>
              </w:rPr>
            </w:pPr>
            <w:r>
              <w:rPr>
                <w:rFonts w:hint="eastAsia" w:hAnsi="宋体"/>
                <w:szCs w:val="21"/>
              </w:rPr>
              <w:t>固定式导轨安装</w:t>
            </w:r>
          </w:p>
        </w:tc>
        <w:tc>
          <w:tcPr>
            <w:tcW w:w="1584" w:type="dxa"/>
            <w:vAlign w:val="top"/>
          </w:tcPr>
          <w:p>
            <w:pPr>
              <w:spacing w:before="60" w:after="60" w:line="220" w:lineRule="exact"/>
              <w:rPr>
                <w:rFonts w:hint="eastAsia"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6604" w:type="dxa"/>
            <w:gridSpan w:val="2"/>
            <w:vAlign w:val="top"/>
          </w:tcPr>
          <w:p>
            <w:pPr>
              <w:spacing w:before="60" w:after="60" w:line="220" w:lineRule="exact"/>
              <w:rPr>
                <w:rFonts w:hint="eastAsia" w:hAnsi="宋体"/>
                <w:szCs w:val="21"/>
              </w:rPr>
            </w:pPr>
            <w:r>
              <w:rPr>
                <w:rFonts w:hAnsi="宋体"/>
                <w:szCs w:val="21"/>
              </w:rPr>
              <w:t>应具备除手柄外的明确触头位置指示（或分合闸指示），以显示断路器出线侧带电状态，确保人身安全</w:t>
            </w:r>
            <w:r>
              <w:rPr>
                <w:rFonts w:hint="eastAsia" w:hAnsi="宋体"/>
                <w:szCs w:val="21"/>
              </w:rPr>
              <w:t>；</w:t>
            </w:r>
            <w:r>
              <w:rPr>
                <w:rFonts w:hAnsi="宋体"/>
                <w:szCs w:val="21"/>
              </w:rPr>
              <w:t>选用热固型外壳材料，并满足V0级阻燃要求</w:t>
            </w:r>
            <w:r>
              <w:rPr>
                <w:rFonts w:hint="eastAsia" w:hAnsi="宋体"/>
                <w:szCs w:val="21"/>
              </w:rPr>
              <w:t>；采用</w:t>
            </w:r>
            <w:r>
              <w:rPr>
                <w:rFonts w:hAnsi="宋体"/>
                <w:szCs w:val="21"/>
              </w:rPr>
              <w:t>金属独立机芯</w:t>
            </w:r>
            <w:r>
              <w:rPr>
                <w:rFonts w:hint="eastAsia" w:hAnsi="宋体"/>
                <w:szCs w:val="21"/>
              </w:rPr>
              <w:t>,以确保</w:t>
            </w:r>
            <w:r>
              <w:rPr>
                <w:rFonts w:hAnsi="宋体"/>
                <w:szCs w:val="21"/>
              </w:rPr>
              <w:t>微型断路器工作稳定</w:t>
            </w:r>
            <w:r>
              <w:rPr>
                <w:rFonts w:hint="eastAsia" w:hAnsi="宋体"/>
                <w:szCs w:val="21"/>
              </w:rPr>
              <w:t>及可靠性</w:t>
            </w:r>
          </w:p>
        </w:tc>
        <w:tc>
          <w:tcPr>
            <w:tcW w:w="1584" w:type="dxa"/>
            <w:vAlign w:val="top"/>
          </w:tcPr>
          <w:p>
            <w:pPr>
              <w:spacing w:before="60" w:after="60" w:line="220" w:lineRule="exact"/>
              <w:rPr>
                <w:rFonts w:hAnsi="宋体"/>
                <w:szCs w:val="21"/>
              </w:rPr>
            </w:pPr>
          </w:p>
        </w:tc>
      </w:tr>
    </w:tbl>
    <w:p>
      <w:pPr>
        <w:numPr>
          <w:ilvl w:val="0"/>
          <w:numId w:val="2"/>
        </w:numPr>
        <w:spacing w:line="540" w:lineRule="exact"/>
        <w:rPr>
          <w:rFonts w:hint="eastAsia" w:hAnsi="宋体" w:cs="Arial"/>
        </w:rPr>
      </w:pPr>
      <w:r>
        <w:rPr>
          <w:rFonts w:hint="eastAsia" w:hAnsi="宋体" w:cs="Arial"/>
        </w:rPr>
        <w:t>建议采用品质不低于建议采用品质不低于施耐德、ABB、西门子等品牌。</w:t>
      </w:r>
    </w:p>
    <w:p>
      <w:pPr>
        <w:spacing w:line="360" w:lineRule="auto"/>
        <w:ind w:firstLine="480"/>
        <w:rPr>
          <w:rFonts w:hint="eastAsia" w:hAnsi="宋体"/>
        </w:rPr>
      </w:pPr>
      <w:r>
        <w:rPr>
          <w:rFonts w:hint="eastAsia" w:hAnsi="宋体"/>
        </w:rPr>
        <w:t>（4）负荷隔离开关</w:t>
      </w:r>
    </w:p>
    <w:p>
      <w:pPr>
        <w:spacing w:line="360" w:lineRule="auto"/>
        <w:ind w:firstLine="480"/>
        <w:rPr>
          <w:rFonts w:hint="eastAsia" w:hAnsi="宋体"/>
        </w:rPr>
      </w:pPr>
      <w:r>
        <w:rPr>
          <w:rFonts w:hint="eastAsia" w:hAnsi="宋体"/>
        </w:rPr>
        <w:t>应满足系统电压、电流、频率以及承载能力的性能水平、动触头与手柄钢性联结，使操作手柄直接反映触头合分状态。</w:t>
      </w:r>
    </w:p>
    <w:p>
      <w:pPr>
        <w:spacing w:line="360" w:lineRule="auto"/>
        <w:ind w:firstLine="480"/>
        <w:rPr>
          <w:rFonts w:hint="eastAsia" w:hAnsi="宋体"/>
        </w:rPr>
      </w:pPr>
      <w:r>
        <w:rPr>
          <w:rFonts w:hint="eastAsia" w:hAnsi="宋体"/>
        </w:rPr>
        <w:t>触头采用银基合金材料，使之具有较高的电气寿命和较高的动热稳定性能。</w:t>
      </w:r>
    </w:p>
    <w:p>
      <w:pPr>
        <w:spacing w:line="360" w:lineRule="auto"/>
        <w:ind w:firstLine="480"/>
        <w:rPr>
          <w:rFonts w:hint="eastAsia" w:hAnsi="宋体"/>
        </w:rPr>
      </w:pPr>
      <w:r>
        <w:rPr>
          <w:rFonts w:hint="eastAsia" w:hAnsi="宋体"/>
        </w:rPr>
        <w:t>具有明显的断开点，具有灭弧装置有一定的断流能力，可以带负荷操作。</w:t>
      </w:r>
    </w:p>
    <w:p>
      <w:pPr>
        <w:spacing w:line="360" w:lineRule="auto"/>
        <w:ind w:firstLine="480"/>
        <w:rPr>
          <w:rFonts w:hint="eastAsia" w:hAnsi="宋体"/>
        </w:rPr>
      </w:pPr>
      <w:r>
        <w:rPr>
          <w:rFonts w:hint="eastAsia" w:hAnsi="宋体"/>
        </w:rPr>
        <w:t>1）额定电流小于等于100A：</w:t>
      </w:r>
    </w:p>
    <w:p>
      <w:pPr>
        <w:spacing w:line="360" w:lineRule="auto"/>
        <w:ind w:firstLine="480"/>
        <w:rPr>
          <w:rFonts w:hint="eastAsia" w:hAnsi="宋体"/>
        </w:rPr>
      </w:pPr>
      <w:r>
        <w:rPr>
          <w:rFonts w:hint="eastAsia" w:hAnsi="宋体"/>
        </w:rPr>
        <w:t>采用紧凑型。与人力无关的快分快合触头结构，手柄在OFF位置可加挂锁锁定，全系列通用的辅助触点。</w:t>
      </w:r>
    </w:p>
    <w:p>
      <w:pPr>
        <w:spacing w:line="360" w:lineRule="auto"/>
        <w:ind w:firstLine="480"/>
        <w:rPr>
          <w:rFonts w:hint="eastAsia" w:hAnsi="宋体"/>
        </w:rPr>
      </w:pPr>
      <w:r>
        <w:rPr>
          <w:rFonts w:hint="eastAsia" w:hAnsi="宋体"/>
        </w:rPr>
        <w:t>额定绝缘电压： 750V；</w:t>
      </w:r>
    </w:p>
    <w:p>
      <w:pPr>
        <w:spacing w:line="360" w:lineRule="auto"/>
        <w:ind w:firstLine="480"/>
        <w:rPr>
          <w:rFonts w:hint="eastAsia" w:hAnsi="宋体"/>
        </w:rPr>
      </w:pPr>
      <w:r>
        <w:rPr>
          <w:rFonts w:hint="eastAsia" w:hAnsi="宋体"/>
        </w:rPr>
        <w:t>额定冲击耐受电压：6kV；</w:t>
      </w:r>
    </w:p>
    <w:p>
      <w:pPr>
        <w:spacing w:line="360" w:lineRule="auto"/>
        <w:ind w:firstLine="480"/>
        <w:rPr>
          <w:rFonts w:hint="eastAsia" w:hAnsi="宋体"/>
        </w:rPr>
      </w:pPr>
      <w:r>
        <w:rPr>
          <w:rFonts w:hint="eastAsia" w:hAnsi="宋体"/>
        </w:rPr>
        <w:t>机械寿命：20000次；</w:t>
      </w:r>
    </w:p>
    <w:p>
      <w:pPr>
        <w:spacing w:line="360" w:lineRule="auto"/>
        <w:ind w:firstLine="480"/>
        <w:rPr>
          <w:rFonts w:hint="eastAsia" w:hAnsi="宋体"/>
        </w:rPr>
      </w:pPr>
      <w:r>
        <w:rPr>
          <w:rFonts w:hint="eastAsia" w:hAnsi="宋体"/>
        </w:rPr>
        <w:t>2）额定电流大于100A：</w:t>
      </w:r>
    </w:p>
    <w:p>
      <w:pPr>
        <w:numPr>
          <w:ilvl w:val="0"/>
          <w:numId w:val="3"/>
        </w:numPr>
        <w:autoSpaceDE w:val="0"/>
        <w:autoSpaceDN w:val="0"/>
        <w:adjustRightInd w:val="0"/>
        <w:spacing w:line="360" w:lineRule="auto"/>
        <w:jc w:val="left"/>
        <w:rPr>
          <w:rFonts w:hint="eastAsia" w:hAnsi="宋体"/>
        </w:rPr>
      </w:pPr>
      <w:r>
        <w:rPr>
          <w:rFonts w:hint="eastAsia" w:hAnsi="宋体"/>
        </w:rPr>
        <w:t>为模块化结构设计、安装方便，加装各种附件（如辅助触头、报警触头）而无需改变断路器结构和通风空调电控柜结构，同时面板、附件为标准化设计。</w:t>
      </w:r>
    </w:p>
    <w:p>
      <w:pPr>
        <w:numPr>
          <w:ilvl w:val="0"/>
          <w:numId w:val="3"/>
        </w:numPr>
        <w:autoSpaceDE w:val="0"/>
        <w:autoSpaceDN w:val="0"/>
        <w:adjustRightInd w:val="0"/>
        <w:spacing w:line="360" w:lineRule="auto"/>
        <w:jc w:val="left"/>
        <w:rPr>
          <w:rFonts w:hint="eastAsia" w:hAnsi="宋体"/>
        </w:rPr>
      </w:pPr>
      <w:r>
        <w:rPr>
          <w:rFonts w:hint="eastAsia" w:hAnsi="宋体"/>
        </w:rPr>
        <w:t>低压负荷开关应为抗湿热型产品，60°C以下无需降容，上、下进线无需降容，耐受冲击电压Uimp：8kV。</w:t>
      </w:r>
    </w:p>
    <w:p>
      <w:pPr>
        <w:numPr>
          <w:ilvl w:val="0"/>
          <w:numId w:val="3"/>
        </w:numPr>
        <w:autoSpaceDE w:val="0"/>
        <w:autoSpaceDN w:val="0"/>
        <w:adjustRightInd w:val="0"/>
        <w:spacing w:line="360" w:lineRule="auto"/>
        <w:jc w:val="left"/>
        <w:rPr>
          <w:rFonts w:hint="eastAsia" w:hAnsi="宋体"/>
        </w:rPr>
      </w:pPr>
      <w:r>
        <w:rPr>
          <w:rFonts w:hint="eastAsia" w:hAnsi="宋体"/>
        </w:rPr>
        <w:t>开关的机械系统，保障手柄位置切实反映主触点位置，满足IEC60947-3标准中定义的隔离，隔离位置对应于O位置，触点完全断开时操作手柄才能处于O的位置，确定断开时，才能在Off位置用挂锁锁定。</w:t>
      </w:r>
    </w:p>
    <w:p>
      <w:pPr>
        <w:numPr>
          <w:ilvl w:val="0"/>
          <w:numId w:val="3"/>
        </w:numPr>
        <w:autoSpaceDE w:val="0"/>
        <w:autoSpaceDN w:val="0"/>
        <w:adjustRightInd w:val="0"/>
        <w:spacing w:line="360" w:lineRule="auto"/>
        <w:jc w:val="left"/>
        <w:rPr>
          <w:rFonts w:hint="eastAsia" w:hAnsi="宋体"/>
        </w:rPr>
      </w:pPr>
      <w:r>
        <w:rPr>
          <w:rFonts w:hint="eastAsia" w:hAnsi="宋体"/>
        </w:rPr>
        <w:t>采用的双断口触头设计，利于灭弧。</w:t>
      </w:r>
    </w:p>
    <w:p>
      <w:pPr>
        <w:numPr>
          <w:ilvl w:val="0"/>
          <w:numId w:val="3"/>
        </w:numPr>
        <w:autoSpaceDE w:val="0"/>
        <w:autoSpaceDN w:val="0"/>
        <w:adjustRightInd w:val="0"/>
        <w:spacing w:line="360" w:lineRule="auto"/>
        <w:jc w:val="left"/>
        <w:rPr>
          <w:rFonts w:hint="eastAsia" w:hAnsi="宋体"/>
        </w:rPr>
      </w:pPr>
      <w:r>
        <w:rPr>
          <w:rFonts w:hint="eastAsia" w:hAnsi="宋体"/>
        </w:rPr>
        <w:t>采用双边弹簧式的操作机构，与人力操作无关。</w:t>
      </w:r>
    </w:p>
    <w:p>
      <w:pPr>
        <w:numPr>
          <w:ilvl w:val="0"/>
          <w:numId w:val="3"/>
        </w:numPr>
        <w:autoSpaceDE w:val="0"/>
        <w:autoSpaceDN w:val="0"/>
        <w:adjustRightInd w:val="0"/>
        <w:spacing w:line="360" w:lineRule="auto"/>
        <w:jc w:val="left"/>
        <w:rPr>
          <w:rFonts w:hint="eastAsia" w:hAnsi="宋体"/>
        </w:rPr>
      </w:pPr>
      <w:r>
        <w:rPr>
          <w:rFonts w:hint="eastAsia" w:hAnsi="宋体"/>
        </w:rPr>
        <w:t>采用可视的分断断点。以保证可以清晰的看到触头分合闸状态。</w:t>
      </w:r>
    </w:p>
    <w:p>
      <w:pPr>
        <w:numPr>
          <w:ilvl w:val="0"/>
          <w:numId w:val="3"/>
        </w:numPr>
        <w:spacing w:line="540" w:lineRule="exact"/>
        <w:rPr>
          <w:rFonts w:hint="eastAsia" w:hAnsi="宋体" w:cs="Arial"/>
        </w:rPr>
      </w:pPr>
      <w:r>
        <w:rPr>
          <w:rFonts w:hint="eastAsia" w:hAnsi="宋体" w:cs="Arial"/>
        </w:rPr>
        <w:t>建议采用品质不低于施耐德、ABB、西门子等品牌。</w:t>
      </w:r>
    </w:p>
    <w:p>
      <w:pPr>
        <w:spacing w:line="360" w:lineRule="auto"/>
        <w:ind w:firstLine="480"/>
        <w:rPr>
          <w:rFonts w:hint="eastAsia" w:hAnsi="宋体"/>
        </w:rPr>
      </w:pPr>
      <w:r>
        <w:rPr>
          <w:rFonts w:hint="eastAsia" w:hAnsi="宋体"/>
        </w:rPr>
        <w:t xml:space="preserve"> (5)中间继电器</w:t>
      </w:r>
    </w:p>
    <w:p>
      <w:pPr>
        <w:spacing w:line="360" w:lineRule="auto"/>
        <w:ind w:firstLine="480"/>
        <w:rPr>
          <w:rFonts w:hint="eastAsia" w:hAnsi="宋体"/>
        </w:rPr>
      </w:pPr>
      <w:r>
        <w:rPr>
          <w:rFonts w:hint="eastAsia" w:hAnsi="宋体"/>
        </w:rPr>
        <w:t>1）爬电距离：一般要求≥3mm。</w:t>
      </w:r>
    </w:p>
    <w:p>
      <w:pPr>
        <w:spacing w:line="360" w:lineRule="auto"/>
        <w:ind w:firstLine="480"/>
        <w:rPr>
          <w:rFonts w:hint="eastAsia" w:hAnsi="宋体"/>
        </w:rPr>
      </w:pPr>
      <w:r>
        <w:rPr>
          <w:rFonts w:hint="eastAsia" w:hAnsi="宋体"/>
        </w:rPr>
        <w:t>2）绝缘抗电水平：无电气联系的导体之间≥AC 2000V，同组触点之间≥AC 1000 V。</w:t>
      </w:r>
    </w:p>
    <w:p>
      <w:pPr>
        <w:spacing w:line="360" w:lineRule="auto"/>
        <w:ind w:firstLine="480"/>
        <w:rPr>
          <w:rFonts w:hint="eastAsia" w:hAnsi="宋体"/>
        </w:rPr>
      </w:pPr>
      <w:r>
        <w:rPr>
          <w:rFonts w:hint="eastAsia" w:hAnsi="宋体"/>
        </w:rPr>
        <w:t>3）足够的负载能力：DC 220 V感性，5～40 ms，≥50W。</w:t>
      </w:r>
    </w:p>
    <w:p>
      <w:pPr>
        <w:spacing w:line="360" w:lineRule="auto"/>
        <w:ind w:firstLine="480"/>
        <w:rPr>
          <w:rFonts w:hint="eastAsia" w:hAnsi="宋体"/>
        </w:rPr>
      </w:pPr>
      <w:r>
        <w:rPr>
          <w:rFonts w:hint="eastAsia" w:hAnsi="宋体"/>
        </w:rPr>
        <w:t>4）长期耐受气候应力的能力：线圈防霉断、绝缘抗电水平长期稳定可靠。</w:t>
      </w:r>
    </w:p>
    <w:p>
      <w:pPr>
        <w:spacing w:line="360" w:lineRule="auto"/>
        <w:ind w:firstLine="480"/>
        <w:rPr>
          <w:rFonts w:hint="eastAsia" w:hAnsi="宋体"/>
        </w:rPr>
      </w:pPr>
      <w:r>
        <w:rPr>
          <w:rFonts w:hint="eastAsia" w:hAnsi="宋体"/>
        </w:rPr>
        <w:t>5）中间继电器采用小型、超薄型的产品。</w:t>
      </w:r>
    </w:p>
    <w:p>
      <w:pPr>
        <w:spacing w:line="360" w:lineRule="auto"/>
        <w:ind w:firstLine="480"/>
        <w:rPr>
          <w:rFonts w:hint="eastAsia" w:hAnsi="宋体"/>
        </w:rPr>
      </w:pPr>
      <w:r>
        <w:rPr>
          <w:rFonts w:hint="eastAsia" w:hAnsi="宋体"/>
        </w:rPr>
        <w:t xml:space="preserve">6）中间继电器应满足接点数量的需要。  </w:t>
      </w:r>
    </w:p>
    <w:p>
      <w:pPr>
        <w:spacing w:line="360" w:lineRule="auto"/>
        <w:ind w:firstLine="480"/>
        <w:rPr>
          <w:rFonts w:hint="eastAsia" w:hAnsi="宋体"/>
        </w:rPr>
      </w:pPr>
      <w:r>
        <w:rPr>
          <w:rFonts w:hint="eastAsia" w:hAnsi="宋体"/>
        </w:rPr>
        <w:t>(6) 接触器</w:t>
      </w:r>
    </w:p>
    <w:p>
      <w:pPr>
        <w:spacing w:line="360" w:lineRule="auto"/>
        <w:ind w:firstLine="480"/>
        <w:rPr>
          <w:rFonts w:hint="eastAsia" w:hAnsi="宋体"/>
        </w:rPr>
      </w:pPr>
      <w:r>
        <w:rPr>
          <w:rFonts w:hint="eastAsia" w:hAnsi="宋体"/>
        </w:rPr>
        <w:t>接触器主要用于控制三相电动机以及额定工作电压达690VAC/1000VAC或220VDC/600VDC的电力线路，并可适用于其它场合，如隔离、电容器切换、照明控制等。</w:t>
      </w:r>
    </w:p>
    <w:p>
      <w:pPr>
        <w:spacing w:line="360" w:lineRule="auto"/>
        <w:ind w:firstLine="480"/>
        <w:rPr>
          <w:rFonts w:hint="eastAsia" w:hAnsi="宋体"/>
        </w:rPr>
      </w:pPr>
      <w:r>
        <w:rPr>
          <w:rFonts w:hint="eastAsia" w:hAnsi="宋体"/>
        </w:rPr>
        <w:t>接触器的正面防护等级不低于IP20。</w:t>
      </w:r>
    </w:p>
    <w:p>
      <w:pPr>
        <w:spacing w:line="360" w:lineRule="auto"/>
        <w:ind w:firstLine="480"/>
        <w:rPr>
          <w:rFonts w:hAnsi="宋体"/>
        </w:rPr>
      </w:pPr>
      <w:r>
        <w:rPr>
          <w:rFonts w:hAnsi="宋体"/>
        </w:rPr>
        <w:t>主电路的额定绝缘电压（Ui）、额定工作电流（Ie）、约定发热电流（Ith）以及在相应工作制、相应使用类别下的额定工作电流（Ie）和额定工作功率（Pe）应满足相应的规程规范。</w:t>
      </w:r>
    </w:p>
    <w:p>
      <w:pPr>
        <w:spacing w:line="360" w:lineRule="auto"/>
        <w:ind w:firstLine="480"/>
        <w:rPr>
          <w:rFonts w:hAnsi="宋体"/>
        </w:rPr>
      </w:pPr>
      <w:r>
        <w:rPr>
          <w:rFonts w:hAnsi="宋体"/>
        </w:rPr>
        <w:t>接触器吸引线圈的消耗功率应满足相应的规程规范。</w:t>
      </w:r>
    </w:p>
    <w:p>
      <w:pPr>
        <w:spacing w:line="360" w:lineRule="auto"/>
        <w:ind w:firstLine="480"/>
        <w:rPr>
          <w:rFonts w:hAnsi="宋体"/>
        </w:rPr>
      </w:pPr>
      <w:r>
        <w:rPr>
          <w:rFonts w:hAnsi="宋体"/>
        </w:rPr>
        <w:t>接触器的吸引线圈在其额定控制电源电压Us的8</w:t>
      </w:r>
      <w:r>
        <w:rPr>
          <w:rFonts w:hint="eastAsia" w:hAnsi="宋体"/>
        </w:rPr>
        <w:t>0</w:t>
      </w:r>
      <w:r>
        <w:rPr>
          <w:rFonts w:hAnsi="宋体"/>
        </w:rPr>
        <w:t>%～1</w:t>
      </w:r>
      <w:r>
        <w:rPr>
          <w:rFonts w:hint="eastAsia" w:hAnsi="宋体"/>
        </w:rPr>
        <w:t>2</w:t>
      </w:r>
      <w:r>
        <w:rPr>
          <w:rFonts w:hAnsi="宋体"/>
        </w:rPr>
        <w:t>0%范围内能正常工作。</w:t>
      </w:r>
    </w:p>
    <w:p>
      <w:pPr>
        <w:spacing w:line="360" w:lineRule="auto"/>
        <w:ind w:firstLine="480"/>
        <w:rPr>
          <w:rFonts w:hAnsi="宋体"/>
        </w:rPr>
      </w:pPr>
      <w:r>
        <w:rPr>
          <w:rFonts w:hAnsi="宋体"/>
        </w:rPr>
        <w:t>接触器应该满足控制回路对接点数量的需要。</w:t>
      </w:r>
    </w:p>
    <w:p>
      <w:pPr>
        <w:spacing w:line="360" w:lineRule="auto"/>
        <w:ind w:firstLine="480"/>
        <w:rPr>
          <w:rFonts w:hint="eastAsia" w:hAnsi="宋体"/>
        </w:rPr>
      </w:pPr>
      <w:r>
        <w:rPr>
          <w:rFonts w:hAnsi="宋体"/>
        </w:rPr>
        <w:t>对需要正、反向旋转的设备控制采用的接触器应具有延时闭合的接点和机械联锁装置。</w:t>
      </w:r>
    </w:p>
    <w:p>
      <w:pPr>
        <w:spacing w:line="360" w:lineRule="auto"/>
        <w:ind w:firstLine="480"/>
        <w:rPr>
          <w:rFonts w:hint="eastAsia" w:hAnsi="宋体"/>
        </w:rPr>
      </w:pPr>
      <w:r>
        <w:rPr>
          <w:rFonts w:hint="eastAsia" w:hAnsi="宋体"/>
        </w:rPr>
        <w:t>配合BAS系统,</w:t>
      </w:r>
      <w:r>
        <w:rPr>
          <w:rFonts w:hAnsi="宋体"/>
        </w:rPr>
        <w:t>要求300A(AC3)以上接触器具有PLC直接控制端子。</w:t>
      </w:r>
    </w:p>
    <w:p>
      <w:pPr>
        <w:spacing w:line="360" w:lineRule="auto"/>
        <w:ind w:firstLine="480"/>
        <w:rPr>
          <w:rFonts w:hAnsi="宋体"/>
        </w:rPr>
      </w:pPr>
      <w:r>
        <w:rPr>
          <w:rFonts w:hAnsi="宋体"/>
        </w:rPr>
        <w:t>145A(AC3)及以上接触器所有电参数印制在接触器正面，以方便检修、更换和维护。</w:t>
      </w:r>
    </w:p>
    <w:p>
      <w:pPr>
        <w:spacing w:line="360" w:lineRule="auto"/>
        <w:ind w:firstLine="480"/>
        <w:rPr>
          <w:rFonts w:hAnsi="宋体"/>
        </w:rPr>
      </w:pPr>
      <w:r>
        <w:rPr>
          <w:rFonts w:hAnsi="宋体"/>
        </w:rPr>
        <w:t>145A(AC3)及以上接触器可与短路保护器件无间隙插装以节省安装空间</w:t>
      </w:r>
      <w:r>
        <w:rPr>
          <w:rFonts w:hint="eastAsia" w:hAnsi="宋体"/>
        </w:rPr>
        <w:t>。</w:t>
      </w:r>
    </w:p>
    <w:p>
      <w:pPr>
        <w:spacing w:line="360" w:lineRule="auto"/>
        <w:ind w:firstLine="480"/>
        <w:rPr>
          <w:rFonts w:hint="eastAsia" w:hAnsi="宋体"/>
        </w:rPr>
      </w:pPr>
      <w:r>
        <w:rPr>
          <w:rFonts w:hint="eastAsia" w:hAnsi="宋体"/>
        </w:rPr>
        <w:t>(7) 测量表计</w:t>
      </w:r>
    </w:p>
    <w:p>
      <w:pPr>
        <w:spacing w:line="360" w:lineRule="auto"/>
        <w:ind w:firstLine="480"/>
        <w:rPr>
          <w:rFonts w:hint="eastAsia" w:hAnsi="宋体"/>
        </w:rPr>
      </w:pPr>
      <w:r>
        <w:rPr>
          <w:rFonts w:hint="eastAsia" w:hAnsi="宋体"/>
        </w:rPr>
        <w:t>测量仪表及继电保护装置与带电部分保持足够的安全距离，否则应采取可靠的防护措施，以保证在带电部分不停电的情况下进行工作时，人员不致触及运行的导电体。</w:t>
      </w:r>
    </w:p>
    <w:p>
      <w:pPr>
        <w:spacing w:line="360" w:lineRule="auto"/>
        <w:ind w:firstLine="480"/>
        <w:rPr>
          <w:rFonts w:hint="eastAsia" w:hAnsi="宋体"/>
        </w:rPr>
      </w:pPr>
      <w:r>
        <w:rPr>
          <w:rFonts w:hint="eastAsia" w:hAnsi="宋体"/>
        </w:rPr>
        <w:t>测量仪表及继电保护装置应有可靠的防振动措施，不因箱内断路器的正常工作及故障动作电流产生的震动而影响它的正常工作及性能。</w:t>
      </w:r>
    </w:p>
    <w:p>
      <w:pPr>
        <w:spacing w:line="360" w:lineRule="auto"/>
        <w:ind w:firstLine="480"/>
        <w:rPr>
          <w:rFonts w:hint="eastAsia" w:hAnsi="宋体"/>
        </w:rPr>
      </w:pPr>
      <w:r>
        <w:rPr>
          <w:rFonts w:hint="eastAsia" w:hAnsi="宋体"/>
        </w:rPr>
        <w:t>其有功功率、无功功率的测量精度达1.0级。能准确测量配电箱回路的电流电压值。</w:t>
      </w:r>
    </w:p>
    <w:p>
      <w:pPr>
        <w:spacing w:line="360" w:lineRule="auto"/>
        <w:ind w:firstLine="480"/>
        <w:rPr>
          <w:rFonts w:hint="eastAsia" w:hAnsi="宋体"/>
        </w:rPr>
      </w:pPr>
      <w:r>
        <w:rPr>
          <w:rFonts w:hint="eastAsia" w:hAnsi="宋体"/>
        </w:rPr>
        <w:t>电度表采用电子式电能表，性能满足GB/T17215及GB/T 17422等技术要求。</w:t>
      </w:r>
    </w:p>
    <w:tbl>
      <w:tblPr>
        <w:tblStyle w:val="12"/>
        <w:tblW w:w="4141"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77" w:type="dxa"/>
            <w:vAlign w:val="top"/>
          </w:tcPr>
          <w:p>
            <w:pPr>
              <w:spacing w:before="60" w:after="60" w:line="220" w:lineRule="exact"/>
              <w:rPr>
                <w:rFonts w:hint="eastAsia" w:hAnsi="宋体"/>
                <w:szCs w:val="21"/>
              </w:rPr>
            </w:pPr>
            <w:r>
              <w:rPr>
                <w:rFonts w:hint="eastAsia" w:hAnsi="宋体"/>
                <w:szCs w:val="21"/>
              </w:rPr>
              <w:t>额定工作电压（V）</w:t>
            </w:r>
          </w:p>
        </w:tc>
        <w:tc>
          <w:tcPr>
            <w:tcW w:w="1664" w:type="dxa"/>
            <w:vAlign w:val="center"/>
          </w:tcPr>
          <w:p>
            <w:pPr>
              <w:spacing w:before="60" w:after="60" w:line="220" w:lineRule="exact"/>
              <w:rPr>
                <w:rFonts w:hint="eastAsia" w:hAnsi="宋体"/>
                <w:szCs w:val="21"/>
              </w:rPr>
            </w:pPr>
            <w:r>
              <w:rPr>
                <w:rFonts w:hint="eastAsia" w:hAnsi="宋体"/>
                <w:szCs w:val="21"/>
              </w:rPr>
              <w:t>230/400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5" w:hRule="atLeast"/>
          <w:jc w:val="center"/>
        </w:trPr>
        <w:tc>
          <w:tcPr>
            <w:tcW w:w="2477" w:type="dxa"/>
            <w:vAlign w:val="top"/>
          </w:tcPr>
          <w:p>
            <w:pPr>
              <w:spacing w:before="60" w:after="60" w:line="220" w:lineRule="exact"/>
              <w:rPr>
                <w:rFonts w:hint="eastAsia" w:hAnsi="宋体"/>
                <w:szCs w:val="21"/>
              </w:rPr>
            </w:pPr>
            <w:r>
              <w:rPr>
                <w:rFonts w:hint="eastAsia" w:hAnsi="宋体"/>
                <w:szCs w:val="21"/>
              </w:rPr>
              <w:t>精度等级</w:t>
            </w:r>
          </w:p>
        </w:tc>
        <w:tc>
          <w:tcPr>
            <w:tcW w:w="1664" w:type="dxa"/>
            <w:vAlign w:val="top"/>
          </w:tcPr>
          <w:p>
            <w:pPr>
              <w:spacing w:before="60" w:after="60" w:line="220" w:lineRule="exact"/>
              <w:rPr>
                <w:rFonts w:hint="eastAsia" w:hAnsi="宋体"/>
                <w:szCs w:val="21"/>
              </w:rPr>
            </w:pPr>
            <w:r>
              <w:rPr>
                <w:rFonts w:hint="eastAsia" w:hAnsi="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477" w:type="dxa"/>
            <w:vAlign w:val="top"/>
          </w:tcPr>
          <w:p>
            <w:pPr>
              <w:spacing w:before="60" w:after="60" w:line="220" w:lineRule="exact"/>
              <w:rPr>
                <w:rFonts w:hint="eastAsia" w:hAnsi="宋体"/>
                <w:szCs w:val="21"/>
              </w:rPr>
            </w:pPr>
            <w:r>
              <w:rPr>
                <w:rFonts w:hint="eastAsia" w:hAnsi="宋体"/>
                <w:szCs w:val="21"/>
              </w:rPr>
              <w:t>功耗（VA）</w:t>
            </w:r>
          </w:p>
        </w:tc>
        <w:tc>
          <w:tcPr>
            <w:tcW w:w="1664" w:type="dxa"/>
            <w:vAlign w:val="top"/>
          </w:tcPr>
          <w:p>
            <w:pPr>
              <w:spacing w:before="60" w:after="60" w:line="220" w:lineRule="exact"/>
              <w:rPr>
                <w:rFonts w:hint="eastAsia" w:hAnsi="宋体"/>
                <w:szCs w:val="21"/>
              </w:rPr>
            </w:pPr>
            <w:r>
              <w:rPr>
                <w:rFonts w:hint="eastAsia" w:hAnsi="宋体"/>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477" w:type="dxa"/>
            <w:vAlign w:val="top"/>
          </w:tcPr>
          <w:p>
            <w:pPr>
              <w:spacing w:before="60" w:after="60" w:line="220" w:lineRule="exact"/>
              <w:rPr>
                <w:rFonts w:hint="eastAsia" w:hAnsi="宋体"/>
                <w:szCs w:val="21"/>
              </w:rPr>
            </w:pPr>
            <w:r>
              <w:rPr>
                <w:rFonts w:hint="eastAsia" w:hAnsi="宋体"/>
                <w:szCs w:val="21"/>
              </w:rPr>
              <w:t>计量</w:t>
            </w:r>
          </w:p>
        </w:tc>
        <w:tc>
          <w:tcPr>
            <w:tcW w:w="1664" w:type="dxa"/>
            <w:vAlign w:val="top"/>
          </w:tcPr>
          <w:p>
            <w:pPr>
              <w:spacing w:before="60" w:after="60" w:line="220" w:lineRule="exact"/>
              <w:rPr>
                <w:rFonts w:hint="eastAsia" w:hAnsi="宋体"/>
                <w:szCs w:val="21"/>
              </w:rPr>
            </w:pPr>
            <w:r>
              <w:rPr>
                <w:rFonts w:hint="eastAsia" w:hAnsi="宋体"/>
                <w:szCs w:val="21"/>
              </w:rPr>
              <w:t>单相或三相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2477" w:type="dxa"/>
            <w:vAlign w:val="top"/>
          </w:tcPr>
          <w:p>
            <w:pPr>
              <w:spacing w:before="60" w:after="60" w:line="220" w:lineRule="exact"/>
              <w:rPr>
                <w:rFonts w:hint="eastAsia" w:hAnsi="宋体"/>
                <w:szCs w:val="21"/>
              </w:rPr>
            </w:pPr>
            <w:r>
              <w:rPr>
                <w:rFonts w:hint="eastAsia" w:hAnsi="宋体"/>
                <w:szCs w:val="21"/>
              </w:rPr>
              <w:t>结构</w:t>
            </w:r>
          </w:p>
        </w:tc>
        <w:tc>
          <w:tcPr>
            <w:tcW w:w="1664" w:type="dxa"/>
            <w:vAlign w:val="top"/>
          </w:tcPr>
          <w:p>
            <w:pPr>
              <w:spacing w:before="60" w:after="60" w:line="220" w:lineRule="exact"/>
              <w:rPr>
                <w:rFonts w:hint="eastAsia" w:hAnsi="宋体"/>
                <w:szCs w:val="21"/>
              </w:rPr>
            </w:pPr>
            <w:r>
              <w:rPr>
                <w:rFonts w:hint="eastAsia" w:hAnsi="宋体"/>
                <w:szCs w:val="21"/>
              </w:rPr>
              <w:t>带封闭罩</w:t>
            </w:r>
          </w:p>
        </w:tc>
      </w:tr>
    </w:tbl>
    <w:p>
      <w:pPr>
        <w:spacing w:line="360" w:lineRule="auto"/>
        <w:ind w:firstLine="480"/>
        <w:rPr>
          <w:rFonts w:hint="eastAsia" w:hAnsi="宋体"/>
        </w:rPr>
      </w:pPr>
      <w:r>
        <w:rPr>
          <w:rFonts w:hint="eastAsia" w:hAnsi="宋体"/>
        </w:rPr>
        <w:t>(8)指示灯、按钮和转换开关</w:t>
      </w:r>
    </w:p>
    <w:p>
      <w:pPr>
        <w:spacing w:line="360" w:lineRule="auto"/>
        <w:ind w:firstLine="480"/>
        <w:rPr>
          <w:rFonts w:hint="eastAsia" w:hAnsi="宋体"/>
        </w:rPr>
      </w:pPr>
      <w:r>
        <w:rPr>
          <w:rFonts w:hint="eastAsia" w:hAnsi="宋体"/>
        </w:rPr>
        <w:t>建议选用国内、国际知名品牌。</w:t>
      </w:r>
    </w:p>
    <w:p>
      <w:pPr>
        <w:spacing w:line="360" w:lineRule="auto"/>
        <w:ind w:firstLine="480"/>
        <w:rPr>
          <w:rFonts w:hint="eastAsia" w:hAnsi="宋体"/>
        </w:rPr>
      </w:pPr>
      <w:r>
        <w:rPr>
          <w:rFonts w:hint="eastAsia" w:hAnsi="宋体"/>
        </w:rPr>
        <w:t>指示灯和按钮选用湿热型产品。</w:t>
      </w:r>
    </w:p>
    <w:p>
      <w:pPr>
        <w:spacing w:line="360" w:lineRule="auto"/>
        <w:ind w:firstLine="480"/>
        <w:rPr>
          <w:rFonts w:hint="eastAsia" w:hAnsi="宋体"/>
        </w:rPr>
      </w:pPr>
      <w:r>
        <w:rPr>
          <w:rFonts w:hint="eastAsia" w:hAnsi="宋体"/>
        </w:rPr>
        <w:t>指示灯和按钮的颜色根据其用途按GB/T 8417-2003 《灯光信号颜色》的规定选用。</w:t>
      </w:r>
    </w:p>
    <w:p>
      <w:pPr>
        <w:spacing w:line="360" w:lineRule="auto"/>
        <w:ind w:firstLine="480"/>
        <w:rPr>
          <w:rFonts w:hint="eastAsia" w:hAnsi="宋体"/>
        </w:rPr>
      </w:pPr>
      <w:r>
        <w:rPr>
          <w:rFonts w:hint="eastAsia" w:hAnsi="宋体"/>
        </w:rPr>
        <w:t>LED指示灯，符合IEC947标准，应保证所有部件指触安全，指示灯寿命大于5万小时。</w:t>
      </w:r>
    </w:p>
    <w:p>
      <w:pPr>
        <w:spacing w:line="360" w:lineRule="auto"/>
        <w:ind w:firstLine="480"/>
        <w:rPr>
          <w:rFonts w:hint="eastAsia" w:hAnsi="宋体"/>
        </w:rPr>
      </w:pPr>
      <w:r>
        <w:rPr>
          <w:rFonts w:hint="eastAsia" w:hAnsi="宋体"/>
        </w:rPr>
        <w:t>按钮额定电压220V，额定电流5A，应保证机械寿命100万次，电气寿命50万次。</w:t>
      </w:r>
    </w:p>
    <w:p>
      <w:pPr>
        <w:spacing w:line="360" w:lineRule="auto"/>
        <w:ind w:firstLine="480"/>
        <w:rPr>
          <w:rFonts w:hint="eastAsia" w:hAnsi="宋体"/>
        </w:rPr>
      </w:pPr>
      <w:r>
        <w:rPr>
          <w:rFonts w:hint="eastAsia" w:hAnsi="宋体"/>
        </w:rPr>
        <w:t>转换开关具有抗电冲击、耐震动、体积小特点，应保证机械寿命100万次、电气寿命20万次。</w:t>
      </w:r>
    </w:p>
    <w:p>
      <w:pPr>
        <w:spacing w:line="360" w:lineRule="auto"/>
        <w:ind w:firstLine="480"/>
        <w:rPr>
          <w:rFonts w:hint="eastAsia" w:hAnsi="宋体"/>
        </w:rPr>
      </w:pPr>
      <w:r>
        <w:rPr>
          <w:rFonts w:hint="eastAsia" w:hAnsi="宋体"/>
        </w:rPr>
        <w:t>(9) 箱内接线端子的选用</w:t>
      </w:r>
    </w:p>
    <w:p>
      <w:pPr>
        <w:spacing w:line="360" w:lineRule="auto"/>
        <w:ind w:firstLine="480"/>
        <w:rPr>
          <w:rFonts w:hint="eastAsia" w:hAnsi="宋体"/>
        </w:rPr>
      </w:pPr>
      <w:r>
        <w:rPr>
          <w:rFonts w:hint="eastAsia" w:hAnsi="宋体"/>
        </w:rPr>
        <w:t>建议选用不低于菲尼克斯、魏德米勒、Wago等的国际知名品牌。</w:t>
      </w:r>
    </w:p>
    <w:p>
      <w:pPr>
        <w:spacing w:line="360" w:lineRule="auto"/>
        <w:ind w:firstLine="480"/>
        <w:rPr>
          <w:rFonts w:hint="eastAsia" w:hAnsi="宋体"/>
        </w:rPr>
      </w:pPr>
      <w:r>
        <w:rPr>
          <w:rFonts w:hint="eastAsia" w:hAnsi="宋体"/>
        </w:rPr>
        <w:t>接线端子外壳材料应有较好的阻燃性能，不腐蚀，自熄灭（按照UL94达到 V0级），不含有卤素。</w:t>
      </w:r>
    </w:p>
    <w:p>
      <w:pPr>
        <w:spacing w:line="360" w:lineRule="auto"/>
        <w:ind w:firstLine="480"/>
        <w:rPr>
          <w:rFonts w:hint="eastAsia" w:hAnsi="宋体"/>
        </w:rPr>
      </w:pPr>
      <w:r>
        <w:rPr>
          <w:rFonts w:hint="eastAsia" w:hAnsi="宋体"/>
        </w:rPr>
        <w:t>(10) 电流互感器</w:t>
      </w:r>
    </w:p>
    <w:p>
      <w:pPr>
        <w:spacing w:line="360" w:lineRule="auto"/>
        <w:ind w:firstLine="480"/>
        <w:rPr>
          <w:rFonts w:hint="eastAsia" w:hAnsi="宋体"/>
        </w:rPr>
      </w:pPr>
      <w:r>
        <w:rPr>
          <w:rFonts w:hint="eastAsia" w:hAnsi="宋体"/>
        </w:rPr>
        <w:t>电流互感器一次侧电流（A）：</w:t>
      </w:r>
      <w:r>
        <w:rPr>
          <w:rFonts w:hint="eastAsia"/>
        </w:rPr>
        <w:t>10、12.5、15、20、25、30、40、50、60、75、</w:t>
      </w:r>
      <w:r>
        <w:rPr>
          <w:rFonts w:hint="eastAsia" w:hAnsi="宋体"/>
        </w:rPr>
        <w:t>100、150、200、250、300、400、500、600、1000</w:t>
      </w:r>
    </w:p>
    <w:p>
      <w:pPr>
        <w:spacing w:line="360" w:lineRule="auto"/>
        <w:ind w:firstLine="480"/>
        <w:rPr>
          <w:rFonts w:hint="eastAsia" w:hAnsi="宋体"/>
        </w:rPr>
      </w:pPr>
      <w:r>
        <w:rPr>
          <w:rFonts w:hint="eastAsia" w:hAnsi="宋体"/>
        </w:rPr>
        <w:t>电流互感器二次侧电流（A）：1</w:t>
      </w:r>
    </w:p>
    <w:p>
      <w:pPr>
        <w:spacing w:line="360" w:lineRule="auto"/>
        <w:ind w:firstLine="480"/>
        <w:rPr>
          <w:rFonts w:hint="eastAsia" w:hAnsi="宋体"/>
        </w:rPr>
      </w:pPr>
      <w:r>
        <w:rPr>
          <w:rFonts w:hint="eastAsia" w:hAnsi="宋体"/>
        </w:rPr>
        <w:t>互感器等级：0.5</w:t>
      </w:r>
    </w:p>
    <w:p>
      <w:pPr>
        <w:spacing w:line="360" w:lineRule="auto"/>
        <w:ind w:firstLine="480"/>
        <w:rPr>
          <w:rFonts w:hint="eastAsia" w:hAnsi="宋体"/>
        </w:rPr>
      </w:pPr>
      <w:r>
        <w:rPr>
          <w:rFonts w:hint="eastAsia" w:hAnsi="宋体"/>
        </w:rPr>
        <w:t>(11)控制与保护开关电器（CPS）要求</w:t>
      </w:r>
    </w:p>
    <w:p>
      <w:pPr>
        <w:spacing w:line="360" w:lineRule="auto"/>
        <w:ind w:firstLine="480"/>
        <w:rPr>
          <w:rFonts w:hint="eastAsia" w:hAnsi="宋体"/>
        </w:rPr>
      </w:pPr>
      <w:r>
        <w:rPr>
          <w:rFonts w:hint="eastAsia" w:hAnsi="宋体"/>
        </w:rPr>
        <w:t>1）采用隔离器+断路器（熔断器）+接触器+热磁式控制器+辅助电器的多功能产品；具有控制与保护协调自配合的功能。CPS需带隔离功能。</w:t>
      </w:r>
    </w:p>
    <w:p>
      <w:pPr>
        <w:spacing w:line="360" w:lineRule="auto"/>
        <w:ind w:firstLine="480"/>
        <w:rPr>
          <w:rFonts w:hint="eastAsia" w:hAnsi="宋体"/>
        </w:rPr>
      </w:pPr>
      <w:r>
        <w:rPr>
          <w:rFonts w:hint="eastAsia" w:hAnsi="宋体"/>
        </w:rPr>
        <w:t>2）具有热磁式控制器，辅助触头模块，远距离脱扣器模块，分离脱扣器模块，电压转换模块等，均可根据用途进行配置和互换。安装角度灵活，可以方便的安装在DIN国际卡式导轨上，无需特别安装。</w:t>
      </w:r>
    </w:p>
    <w:p>
      <w:pPr>
        <w:spacing w:line="360" w:lineRule="auto"/>
        <w:ind w:firstLine="480"/>
        <w:rPr>
          <w:rFonts w:hint="eastAsia" w:hAnsi="宋体"/>
        </w:rPr>
      </w:pPr>
      <w:r>
        <w:rPr>
          <w:rFonts w:hint="eastAsia" w:hAnsi="宋体"/>
        </w:rPr>
        <w:t xml:space="preserve">电寿命达到120万次以上，机械寿命达到500万次以上。 </w:t>
      </w:r>
    </w:p>
    <w:p>
      <w:pPr>
        <w:spacing w:line="360" w:lineRule="auto"/>
        <w:ind w:firstLine="480"/>
        <w:rPr>
          <w:rFonts w:hint="eastAsia" w:hAnsi="宋体"/>
        </w:rPr>
      </w:pPr>
      <w:r>
        <w:rPr>
          <w:rFonts w:hint="eastAsia" w:hAnsi="宋体"/>
        </w:rPr>
        <w:t>3）额定运行短路分断能力（O-CO-CO）为35～50ｋA，分断时间为3ms以内,限流系数达到0.2以下；飞弧距离为30mm以下。</w:t>
      </w:r>
    </w:p>
    <w:p>
      <w:pPr>
        <w:spacing w:line="360" w:lineRule="auto"/>
        <w:ind w:firstLine="480"/>
        <w:rPr>
          <w:rFonts w:hint="eastAsia" w:hAnsi="宋体"/>
        </w:rPr>
      </w:pPr>
      <w:r>
        <w:rPr>
          <w:rFonts w:hint="eastAsia" w:hAnsi="宋体"/>
        </w:rPr>
        <w:t>4）应具有运行可靠性和系统的连续运行性能。在分断短路电流后，无需维护即可投入使用，具有1500次的电寿命（AC-4）。</w:t>
      </w:r>
    </w:p>
    <w:p>
      <w:pPr>
        <w:spacing w:line="360" w:lineRule="auto"/>
        <w:ind w:firstLine="480"/>
        <w:rPr>
          <w:rFonts w:hint="eastAsia" w:hAnsi="宋体"/>
        </w:rPr>
      </w:pPr>
      <w:r>
        <w:rPr>
          <w:rFonts w:hint="eastAsia" w:hAnsi="宋体"/>
        </w:rPr>
        <w:t>5）建议采用品质不低于浙江中凯、天津北方恒业、苏州万龙等品牌。</w:t>
      </w:r>
    </w:p>
    <w:p>
      <w:pPr>
        <w:spacing w:line="360" w:lineRule="auto"/>
        <w:ind w:firstLine="480"/>
        <w:rPr>
          <w:rFonts w:hint="eastAsia" w:hAnsi="宋体"/>
        </w:rPr>
      </w:pPr>
      <w:r>
        <w:rPr>
          <w:rFonts w:hint="eastAsia" w:hAnsi="宋体"/>
        </w:rPr>
        <w:t>(12)双电源转换装置（ATSE）</w:t>
      </w:r>
    </w:p>
    <w:p>
      <w:pPr>
        <w:spacing w:line="360" w:lineRule="auto"/>
        <w:ind w:firstLine="480"/>
        <w:rPr>
          <w:rFonts w:hint="eastAsia" w:hAnsi="宋体"/>
        </w:rPr>
      </w:pPr>
      <w:r>
        <w:rPr>
          <w:rFonts w:hint="eastAsia" w:hAnsi="宋体"/>
        </w:rPr>
        <w:t>双电源切换装置分为第一类和第二类。为便于现场参数调整,ATSE配显示屏。</w:t>
      </w:r>
    </w:p>
    <w:tbl>
      <w:tblPr>
        <w:tblStyle w:val="12"/>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433" w:type="dxa"/>
            <w:vAlign w:val="top"/>
          </w:tcPr>
          <w:p>
            <w:pPr>
              <w:rPr>
                <w:rFonts w:hint="eastAsia" w:hAnsi="宋体"/>
                <w:szCs w:val="21"/>
              </w:rPr>
            </w:pPr>
            <w:r>
              <w:rPr>
                <w:rFonts w:hint="eastAsia" w:hAnsi="宋体"/>
                <w:szCs w:val="21"/>
              </w:rPr>
              <w:t>装置分类</w:t>
            </w:r>
          </w:p>
        </w:tc>
        <w:tc>
          <w:tcPr>
            <w:tcW w:w="6996" w:type="dxa"/>
            <w:vAlign w:val="top"/>
          </w:tcPr>
          <w:p>
            <w:pPr>
              <w:jc w:val="center"/>
              <w:rPr>
                <w:rFonts w:hint="eastAsia" w:hAnsi="宋体"/>
                <w:szCs w:val="21"/>
              </w:rPr>
            </w:pPr>
            <w:r>
              <w:rPr>
                <w:rFonts w:hint="eastAsia" w:hAnsi="宋体"/>
                <w:szCs w:val="21"/>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433" w:type="dxa"/>
            <w:vAlign w:val="center"/>
          </w:tcPr>
          <w:p>
            <w:pPr>
              <w:jc w:val="center"/>
              <w:rPr>
                <w:rFonts w:hint="eastAsia" w:hAnsi="宋体"/>
                <w:szCs w:val="21"/>
              </w:rPr>
            </w:pPr>
            <w:r>
              <w:rPr>
                <w:rFonts w:hint="eastAsia" w:hAnsi="宋体"/>
                <w:szCs w:val="21"/>
              </w:rPr>
              <w:t>第一类双电源切换装置</w:t>
            </w:r>
          </w:p>
        </w:tc>
        <w:tc>
          <w:tcPr>
            <w:tcW w:w="6996" w:type="dxa"/>
            <w:vAlign w:val="top"/>
          </w:tcPr>
          <w:p>
            <w:pPr>
              <w:rPr>
                <w:rFonts w:hint="eastAsia" w:hAnsi="宋体" w:cs="Arial"/>
                <w:bCs/>
                <w:szCs w:val="21"/>
              </w:rPr>
            </w:pPr>
            <w:r>
              <w:rPr>
                <w:rFonts w:hint="eastAsia" w:hAnsi="宋体"/>
                <w:szCs w:val="21"/>
              </w:rPr>
              <w:t>应急照明配电箱、BAS双电源切换箱、车站疏散扶梯双电源切换箱、气体消防双电源切换箱、屏蔽门双电源切换箱、车控室双电源切换箱、消防泵双电源切换箱、稳压泵双电源切换箱、消防蝶阀双电源切换箱、综合监控双电源切换箱、信号双电源切换箱、信号车载设备双电源切换箱、消防控制室双电源切换箱、通信双电源切换箱、民用通信双电源切换箱、公安通信双电源切换箱、门禁双电源切换箱、派出所监控双电源切换箱、安防双电源切换箱、FAS双电源切换箱、挡烟垂帘双电源切换箱、防火卷帘门双电源切换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433" w:type="dxa"/>
            <w:vAlign w:val="center"/>
          </w:tcPr>
          <w:p>
            <w:pPr>
              <w:widowControl/>
              <w:jc w:val="center"/>
              <w:rPr>
                <w:rFonts w:hint="eastAsia" w:hAnsi="宋体" w:cs="Arial"/>
                <w:bCs/>
                <w:szCs w:val="21"/>
              </w:rPr>
            </w:pPr>
            <w:r>
              <w:rPr>
                <w:rFonts w:hint="eastAsia" w:hAnsi="宋体" w:cs="Arial"/>
                <w:bCs/>
                <w:szCs w:val="21"/>
              </w:rPr>
              <w:t>第二类双电源切换装置</w:t>
            </w:r>
          </w:p>
          <w:p>
            <w:pPr>
              <w:widowControl/>
              <w:jc w:val="center"/>
              <w:rPr>
                <w:rFonts w:hint="eastAsia" w:hAnsi="宋体" w:cs="Arial"/>
                <w:bCs/>
                <w:szCs w:val="21"/>
              </w:rPr>
            </w:pPr>
          </w:p>
        </w:tc>
        <w:tc>
          <w:tcPr>
            <w:tcW w:w="6996" w:type="dxa"/>
            <w:vAlign w:val="center"/>
          </w:tcPr>
          <w:p>
            <w:pPr>
              <w:widowControl/>
              <w:rPr>
                <w:rFonts w:hint="eastAsia" w:hAnsi="宋体" w:cs="Arial"/>
                <w:bCs/>
                <w:szCs w:val="21"/>
              </w:rPr>
            </w:pPr>
            <w:r>
              <w:rPr>
                <w:rFonts w:hint="eastAsia" w:hAnsi="宋体" w:cs="Arial"/>
                <w:bCs/>
                <w:szCs w:val="21"/>
              </w:rPr>
              <w:t>车站废水泵双电源切换箱、车站雨水泵双电源切换箱、区间废水泵双电源切换箱、风亭排水水泵双电源切换箱、电伴热双电源切换箱、室外集水泵双电源切换箱、车站集水井双电源切换箱、区间工作照明双电源切换箱、防淹门双电源切换箱、开窗机双电源切换箱、屋顶风机双电源切换箱、消防风机双电源切换箱、电缆沟排水泵、AFC设备电源双电源切换箱、AFC设备室双电源切换箱等。</w:t>
            </w:r>
          </w:p>
        </w:tc>
      </w:tr>
    </w:tbl>
    <w:p>
      <w:pPr>
        <w:numPr>
          <w:ilvl w:val="1"/>
          <w:numId w:val="4"/>
        </w:numPr>
        <w:autoSpaceDE w:val="0"/>
        <w:autoSpaceDN w:val="0"/>
        <w:adjustRightInd w:val="0"/>
        <w:spacing w:line="360" w:lineRule="auto"/>
        <w:rPr>
          <w:rFonts w:hint="eastAsia" w:hAnsi="宋体"/>
        </w:rPr>
      </w:pPr>
      <w:r>
        <w:rPr>
          <w:rFonts w:hint="eastAsia" w:hAnsi="宋体"/>
        </w:rPr>
        <w:t>第一类双电源切换装置</w:t>
      </w:r>
    </w:p>
    <w:p>
      <w:pPr>
        <w:numPr>
          <w:ilvl w:val="0"/>
          <w:numId w:val="5"/>
        </w:numPr>
        <w:autoSpaceDE w:val="0"/>
        <w:autoSpaceDN w:val="0"/>
        <w:adjustRightInd w:val="0"/>
        <w:spacing w:line="360" w:lineRule="auto"/>
        <w:jc w:val="left"/>
        <w:rPr>
          <w:rFonts w:hint="eastAsia" w:hAnsi="宋体"/>
        </w:rPr>
      </w:pPr>
      <w:r>
        <w:rPr>
          <w:rFonts w:hint="eastAsia" w:hAnsi="宋体"/>
        </w:rPr>
        <w:t>ATSE额定电压为380V、50Hz，额定电流不小于图纸所示值，耐受电压为600V。</w:t>
      </w:r>
    </w:p>
    <w:p>
      <w:pPr>
        <w:numPr>
          <w:ilvl w:val="0"/>
          <w:numId w:val="5"/>
        </w:numPr>
        <w:autoSpaceDE w:val="0"/>
        <w:autoSpaceDN w:val="0"/>
        <w:adjustRightInd w:val="0"/>
        <w:spacing w:line="360" w:lineRule="auto"/>
        <w:jc w:val="left"/>
        <w:rPr>
          <w:rFonts w:hint="eastAsia" w:hAnsi="宋体"/>
        </w:rPr>
      </w:pPr>
      <w:r>
        <w:rPr>
          <w:rFonts w:hint="eastAsia" w:hAnsi="宋体"/>
        </w:rPr>
        <w:t>ATSE必须为PC级，符合自动转换开关的相关标准IEC60947-6-1或国家标准GB14048</w:t>
      </w:r>
      <w:r>
        <w:rPr>
          <w:rFonts w:hAnsi="宋体"/>
        </w:rPr>
        <w:t>.11</w:t>
      </w:r>
      <w:r>
        <w:rPr>
          <w:rFonts w:hint="eastAsia" w:hAnsi="宋体"/>
        </w:rPr>
        <w:t>并有IEC60947-6-1的认证证书及“CCC”认证，并适用AC-33iA类负载。</w:t>
      </w:r>
    </w:p>
    <w:p>
      <w:pPr>
        <w:numPr>
          <w:ilvl w:val="0"/>
          <w:numId w:val="5"/>
        </w:numPr>
        <w:autoSpaceDE w:val="0"/>
        <w:autoSpaceDN w:val="0"/>
        <w:adjustRightInd w:val="0"/>
        <w:spacing w:line="360" w:lineRule="auto"/>
        <w:jc w:val="left"/>
        <w:rPr>
          <w:rFonts w:hint="eastAsia" w:hAnsi="宋体"/>
        </w:rPr>
      </w:pPr>
      <w:r>
        <w:rPr>
          <w:rFonts w:hint="eastAsia" w:hAnsi="宋体"/>
        </w:rPr>
        <w:t>ATSE为双投型，电磁激励、机械保持结构，具有电气/机械双重互锁功能；切换速度快，开关本体的机械动作时间少于50ms；一路断电情况下的切换时间不大与150ms，有“正常电源”和“应急电源”两个位置。有中间暂停位置；且切换动作可设置延时，延时时间可整定；自动转换开关电器投切方式应为自投自复方式、自投不自复、互为备用方式，并且三种投切方式现场可调。</w:t>
      </w:r>
    </w:p>
    <w:p>
      <w:pPr>
        <w:numPr>
          <w:ilvl w:val="0"/>
          <w:numId w:val="5"/>
        </w:numPr>
        <w:autoSpaceDE w:val="0"/>
        <w:autoSpaceDN w:val="0"/>
        <w:adjustRightInd w:val="0"/>
        <w:spacing w:line="360" w:lineRule="auto"/>
        <w:jc w:val="left"/>
        <w:rPr>
          <w:rFonts w:hint="eastAsia" w:hAnsi="宋体"/>
        </w:rPr>
      </w:pPr>
      <w:r>
        <w:rPr>
          <w:rFonts w:hint="eastAsia" w:hAnsi="宋体"/>
        </w:rPr>
        <w:t>ATSE为一体式结构，不接受由断路器(负荷开关)、接触器互锁组成的形式。开关和控制器组件均由同一厂家提供，并经过相关电气干扰标准测试以确保安全。</w:t>
      </w:r>
    </w:p>
    <w:p>
      <w:pPr>
        <w:numPr>
          <w:ilvl w:val="0"/>
          <w:numId w:val="5"/>
        </w:numPr>
        <w:autoSpaceDE w:val="0"/>
        <w:autoSpaceDN w:val="0"/>
        <w:adjustRightInd w:val="0"/>
        <w:spacing w:line="360" w:lineRule="auto"/>
        <w:jc w:val="left"/>
        <w:rPr>
          <w:rFonts w:hint="eastAsia" w:hAnsi="宋体"/>
        </w:rPr>
      </w:pPr>
      <w:r>
        <w:rPr>
          <w:rFonts w:hint="eastAsia" w:hAnsi="宋体"/>
        </w:rPr>
        <w:t>短时耐受电流Icw或限制短路电流Iq值，应满足如下要求：</w:t>
      </w:r>
    </w:p>
    <w:p>
      <w:pPr>
        <w:numPr>
          <w:ilvl w:val="1"/>
          <w:numId w:val="6"/>
        </w:numPr>
        <w:autoSpaceDE w:val="0"/>
        <w:autoSpaceDN w:val="0"/>
        <w:adjustRightInd w:val="0"/>
        <w:spacing w:line="360" w:lineRule="auto"/>
        <w:jc w:val="left"/>
        <w:rPr>
          <w:rFonts w:hint="eastAsia" w:hAnsi="宋体"/>
        </w:rPr>
      </w:pPr>
      <w:r>
        <w:rPr>
          <w:rFonts w:hint="eastAsia" w:hAnsi="宋体"/>
        </w:rPr>
        <w:t>当额定电流Ie≤230A时，Iq≥10kA；</w:t>
      </w:r>
    </w:p>
    <w:p>
      <w:pPr>
        <w:numPr>
          <w:ilvl w:val="1"/>
          <w:numId w:val="6"/>
        </w:numPr>
        <w:autoSpaceDE w:val="0"/>
        <w:autoSpaceDN w:val="0"/>
        <w:adjustRightInd w:val="0"/>
        <w:spacing w:line="360" w:lineRule="auto"/>
        <w:jc w:val="left"/>
        <w:rPr>
          <w:rFonts w:hint="eastAsia" w:hAnsi="宋体"/>
        </w:rPr>
      </w:pPr>
      <w:r>
        <w:rPr>
          <w:rFonts w:hint="eastAsia" w:hAnsi="宋体"/>
        </w:rPr>
        <w:t>当额定电流230A＜Ie≤600A时，Icw≥12kA/0.06s；</w:t>
      </w:r>
    </w:p>
    <w:p>
      <w:pPr>
        <w:numPr>
          <w:ilvl w:val="1"/>
          <w:numId w:val="6"/>
        </w:numPr>
        <w:autoSpaceDE w:val="0"/>
        <w:autoSpaceDN w:val="0"/>
        <w:adjustRightInd w:val="0"/>
        <w:spacing w:line="360" w:lineRule="auto"/>
        <w:jc w:val="left"/>
        <w:rPr>
          <w:rFonts w:hint="eastAsia" w:hAnsi="宋体"/>
        </w:rPr>
      </w:pPr>
      <w:r>
        <w:rPr>
          <w:rFonts w:hint="eastAsia" w:hAnsi="宋体"/>
        </w:rPr>
        <w:t>当额定电流800A＜Ie≤1200A时，Icw≥24kA/0.06s；</w:t>
      </w:r>
    </w:p>
    <w:p>
      <w:pPr>
        <w:spacing w:line="360" w:lineRule="auto"/>
        <w:ind w:firstLine="480"/>
        <w:rPr>
          <w:rFonts w:hint="eastAsia" w:hAnsi="宋体"/>
        </w:rPr>
      </w:pPr>
      <w:r>
        <w:rPr>
          <w:rFonts w:hint="eastAsia" w:hAnsi="宋体"/>
        </w:rPr>
        <w:t>投标时需提供所投产品的CCC证书及CCC安全型式试验报告。</w:t>
      </w:r>
    </w:p>
    <w:p>
      <w:pPr>
        <w:numPr>
          <w:ilvl w:val="0"/>
          <w:numId w:val="5"/>
        </w:numPr>
        <w:autoSpaceDE w:val="0"/>
        <w:autoSpaceDN w:val="0"/>
        <w:adjustRightInd w:val="0"/>
        <w:spacing w:line="360" w:lineRule="auto"/>
        <w:jc w:val="left"/>
        <w:rPr>
          <w:rFonts w:hint="eastAsia" w:hAnsi="宋体"/>
        </w:rPr>
      </w:pPr>
      <w:r>
        <w:rPr>
          <w:rFonts w:hint="eastAsia" w:hAnsi="宋体"/>
        </w:rPr>
        <w:t>ATSE开关为</w:t>
      </w:r>
      <w:r>
        <w:rPr>
          <w:rFonts w:hAnsi="宋体"/>
        </w:rPr>
        <w:t>3</w:t>
      </w:r>
      <w:r>
        <w:rPr>
          <w:rFonts w:hint="eastAsia" w:hAnsi="宋体"/>
        </w:rPr>
        <w:t>相4极、中性线重叠转换型，即在非转换期间为4极开关，在转换过程中两路电源中性线重叠。</w:t>
      </w:r>
    </w:p>
    <w:p>
      <w:pPr>
        <w:numPr>
          <w:ilvl w:val="0"/>
          <w:numId w:val="5"/>
        </w:numPr>
        <w:autoSpaceDE w:val="0"/>
        <w:autoSpaceDN w:val="0"/>
        <w:adjustRightInd w:val="0"/>
        <w:spacing w:line="360" w:lineRule="auto"/>
        <w:jc w:val="left"/>
        <w:rPr>
          <w:rFonts w:hint="eastAsia" w:hAnsi="宋体"/>
        </w:rPr>
      </w:pPr>
      <w:r>
        <w:rPr>
          <w:rFonts w:hint="eastAsia" w:hAnsi="宋体"/>
        </w:rPr>
        <w:t>ATSE应具有相位角侦察器以完成同相位转换。</w:t>
      </w:r>
    </w:p>
    <w:p>
      <w:pPr>
        <w:numPr>
          <w:ilvl w:val="0"/>
          <w:numId w:val="5"/>
        </w:numPr>
        <w:autoSpaceDE w:val="0"/>
        <w:autoSpaceDN w:val="0"/>
        <w:adjustRightInd w:val="0"/>
        <w:spacing w:line="360" w:lineRule="auto"/>
        <w:jc w:val="left"/>
        <w:rPr>
          <w:rFonts w:hint="eastAsia" w:hAnsi="宋体"/>
        </w:rPr>
      </w:pPr>
      <w:r>
        <w:rPr>
          <w:rFonts w:hint="eastAsia" w:hAnsi="宋体"/>
        </w:rPr>
        <w:t>具有手柄以便于检修和应急时使用。</w:t>
      </w:r>
    </w:p>
    <w:p>
      <w:pPr>
        <w:numPr>
          <w:ilvl w:val="0"/>
          <w:numId w:val="5"/>
        </w:numPr>
        <w:autoSpaceDE w:val="0"/>
        <w:autoSpaceDN w:val="0"/>
        <w:adjustRightInd w:val="0"/>
        <w:spacing w:line="360" w:lineRule="auto"/>
        <w:jc w:val="left"/>
        <w:rPr>
          <w:rFonts w:hint="eastAsia" w:hAnsi="宋体"/>
        </w:rPr>
      </w:pPr>
      <w:r>
        <w:rPr>
          <w:rFonts w:hint="eastAsia" w:hAnsi="宋体"/>
        </w:rPr>
        <w:t>具有电源可用性显示并可远传信号、ATSE开关所接位置显示并可远传信号。</w:t>
      </w:r>
    </w:p>
    <w:p>
      <w:pPr>
        <w:numPr>
          <w:ilvl w:val="0"/>
          <w:numId w:val="5"/>
        </w:numPr>
        <w:autoSpaceDE w:val="0"/>
        <w:autoSpaceDN w:val="0"/>
        <w:adjustRightInd w:val="0"/>
        <w:spacing w:line="360" w:lineRule="auto"/>
        <w:jc w:val="left"/>
        <w:rPr>
          <w:rFonts w:hint="eastAsia" w:hAnsi="宋体"/>
        </w:rPr>
      </w:pPr>
      <w:r>
        <w:rPr>
          <w:rFonts w:hint="eastAsia" w:hAnsi="宋体"/>
        </w:rPr>
        <w:t>具有直观的ATSE状态指示和测试按钮。</w:t>
      </w:r>
    </w:p>
    <w:p>
      <w:pPr>
        <w:numPr>
          <w:ilvl w:val="0"/>
          <w:numId w:val="5"/>
        </w:numPr>
        <w:autoSpaceDE w:val="0"/>
        <w:autoSpaceDN w:val="0"/>
        <w:adjustRightInd w:val="0"/>
        <w:spacing w:line="360" w:lineRule="auto"/>
        <w:jc w:val="left"/>
        <w:rPr>
          <w:rFonts w:hint="eastAsia" w:hAnsi="宋体"/>
        </w:rPr>
      </w:pPr>
      <w:r>
        <w:rPr>
          <w:rFonts w:hint="eastAsia" w:hAnsi="宋体"/>
        </w:rPr>
        <w:t>由常用电源转换至备用电源和常用电源恢复正常转回常用电源时，转换时间均为可调。</w:t>
      </w:r>
    </w:p>
    <w:p>
      <w:pPr>
        <w:numPr>
          <w:ilvl w:val="0"/>
          <w:numId w:val="5"/>
        </w:numPr>
        <w:autoSpaceDE w:val="0"/>
        <w:autoSpaceDN w:val="0"/>
        <w:adjustRightInd w:val="0"/>
        <w:spacing w:line="360" w:lineRule="auto"/>
        <w:jc w:val="left"/>
        <w:rPr>
          <w:rFonts w:hint="eastAsia" w:hAnsi="宋体"/>
        </w:rPr>
      </w:pPr>
      <w:r>
        <w:rPr>
          <w:rFonts w:hint="eastAsia" w:hAnsi="宋体"/>
        </w:rPr>
        <w:t>建议采用品质不低于ASCO、RUSS、施耐德奥兰等品牌。</w:t>
      </w:r>
    </w:p>
    <w:p>
      <w:pPr>
        <w:numPr>
          <w:ilvl w:val="1"/>
          <w:numId w:val="4"/>
        </w:numPr>
        <w:autoSpaceDE w:val="0"/>
        <w:autoSpaceDN w:val="0"/>
        <w:adjustRightInd w:val="0"/>
        <w:spacing w:line="360" w:lineRule="auto"/>
        <w:rPr>
          <w:rFonts w:hint="eastAsia" w:hAnsi="宋体"/>
        </w:rPr>
      </w:pPr>
      <w:r>
        <w:rPr>
          <w:rFonts w:hint="eastAsia" w:hAnsi="宋体"/>
        </w:rPr>
        <w:t>第二类双电源切换装置</w:t>
      </w:r>
    </w:p>
    <w:p>
      <w:pPr>
        <w:numPr>
          <w:ilvl w:val="0"/>
          <w:numId w:val="7"/>
        </w:numPr>
        <w:autoSpaceDE w:val="0"/>
        <w:autoSpaceDN w:val="0"/>
        <w:adjustRightInd w:val="0"/>
        <w:spacing w:line="360" w:lineRule="auto"/>
        <w:jc w:val="left"/>
        <w:rPr>
          <w:rFonts w:hint="eastAsia" w:hAnsi="宋体"/>
        </w:rPr>
      </w:pPr>
      <w:r>
        <w:rPr>
          <w:rFonts w:hint="eastAsia" w:hAnsi="宋体"/>
        </w:rPr>
        <w:t>ATSE额定电压为380V、50Hz，额定电流不小于图纸所示值，耐受电压为600V。</w:t>
      </w:r>
    </w:p>
    <w:p>
      <w:pPr>
        <w:numPr>
          <w:ilvl w:val="0"/>
          <w:numId w:val="7"/>
        </w:numPr>
        <w:autoSpaceDE w:val="0"/>
        <w:autoSpaceDN w:val="0"/>
        <w:adjustRightInd w:val="0"/>
        <w:spacing w:line="360" w:lineRule="auto"/>
        <w:jc w:val="left"/>
        <w:rPr>
          <w:rFonts w:hint="eastAsia" w:hAnsi="宋体"/>
        </w:rPr>
      </w:pPr>
      <w:r>
        <w:rPr>
          <w:rFonts w:hint="eastAsia" w:hAnsi="宋体"/>
        </w:rPr>
        <w:t>ATSE必须为PC级，符合自动转换开关的相关标准IEC60947-6-1或国家标准GB14048.11，并具有“CCC”认证，采用独立的自动转换开关电器产品的形式。并适用AC-33B类负载。</w:t>
      </w:r>
    </w:p>
    <w:p>
      <w:pPr>
        <w:numPr>
          <w:ilvl w:val="0"/>
          <w:numId w:val="7"/>
        </w:numPr>
        <w:autoSpaceDE w:val="0"/>
        <w:autoSpaceDN w:val="0"/>
        <w:adjustRightInd w:val="0"/>
        <w:spacing w:line="360" w:lineRule="auto"/>
        <w:jc w:val="left"/>
        <w:rPr>
          <w:rFonts w:hint="eastAsia" w:hAnsi="宋体"/>
        </w:rPr>
      </w:pPr>
      <w:r>
        <w:rPr>
          <w:rFonts w:hint="eastAsia" w:hAnsi="宋体"/>
        </w:rPr>
        <w:t xml:space="preserve">ATSE具有电气/机械双重互锁功能；有中间暂停位置；切换速度快，切换时间要求：不大于1.5s，且切换动作可设置延时，延时时间可整定；自动转换开关电器投切方式应为自投自复方式、自投不自复、互为备用方式，并且三种投切方式现场可调。 </w:t>
      </w:r>
    </w:p>
    <w:p>
      <w:pPr>
        <w:numPr>
          <w:ilvl w:val="0"/>
          <w:numId w:val="7"/>
        </w:numPr>
        <w:autoSpaceDE w:val="0"/>
        <w:autoSpaceDN w:val="0"/>
        <w:adjustRightInd w:val="0"/>
        <w:spacing w:line="360" w:lineRule="auto"/>
        <w:jc w:val="left"/>
        <w:rPr>
          <w:rFonts w:hint="eastAsia" w:hAnsi="宋体"/>
        </w:rPr>
      </w:pPr>
      <w:r>
        <w:rPr>
          <w:rFonts w:hint="eastAsia" w:hAnsi="宋体"/>
        </w:rPr>
        <w:t xml:space="preserve">ATSE开关和控制器组件均由同一厂家提供，并经过相关电气干扰标准测试以确保安全。 </w:t>
      </w:r>
    </w:p>
    <w:p>
      <w:pPr>
        <w:numPr>
          <w:ilvl w:val="0"/>
          <w:numId w:val="7"/>
        </w:numPr>
        <w:autoSpaceDE w:val="0"/>
        <w:autoSpaceDN w:val="0"/>
        <w:adjustRightInd w:val="0"/>
        <w:spacing w:line="360" w:lineRule="auto"/>
        <w:jc w:val="left"/>
        <w:rPr>
          <w:rFonts w:hint="eastAsia" w:hAnsi="宋体"/>
        </w:rPr>
      </w:pPr>
      <w:r>
        <w:rPr>
          <w:rFonts w:hint="eastAsia" w:hAnsi="宋体"/>
        </w:rPr>
        <w:t>具备大短路电流的耐受能力，ATS开关额定短时耐受电流值(Icw)和额定短路接通能力Icm应满足以下参数要求：</w:t>
      </w:r>
    </w:p>
    <w:p>
      <w:pPr>
        <w:spacing w:line="360" w:lineRule="auto"/>
        <w:ind w:firstLine="480"/>
        <w:rPr>
          <w:rFonts w:hint="eastAsia" w:hAnsi="宋体"/>
        </w:rPr>
      </w:pPr>
      <w:r>
        <w:rPr>
          <w:rFonts w:hint="eastAsia" w:hAnsi="宋体"/>
        </w:rPr>
        <w:t>Ie 32A～160A，Icw≥10kA (0.1s), Icm≥17KA</w:t>
      </w:r>
    </w:p>
    <w:p>
      <w:pPr>
        <w:spacing w:line="360" w:lineRule="auto"/>
        <w:ind w:firstLine="480"/>
        <w:rPr>
          <w:rFonts w:hint="eastAsia" w:hAnsi="宋体"/>
        </w:rPr>
      </w:pPr>
      <w:r>
        <w:rPr>
          <w:rFonts w:hint="eastAsia" w:hAnsi="宋体"/>
        </w:rPr>
        <w:t>Ie 200A～250A，Icw≥15kA (0.1s), Icm ≥30KA</w:t>
      </w:r>
    </w:p>
    <w:p>
      <w:pPr>
        <w:spacing w:line="360" w:lineRule="auto"/>
        <w:ind w:firstLine="480"/>
        <w:rPr>
          <w:rFonts w:hint="eastAsia" w:hAnsi="宋体"/>
        </w:rPr>
      </w:pPr>
      <w:r>
        <w:rPr>
          <w:rFonts w:hint="eastAsia" w:hAnsi="宋体"/>
        </w:rPr>
        <w:t>Ie 315A～400A，Icw≥25kA (0.1s), Icm≥65KA</w:t>
      </w:r>
    </w:p>
    <w:p>
      <w:pPr>
        <w:spacing w:line="360" w:lineRule="auto"/>
        <w:ind w:firstLine="480"/>
        <w:rPr>
          <w:rFonts w:hint="eastAsia" w:hAnsi="宋体"/>
        </w:rPr>
      </w:pPr>
      <w:r>
        <w:rPr>
          <w:rFonts w:hint="eastAsia" w:hAnsi="宋体"/>
        </w:rPr>
        <w:t>投标时需提供所投产品的CCC证书及CCC安全型式试验报告。</w:t>
      </w:r>
    </w:p>
    <w:p>
      <w:pPr>
        <w:numPr>
          <w:ilvl w:val="0"/>
          <w:numId w:val="7"/>
        </w:numPr>
        <w:autoSpaceDE w:val="0"/>
        <w:autoSpaceDN w:val="0"/>
        <w:adjustRightInd w:val="0"/>
        <w:spacing w:line="360" w:lineRule="auto"/>
        <w:jc w:val="left"/>
        <w:rPr>
          <w:rFonts w:hint="eastAsia" w:hAnsi="宋体"/>
        </w:rPr>
      </w:pPr>
      <w:r>
        <w:rPr>
          <w:rFonts w:hint="eastAsia" w:hAnsi="宋体"/>
        </w:rPr>
        <w:t>ATSE开关应符合机械寿命8000次以上，电气寿命1500次以上（或不小于国家标准GB/T 14048.11-2002要求）</w:t>
      </w:r>
    </w:p>
    <w:p>
      <w:pPr>
        <w:numPr>
          <w:ilvl w:val="0"/>
          <w:numId w:val="7"/>
        </w:numPr>
        <w:autoSpaceDE w:val="0"/>
        <w:autoSpaceDN w:val="0"/>
        <w:adjustRightInd w:val="0"/>
        <w:spacing w:line="360" w:lineRule="auto"/>
        <w:jc w:val="left"/>
        <w:rPr>
          <w:rFonts w:hint="eastAsia" w:hAnsi="宋体"/>
        </w:rPr>
      </w:pPr>
      <w:r>
        <w:rPr>
          <w:rFonts w:hint="eastAsia" w:hAnsi="宋体"/>
        </w:rPr>
        <w:t>ATSE开关应满足额定冲击耐压能力不小于8kV。</w:t>
      </w:r>
    </w:p>
    <w:p>
      <w:pPr>
        <w:numPr>
          <w:ilvl w:val="0"/>
          <w:numId w:val="7"/>
        </w:numPr>
        <w:autoSpaceDE w:val="0"/>
        <w:autoSpaceDN w:val="0"/>
        <w:adjustRightInd w:val="0"/>
        <w:spacing w:line="360" w:lineRule="auto"/>
        <w:jc w:val="left"/>
        <w:rPr>
          <w:rFonts w:hint="eastAsia" w:hAnsi="宋体"/>
        </w:rPr>
      </w:pPr>
      <w:r>
        <w:rPr>
          <w:rFonts w:hint="eastAsia" w:hAnsi="宋体"/>
        </w:rPr>
        <w:t>具有手柄以便于检修和应急时使用，并应具有加锁装置。</w:t>
      </w:r>
    </w:p>
    <w:p>
      <w:pPr>
        <w:numPr>
          <w:ilvl w:val="0"/>
          <w:numId w:val="7"/>
        </w:numPr>
        <w:autoSpaceDE w:val="0"/>
        <w:autoSpaceDN w:val="0"/>
        <w:adjustRightInd w:val="0"/>
        <w:spacing w:line="360" w:lineRule="auto"/>
        <w:jc w:val="left"/>
        <w:rPr>
          <w:rFonts w:hint="eastAsia" w:hAnsi="宋体"/>
        </w:rPr>
      </w:pPr>
      <w:r>
        <w:rPr>
          <w:rFonts w:hint="eastAsia" w:hAnsi="宋体"/>
        </w:rPr>
        <w:t>ATSE开关应采用两路电源独立的灭弧装置，有独立的灭弧系统，且在各方向无飞弧产生；</w:t>
      </w:r>
    </w:p>
    <w:p>
      <w:pPr>
        <w:numPr>
          <w:ilvl w:val="0"/>
          <w:numId w:val="7"/>
        </w:numPr>
        <w:autoSpaceDE w:val="0"/>
        <w:autoSpaceDN w:val="0"/>
        <w:adjustRightInd w:val="0"/>
        <w:spacing w:line="360" w:lineRule="auto"/>
        <w:jc w:val="left"/>
        <w:rPr>
          <w:rFonts w:hint="eastAsia" w:hAnsi="宋体"/>
        </w:rPr>
      </w:pPr>
      <w:r>
        <w:rPr>
          <w:rFonts w:hint="eastAsia" w:hAnsi="宋体"/>
        </w:rPr>
        <w:t>ATSE开关所接位置显示并可远传信号。</w:t>
      </w:r>
    </w:p>
    <w:p>
      <w:pPr>
        <w:numPr>
          <w:ilvl w:val="0"/>
          <w:numId w:val="7"/>
        </w:numPr>
        <w:autoSpaceDE w:val="0"/>
        <w:autoSpaceDN w:val="0"/>
        <w:adjustRightInd w:val="0"/>
        <w:spacing w:line="360" w:lineRule="auto"/>
        <w:jc w:val="left"/>
        <w:rPr>
          <w:rFonts w:hint="eastAsia" w:hAnsi="宋体"/>
        </w:rPr>
      </w:pPr>
      <w:r>
        <w:rPr>
          <w:rFonts w:hint="eastAsia" w:hAnsi="宋体"/>
        </w:rPr>
        <w:t>具有直观的ATSE状态指示和测试按钮。自动转换开关电器应采用智能芯片组成，产品工作参数可以现场整定。</w:t>
      </w:r>
    </w:p>
    <w:p>
      <w:pPr>
        <w:numPr>
          <w:ilvl w:val="0"/>
          <w:numId w:val="7"/>
        </w:numPr>
        <w:autoSpaceDE w:val="0"/>
        <w:autoSpaceDN w:val="0"/>
        <w:adjustRightInd w:val="0"/>
        <w:spacing w:line="360" w:lineRule="auto"/>
        <w:jc w:val="left"/>
        <w:rPr>
          <w:rFonts w:hint="eastAsia" w:hAnsi="宋体"/>
        </w:rPr>
      </w:pPr>
      <w:r>
        <w:rPr>
          <w:rFonts w:hint="eastAsia" w:hAnsi="宋体"/>
        </w:rPr>
        <w:t>ATSE开关应具有隔离功能。</w:t>
      </w:r>
    </w:p>
    <w:p>
      <w:pPr>
        <w:numPr>
          <w:ilvl w:val="0"/>
          <w:numId w:val="7"/>
        </w:numPr>
        <w:autoSpaceDE w:val="0"/>
        <w:autoSpaceDN w:val="0"/>
        <w:adjustRightInd w:val="0"/>
        <w:spacing w:line="360" w:lineRule="auto"/>
        <w:jc w:val="left"/>
        <w:rPr>
          <w:rFonts w:hint="eastAsia" w:hAnsi="宋体"/>
        </w:rPr>
      </w:pPr>
      <w:r>
        <w:rPr>
          <w:rFonts w:hint="eastAsia" w:hAnsi="宋体"/>
        </w:rPr>
        <w:t>有可靠的接触指示。</w:t>
      </w:r>
    </w:p>
    <w:p>
      <w:pPr>
        <w:numPr>
          <w:ilvl w:val="0"/>
          <w:numId w:val="7"/>
        </w:numPr>
        <w:autoSpaceDE w:val="0"/>
        <w:autoSpaceDN w:val="0"/>
        <w:adjustRightInd w:val="0"/>
        <w:spacing w:line="360" w:lineRule="auto"/>
        <w:jc w:val="left"/>
        <w:rPr>
          <w:rFonts w:hint="eastAsia" w:hAnsi="宋体"/>
        </w:rPr>
      </w:pPr>
      <w:r>
        <w:rPr>
          <w:rFonts w:hint="eastAsia" w:hAnsi="宋体"/>
        </w:rPr>
        <w:t>应具备实现消防联动的控制功能；转换开关电器的控制部分应通过附带的EMC检测。</w:t>
      </w:r>
    </w:p>
    <w:p>
      <w:pPr>
        <w:numPr>
          <w:ilvl w:val="0"/>
          <w:numId w:val="7"/>
        </w:numPr>
        <w:autoSpaceDE w:val="0"/>
        <w:autoSpaceDN w:val="0"/>
        <w:adjustRightInd w:val="0"/>
        <w:spacing w:line="360" w:lineRule="auto"/>
        <w:jc w:val="left"/>
        <w:rPr>
          <w:rFonts w:hint="eastAsia" w:hAnsi="宋体"/>
        </w:rPr>
      </w:pPr>
      <w:r>
        <w:rPr>
          <w:rFonts w:hint="eastAsia" w:hAnsi="宋体"/>
        </w:rPr>
        <w:t>建议采用品质不低于施耐德、溯高美、泰永等品牌。</w:t>
      </w:r>
    </w:p>
    <w:p>
      <w:pPr>
        <w:spacing w:line="360" w:lineRule="auto"/>
        <w:ind w:firstLine="480"/>
        <w:rPr>
          <w:rFonts w:hint="eastAsia" w:hAnsi="宋体"/>
        </w:rPr>
      </w:pPr>
      <w:r>
        <w:rPr>
          <w:rFonts w:hint="eastAsia" w:hAnsi="宋体"/>
        </w:rPr>
        <w:t>（13）浪涌保护器</w:t>
      </w:r>
    </w:p>
    <w:p>
      <w:pPr>
        <w:spacing w:line="360" w:lineRule="auto"/>
        <w:ind w:firstLine="480"/>
        <w:rPr>
          <w:rFonts w:hint="eastAsia" w:hAnsi="宋体"/>
        </w:rPr>
      </w:pPr>
      <w:r>
        <w:rPr>
          <w:rFonts w:hint="eastAsia" w:hAnsi="宋体"/>
        </w:rPr>
        <w:t>电涌保护器设断路器或熔断器保护。电涌保护器采用高质量的国际知名品牌产品，单极模块化设计，均带故障指示。产品必须具有国家认监委认可的检测机构出示的产品检测报告，电涌保护器应满足以下技术要求：</w:t>
      </w:r>
    </w:p>
    <w:p>
      <w:pPr>
        <w:spacing w:line="360" w:lineRule="auto"/>
        <w:ind w:firstLine="480"/>
        <w:rPr>
          <w:rFonts w:hint="eastAsia" w:hAnsi="宋体"/>
        </w:rPr>
      </w:pPr>
      <w:r>
        <w:rPr>
          <w:rFonts w:hint="eastAsia" w:hAnsi="宋体"/>
        </w:rPr>
        <w:t>1)第一级保护</w:t>
      </w:r>
    </w:p>
    <w:p>
      <w:pPr>
        <w:spacing w:line="360" w:lineRule="auto"/>
        <w:ind w:firstLine="480"/>
        <w:rPr>
          <w:rFonts w:hint="eastAsia" w:hAnsi="宋体"/>
        </w:rPr>
      </w:pPr>
      <w:r>
        <w:rPr>
          <w:rFonts w:hint="eastAsia" w:hAnsi="宋体"/>
        </w:rPr>
        <w:t>需要通过10/350μs波形试验和8/20μs波形实验。</w:t>
      </w:r>
    </w:p>
    <w:p>
      <w:pPr>
        <w:spacing w:line="360" w:lineRule="auto"/>
        <w:ind w:firstLine="480"/>
        <w:rPr>
          <w:rFonts w:hint="eastAsia" w:hAnsi="宋体"/>
        </w:rPr>
      </w:pPr>
      <w:r>
        <w:rPr>
          <w:rFonts w:hint="eastAsia" w:hAnsi="宋体"/>
        </w:rPr>
        <w:t>最大放电电流Imax：≥65kA</w:t>
      </w:r>
    </w:p>
    <w:p>
      <w:pPr>
        <w:spacing w:line="360" w:lineRule="auto"/>
        <w:ind w:firstLine="480"/>
        <w:rPr>
          <w:rFonts w:hint="eastAsia" w:hAnsi="宋体"/>
        </w:rPr>
      </w:pPr>
      <w:r>
        <w:rPr>
          <w:rFonts w:hint="eastAsia" w:hAnsi="宋体"/>
        </w:rPr>
        <w:t>电压保护水平：≤1.75kV</w:t>
      </w:r>
    </w:p>
    <w:p>
      <w:pPr>
        <w:spacing w:line="360" w:lineRule="auto"/>
        <w:ind w:firstLine="480"/>
        <w:rPr>
          <w:rFonts w:hint="eastAsia" w:hAnsi="宋体"/>
        </w:rPr>
      </w:pPr>
      <w:r>
        <w:rPr>
          <w:rFonts w:hint="eastAsia" w:hAnsi="宋体"/>
        </w:rPr>
        <w:t>交流标称电压Un：230/400VAC</w:t>
      </w:r>
    </w:p>
    <w:p>
      <w:pPr>
        <w:spacing w:line="360" w:lineRule="auto"/>
        <w:ind w:firstLine="480"/>
        <w:rPr>
          <w:rFonts w:hint="eastAsia" w:hAnsi="宋体"/>
        </w:rPr>
      </w:pPr>
      <w:r>
        <w:rPr>
          <w:rFonts w:hint="eastAsia" w:hAnsi="宋体"/>
        </w:rPr>
        <w:t>相应时间：≤25ns</w:t>
      </w:r>
    </w:p>
    <w:p>
      <w:pPr>
        <w:spacing w:line="360" w:lineRule="auto"/>
        <w:ind w:firstLine="480"/>
        <w:rPr>
          <w:rFonts w:hint="eastAsia" w:hAnsi="宋体"/>
        </w:rPr>
      </w:pPr>
      <w:r>
        <w:rPr>
          <w:rFonts w:hint="eastAsia" w:hAnsi="宋体"/>
        </w:rPr>
        <w:t>具备视窗指示工作/故障状态</w:t>
      </w:r>
    </w:p>
    <w:p>
      <w:pPr>
        <w:spacing w:line="360" w:lineRule="auto"/>
        <w:ind w:firstLine="480"/>
        <w:rPr>
          <w:rFonts w:hint="eastAsia" w:hAnsi="宋体"/>
        </w:rPr>
      </w:pPr>
      <w:r>
        <w:rPr>
          <w:rFonts w:hint="eastAsia" w:hAnsi="宋体"/>
        </w:rPr>
        <w:t>2)第二级保护</w:t>
      </w:r>
    </w:p>
    <w:p>
      <w:pPr>
        <w:spacing w:line="360" w:lineRule="auto"/>
        <w:ind w:firstLine="480"/>
        <w:rPr>
          <w:rFonts w:hint="eastAsia" w:hAnsi="宋体"/>
        </w:rPr>
      </w:pPr>
      <w:r>
        <w:rPr>
          <w:rFonts w:hint="eastAsia" w:hAnsi="宋体"/>
        </w:rPr>
        <w:t>需通过8/20μs波形实验。</w:t>
      </w:r>
    </w:p>
    <w:p>
      <w:pPr>
        <w:spacing w:line="360" w:lineRule="auto"/>
        <w:ind w:firstLine="480"/>
        <w:rPr>
          <w:rFonts w:hint="eastAsia" w:hAnsi="宋体"/>
        </w:rPr>
      </w:pPr>
      <w:r>
        <w:rPr>
          <w:rFonts w:hint="eastAsia" w:hAnsi="宋体"/>
        </w:rPr>
        <w:t>最大放电电流Imax：≥40kA</w:t>
      </w:r>
    </w:p>
    <w:p>
      <w:pPr>
        <w:spacing w:line="360" w:lineRule="auto"/>
        <w:ind w:firstLine="480"/>
        <w:rPr>
          <w:rFonts w:hint="eastAsia" w:hAnsi="宋体"/>
        </w:rPr>
      </w:pPr>
      <w:r>
        <w:rPr>
          <w:rFonts w:hint="eastAsia" w:hAnsi="宋体"/>
        </w:rPr>
        <w:t>电压保护水平Up：≤1.75kV</w:t>
      </w:r>
    </w:p>
    <w:p>
      <w:pPr>
        <w:spacing w:line="360" w:lineRule="auto"/>
        <w:ind w:firstLine="480"/>
        <w:rPr>
          <w:rFonts w:hint="eastAsia" w:hAnsi="宋体"/>
        </w:rPr>
      </w:pPr>
      <w:r>
        <w:rPr>
          <w:rFonts w:hint="eastAsia" w:hAnsi="宋体"/>
        </w:rPr>
        <w:t>交流标称电压Un：230/400VAC</w:t>
      </w:r>
    </w:p>
    <w:p>
      <w:pPr>
        <w:spacing w:line="360" w:lineRule="auto"/>
        <w:ind w:firstLine="480"/>
        <w:rPr>
          <w:rFonts w:hint="eastAsia" w:hAnsi="宋体"/>
        </w:rPr>
      </w:pPr>
      <w:r>
        <w:rPr>
          <w:rFonts w:hint="eastAsia" w:hAnsi="宋体"/>
        </w:rPr>
        <w:t>相应时间：≤25ns</w:t>
      </w:r>
    </w:p>
    <w:p>
      <w:pPr>
        <w:spacing w:line="360" w:lineRule="auto"/>
        <w:ind w:firstLine="480"/>
        <w:rPr>
          <w:rFonts w:hint="eastAsia" w:hAnsi="宋体"/>
        </w:rPr>
      </w:pPr>
      <w:r>
        <w:rPr>
          <w:rFonts w:hint="eastAsia" w:hAnsi="宋体"/>
        </w:rPr>
        <w:t>具备视窗指示工作/故障状态</w:t>
      </w:r>
    </w:p>
    <w:p>
      <w:pPr>
        <w:spacing w:line="360" w:lineRule="auto"/>
        <w:ind w:firstLine="480"/>
        <w:rPr>
          <w:rFonts w:hint="eastAsia" w:hAnsi="宋体"/>
        </w:rPr>
      </w:pPr>
      <w:r>
        <w:rPr>
          <w:rFonts w:hint="eastAsia" w:hAnsi="宋体"/>
        </w:rPr>
        <w:t>3)认证要求</w:t>
      </w:r>
    </w:p>
    <w:p>
      <w:pPr>
        <w:spacing w:line="360" w:lineRule="auto"/>
        <w:ind w:firstLine="480"/>
        <w:rPr>
          <w:rFonts w:hint="eastAsia" w:hAnsi="宋体"/>
        </w:rPr>
      </w:pPr>
      <w:r>
        <w:rPr>
          <w:rFonts w:hint="eastAsia" w:hAnsi="宋体"/>
        </w:rPr>
        <w:t>电源和信号防浪涌保护器应满足下列标准和规范：</w:t>
      </w:r>
    </w:p>
    <w:p>
      <w:pPr>
        <w:spacing w:line="360" w:lineRule="auto"/>
        <w:ind w:firstLine="480"/>
        <w:rPr>
          <w:rFonts w:hint="eastAsia" w:hAnsi="宋体"/>
        </w:rPr>
      </w:pPr>
      <w:r>
        <w:rPr>
          <w:rFonts w:hint="eastAsia" w:hAnsi="宋体"/>
        </w:rPr>
        <w:t>GB18802.1-2002《低压配电系统的电涌保护器(SPD)第1部分性能要求和试验方法》</w:t>
      </w:r>
    </w:p>
    <w:p>
      <w:pPr>
        <w:spacing w:line="360" w:lineRule="auto"/>
        <w:ind w:firstLine="480"/>
        <w:rPr>
          <w:rFonts w:hint="eastAsia" w:hAnsi="宋体"/>
        </w:rPr>
      </w:pPr>
      <w:r>
        <w:rPr>
          <w:rFonts w:hint="eastAsia" w:hAnsi="宋体"/>
        </w:rPr>
        <w:t>GB/T18802.12-2006《低压配电系统的电涌保护器 SPD 第12部分选择和使用导则》</w:t>
      </w:r>
    </w:p>
    <w:p>
      <w:pPr>
        <w:spacing w:line="360" w:lineRule="auto"/>
        <w:ind w:firstLine="480"/>
        <w:rPr>
          <w:rFonts w:hint="eastAsia" w:hAnsi="宋体"/>
        </w:rPr>
      </w:pPr>
      <w:r>
        <w:rPr>
          <w:rFonts w:hint="eastAsia" w:hAnsi="宋体"/>
        </w:rPr>
        <w:t>产品通过ISO9001认证。</w:t>
      </w:r>
    </w:p>
    <w:p>
      <w:pPr>
        <w:spacing w:line="360" w:lineRule="auto"/>
        <w:ind w:firstLine="480"/>
        <w:rPr>
          <w:rFonts w:hint="eastAsia" w:hAnsi="宋体"/>
        </w:rPr>
      </w:pPr>
      <w:r>
        <w:rPr>
          <w:rFonts w:hint="eastAsia" w:hAnsi="宋体"/>
        </w:rPr>
        <w:t>电源和数据信号浪涌保护器必须具有国家认监委认可的检测机构出示的产品检测报告。</w:t>
      </w:r>
    </w:p>
    <w:p>
      <w:pPr>
        <w:spacing w:line="360" w:lineRule="auto"/>
        <w:ind w:firstLine="480"/>
        <w:rPr>
          <w:rFonts w:hint="eastAsia" w:hAnsi="宋体"/>
        </w:rPr>
      </w:pPr>
      <w:r>
        <w:rPr>
          <w:rFonts w:hint="eastAsia" w:hAnsi="宋体"/>
        </w:rPr>
        <w:t>用于信号传输系统的浪涌保护器，需经过第三方机构（例如：EXIDA,TUV等）进行产品整体性能的可靠性、故障率评估，可用于不低于SIL 2 要求的系统，并提供第三方机构的评估数据报告。</w:t>
      </w:r>
    </w:p>
    <w:p>
      <w:pPr>
        <w:spacing w:line="360" w:lineRule="auto"/>
        <w:ind w:firstLine="480"/>
        <w:rPr>
          <w:rFonts w:hint="eastAsia" w:hAnsi="宋体"/>
        </w:rPr>
      </w:pPr>
      <w:r>
        <w:rPr>
          <w:rFonts w:hint="eastAsia" w:hAnsi="宋体"/>
        </w:rPr>
        <w:t>4)阻燃等级</w:t>
      </w:r>
    </w:p>
    <w:p>
      <w:pPr>
        <w:spacing w:line="360" w:lineRule="auto"/>
        <w:ind w:firstLine="480"/>
        <w:rPr>
          <w:rFonts w:hint="eastAsia" w:hAnsi="宋体"/>
        </w:rPr>
      </w:pPr>
      <w:r>
        <w:rPr>
          <w:rFonts w:hint="eastAsia" w:hAnsi="宋体"/>
        </w:rPr>
        <w:t>阻燃等级：V0（因雷电电流最大的热电效应，SPD的外壳必须采用阻燃材料，阻燃等级为V0级）。</w:t>
      </w:r>
    </w:p>
    <w:p>
      <w:pPr>
        <w:spacing w:line="360" w:lineRule="auto"/>
        <w:ind w:firstLine="525" w:firstLineChars="250"/>
        <w:rPr>
          <w:rFonts w:hint="eastAsia" w:hAnsi="宋体"/>
        </w:rPr>
      </w:pPr>
      <w:r>
        <w:rPr>
          <w:rFonts w:hint="eastAsia" w:hAnsi="宋体"/>
        </w:rPr>
        <w:t>5) 建议采用品质不低于ABB、施耐德、DEHN、天津中力等品牌。</w:t>
      </w:r>
    </w:p>
    <w:p>
      <w:pPr>
        <w:pStyle w:val="3"/>
        <w:keepNext w:val="0"/>
        <w:tabs>
          <w:tab w:val="left" w:pos="624"/>
          <w:tab w:val="left" w:pos="898"/>
        </w:tabs>
        <w:adjustRightInd w:val="0"/>
        <w:spacing w:before="200" w:after="200" w:line="360" w:lineRule="auto"/>
        <w:rPr>
          <w:rFonts w:hint="eastAsia"/>
          <w:sz w:val="24"/>
          <w:szCs w:val="24"/>
        </w:rPr>
      </w:pPr>
      <w:bookmarkStart w:id="34" w:name="_Toc456279569"/>
      <w:r>
        <w:rPr>
          <w:rFonts w:hint="eastAsia"/>
          <w:sz w:val="24"/>
          <w:szCs w:val="24"/>
        </w:rPr>
        <w:t>1.3.2插座箱</w:t>
      </w:r>
      <w:bookmarkEnd w:id="34"/>
    </w:p>
    <w:p>
      <w:pPr>
        <w:pStyle w:val="16"/>
        <w:outlineLvl w:val="0"/>
        <w:rPr>
          <w:rFonts w:hint="eastAsia"/>
          <w:color w:val="auto"/>
        </w:rPr>
      </w:pPr>
      <w:bookmarkStart w:id="35" w:name="_Toc456279570"/>
      <w:bookmarkStart w:id="36" w:name="_Toc439843446"/>
      <w:r>
        <w:rPr>
          <w:rFonts w:hint="eastAsia"/>
          <w:color w:val="auto"/>
          <w:lang w:eastAsia="zh-CN"/>
        </w:rPr>
        <w:t>1.3.2</w:t>
      </w:r>
      <w:r>
        <w:rPr>
          <w:rFonts w:hint="eastAsia"/>
          <w:color w:val="auto"/>
        </w:rPr>
        <w:t>.1 使用场所及范围</w:t>
      </w:r>
      <w:bookmarkEnd w:id="35"/>
      <w:bookmarkEnd w:id="36"/>
    </w:p>
    <w:p>
      <w:pPr>
        <w:spacing w:line="360" w:lineRule="auto"/>
        <w:ind w:firstLine="480"/>
        <w:rPr>
          <w:rFonts w:hint="eastAsia" w:hAnsi="宋体"/>
        </w:rPr>
      </w:pPr>
      <w:r>
        <w:rPr>
          <w:rFonts w:hint="eastAsia" w:hAnsi="宋体"/>
        </w:rPr>
        <w:t>本部分规格书适用于检修插座箱、电热水器插座箱，插座箱设于车站设备用房、区间、车辆段及停车场等场所。</w:t>
      </w:r>
    </w:p>
    <w:p>
      <w:pPr>
        <w:pStyle w:val="16"/>
        <w:outlineLvl w:val="0"/>
        <w:rPr>
          <w:rFonts w:hint="eastAsia"/>
          <w:color w:val="auto"/>
        </w:rPr>
      </w:pPr>
      <w:bookmarkStart w:id="37" w:name="_Toc456279571"/>
      <w:bookmarkStart w:id="38" w:name="_Toc439843447"/>
      <w:r>
        <w:rPr>
          <w:rFonts w:hint="eastAsia"/>
          <w:color w:val="auto"/>
          <w:lang w:eastAsia="zh-CN"/>
        </w:rPr>
        <w:t>1.3.</w:t>
      </w:r>
      <w:r>
        <w:rPr>
          <w:rFonts w:hint="eastAsia"/>
          <w:color w:val="auto"/>
        </w:rPr>
        <w:t>2.2 采用标准</w:t>
      </w:r>
      <w:bookmarkEnd w:id="37"/>
      <w:bookmarkEnd w:id="38"/>
    </w:p>
    <w:p>
      <w:pPr>
        <w:spacing w:line="360" w:lineRule="auto"/>
        <w:ind w:firstLine="480"/>
        <w:rPr>
          <w:rFonts w:hint="eastAsia" w:hAnsi="宋体"/>
        </w:rPr>
      </w:pPr>
      <w:r>
        <w:rPr>
          <w:rFonts w:hint="eastAsia" w:hAnsi="宋体"/>
        </w:rPr>
        <w:t>插座箱的制造、试验和验收应满足但不限于以下标准：</w:t>
      </w:r>
    </w:p>
    <w:p>
      <w:pPr>
        <w:pStyle w:val="16"/>
        <w:outlineLvl w:val="0"/>
        <w:rPr>
          <w:rFonts w:hint="eastAsia"/>
          <w:color w:val="auto"/>
        </w:rPr>
      </w:pPr>
      <w:bookmarkStart w:id="39" w:name="_Toc439843448"/>
      <w:bookmarkStart w:id="40" w:name="_Toc456279572"/>
      <w:r>
        <w:rPr>
          <w:rFonts w:hint="eastAsia"/>
          <w:color w:val="auto"/>
          <w:lang w:eastAsia="zh-CN"/>
        </w:rPr>
        <w:t>1.3.</w:t>
      </w:r>
      <w:r>
        <w:rPr>
          <w:rFonts w:hint="eastAsia"/>
          <w:color w:val="auto"/>
        </w:rPr>
        <w:t>2.3 技术条件</w:t>
      </w:r>
      <w:bookmarkEnd w:id="39"/>
      <w:bookmarkEnd w:id="40"/>
    </w:p>
    <w:p>
      <w:pPr>
        <w:numPr>
          <w:ilvl w:val="1"/>
          <w:numId w:val="8"/>
        </w:numPr>
        <w:autoSpaceDE w:val="0"/>
        <w:autoSpaceDN w:val="0"/>
        <w:adjustRightInd w:val="0"/>
        <w:spacing w:line="360" w:lineRule="auto"/>
        <w:jc w:val="left"/>
        <w:rPr>
          <w:rFonts w:hint="eastAsia" w:hAnsi="宋体"/>
        </w:rPr>
      </w:pPr>
      <w:r>
        <w:rPr>
          <w:rFonts w:hint="eastAsia" w:hAnsi="宋体"/>
        </w:rPr>
        <w:t>本部分所指的插座箱的生产厂家必须是持有国家相关机关颁发的此类型配电箱的生产许可证。</w:t>
      </w:r>
    </w:p>
    <w:p>
      <w:pPr>
        <w:numPr>
          <w:ilvl w:val="1"/>
          <w:numId w:val="8"/>
        </w:numPr>
        <w:autoSpaceDE w:val="0"/>
        <w:autoSpaceDN w:val="0"/>
        <w:adjustRightInd w:val="0"/>
        <w:spacing w:line="360" w:lineRule="auto"/>
        <w:jc w:val="left"/>
        <w:rPr>
          <w:rFonts w:hint="eastAsia" w:hAnsi="宋体"/>
        </w:rPr>
      </w:pPr>
      <w:r>
        <w:rPr>
          <w:rFonts w:hint="eastAsia" w:hAnsi="宋体"/>
        </w:rPr>
        <w:t>本部分插座箱应能耐恶劣工况及气候条件，适宜在潮湿腐蚀环境中连续运行。</w:t>
      </w:r>
    </w:p>
    <w:p>
      <w:pPr>
        <w:spacing w:line="360" w:lineRule="auto"/>
        <w:ind w:firstLine="480"/>
        <w:rPr>
          <w:rFonts w:hint="eastAsia" w:hAnsi="宋体"/>
        </w:rPr>
      </w:pPr>
      <w:r>
        <w:rPr>
          <w:rFonts w:hint="eastAsia" w:hAnsi="宋体"/>
        </w:rPr>
        <w:t>所有插座箱的壳体应为无毒、环保型材料——聚碳酸酯（Makrolon9425）制成(车辆段安装的插座箱箱体可采用优质冷扎钢板)，防腐应能达到10%酸或10%碱溶液以上，材料的温度稳定性范围不小于</w:t>
      </w:r>
    </w:p>
    <w:p>
      <w:pPr>
        <w:spacing w:line="360" w:lineRule="auto"/>
        <w:rPr>
          <w:rFonts w:hint="eastAsia" w:hAnsi="宋体"/>
        </w:rPr>
      </w:pPr>
      <w:r>
        <w:rPr>
          <w:rFonts w:hint="eastAsia" w:hAnsi="宋体"/>
        </w:rPr>
        <w:t>-40℃～+90℃，热灯丝实验的耐燃烧温度不低于+960℃。具有全绝缘、防尘、防水、耐腐蚀、耐撞击、抗紫外线、耐热、阻燃、防震、机械强度高等特点。</w:t>
      </w:r>
    </w:p>
    <w:p>
      <w:pPr>
        <w:numPr>
          <w:ilvl w:val="1"/>
          <w:numId w:val="8"/>
        </w:numPr>
        <w:autoSpaceDE w:val="0"/>
        <w:autoSpaceDN w:val="0"/>
        <w:adjustRightInd w:val="0"/>
        <w:spacing w:line="360" w:lineRule="auto"/>
        <w:jc w:val="left"/>
        <w:rPr>
          <w:rFonts w:hint="eastAsia" w:hAnsi="宋体"/>
        </w:rPr>
      </w:pPr>
      <w:r>
        <w:rPr>
          <w:rFonts w:hint="eastAsia" w:hAnsi="宋体"/>
        </w:rPr>
        <w:t>区间检修插座箱箱选用聚碳酸酯合成材料，具有耐腐蚀、无卤、阻燃、自熄，抗冲击等级需达到IK09，采用模块式结构，并能实现多回路自由组合。检修箱电缆引入均应有密封螺栓。并考虑足够大的进线电缆空间。插座具有抗冲击性强、耐腐蚀性强等特点，工业接插件防护等级达到IP67。插座与断路器须放在箱体表面，便于操作，具体配置相见区间维修插座箱系统图。插座箱整体防护等级需达到IP67。</w:t>
      </w:r>
    </w:p>
    <w:p>
      <w:pPr>
        <w:numPr>
          <w:ilvl w:val="1"/>
          <w:numId w:val="8"/>
        </w:numPr>
        <w:autoSpaceDE w:val="0"/>
        <w:autoSpaceDN w:val="0"/>
        <w:adjustRightInd w:val="0"/>
        <w:spacing w:line="360" w:lineRule="auto"/>
        <w:jc w:val="left"/>
        <w:rPr>
          <w:rFonts w:hint="eastAsia" w:hAnsi="宋体"/>
        </w:rPr>
      </w:pPr>
      <w:r>
        <w:rPr>
          <w:rFonts w:hint="eastAsia" w:hAnsi="宋体"/>
        </w:rPr>
        <w:t>电开水器插座箱整体防护等级不小于IP65；检修插座箱整体防护等级不小于IP44/IP65；工业插座防护等级不小于IP67；普通插座防护等级不小于IP44。</w:t>
      </w:r>
    </w:p>
    <w:p>
      <w:pPr>
        <w:numPr>
          <w:ilvl w:val="1"/>
          <w:numId w:val="8"/>
        </w:numPr>
        <w:autoSpaceDE w:val="0"/>
        <w:autoSpaceDN w:val="0"/>
        <w:adjustRightInd w:val="0"/>
        <w:spacing w:line="360" w:lineRule="auto"/>
        <w:jc w:val="left"/>
        <w:rPr>
          <w:rFonts w:hint="eastAsia" w:hAnsi="宋体"/>
        </w:rPr>
      </w:pPr>
      <w:r>
        <w:rPr>
          <w:rFonts w:hint="eastAsia" w:hAnsi="宋体"/>
        </w:rPr>
        <w:t>插座箱的箱壳应具有高强度，抗撞击强度应能达到5焦耳以上。以便在发生外部撞击时，箱壳能够保护箱内元件正常工作并不致被损坏，且箱壳自身在撞击发生后也应保证完好无损。</w:t>
      </w:r>
    </w:p>
    <w:p>
      <w:pPr>
        <w:numPr>
          <w:ilvl w:val="1"/>
          <w:numId w:val="8"/>
        </w:numPr>
        <w:autoSpaceDE w:val="0"/>
        <w:autoSpaceDN w:val="0"/>
        <w:adjustRightInd w:val="0"/>
        <w:spacing w:line="360" w:lineRule="auto"/>
        <w:jc w:val="left"/>
        <w:rPr>
          <w:rFonts w:hint="eastAsia" w:hAnsi="宋体"/>
        </w:rPr>
      </w:pPr>
      <w:r>
        <w:rPr>
          <w:rFonts w:hint="eastAsia" w:hAnsi="宋体"/>
        </w:rPr>
        <w:t>由于插座箱有可能会被频繁操作，且操作人员并不一定是专业的电工，为了保证操作人员的安全，插座箱的绝缘等级应能达到全绝缘级别，并在结构上采用双门结构等保证在操作时不可能接触到带电体，从而最大可能地保障操作人员的人身安全。</w:t>
      </w:r>
    </w:p>
    <w:p>
      <w:pPr>
        <w:numPr>
          <w:ilvl w:val="1"/>
          <w:numId w:val="8"/>
        </w:numPr>
        <w:autoSpaceDE w:val="0"/>
        <w:autoSpaceDN w:val="0"/>
        <w:adjustRightInd w:val="0"/>
        <w:spacing w:line="360" w:lineRule="auto"/>
        <w:jc w:val="left"/>
        <w:rPr>
          <w:rFonts w:hint="eastAsia" w:hAnsi="宋体"/>
        </w:rPr>
      </w:pPr>
      <w:r>
        <w:rPr>
          <w:rFonts w:hint="eastAsia" w:hAnsi="宋体"/>
        </w:rPr>
        <w:t xml:space="preserve">由于插座箱的高防护要求，所以插座箱必须具有压力释放机构及防止碎片飞出机构，以便在发生电气事故时防止人身伤害并减少损失。即在内部器件发生故障爆炸等严重事故时，要做到如下两点：一是爆炸产生的瞬时能量能够通过安装于侧面的释放机构进行释放且不伤及位于箱体正面的操作人员。二是爆炸产生的器件碎片打在箱壳上时，箱壳应能够承受住这种冲击，并能将碎片弹回箱内且自身不被损坏，以完全保障正面对箱体的操作人员的安全。 </w:t>
      </w:r>
    </w:p>
    <w:p>
      <w:pPr>
        <w:numPr>
          <w:ilvl w:val="1"/>
          <w:numId w:val="8"/>
        </w:numPr>
        <w:autoSpaceDE w:val="0"/>
        <w:autoSpaceDN w:val="0"/>
        <w:adjustRightInd w:val="0"/>
        <w:spacing w:line="360" w:lineRule="auto"/>
        <w:jc w:val="left"/>
        <w:rPr>
          <w:rFonts w:hint="eastAsia" w:hAnsi="宋体"/>
        </w:rPr>
      </w:pPr>
      <w:r>
        <w:rPr>
          <w:rFonts w:hint="eastAsia" w:hAnsi="宋体"/>
        </w:rPr>
        <w:t>箱内应留有足够空间便于电缆进出，并附有固定设施。</w:t>
      </w:r>
    </w:p>
    <w:p>
      <w:pPr>
        <w:numPr>
          <w:ilvl w:val="1"/>
          <w:numId w:val="8"/>
        </w:numPr>
        <w:autoSpaceDE w:val="0"/>
        <w:autoSpaceDN w:val="0"/>
        <w:adjustRightInd w:val="0"/>
        <w:spacing w:line="360" w:lineRule="auto"/>
        <w:jc w:val="left"/>
        <w:rPr>
          <w:rFonts w:hint="eastAsia" w:hAnsi="宋体"/>
        </w:rPr>
      </w:pPr>
      <w:r>
        <w:rPr>
          <w:rFonts w:hint="eastAsia" w:hAnsi="宋体"/>
        </w:rPr>
        <w:t>插座箱需提供防护等级报告、抗冲击等级报告及相应的CCC认证。</w:t>
      </w:r>
    </w:p>
    <w:p>
      <w:pPr>
        <w:numPr>
          <w:ilvl w:val="1"/>
          <w:numId w:val="8"/>
        </w:numPr>
        <w:autoSpaceDE w:val="0"/>
        <w:autoSpaceDN w:val="0"/>
        <w:adjustRightInd w:val="0"/>
        <w:spacing w:line="360" w:lineRule="auto"/>
        <w:ind w:left="142" w:firstLine="0"/>
        <w:jc w:val="left"/>
        <w:rPr>
          <w:rFonts w:hint="eastAsia" w:hAnsi="宋体"/>
        </w:rPr>
      </w:pPr>
      <w:r>
        <w:rPr>
          <w:rFonts w:hint="eastAsia" w:hAnsi="宋体"/>
        </w:rPr>
        <w:t>外形尺寸及安装要求</w:t>
      </w:r>
    </w:p>
    <w:p>
      <w:pPr>
        <w:spacing w:line="360" w:lineRule="auto"/>
        <w:ind w:left="900"/>
        <w:rPr>
          <w:rFonts w:hint="eastAsia"/>
        </w:rPr>
      </w:pPr>
      <w:r>
        <w:rPr>
          <w:rFonts w:hint="eastAsia"/>
        </w:rPr>
        <w:t>1）</w:t>
      </w:r>
      <w:r>
        <w:rPr>
          <w:rFonts w:hint="eastAsia" w:hAnsi="宋体"/>
        </w:rPr>
        <w:t>可</w:t>
      </w:r>
      <w:r>
        <w:rPr>
          <w:rFonts w:hint="eastAsia"/>
        </w:rPr>
        <w:t>挂</w:t>
      </w:r>
      <w:r>
        <w:rPr>
          <w:rFonts w:hint="eastAsia" w:hAnsi="宋体"/>
        </w:rPr>
        <w:t>墙，或嵌入式安装。</w:t>
      </w:r>
    </w:p>
    <w:p>
      <w:pPr>
        <w:spacing w:line="360" w:lineRule="auto"/>
        <w:ind w:left="900"/>
        <w:rPr>
          <w:rFonts w:hint="eastAsia" w:hAnsi="宋体"/>
        </w:rPr>
      </w:pPr>
      <w:r>
        <w:rPr>
          <w:rFonts w:hint="eastAsia" w:hAnsi="宋体"/>
        </w:rPr>
        <w:t>2）</w:t>
      </w:r>
      <w:r>
        <w:rPr>
          <w:rFonts w:hint="eastAsia"/>
        </w:rPr>
        <w:t>插座箱外形参考深度不能大于: 150mm</w:t>
      </w:r>
    </w:p>
    <w:p>
      <w:pPr>
        <w:pStyle w:val="16"/>
        <w:rPr>
          <w:rFonts w:hint="eastAsia"/>
          <w:color w:val="auto"/>
        </w:rPr>
      </w:pPr>
      <w:bookmarkStart w:id="41" w:name="_Toc456279573"/>
      <w:bookmarkStart w:id="42" w:name="_Toc439843449"/>
      <w:r>
        <w:rPr>
          <w:rFonts w:hint="eastAsia"/>
          <w:color w:val="auto"/>
          <w:lang w:eastAsia="zh-CN"/>
        </w:rPr>
        <w:t>1.3.</w:t>
      </w:r>
      <w:r>
        <w:rPr>
          <w:rFonts w:hint="eastAsia"/>
          <w:color w:val="auto"/>
        </w:rPr>
        <w:t>2.4 关键元件技术要求</w:t>
      </w:r>
      <w:bookmarkEnd w:id="41"/>
      <w:bookmarkEnd w:id="42"/>
    </w:p>
    <w:p>
      <w:pPr>
        <w:spacing w:line="360" w:lineRule="auto"/>
        <w:ind w:firstLine="480"/>
        <w:rPr>
          <w:rFonts w:hint="eastAsia" w:hAnsi="宋体"/>
        </w:rPr>
      </w:pPr>
      <w:r>
        <w:rPr>
          <w:rFonts w:hint="eastAsia" w:hAnsi="宋体"/>
        </w:rPr>
        <w:t>箱内全部低压电器元件应符合中国国家现行标准（GB）或国际电工委员会现行标准（IEC）。所有低压电器元件含断路器、插座、按钮、指示灯等，其型号、规格及安装方式必须具有互换性。</w:t>
      </w:r>
    </w:p>
    <w:p>
      <w:pPr>
        <w:numPr>
          <w:ilvl w:val="0"/>
          <w:numId w:val="9"/>
        </w:numPr>
        <w:autoSpaceDE w:val="0"/>
        <w:autoSpaceDN w:val="0"/>
        <w:adjustRightInd w:val="0"/>
        <w:spacing w:line="360" w:lineRule="auto"/>
        <w:jc w:val="left"/>
        <w:rPr>
          <w:rFonts w:hint="eastAsia" w:hAnsi="宋体"/>
        </w:rPr>
      </w:pPr>
      <w:r>
        <w:rPr>
          <w:rFonts w:hint="eastAsia" w:hAnsi="宋体"/>
        </w:rPr>
        <w:t>断路器（塑壳断路器、微型断路器）</w:t>
      </w:r>
    </w:p>
    <w:p>
      <w:pPr>
        <w:spacing w:line="360" w:lineRule="auto"/>
        <w:ind w:firstLine="480"/>
        <w:rPr>
          <w:rFonts w:hint="eastAsia" w:hAnsi="宋体"/>
        </w:rPr>
      </w:pPr>
      <w:r>
        <w:rPr>
          <w:rFonts w:hint="eastAsia" w:hAnsi="宋体"/>
        </w:rPr>
        <w:t>同配电箱相关要求。</w:t>
      </w:r>
    </w:p>
    <w:p>
      <w:pPr>
        <w:numPr>
          <w:ilvl w:val="0"/>
          <w:numId w:val="9"/>
        </w:numPr>
        <w:autoSpaceDE w:val="0"/>
        <w:autoSpaceDN w:val="0"/>
        <w:adjustRightInd w:val="0"/>
        <w:spacing w:line="360" w:lineRule="auto"/>
        <w:jc w:val="left"/>
        <w:rPr>
          <w:rFonts w:hint="eastAsia" w:hAnsi="宋体"/>
        </w:rPr>
      </w:pPr>
      <w:r>
        <w:rPr>
          <w:rFonts w:hint="eastAsia" w:hAnsi="宋体"/>
        </w:rPr>
        <w:t>工业插座</w:t>
      </w:r>
    </w:p>
    <w:p>
      <w:pPr>
        <w:spacing w:line="360" w:lineRule="auto"/>
        <w:ind w:firstLine="480"/>
        <w:rPr>
          <w:rFonts w:hint="eastAsia" w:hAnsi="宋体"/>
        </w:rPr>
      </w:pPr>
      <w:r>
        <w:rPr>
          <w:rFonts w:hint="eastAsia" w:hAnsi="宋体"/>
        </w:rPr>
        <w:t>供货商所提供的设备和配套件要符合以下标准但不局限于以下标准：</w:t>
      </w:r>
    </w:p>
    <w:p>
      <w:pPr>
        <w:spacing w:line="360" w:lineRule="auto"/>
        <w:ind w:firstLine="480"/>
        <w:rPr>
          <w:rFonts w:hint="eastAsia" w:hAnsi="宋体"/>
        </w:rPr>
      </w:pPr>
      <w:r>
        <w:rPr>
          <w:rFonts w:hint="eastAsia" w:hAnsi="宋体"/>
        </w:rPr>
        <w:t>GB/T11918-2001    工业用插头插座和耦合器第1部分:通用要求</w:t>
      </w:r>
    </w:p>
    <w:p>
      <w:pPr>
        <w:spacing w:line="360" w:lineRule="auto"/>
        <w:ind w:firstLine="480"/>
        <w:rPr>
          <w:rFonts w:hint="eastAsia" w:hAnsi="宋体"/>
        </w:rPr>
      </w:pPr>
      <w:r>
        <w:rPr>
          <w:rFonts w:hint="eastAsia" w:hAnsi="宋体"/>
        </w:rPr>
        <w:t xml:space="preserve">GB/T11919-2001    工业用插头插座和耦合器 第2部分:带插销和插套的电器附件的尺寸互换性要求 。 </w:t>
      </w:r>
    </w:p>
    <w:p>
      <w:pPr>
        <w:spacing w:line="360" w:lineRule="auto"/>
        <w:ind w:firstLine="480"/>
        <w:rPr>
          <w:rFonts w:hint="eastAsia" w:hAnsi="宋体"/>
        </w:rPr>
      </w:pPr>
      <w:r>
        <w:rPr>
          <w:rFonts w:hint="eastAsia" w:hAnsi="宋体"/>
        </w:rPr>
        <w:t>工业插座</w:t>
      </w:r>
      <w:r>
        <w:rPr>
          <w:rFonts w:hint="eastAsia"/>
        </w:rPr>
        <w:t>防护等级不小于IP67</w:t>
      </w:r>
      <w:r>
        <w:rPr>
          <w:rFonts w:hint="eastAsia" w:hAnsi="宋体"/>
        </w:rPr>
        <w:t>。</w:t>
      </w:r>
    </w:p>
    <w:p>
      <w:pPr>
        <w:pStyle w:val="16"/>
        <w:rPr>
          <w:rFonts w:hint="eastAsia"/>
          <w:color w:val="auto"/>
        </w:rPr>
      </w:pPr>
      <w:bookmarkStart w:id="43" w:name="_Toc456279574"/>
      <w:bookmarkStart w:id="44" w:name="_Toc439843450"/>
      <w:r>
        <w:rPr>
          <w:rFonts w:hint="eastAsia"/>
          <w:color w:val="auto"/>
          <w:lang w:eastAsia="zh-CN"/>
        </w:rPr>
        <w:t>1.3.</w:t>
      </w:r>
      <w:r>
        <w:rPr>
          <w:rFonts w:hint="eastAsia"/>
          <w:color w:val="auto"/>
        </w:rPr>
        <w:t>2.5专用分线盒</w:t>
      </w:r>
      <w:bookmarkEnd w:id="43"/>
      <w:bookmarkEnd w:id="44"/>
      <w:r>
        <w:rPr>
          <w:rFonts w:hint="eastAsia"/>
          <w:color w:val="auto"/>
        </w:rPr>
        <w:t xml:space="preserve"> </w:t>
      </w:r>
    </w:p>
    <w:p>
      <w:pPr>
        <w:spacing w:line="360" w:lineRule="auto"/>
        <w:ind w:firstLine="480"/>
        <w:rPr>
          <w:rFonts w:hint="eastAsia"/>
        </w:rPr>
      </w:pPr>
      <w:r>
        <w:rPr>
          <w:rFonts w:hint="eastAsia"/>
        </w:rPr>
        <w:t>盒体采用聚碳酸脂材质，具有耐腐蚀、无卤、无硅、阻燃、自熄功能。盒体整体防护等级达到IP66。电缆引入均应有密封螺栓，并考虑足够大的进线电缆空间。盒内配置接线端子。分线盒盒体尺寸不大于160*120*95（mm）（高x宽x厚）。</w:t>
      </w:r>
    </w:p>
    <w:p>
      <w:pPr>
        <w:pStyle w:val="16"/>
        <w:rPr>
          <w:rFonts w:hint="eastAsia"/>
          <w:color w:val="auto"/>
          <w:lang w:eastAsia="zh-CN"/>
        </w:rPr>
      </w:pPr>
      <w:bookmarkStart w:id="45" w:name="_Toc456279575"/>
      <w:bookmarkStart w:id="46" w:name="_Toc439843451"/>
      <w:r>
        <w:rPr>
          <w:rFonts w:hint="eastAsia"/>
          <w:color w:val="auto"/>
          <w:lang w:eastAsia="zh-CN"/>
        </w:rPr>
        <w:t>1.3.2.6</w:t>
      </w:r>
      <w:bookmarkEnd w:id="45"/>
      <w:bookmarkEnd w:id="46"/>
      <w:r>
        <w:rPr>
          <w:rFonts w:hint="eastAsia"/>
          <w:color w:val="auto"/>
        </w:rPr>
        <w:t>建议采用品质不低于曼奈柯斯、黑默、罗格朗</w:t>
      </w:r>
      <w:r>
        <w:rPr>
          <w:rFonts w:hint="eastAsia"/>
          <w:color w:val="auto"/>
          <w:lang w:eastAsia="zh-CN"/>
        </w:rPr>
        <w:t>等</w:t>
      </w:r>
      <w:r>
        <w:rPr>
          <w:rFonts w:hint="eastAsia"/>
          <w:color w:val="auto"/>
        </w:rPr>
        <w:t>品牌产品</w:t>
      </w:r>
    </w:p>
    <w:p>
      <w:pPr>
        <w:pStyle w:val="3"/>
        <w:keepNext w:val="0"/>
        <w:tabs>
          <w:tab w:val="left" w:pos="624"/>
          <w:tab w:val="left" w:pos="898"/>
        </w:tabs>
        <w:adjustRightInd w:val="0"/>
        <w:spacing w:before="200" w:after="200" w:line="360" w:lineRule="auto"/>
        <w:rPr>
          <w:rFonts w:hint="eastAsia"/>
          <w:sz w:val="24"/>
          <w:szCs w:val="24"/>
        </w:rPr>
      </w:pPr>
      <w:r>
        <w:rPr>
          <w:rFonts w:hint="eastAsia"/>
          <w:sz w:val="24"/>
          <w:szCs w:val="24"/>
        </w:rPr>
        <w:t xml:space="preserve"> </w:t>
      </w:r>
      <w:bookmarkStart w:id="47" w:name="_Toc456279576"/>
      <w:r>
        <w:rPr>
          <w:rFonts w:hint="eastAsia"/>
          <w:sz w:val="24"/>
          <w:szCs w:val="24"/>
        </w:rPr>
        <w:t>1.3.3接地母排箱、接地母排、等电位联接箱</w:t>
      </w:r>
      <w:bookmarkEnd w:id="47"/>
    </w:p>
    <w:p>
      <w:pPr>
        <w:spacing w:line="360" w:lineRule="auto"/>
        <w:ind w:firstLine="480"/>
        <w:rPr>
          <w:rFonts w:hint="eastAsia"/>
        </w:rPr>
      </w:pPr>
      <w:r>
        <w:rPr>
          <w:rFonts w:hint="eastAsia"/>
        </w:rPr>
        <w:t>接地母排箱、接地母排、等电位联接箱做法详见图纸和国家标准图集《等电位联结安装》02D501-2。</w:t>
      </w:r>
    </w:p>
    <w:p>
      <w:pPr>
        <w:pStyle w:val="3"/>
        <w:keepNext w:val="0"/>
        <w:tabs>
          <w:tab w:val="left" w:pos="624"/>
          <w:tab w:val="left" w:pos="898"/>
        </w:tabs>
        <w:adjustRightInd w:val="0"/>
        <w:spacing w:before="200" w:after="200" w:line="360" w:lineRule="auto"/>
        <w:rPr>
          <w:rFonts w:hint="eastAsia"/>
          <w:sz w:val="24"/>
          <w:szCs w:val="24"/>
        </w:rPr>
      </w:pPr>
      <w:bookmarkStart w:id="48" w:name="_Toc456279577"/>
      <w:r>
        <w:rPr>
          <w:rFonts w:hint="eastAsia"/>
          <w:sz w:val="24"/>
          <w:szCs w:val="24"/>
        </w:rPr>
        <w:t>1.3.4 样品要求</w:t>
      </w:r>
      <w:bookmarkEnd w:id="48"/>
    </w:p>
    <w:p>
      <w:pPr>
        <w:spacing w:line="360" w:lineRule="auto"/>
        <w:ind w:firstLine="480"/>
        <w:rPr>
          <w:rFonts w:hint="eastAsia"/>
        </w:rPr>
      </w:pPr>
      <w:r>
        <w:rPr>
          <w:rFonts w:hint="eastAsia"/>
        </w:rPr>
        <w:t>供货商应在第一次设计联络时提供各类型配电箱、插座箱样品一套，并提供相应的认证报告、检验报告。</w:t>
      </w:r>
    </w:p>
    <w:p>
      <w:pPr>
        <w:pStyle w:val="3"/>
        <w:keepNext w:val="0"/>
        <w:tabs>
          <w:tab w:val="left" w:pos="624"/>
          <w:tab w:val="left" w:pos="898"/>
        </w:tabs>
        <w:adjustRightInd w:val="0"/>
        <w:spacing w:before="200" w:after="200" w:line="360" w:lineRule="auto"/>
        <w:rPr>
          <w:rFonts w:hint="eastAsia"/>
          <w:sz w:val="24"/>
          <w:szCs w:val="24"/>
        </w:rPr>
      </w:pPr>
      <w:bookmarkStart w:id="49" w:name="_Toc456279578"/>
      <w:r>
        <w:rPr>
          <w:rFonts w:hint="eastAsia"/>
          <w:sz w:val="24"/>
          <w:szCs w:val="24"/>
        </w:rPr>
        <w:t>1.3.5配电箱、插座箱防护等级</w:t>
      </w:r>
      <w:bookmarkEnd w:id="49"/>
    </w:p>
    <w:p>
      <w:pPr>
        <w:ind w:firstLine="465"/>
        <w:rPr>
          <w:rFonts w:ascii="Calibri" w:hAnsi="Calibri"/>
        </w:rPr>
      </w:pPr>
      <w:r>
        <w:rPr>
          <w:rFonts w:hint="eastAsia" w:ascii="Calibri" w:hAnsi="Calibri"/>
        </w:rPr>
        <w:t>配电箱防护等级满足以下要求：</w:t>
      </w:r>
    </w:p>
    <w:tbl>
      <w:tblPr>
        <w:tblStyle w:val="12"/>
        <w:tblW w:w="80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0"/>
        <w:gridCol w:w="1875"/>
        <w:gridCol w:w="1603"/>
        <w:gridCol w:w="2479"/>
        <w:gridCol w:w="1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序号</w:t>
            </w:r>
          </w:p>
        </w:tc>
        <w:tc>
          <w:tcPr>
            <w:tcW w:w="1875" w:type="dxa"/>
            <w:vAlign w:val="center"/>
          </w:tcPr>
          <w:p>
            <w:pPr>
              <w:jc w:val="center"/>
              <w:rPr>
                <w:rFonts w:ascii="Calibri" w:hAnsi="Calibri"/>
                <w:szCs w:val="21"/>
              </w:rPr>
            </w:pPr>
            <w:r>
              <w:rPr>
                <w:rFonts w:hint="eastAsia" w:ascii="Calibri" w:hAnsi="Calibri"/>
                <w:szCs w:val="21"/>
              </w:rPr>
              <w:t>名称</w:t>
            </w:r>
          </w:p>
        </w:tc>
        <w:tc>
          <w:tcPr>
            <w:tcW w:w="1603" w:type="dxa"/>
            <w:vAlign w:val="center"/>
          </w:tcPr>
          <w:p>
            <w:pPr>
              <w:jc w:val="center"/>
              <w:rPr>
                <w:rFonts w:ascii="Calibri" w:hAnsi="Calibri"/>
                <w:szCs w:val="21"/>
              </w:rPr>
            </w:pPr>
            <w:r>
              <w:rPr>
                <w:rFonts w:hint="eastAsia" w:ascii="Calibri" w:hAnsi="Calibri"/>
                <w:szCs w:val="21"/>
              </w:rPr>
              <w:t>安装位置</w:t>
            </w:r>
          </w:p>
        </w:tc>
        <w:tc>
          <w:tcPr>
            <w:tcW w:w="2479" w:type="dxa"/>
            <w:vAlign w:val="center"/>
          </w:tcPr>
          <w:p>
            <w:pPr>
              <w:jc w:val="center"/>
              <w:rPr>
                <w:rFonts w:ascii="Calibri" w:hAnsi="Calibri"/>
                <w:szCs w:val="21"/>
              </w:rPr>
            </w:pPr>
            <w:r>
              <w:rPr>
                <w:rFonts w:hint="eastAsia" w:ascii="Calibri" w:hAnsi="Calibri"/>
                <w:szCs w:val="21"/>
              </w:rPr>
              <w:t>防护等级</w:t>
            </w:r>
          </w:p>
        </w:tc>
        <w:tc>
          <w:tcPr>
            <w:tcW w:w="1650" w:type="dxa"/>
            <w:vAlign w:val="center"/>
          </w:tcPr>
          <w:p>
            <w:pPr>
              <w:jc w:val="center"/>
              <w:rPr>
                <w:rFonts w:ascii="Calibri" w:hAnsi="Calibri"/>
                <w:szCs w:val="21"/>
              </w:rPr>
            </w:pPr>
            <w:r>
              <w:rPr>
                <w:rFonts w:hint="eastAsia" w:ascii="Calibri" w:hAnsi="Calibri"/>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1</w:t>
            </w:r>
          </w:p>
        </w:tc>
        <w:tc>
          <w:tcPr>
            <w:tcW w:w="1875" w:type="dxa"/>
            <w:vAlign w:val="center"/>
          </w:tcPr>
          <w:p>
            <w:pPr>
              <w:jc w:val="center"/>
              <w:rPr>
                <w:rFonts w:ascii="Calibri" w:hAnsi="Calibri"/>
                <w:szCs w:val="21"/>
              </w:rPr>
            </w:pPr>
            <w:r>
              <w:rPr>
                <w:rFonts w:hint="eastAsia" w:ascii="Calibri" w:hAnsi="Calibri"/>
                <w:szCs w:val="21"/>
              </w:rPr>
              <w:t>区间照明切换箱</w:t>
            </w:r>
          </w:p>
        </w:tc>
        <w:tc>
          <w:tcPr>
            <w:tcW w:w="1603" w:type="dxa"/>
            <w:vAlign w:val="center"/>
          </w:tcPr>
          <w:p>
            <w:pPr>
              <w:jc w:val="center"/>
              <w:rPr>
                <w:rFonts w:ascii="Calibri" w:hAnsi="Calibri"/>
                <w:szCs w:val="21"/>
              </w:rPr>
            </w:pPr>
            <w:r>
              <w:rPr>
                <w:rFonts w:hint="eastAsia" w:ascii="Calibri" w:hAnsi="Calibri"/>
                <w:szCs w:val="21"/>
              </w:rPr>
              <w:t>照明配电室</w:t>
            </w:r>
          </w:p>
        </w:tc>
        <w:tc>
          <w:tcPr>
            <w:tcW w:w="2479" w:type="dxa"/>
            <w:vAlign w:val="center"/>
          </w:tcPr>
          <w:p>
            <w:pPr>
              <w:jc w:val="center"/>
              <w:rPr>
                <w:rFonts w:ascii="Calibri" w:hAnsi="Calibri"/>
                <w:szCs w:val="21"/>
              </w:rPr>
            </w:pPr>
            <w:r>
              <w:rPr>
                <w:rFonts w:hint="eastAsia" w:ascii="Calibri" w:hAnsi="Calibri"/>
                <w:szCs w:val="21"/>
              </w:rPr>
              <w:t>整体防护等级IP42</w:t>
            </w:r>
          </w:p>
        </w:tc>
        <w:tc>
          <w:tcPr>
            <w:tcW w:w="1650" w:type="dxa"/>
            <w:vAlign w:val="center"/>
          </w:tcPr>
          <w:p>
            <w:pPr>
              <w:jc w:val="center"/>
              <w:rPr>
                <w:rFonts w:ascii="Calibri" w:hAnsi="Calibri"/>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2</w:t>
            </w:r>
          </w:p>
        </w:tc>
        <w:tc>
          <w:tcPr>
            <w:tcW w:w="1875" w:type="dxa"/>
            <w:vAlign w:val="center"/>
          </w:tcPr>
          <w:p>
            <w:pPr>
              <w:jc w:val="center"/>
              <w:rPr>
                <w:rFonts w:ascii="Calibri" w:hAnsi="Calibri"/>
                <w:szCs w:val="21"/>
              </w:rPr>
            </w:pPr>
            <w:r>
              <w:rPr>
                <w:rFonts w:hint="eastAsia" w:ascii="Calibri" w:hAnsi="Calibri"/>
                <w:szCs w:val="21"/>
              </w:rPr>
              <w:t>区间应急照明配电箱</w:t>
            </w:r>
          </w:p>
        </w:tc>
        <w:tc>
          <w:tcPr>
            <w:tcW w:w="1603" w:type="dxa"/>
            <w:vAlign w:val="center"/>
          </w:tcPr>
          <w:p>
            <w:pPr>
              <w:jc w:val="center"/>
              <w:rPr>
                <w:rFonts w:ascii="Calibri" w:hAnsi="Calibri"/>
                <w:szCs w:val="21"/>
              </w:rPr>
            </w:pPr>
            <w:r>
              <w:rPr>
                <w:rFonts w:hint="eastAsia" w:ascii="Calibri" w:hAnsi="Calibri"/>
                <w:szCs w:val="21"/>
              </w:rPr>
              <w:t>照明配电室</w:t>
            </w:r>
          </w:p>
        </w:tc>
        <w:tc>
          <w:tcPr>
            <w:tcW w:w="2479" w:type="dxa"/>
            <w:vAlign w:val="center"/>
          </w:tcPr>
          <w:p>
            <w:pPr>
              <w:jc w:val="center"/>
              <w:rPr>
                <w:rFonts w:ascii="Calibri" w:hAnsi="Calibri"/>
                <w:szCs w:val="21"/>
              </w:rPr>
            </w:pPr>
            <w:r>
              <w:rPr>
                <w:rFonts w:hint="eastAsia" w:ascii="Calibri" w:hAnsi="Calibri"/>
                <w:szCs w:val="21"/>
              </w:rPr>
              <w:t>整体防护等级IP42</w:t>
            </w:r>
          </w:p>
        </w:tc>
        <w:tc>
          <w:tcPr>
            <w:tcW w:w="1650" w:type="dxa"/>
            <w:vAlign w:val="center"/>
          </w:tcPr>
          <w:p>
            <w:pPr>
              <w:jc w:val="center"/>
              <w:rPr>
                <w:rFonts w:ascii="Calibri" w:hAnsi="Calibri"/>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3</w:t>
            </w:r>
          </w:p>
        </w:tc>
        <w:tc>
          <w:tcPr>
            <w:tcW w:w="1875" w:type="dxa"/>
            <w:vAlign w:val="center"/>
          </w:tcPr>
          <w:p>
            <w:pPr>
              <w:jc w:val="center"/>
              <w:rPr>
                <w:rFonts w:ascii="Calibri" w:hAnsi="Calibri"/>
                <w:szCs w:val="21"/>
              </w:rPr>
            </w:pPr>
            <w:r>
              <w:rPr>
                <w:rFonts w:hint="eastAsia" w:ascii="Calibri" w:hAnsi="Calibri"/>
                <w:szCs w:val="21"/>
              </w:rPr>
              <w:t>区间电动蝶阀电源切换箱</w:t>
            </w:r>
          </w:p>
        </w:tc>
        <w:tc>
          <w:tcPr>
            <w:tcW w:w="1603" w:type="dxa"/>
            <w:vAlign w:val="center"/>
          </w:tcPr>
          <w:p>
            <w:pPr>
              <w:jc w:val="center"/>
              <w:rPr>
                <w:rFonts w:ascii="Calibri" w:hAnsi="Calibri"/>
                <w:szCs w:val="21"/>
              </w:rPr>
            </w:pPr>
            <w:r>
              <w:rPr>
                <w:rFonts w:hint="eastAsia" w:ascii="Calibri" w:hAnsi="Calibri"/>
                <w:szCs w:val="21"/>
              </w:rPr>
              <w:t>区间联络通道</w:t>
            </w:r>
          </w:p>
        </w:tc>
        <w:tc>
          <w:tcPr>
            <w:tcW w:w="2479" w:type="dxa"/>
            <w:vAlign w:val="center"/>
          </w:tcPr>
          <w:p>
            <w:pPr>
              <w:jc w:val="center"/>
              <w:rPr>
                <w:rFonts w:ascii="Calibri" w:hAnsi="Calibri"/>
                <w:szCs w:val="21"/>
              </w:rPr>
            </w:pPr>
            <w:r>
              <w:rPr>
                <w:rFonts w:hint="eastAsia" w:ascii="Calibri" w:hAnsi="Calibri"/>
                <w:szCs w:val="21"/>
              </w:rPr>
              <w:t>整体防护等级IP54</w:t>
            </w:r>
          </w:p>
        </w:tc>
        <w:tc>
          <w:tcPr>
            <w:tcW w:w="1650" w:type="dxa"/>
            <w:vAlign w:val="center"/>
          </w:tcPr>
          <w:p>
            <w:pPr>
              <w:jc w:val="center"/>
              <w:rPr>
                <w:rFonts w:ascii="Calibri" w:hAnsi="Calibri"/>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4</w:t>
            </w:r>
          </w:p>
        </w:tc>
        <w:tc>
          <w:tcPr>
            <w:tcW w:w="1875" w:type="dxa"/>
            <w:vAlign w:val="center"/>
          </w:tcPr>
          <w:p>
            <w:pPr>
              <w:jc w:val="center"/>
              <w:rPr>
                <w:rFonts w:ascii="Calibri" w:hAnsi="Calibri"/>
                <w:szCs w:val="21"/>
              </w:rPr>
            </w:pPr>
            <w:r>
              <w:rPr>
                <w:rFonts w:hint="eastAsia" w:ascii="Calibri" w:hAnsi="Calibri"/>
                <w:szCs w:val="21"/>
              </w:rPr>
              <w:t>区间废水泵电源切换箱</w:t>
            </w:r>
          </w:p>
        </w:tc>
        <w:tc>
          <w:tcPr>
            <w:tcW w:w="1603" w:type="dxa"/>
            <w:vAlign w:val="center"/>
          </w:tcPr>
          <w:p>
            <w:pPr>
              <w:jc w:val="center"/>
              <w:rPr>
                <w:rFonts w:ascii="Calibri" w:hAnsi="Calibri"/>
                <w:szCs w:val="21"/>
              </w:rPr>
            </w:pPr>
            <w:r>
              <w:rPr>
                <w:rFonts w:hint="eastAsia" w:ascii="Calibri" w:hAnsi="Calibri"/>
                <w:szCs w:val="21"/>
              </w:rPr>
              <w:t>区间联络通道</w:t>
            </w:r>
          </w:p>
        </w:tc>
        <w:tc>
          <w:tcPr>
            <w:tcW w:w="2479" w:type="dxa"/>
            <w:vAlign w:val="center"/>
          </w:tcPr>
          <w:p>
            <w:pPr>
              <w:jc w:val="center"/>
              <w:rPr>
                <w:rFonts w:ascii="Calibri" w:hAnsi="Calibri"/>
                <w:szCs w:val="21"/>
              </w:rPr>
            </w:pPr>
            <w:r>
              <w:rPr>
                <w:rFonts w:hint="eastAsia" w:ascii="Calibri" w:hAnsi="Calibri"/>
                <w:szCs w:val="21"/>
              </w:rPr>
              <w:t>整体防护等级IP54</w:t>
            </w:r>
          </w:p>
        </w:tc>
        <w:tc>
          <w:tcPr>
            <w:tcW w:w="1650" w:type="dxa"/>
            <w:vAlign w:val="center"/>
          </w:tcPr>
          <w:p>
            <w:pPr>
              <w:jc w:val="center"/>
              <w:rPr>
                <w:rFonts w:ascii="Calibri" w:hAnsi="Calibri"/>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5</w:t>
            </w:r>
          </w:p>
        </w:tc>
        <w:tc>
          <w:tcPr>
            <w:tcW w:w="1875" w:type="dxa"/>
            <w:vAlign w:val="center"/>
          </w:tcPr>
          <w:p>
            <w:pPr>
              <w:jc w:val="center"/>
              <w:rPr>
                <w:rFonts w:ascii="Calibri" w:hAnsi="Calibri"/>
                <w:szCs w:val="21"/>
              </w:rPr>
            </w:pPr>
            <w:r>
              <w:rPr>
                <w:rFonts w:hint="eastAsia" w:ascii="Calibri" w:hAnsi="Calibri"/>
                <w:szCs w:val="21"/>
              </w:rPr>
              <w:t>车站污水泵（废水泵）房电源箱</w:t>
            </w:r>
          </w:p>
        </w:tc>
        <w:tc>
          <w:tcPr>
            <w:tcW w:w="1603" w:type="dxa"/>
            <w:vAlign w:val="center"/>
          </w:tcPr>
          <w:p>
            <w:pPr>
              <w:jc w:val="center"/>
              <w:rPr>
                <w:rFonts w:ascii="Calibri" w:hAnsi="Calibri"/>
                <w:szCs w:val="21"/>
              </w:rPr>
            </w:pPr>
            <w:r>
              <w:rPr>
                <w:rFonts w:hint="eastAsia" w:ascii="Calibri" w:hAnsi="Calibri"/>
                <w:szCs w:val="21"/>
              </w:rPr>
              <w:t>污水泵（废水泵）房</w:t>
            </w:r>
          </w:p>
        </w:tc>
        <w:tc>
          <w:tcPr>
            <w:tcW w:w="2479" w:type="dxa"/>
            <w:vAlign w:val="center"/>
          </w:tcPr>
          <w:p>
            <w:pPr>
              <w:jc w:val="center"/>
              <w:rPr>
                <w:rFonts w:ascii="Calibri" w:hAnsi="Calibri"/>
                <w:szCs w:val="21"/>
              </w:rPr>
            </w:pPr>
            <w:r>
              <w:rPr>
                <w:rFonts w:hint="eastAsia" w:ascii="Calibri" w:hAnsi="Calibri"/>
                <w:szCs w:val="21"/>
              </w:rPr>
              <w:t>整体防护等级IP54</w:t>
            </w:r>
          </w:p>
        </w:tc>
        <w:tc>
          <w:tcPr>
            <w:tcW w:w="1650" w:type="dxa"/>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6</w:t>
            </w:r>
          </w:p>
        </w:tc>
        <w:tc>
          <w:tcPr>
            <w:tcW w:w="1875" w:type="dxa"/>
            <w:vAlign w:val="center"/>
          </w:tcPr>
          <w:p>
            <w:pPr>
              <w:jc w:val="center"/>
              <w:rPr>
                <w:rFonts w:ascii="Calibri" w:hAnsi="Calibri"/>
                <w:szCs w:val="21"/>
              </w:rPr>
            </w:pPr>
            <w:r>
              <w:rPr>
                <w:rFonts w:hint="eastAsia" w:ascii="Calibri" w:hAnsi="Calibri"/>
                <w:szCs w:val="21"/>
              </w:rPr>
              <w:t>风井潜污泵电源箱</w:t>
            </w:r>
          </w:p>
        </w:tc>
        <w:tc>
          <w:tcPr>
            <w:tcW w:w="1603" w:type="dxa"/>
            <w:vAlign w:val="center"/>
          </w:tcPr>
          <w:p>
            <w:pPr>
              <w:jc w:val="center"/>
              <w:rPr>
                <w:rFonts w:ascii="Calibri" w:hAnsi="Calibri"/>
                <w:szCs w:val="21"/>
              </w:rPr>
            </w:pPr>
            <w:r>
              <w:rPr>
                <w:rFonts w:hint="eastAsia" w:ascii="Calibri" w:hAnsi="Calibri"/>
                <w:szCs w:val="21"/>
              </w:rPr>
              <w:t>敞口风井内</w:t>
            </w:r>
          </w:p>
        </w:tc>
        <w:tc>
          <w:tcPr>
            <w:tcW w:w="2479" w:type="dxa"/>
            <w:vAlign w:val="center"/>
          </w:tcPr>
          <w:p>
            <w:pPr>
              <w:jc w:val="center"/>
              <w:rPr>
                <w:rFonts w:ascii="Calibri" w:hAnsi="Calibri"/>
                <w:szCs w:val="21"/>
              </w:rPr>
            </w:pPr>
            <w:r>
              <w:rPr>
                <w:rFonts w:hint="eastAsia" w:ascii="Calibri" w:hAnsi="Calibri"/>
                <w:szCs w:val="21"/>
              </w:rPr>
              <w:t>整体防护等级IP65，（带防雨帽檐）</w:t>
            </w:r>
          </w:p>
        </w:tc>
        <w:tc>
          <w:tcPr>
            <w:tcW w:w="1650" w:type="dxa"/>
            <w:vAlign w:val="center"/>
          </w:tcPr>
          <w:p>
            <w:pPr>
              <w:jc w:val="center"/>
            </w:pPr>
            <w:r>
              <w:rPr>
                <w:rFonts w:hint="eastAsia" w:ascii="Calibri" w:hAnsi="Calibri"/>
                <w:szCs w:val="21"/>
              </w:rPr>
              <w:t>操作器件内置,面板有观查窗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7</w:t>
            </w:r>
          </w:p>
        </w:tc>
        <w:tc>
          <w:tcPr>
            <w:tcW w:w="1875" w:type="dxa"/>
            <w:vAlign w:val="center"/>
          </w:tcPr>
          <w:p>
            <w:pPr>
              <w:jc w:val="center"/>
              <w:rPr>
                <w:rFonts w:ascii="Calibri" w:hAnsi="Calibri"/>
                <w:szCs w:val="21"/>
              </w:rPr>
            </w:pPr>
            <w:r>
              <w:rPr>
                <w:rFonts w:hint="eastAsia" w:ascii="Calibri" w:hAnsi="Calibri"/>
                <w:szCs w:val="21"/>
              </w:rPr>
              <w:t>雨水泵电源箱</w:t>
            </w:r>
          </w:p>
        </w:tc>
        <w:tc>
          <w:tcPr>
            <w:tcW w:w="1603" w:type="dxa"/>
            <w:vAlign w:val="center"/>
          </w:tcPr>
          <w:p>
            <w:pPr>
              <w:jc w:val="center"/>
              <w:rPr>
                <w:rFonts w:ascii="Calibri" w:hAnsi="Calibri"/>
                <w:szCs w:val="21"/>
              </w:rPr>
            </w:pPr>
            <w:r>
              <w:rPr>
                <w:rFonts w:hint="eastAsia" w:ascii="Calibri" w:hAnsi="Calibri"/>
                <w:szCs w:val="21"/>
              </w:rPr>
              <w:t>户外</w:t>
            </w:r>
          </w:p>
        </w:tc>
        <w:tc>
          <w:tcPr>
            <w:tcW w:w="2479" w:type="dxa"/>
            <w:vAlign w:val="center"/>
          </w:tcPr>
          <w:p>
            <w:pPr>
              <w:jc w:val="center"/>
              <w:rPr>
                <w:rFonts w:ascii="Calibri" w:hAnsi="Calibri"/>
                <w:szCs w:val="21"/>
              </w:rPr>
            </w:pPr>
            <w:r>
              <w:rPr>
                <w:rFonts w:hint="eastAsia" w:ascii="Calibri" w:hAnsi="Calibri"/>
                <w:szCs w:val="21"/>
              </w:rPr>
              <w:t>整体防护等级IP65，（带防雨帽檐）</w:t>
            </w:r>
          </w:p>
        </w:tc>
        <w:tc>
          <w:tcPr>
            <w:tcW w:w="1650" w:type="dxa"/>
            <w:vAlign w:val="center"/>
          </w:tcPr>
          <w:p>
            <w:pPr>
              <w:jc w:val="center"/>
            </w:pPr>
            <w:r>
              <w:rPr>
                <w:rFonts w:hint="eastAsia" w:ascii="Calibri" w:hAnsi="Calibri"/>
                <w:szCs w:val="21"/>
              </w:rPr>
              <w:t>操作器件内置,面板有观查窗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8</w:t>
            </w:r>
          </w:p>
        </w:tc>
        <w:tc>
          <w:tcPr>
            <w:tcW w:w="1875" w:type="dxa"/>
            <w:vAlign w:val="center"/>
          </w:tcPr>
          <w:p>
            <w:pPr>
              <w:jc w:val="center"/>
              <w:rPr>
                <w:rFonts w:ascii="Calibri" w:hAnsi="Calibri"/>
                <w:szCs w:val="21"/>
              </w:rPr>
            </w:pPr>
            <w:r>
              <w:rPr>
                <w:rFonts w:hint="eastAsia" w:ascii="Calibri" w:hAnsi="Calibri"/>
                <w:szCs w:val="21"/>
              </w:rPr>
              <w:t>局部废水泵电源箱</w:t>
            </w:r>
          </w:p>
        </w:tc>
        <w:tc>
          <w:tcPr>
            <w:tcW w:w="1603" w:type="dxa"/>
            <w:vAlign w:val="center"/>
          </w:tcPr>
          <w:p>
            <w:pPr>
              <w:jc w:val="center"/>
              <w:rPr>
                <w:rFonts w:ascii="Calibri" w:hAnsi="Calibri"/>
                <w:szCs w:val="21"/>
              </w:rPr>
            </w:pPr>
            <w:r>
              <w:rPr>
                <w:rFonts w:hint="eastAsia" w:ascii="Calibri" w:hAnsi="Calibri"/>
                <w:szCs w:val="21"/>
              </w:rPr>
              <w:t>废水泵房</w:t>
            </w:r>
          </w:p>
        </w:tc>
        <w:tc>
          <w:tcPr>
            <w:tcW w:w="2479" w:type="dxa"/>
            <w:vAlign w:val="center"/>
          </w:tcPr>
          <w:p>
            <w:pPr>
              <w:jc w:val="center"/>
              <w:rPr>
                <w:rFonts w:ascii="Calibri" w:hAnsi="Calibri"/>
                <w:szCs w:val="21"/>
              </w:rPr>
            </w:pPr>
            <w:r>
              <w:rPr>
                <w:rFonts w:hint="eastAsia" w:ascii="Calibri" w:hAnsi="Calibri"/>
                <w:szCs w:val="21"/>
              </w:rPr>
              <w:t>整体防护等级IP54</w:t>
            </w:r>
          </w:p>
        </w:tc>
        <w:tc>
          <w:tcPr>
            <w:tcW w:w="1650" w:type="dxa"/>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9</w:t>
            </w:r>
          </w:p>
        </w:tc>
        <w:tc>
          <w:tcPr>
            <w:tcW w:w="1875" w:type="dxa"/>
            <w:vAlign w:val="center"/>
          </w:tcPr>
          <w:p>
            <w:pPr>
              <w:jc w:val="center"/>
              <w:rPr>
                <w:rFonts w:ascii="Calibri" w:hAnsi="Calibri"/>
                <w:szCs w:val="21"/>
              </w:rPr>
            </w:pPr>
            <w:r>
              <w:rPr>
                <w:rFonts w:hint="eastAsia" w:ascii="Calibri" w:hAnsi="Calibri"/>
                <w:szCs w:val="21"/>
              </w:rPr>
              <w:t>区间检修插座箱</w:t>
            </w:r>
          </w:p>
        </w:tc>
        <w:tc>
          <w:tcPr>
            <w:tcW w:w="1603" w:type="dxa"/>
            <w:vAlign w:val="center"/>
          </w:tcPr>
          <w:p>
            <w:pPr>
              <w:jc w:val="center"/>
              <w:rPr>
                <w:rFonts w:ascii="Calibri" w:hAnsi="Calibri"/>
                <w:szCs w:val="21"/>
              </w:rPr>
            </w:pPr>
            <w:r>
              <w:rPr>
                <w:rFonts w:hint="eastAsia" w:ascii="Calibri" w:hAnsi="Calibri"/>
                <w:szCs w:val="21"/>
              </w:rPr>
              <w:t>区间隧道</w:t>
            </w:r>
          </w:p>
        </w:tc>
        <w:tc>
          <w:tcPr>
            <w:tcW w:w="2479" w:type="dxa"/>
            <w:vAlign w:val="center"/>
          </w:tcPr>
          <w:p>
            <w:pPr>
              <w:jc w:val="center"/>
              <w:rPr>
                <w:rFonts w:ascii="Calibri" w:hAnsi="Calibri"/>
                <w:szCs w:val="21"/>
              </w:rPr>
            </w:pPr>
            <w:r>
              <w:rPr>
                <w:rFonts w:hint="eastAsia" w:ascii="Calibri" w:hAnsi="Calibri"/>
                <w:szCs w:val="21"/>
              </w:rPr>
              <w:t>整体防护等级IP66、工业插座IP67</w:t>
            </w:r>
          </w:p>
        </w:tc>
        <w:tc>
          <w:tcPr>
            <w:tcW w:w="1650" w:type="dxa"/>
            <w:vAlign w:val="center"/>
          </w:tcPr>
          <w:p>
            <w:pPr>
              <w:jc w:val="center"/>
              <w:rPr>
                <w:rFonts w:ascii="Calibri" w:hAnsi="Calibri"/>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ascii="Calibri" w:hAnsi="Calibri"/>
                <w:szCs w:val="21"/>
              </w:rPr>
            </w:pPr>
            <w:r>
              <w:rPr>
                <w:rFonts w:hint="eastAsia" w:ascii="Calibri" w:hAnsi="Calibri"/>
                <w:szCs w:val="21"/>
              </w:rPr>
              <w:t>10</w:t>
            </w:r>
          </w:p>
        </w:tc>
        <w:tc>
          <w:tcPr>
            <w:tcW w:w="1875" w:type="dxa"/>
            <w:vAlign w:val="center"/>
          </w:tcPr>
          <w:p>
            <w:pPr>
              <w:jc w:val="center"/>
              <w:rPr>
                <w:rFonts w:hint="eastAsia" w:ascii="Calibri" w:hAnsi="Calibri"/>
                <w:szCs w:val="21"/>
              </w:rPr>
            </w:pPr>
            <w:r>
              <w:rPr>
                <w:rFonts w:hint="eastAsia" w:ascii="Calibri" w:hAnsi="Calibri"/>
                <w:szCs w:val="21"/>
              </w:rPr>
              <w:t>电开水器插座箱</w:t>
            </w:r>
          </w:p>
        </w:tc>
        <w:tc>
          <w:tcPr>
            <w:tcW w:w="1603" w:type="dxa"/>
            <w:vAlign w:val="center"/>
          </w:tcPr>
          <w:p>
            <w:pPr>
              <w:jc w:val="center"/>
              <w:rPr>
                <w:rFonts w:hint="eastAsia" w:ascii="Calibri" w:hAnsi="Calibri"/>
                <w:szCs w:val="21"/>
              </w:rPr>
            </w:pPr>
            <w:r>
              <w:rPr>
                <w:rFonts w:hint="eastAsia" w:ascii="Calibri" w:hAnsi="Calibri"/>
                <w:szCs w:val="21"/>
              </w:rPr>
              <w:t>开水间</w:t>
            </w:r>
          </w:p>
        </w:tc>
        <w:tc>
          <w:tcPr>
            <w:tcW w:w="2479" w:type="dxa"/>
            <w:vAlign w:val="center"/>
          </w:tcPr>
          <w:p>
            <w:pPr>
              <w:jc w:val="center"/>
              <w:rPr>
                <w:rFonts w:ascii="Calibri" w:hAnsi="Calibri"/>
                <w:szCs w:val="21"/>
              </w:rPr>
            </w:pPr>
            <w:r>
              <w:rPr>
                <w:rFonts w:hint="eastAsia" w:ascii="Calibri" w:hAnsi="Calibri"/>
                <w:szCs w:val="21"/>
              </w:rPr>
              <w:t>整体防护等级IP65、工业插座IP67</w:t>
            </w:r>
          </w:p>
        </w:tc>
        <w:tc>
          <w:tcPr>
            <w:tcW w:w="1650" w:type="dxa"/>
            <w:vAlign w:val="center"/>
          </w:tcPr>
          <w:p>
            <w:pPr>
              <w:jc w:val="center"/>
              <w:rPr>
                <w:rFonts w:ascii="Calibri" w:hAnsi="Calibri"/>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hint="eastAsia" w:ascii="Calibri" w:hAnsi="Calibri"/>
                <w:szCs w:val="21"/>
              </w:rPr>
            </w:pPr>
            <w:r>
              <w:rPr>
                <w:rFonts w:hint="eastAsia" w:ascii="Calibri" w:hAnsi="Calibri"/>
                <w:szCs w:val="21"/>
              </w:rPr>
              <w:t>11</w:t>
            </w:r>
          </w:p>
        </w:tc>
        <w:tc>
          <w:tcPr>
            <w:tcW w:w="1875" w:type="dxa"/>
            <w:vAlign w:val="center"/>
          </w:tcPr>
          <w:p>
            <w:pPr>
              <w:jc w:val="center"/>
              <w:rPr>
                <w:rFonts w:hint="eastAsia" w:ascii="Calibri" w:hAnsi="Calibri"/>
                <w:szCs w:val="21"/>
              </w:rPr>
            </w:pPr>
            <w:r>
              <w:rPr>
                <w:rFonts w:hint="eastAsia" w:ascii="Calibri" w:hAnsi="Calibri"/>
                <w:szCs w:val="21"/>
              </w:rPr>
              <w:t>检修插座箱一</w:t>
            </w:r>
          </w:p>
        </w:tc>
        <w:tc>
          <w:tcPr>
            <w:tcW w:w="1603" w:type="dxa"/>
            <w:vAlign w:val="center"/>
          </w:tcPr>
          <w:p>
            <w:pPr>
              <w:jc w:val="center"/>
              <w:rPr>
                <w:rFonts w:hint="eastAsia" w:ascii="Calibri" w:hAnsi="Calibri"/>
                <w:szCs w:val="21"/>
              </w:rPr>
            </w:pPr>
            <w:r>
              <w:rPr>
                <w:rFonts w:hint="eastAsia" w:ascii="Calibri" w:hAnsi="Calibri"/>
                <w:szCs w:val="21"/>
              </w:rPr>
              <w:t>检修坑等潮湿场所</w:t>
            </w:r>
          </w:p>
        </w:tc>
        <w:tc>
          <w:tcPr>
            <w:tcW w:w="2479" w:type="dxa"/>
            <w:vAlign w:val="center"/>
          </w:tcPr>
          <w:p>
            <w:pPr>
              <w:jc w:val="center"/>
              <w:rPr>
                <w:rFonts w:hint="eastAsia" w:ascii="Calibri" w:hAnsi="Calibri"/>
                <w:szCs w:val="21"/>
              </w:rPr>
            </w:pPr>
            <w:r>
              <w:rPr>
                <w:rFonts w:hint="eastAsia" w:ascii="Calibri" w:hAnsi="Calibri"/>
                <w:szCs w:val="21"/>
              </w:rPr>
              <w:t>整体防护等级IP65、工业插座IP67、普通插座IP44</w:t>
            </w:r>
          </w:p>
        </w:tc>
        <w:tc>
          <w:tcPr>
            <w:tcW w:w="1650" w:type="dxa"/>
            <w:vAlign w:val="center"/>
          </w:tcPr>
          <w:p>
            <w:pPr>
              <w:jc w:val="center"/>
              <w:rPr>
                <w:rFonts w:ascii="Calibri" w:hAnsi="Calibri"/>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hint="eastAsia" w:ascii="Calibri" w:hAnsi="Calibri"/>
                <w:szCs w:val="21"/>
              </w:rPr>
            </w:pPr>
            <w:r>
              <w:rPr>
                <w:rFonts w:hint="eastAsia" w:ascii="Calibri" w:hAnsi="Calibri"/>
                <w:szCs w:val="21"/>
              </w:rPr>
              <w:t>12</w:t>
            </w:r>
          </w:p>
        </w:tc>
        <w:tc>
          <w:tcPr>
            <w:tcW w:w="1875" w:type="dxa"/>
            <w:vAlign w:val="center"/>
          </w:tcPr>
          <w:p>
            <w:pPr>
              <w:jc w:val="center"/>
              <w:rPr>
                <w:rFonts w:hint="eastAsia" w:ascii="Calibri" w:hAnsi="Calibri"/>
                <w:szCs w:val="21"/>
              </w:rPr>
            </w:pPr>
            <w:r>
              <w:rPr>
                <w:rFonts w:hint="eastAsia" w:ascii="Calibri" w:hAnsi="Calibri"/>
                <w:szCs w:val="21"/>
              </w:rPr>
              <w:t>检修插座箱二</w:t>
            </w:r>
          </w:p>
        </w:tc>
        <w:tc>
          <w:tcPr>
            <w:tcW w:w="1603" w:type="dxa"/>
            <w:vAlign w:val="center"/>
          </w:tcPr>
          <w:p>
            <w:pPr>
              <w:jc w:val="center"/>
              <w:rPr>
                <w:rFonts w:hint="eastAsia" w:ascii="Calibri" w:hAnsi="Calibri"/>
                <w:szCs w:val="21"/>
              </w:rPr>
            </w:pPr>
            <w:r>
              <w:rPr>
                <w:rFonts w:hint="eastAsia" w:ascii="Calibri" w:hAnsi="Calibri"/>
                <w:szCs w:val="21"/>
              </w:rPr>
              <w:t>设备用房</w:t>
            </w:r>
          </w:p>
        </w:tc>
        <w:tc>
          <w:tcPr>
            <w:tcW w:w="2479" w:type="dxa"/>
            <w:vAlign w:val="center"/>
          </w:tcPr>
          <w:p>
            <w:pPr>
              <w:jc w:val="center"/>
              <w:rPr>
                <w:rFonts w:hint="eastAsia" w:ascii="Calibri" w:hAnsi="Calibri"/>
                <w:szCs w:val="21"/>
              </w:rPr>
            </w:pPr>
            <w:r>
              <w:rPr>
                <w:rFonts w:hint="eastAsia" w:ascii="Calibri" w:hAnsi="Calibri"/>
                <w:szCs w:val="21"/>
              </w:rPr>
              <w:t>整体防护等级IP44、工业插座IP67、普通插座IP44</w:t>
            </w:r>
          </w:p>
        </w:tc>
        <w:tc>
          <w:tcPr>
            <w:tcW w:w="1650" w:type="dxa"/>
            <w:vAlign w:val="center"/>
          </w:tcPr>
          <w:p>
            <w:pPr>
              <w:jc w:val="center"/>
              <w:rPr>
                <w:rFonts w:ascii="Calibri" w:hAnsi="Calibri"/>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30" w:type="dxa"/>
            <w:vAlign w:val="center"/>
          </w:tcPr>
          <w:p>
            <w:pPr>
              <w:jc w:val="center"/>
              <w:rPr>
                <w:rFonts w:hint="eastAsia" w:ascii="Calibri" w:hAnsi="Calibri"/>
                <w:szCs w:val="21"/>
              </w:rPr>
            </w:pPr>
            <w:r>
              <w:rPr>
                <w:rFonts w:hint="eastAsia" w:ascii="Calibri" w:hAnsi="Calibri"/>
                <w:szCs w:val="21"/>
              </w:rPr>
              <w:t>13</w:t>
            </w:r>
          </w:p>
        </w:tc>
        <w:tc>
          <w:tcPr>
            <w:tcW w:w="1875" w:type="dxa"/>
            <w:vAlign w:val="center"/>
          </w:tcPr>
          <w:p>
            <w:pPr>
              <w:jc w:val="center"/>
              <w:rPr>
                <w:rFonts w:ascii="Calibri" w:hAnsi="Calibri"/>
                <w:szCs w:val="21"/>
              </w:rPr>
            </w:pPr>
            <w:r>
              <w:rPr>
                <w:rFonts w:hint="eastAsia" w:ascii="Calibri" w:hAnsi="Calibri"/>
                <w:szCs w:val="21"/>
              </w:rPr>
              <w:t>其它</w:t>
            </w:r>
          </w:p>
        </w:tc>
        <w:tc>
          <w:tcPr>
            <w:tcW w:w="1603" w:type="dxa"/>
            <w:vAlign w:val="center"/>
          </w:tcPr>
          <w:p>
            <w:pPr>
              <w:jc w:val="center"/>
              <w:rPr>
                <w:rFonts w:ascii="Calibri" w:hAnsi="Calibri"/>
                <w:szCs w:val="21"/>
              </w:rPr>
            </w:pPr>
            <w:r>
              <w:rPr>
                <w:rFonts w:hint="eastAsia" w:ascii="Calibri" w:hAnsi="Calibri"/>
                <w:szCs w:val="21"/>
              </w:rPr>
              <w:t>车站设备用房、照明配电室、公共区</w:t>
            </w:r>
          </w:p>
        </w:tc>
        <w:tc>
          <w:tcPr>
            <w:tcW w:w="2479" w:type="dxa"/>
            <w:vAlign w:val="center"/>
          </w:tcPr>
          <w:p>
            <w:pPr>
              <w:jc w:val="center"/>
              <w:rPr>
                <w:rFonts w:ascii="Calibri" w:hAnsi="Calibri"/>
                <w:szCs w:val="21"/>
              </w:rPr>
            </w:pPr>
            <w:r>
              <w:rPr>
                <w:rFonts w:hint="eastAsia" w:ascii="Calibri" w:hAnsi="Calibri"/>
                <w:szCs w:val="21"/>
              </w:rPr>
              <w:t>整体防护等级IP42</w:t>
            </w:r>
          </w:p>
        </w:tc>
        <w:tc>
          <w:tcPr>
            <w:tcW w:w="1650" w:type="dxa"/>
            <w:vAlign w:val="center"/>
          </w:tcPr>
          <w:p>
            <w:pPr>
              <w:jc w:val="center"/>
              <w:rPr>
                <w:rFonts w:ascii="Calibri" w:hAnsi="Calibri"/>
                <w:szCs w:val="21"/>
              </w:rPr>
            </w:pPr>
            <w:r>
              <w:rPr>
                <w:rFonts w:hint="eastAsia" w:ascii="Calibri" w:hAnsi="Calibri"/>
                <w:szCs w:val="21"/>
              </w:rPr>
              <w:t>含车控室插座箱</w:t>
            </w:r>
          </w:p>
        </w:tc>
      </w:tr>
    </w:tbl>
    <w:p>
      <w:pPr>
        <w:spacing w:line="540" w:lineRule="exact"/>
        <w:rPr>
          <w:rFonts w:hint="eastAsia"/>
        </w:rPr>
      </w:pPr>
      <w:r>
        <w:rPr>
          <w:rFonts w:hint="eastAsia"/>
        </w:rPr>
        <w:t>说明：风井潜污泵（废水泵）电源箱如果不装在敞口风井内，则可为IP54。</w:t>
      </w:r>
    </w:p>
    <w:p>
      <w:pPr>
        <w:pStyle w:val="19"/>
        <w:ind w:firstLine="480"/>
        <w:rPr>
          <w:rFonts w:hint="eastAsia"/>
        </w:rPr>
      </w:pPr>
    </w:p>
    <w:p>
      <w:pPr>
        <w:spacing w:line="360" w:lineRule="auto"/>
        <w:ind w:firstLine="480"/>
        <w:rPr>
          <w:rFonts w:hint="eastAsia"/>
        </w:rPr>
      </w:pPr>
    </w:p>
    <w:p>
      <w:pPr>
        <w:spacing w:line="360" w:lineRule="auto"/>
        <w:ind w:firstLine="480"/>
        <w:sectPr>
          <w:type w:val="continuous"/>
          <w:pgSz w:w="11906" w:h="16838"/>
          <w:pgMar w:top="1440" w:right="1800" w:bottom="1440" w:left="1800" w:header="851" w:footer="992" w:gutter="0"/>
          <w:pgNumType w:fmt="numberInDash"/>
          <w:cols w:space="720" w:num="1"/>
          <w:docGrid w:type="lines" w:linePitch="312" w:charSpace="0"/>
        </w:sectPr>
      </w:pPr>
    </w:p>
    <w:p>
      <w:pPr>
        <w:pStyle w:val="20"/>
        <w:rPr>
          <w:rFonts w:hint="eastAsia"/>
          <w:lang w:eastAsia="zh-CN"/>
        </w:rPr>
      </w:pPr>
      <w:bookmarkStart w:id="50" w:name="_Toc456279579"/>
      <w:r>
        <w:rPr>
          <w:rFonts w:hint="eastAsia"/>
          <w:lang w:eastAsia="zh-CN"/>
        </w:rPr>
        <w:t>2.设备列项</w:t>
      </w:r>
      <w:bookmarkEnd w:id="50"/>
    </w:p>
    <w:p>
      <w:pPr>
        <w:spacing w:line="360" w:lineRule="auto"/>
        <w:ind w:firstLine="420" w:firstLineChars="200"/>
        <w:rPr>
          <w:rFonts w:hint="eastAsia"/>
          <w:lang w:val="en-GB"/>
        </w:rPr>
      </w:pPr>
      <w:r>
        <w:rPr>
          <w:rFonts w:hint="eastAsia"/>
          <w:lang w:val="fr-FR"/>
        </w:rPr>
        <w:t>本技术条件适用</w:t>
      </w:r>
      <w:r>
        <w:rPr>
          <w:rFonts w:hint="eastAsia"/>
        </w:rPr>
        <w:t>西安市地铁四号线工程（航天新城～北客站）配电箱、插座箱名称列项表如下：</w:t>
      </w:r>
    </w:p>
    <w:tbl>
      <w:tblPr>
        <w:tblStyle w:val="12"/>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82"/>
        <w:gridCol w:w="1797"/>
        <w:gridCol w:w="615"/>
        <w:gridCol w:w="280"/>
        <w:gridCol w:w="2108"/>
        <w:gridCol w:w="590"/>
        <w:gridCol w:w="278"/>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分类名称</w:t>
            </w:r>
          </w:p>
        </w:tc>
        <w:tc>
          <w:tcPr>
            <w:tcW w:w="282" w:type="dxa"/>
            <w:shd w:val="clear" w:color="auto" w:fill="auto"/>
            <w:vAlign w:val="center"/>
          </w:tcPr>
          <w:p>
            <w:pPr>
              <w:widowControl/>
              <w:spacing w:line="260" w:lineRule="exact"/>
              <w:rPr>
                <w:rFonts w:hAnsi="宋体" w:cs="宋体"/>
                <w:sz w:val="18"/>
                <w:szCs w:val="18"/>
              </w:rPr>
            </w:pPr>
            <w:r>
              <w:rPr>
                <w:rFonts w:hint="eastAsia" w:hAnsi="宋体" w:cs="宋体"/>
                <w:sz w:val="18"/>
                <w:szCs w:val="18"/>
              </w:rPr>
              <w:t>序号</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配电箱名称</w:t>
            </w:r>
          </w:p>
        </w:tc>
        <w:tc>
          <w:tcPr>
            <w:tcW w:w="615"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分类名称</w:t>
            </w:r>
          </w:p>
        </w:tc>
        <w:tc>
          <w:tcPr>
            <w:tcW w:w="280" w:type="dxa"/>
            <w:shd w:val="clear" w:color="auto" w:fill="auto"/>
            <w:vAlign w:val="center"/>
          </w:tcPr>
          <w:p>
            <w:pPr>
              <w:widowControl/>
              <w:spacing w:line="260" w:lineRule="exact"/>
              <w:rPr>
                <w:rFonts w:hAnsi="宋体" w:cs="宋体"/>
                <w:sz w:val="18"/>
                <w:szCs w:val="18"/>
              </w:rPr>
            </w:pPr>
            <w:r>
              <w:rPr>
                <w:rFonts w:hint="eastAsia" w:hAnsi="宋体" w:cs="宋体"/>
                <w:sz w:val="18"/>
                <w:szCs w:val="18"/>
              </w:rPr>
              <w:t>序号</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配电箱名称</w:t>
            </w:r>
          </w:p>
        </w:tc>
        <w:tc>
          <w:tcPr>
            <w:tcW w:w="59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分类名称</w:t>
            </w:r>
          </w:p>
        </w:tc>
        <w:tc>
          <w:tcPr>
            <w:tcW w:w="278" w:type="dxa"/>
            <w:shd w:val="clear" w:color="auto" w:fill="auto"/>
            <w:vAlign w:val="center"/>
          </w:tcPr>
          <w:p>
            <w:pPr>
              <w:widowControl/>
              <w:spacing w:line="260" w:lineRule="exact"/>
              <w:rPr>
                <w:rFonts w:hAnsi="宋体" w:cs="宋体"/>
                <w:sz w:val="18"/>
                <w:szCs w:val="18"/>
              </w:rPr>
            </w:pPr>
            <w:r>
              <w:rPr>
                <w:rFonts w:hint="eastAsia" w:hAnsi="宋体" w:cs="宋体"/>
                <w:sz w:val="18"/>
                <w:szCs w:val="18"/>
              </w:rPr>
              <w:t>序号</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配电箱名称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restart"/>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照明箱</w:t>
            </w: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照明总配电箱</w:t>
            </w:r>
          </w:p>
        </w:tc>
        <w:tc>
          <w:tcPr>
            <w:tcW w:w="615" w:type="dxa"/>
            <w:vMerge w:val="restart"/>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插座箱</w:t>
            </w: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变电所检修插座箱</w:t>
            </w:r>
          </w:p>
        </w:tc>
        <w:tc>
          <w:tcPr>
            <w:tcW w:w="590" w:type="dxa"/>
            <w:vMerge w:val="restart"/>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接地箱</w:t>
            </w: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局部等电位联结端子箱-leb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2</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照明配电箱(设备区照明)</w:t>
            </w:r>
          </w:p>
        </w:tc>
        <w:tc>
          <w:tcPr>
            <w:tcW w:w="615" w:type="dxa"/>
            <w:vMerge w:val="continue"/>
            <w:shd w:val="clear" w:color="auto" w:fill="auto"/>
            <w:vAlign w:val="center"/>
          </w:tcPr>
          <w:p>
            <w:pPr>
              <w:widowControl/>
              <w:spacing w:line="260" w:lineRule="exact"/>
              <w:rPr>
                <w:rFonts w:hAnsi="宋体" w:cs="宋体"/>
                <w:sz w:val="18"/>
                <w:szCs w:val="18"/>
              </w:rPr>
            </w:pP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2</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区间维修插座</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2</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配电房接地母排-pe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3</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照明配电箱(广告照明)</w:t>
            </w:r>
          </w:p>
        </w:tc>
        <w:tc>
          <w:tcPr>
            <w:tcW w:w="615" w:type="dxa"/>
            <w:vMerge w:val="continue"/>
            <w:shd w:val="clear" w:color="auto" w:fill="auto"/>
            <w:vAlign w:val="center"/>
          </w:tcPr>
          <w:p>
            <w:pPr>
              <w:widowControl/>
              <w:spacing w:line="260" w:lineRule="exact"/>
              <w:rPr>
                <w:rFonts w:hAnsi="宋体" w:cs="宋体"/>
                <w:sz w:val="18"/>
                <w:szCs w:val="18"/>
              </w:rPr>
            </w:pP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3</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车站维修插座箱</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3</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车站金属管线接地母排-psce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4</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照明配电箱</w:t>
            </w:r>
          </w:p>
        </w:tc>
        <w:tc>
          <w:tcPr>
            <w:tcW w:w="615" w:type="dxa"/>
            <w:vMerge w:val="continue"/>
            <w:shd w:val="clear" w:color="auto" w:fill="auto"/>
            <w:vAlign w:val="center"/>
          </w:tcPr>
          <w:p>
            <w:pPr>
              <w:widowControl/>
              <w:spacing w:line="260" w:lineRule="exact"/>
              <w:rPr>
                <w:rFonts w:hAnsi="宋体" w:cs="宋体"/>
                <w:sz w:val="18"/>
                <w:szCs w:val="18"/>
              </w:rPr>
            </w:pP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4</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出入口自行车插座箱</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4</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弱电设备接地母排-wce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5</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应急照明配电箱（含双切）</w:t>
            </w:r>
          </w:p>
        </w:tc>
        <w:tc>
          <w:tcPr>
            <w:tcW w:w="615" w:type="dxa"/>
            <w:vMerge w:val="continue"/>
            <w:shd w:val="clear" w:color="auto" w:fill="auto"/>
            <w:vAlign w:val="center"/>
          </w:tcPr>
          <w:p>
            <w:pPr>
              <w:widowControl/>
              <w:spacing w:line="260" w:lineRule="exact"/>
              <w:rPr>
                <w:rFonts w:hAnsi="宋体" w:cs="宋体"/>
                <w:sz w:val="18"/>
                <w:szCs w:val="18"/>
              </w:rPr>
            </w:pP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5</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车控室插座箱</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5</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弱电设备接地母排-jd（30个端子）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6</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安全照明配电箱（带安全变压器）</w:t>
            </w:r>
          </w:p>
        </w:tc>
        <w:tc>
          <w:tcPr>
            <w:tcW w:w="615" w:type="dxa"/>
            <w:vMerge w:val="continue"/>
            <w:shd w:val="clear" w:color="auto" w:fill="auto"/>
            <w:vAlign w:val="center"/>
          </w:tcPr>
          <w:p>
            <w:pPr>
              <w:widowControl/>
              <w:spacing w:line="260" w:lineRule="exact"/>
              <w:rPr>
                <w:rFonts w:hAnsi="宋体" w:cs="宋体"/>
                <w:sz w:val="18"/>
                <w:szCs w:val="18"/>
              </w:rPr>
            </w:pP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6</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电开水器插座箱</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6</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弱电设备接地母排-jd（24个端子）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615" w:type="dxa"/>
            <w:vMerge w:val="continue"/>
            <w:shd w:val="clear" w:color="auto" w:fill="auto"/>
            <w:vAlign w:val="center"/>
          </w:tcPr>
          <w:p>
            <w:pPr>
              <w:widowControl/>
              <w:spacing w:line="260" w:lineRule="exact"/>
              <w:rPr>
                <w:rFonts w:hAnsi="宋体" w:cs="宋体"/>
                <w:sz w:val="18"/>
                <w:szCs w:val="18"/>
              </w:rPr>
            </w:pP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7</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检查坑维修插座箱（IP65)</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7</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弱电设备接地母排-jd（20个端子）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restart"/>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动力箱</w:t>
            </w: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双电源配电箱（两路电源不切换）</w:t>
            </w:r>
          </w:p>
        </w:tc>
        <w:tc>
          <w:tcPr>
            <w:tcW w:w="615"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8</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弱电设备接地母排-jd（16个端子）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2</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动力配电箱</w:t>
            </w:r>
          </w:p>
        </w:tc>
        <w:tc>
          <w:tcPr>
            <w:tcW w:w="615" w:type="dxa"/>
            <w:vMerge w:val="restart"/>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就地箱</w:t>
            </w: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控制箱</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9</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弱电设备接地母排-jd（15个端子）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3</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区间维修电源箱</w:t>
            </w:r>
          </w:p>
        </w:tc>
        <w:tc>
          <w:tcPr>
            <w:tcW w:w="615" w:type="dxa"/>
            <w:vMerge w:val="continue"/>
            <w:shd w:val="clear" w:color="auto" w:fill="auto"/>
            <w:vAlign w:val="center"/>
          </w:tcPr>
          <w:p>
            <w:pPr>
              <w:widowControl/>
              <w:spacing w:line="260" w:lineRule="exact"/>
              <w:rPr>
                <w:rFonts w:hAnsi="宋体" w:cs="宋体"/>
                <w:sz w:val="18"/>
                <w:szCs w:val="18"/>
              </w:rPr>
            </w:pP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2</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按钮箱</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10</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弱电设备接地母排-jd（12个端子）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4</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负荷开关箱</w:t>
            </w:r>
          </w:p>
        </w:tc>
        <w:tc>
          <w:tcPr>
            <w:tcW w:w="615"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　</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11</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弱电设备接地母排-jd（10个端子）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5</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商铺电源箱</w:t>
            </w:r>
          </w:p>
        </w:tc>
        <w:tc>
          <w:tcPr>
            <w:tcW w:w="615"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接线盒</w:t>
            </w:r>
          </w:p>
        </w:tc>
        <w:tc>
          <w:tcPr>
            <w:tcW w:w="280"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w:t>
            </w:r>
          </w:p>
        </w:tc>
        <w:tc>
          <w:tcPr>
            <w:tcW w:w="210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区间防水接线盒（用于区间灯具、区间疏散指示标志、区间广告灯箱）</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12</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弱电接地母排箱-jd（10个端子）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78" w:type="dxa"/>
            <w:vMerge w:val="continue"/>
            <w:shd w:val="clear" w:color="auto" w:fill="auto"/>
            <w:vAlign w:val="center"/>
          </w:tcPr>
          <w:p>
            <w:pPr>
              <w:widowControl/>
              <w:spacing w:line="260" w:lineRule="exact"/>
              <w:rPr>
                <w:rFonts w:hAnsi="宋体" w:cs="宋体"/>
                <w:sz w:val="18"/>
                <w:szCs w:val="18"/>
              </w:rPr>
            </w:pPr>
          </w:p>
        </w:tc>
        <w:tc>
          <w:tcPr>
            <w:tcW w:w="282"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6</w:t>
            </w:r>
          </w:p>
        </w:tc>
        <w:tc>
          <w:tcPr>
            <w:tcW w:w="1797"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银行电源箱</w:t>
            </w:r>
          </w:p>
        </w:tc>
        <w:tc>
          <w:tcPr>
            <w:tcW w:w="615" w:type="dxa"/>
            <w:shd w:val="clear" w:color="auto" w:fill="auto"/>
            <w:vAlign w:val="center"/>
          </w:tcPr>
          <w:p>
            <w:pPr>
              <w:widowControl/>
              <w:spacing w:line="260" w:lineRule="exact"/>
              <w:rPr>
                <w:rFonts w:hAnsi="宋体" w:cs="宋体"/>
                <w:sz w:val="18"/>
                <w:szCs w:val="18"/>
              </w:rPr>
            </w:pPr>
            <w:r>
              <w:rPr>
                <w:rFonts w:hint="eastAsia" w:hAnsi="宋体" w:cs="宋体"/>
                <w:sz w:val="18"/>
                <w:szCs w:val="18"/>
              </w:rPr>
              <w:t>　</w:t>
            </w:r>
          </w:p>
        </w:tc>
        <w:tc>
          <w:tcPr>
            <w:tcW w:w="280" w:type="dxa"/>
            <w:shd w:val="clear" w:color="auto" w:fill="auto"/>
            <w:vAlign w:val="center"/>
          </w:tcPr>
          <w:p>
            <w:pPr>
              <w:widowControl/>
              <w:spacing w:line="260" w:lineRule="exact"/>
              <w:rPr>
                <w:rFonts w:hAnsi="宋体" w:cs="宋体"/>
                <w:sz w:val="18"/>
                <w:szCs w:val="18"/>
              </w:rPr>
            </w:pPr>
            <w:r>
              <w:rPr>
                <w:rFonts w:hint="eastAsia" w:hAnsi="宋体" w:cs="宋体"/>
                <w:sz w:val="18"/>
                <w:szCs w:val="18"/>
              </w:rPr>
              <w:t>　</w:t>
            </w:r>
          </w:p>
        </w:tc>
        <w:tc>
          <w:tcPr>
            <w:tcW w:w="2108" w:type="dxa"/>
            <w:shd w:val="clear" w:color="auto" w:fill="auto"/>
            <w:vAlign w:val="center"/>
          </w:tcPr>
          <w:p>
            <w:pPr>
              <w:widowControl/>
              <w:spacing w:line="260" w:lineRule="exact"/>
              <w:rPr>
                <w:rFonts w:hAnsi="宋体" w:cs="宋体"/>
                <w:sz w:val="18"/>
                <w:szCs w:val="18"/>
              </w:rPr>
            </w:pPr>
            <w:r>
              <w:rPr>
                <w:rFonts w:hint="eastAsia" w:hAnsi="宋体" w:cs="宋体"/>
                <w:sz w:val="18"/>
                <w:szCs w:val="18"/>
              </w:rPr>
              <w:t>　</w:t>
            </w:r>
          </w:p>
        </w:tc>
        <w:tc>
          <w:tcPr>
            <w:tcW w:w="590" w:type="dxa"/>
            <w:vMerge w:val="continue"/>
            <w:shd w:val="clear" w:color="auto" w:fill="auto"/>
            <w:vAlign w:val="center"/>
          </w:tcPr>
          <w:p>
            <w:pPr>
              <w:widowControl/>
              <w:spacing w:line="260" w:lineRule="exact"/>
              <w:rPr>
                <w:rFonts w:hAnsi="宋体" w:cs="宋体"/>
                <w:sz w:val="18"/>
                <w:szCs w:val="18"/>
              </w:rPr>
            </w:pPr>
          </w:p>
        </w:tc>
        <w:tc>
          <w:tcPr>
            <w:tcW w:w="27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13</w:t>
            </w:r>
          </w:p>
        </w:tc>
        <w:tc>
          <w:tcPr>
            <w:tcW w:w="2128" w:type="dxa"/>
            <w:shd w:val="clear" w:color="000000" w:fill="FFFFFF"/>
            <w:vAlign w:val="center"/>
          </w:tcPr>
          <w:p>
            <w:pPr>
              <w:widowControl/>
              <w:spacing w:line="260" w:lineRule="exact"/>
              <w:jc w:val="center"/>
              <w:rPr>
                <w:rFonts w:hAnsi="宋体" w:cs="宋体"/>
                <w:sz w:val="18"/>
                <w:szCs w:val="18"/>
              </w:rPr>
            </w:pPr>
            <w:r>
              <w:rPr>
                <w:rFonts w:hint="eastAsia" w:hAnsi="宋体" w:cs="宋体"/>
                <w:sz w:val="18"/>
                <w:szCs w:val="18"/>
              </w:rPr>
              <w:t>接触网接地母排-jcw</w:t>
            </w:r>
          </w:p>
        </w:tc>
      </w:tr>
    </w:tbl>
    <w:p>
      <w:pPr>
        <w:spacing w:line="360" w:lineRule="auto"/>
        <w:jc w:val="center"/>
        <w:rPr>
          <w:rFonts w:hint="eastAsia"/>
        </w:rPr>
      </w:pPr>
    </w:p>
    <w:tbl>
      <w:tblPr>
        <w:tblStyle w:val="12"/>
        <w:tblW w:w="85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425"/>
        <w:gridCol w:w="2693"/>
        <w:gridCol w:w="851"/>
        <w:gridCol w:w="567"/>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shd w:val="clear" w:color="000000" w:fill="FFFFFF"/>
            <w:vAlign w:val="center"/>
          </w:tcPr>
          <w:p>
            <w:pPr>
              <w:widowControl/>
              <w:jc w:val="center"/>
              <w:rPr>
                <w:rFonts w:hint="eastAsia" w:hAnsi="宋体" w:cs="宋体"/>
                <w:sz w:val="18"/>
                <w:szCs w:val="18"/>
              </w:rPr>
            </w:pPr>
            <w:r>
              <w:rPr>
                <w:rFonts w:hint="eastAsia" w:hAnsi="宋体" w:cs="宋体"/>
                <w:sz w:val="18"/>
                <w:szCs w:val="18"/>
              </w:rPr>
              <w:t>分类名称</w:t>
            </w:r>
          </w:p>
        </w:tc>
        <w:tc>
          <w:tcPr>
            <w:tcW w:w="425" w:type="dxa"/>
            <w:shd w:val="clear" w:color="auto" w:fill="auto"/>
            <w:vAlign w:val="center"/>
          </w:tcPr>
          <w:p>
            <w:pPr>
              <w:widowControl/>
              <w:jc w:val="center"/>
              <w:rPr>
                <w:rFonts w:hint="eastAsia" w:hAnsi="宋体" w:cs="宋体"/>
                <w:sz w:val="18"/>
                <w:szCs w:val="18"/>
              </w:rPr>
            </w:pPr>
            <w:r>
              <w:rPr>
                <w:rFonts w:hint="eastAsia" w:hAnsi="宋体" w:cs="宋体"/>
                <w:sz w:val="18"/>
                <w:szCs w:val="18"/>
              </w:rPr>
              <w:t>序号</w:t>
            </w:r>
          </w:p>
        </w:tc>
        <w:tc>
          <w:tcPr>
            <w:tcW w:w="2693" w:type="dxa"/>
            <w:shd w:val="clear" w:color="000000" w:fill="FFFFFF"/>
            <w:vAlign w:val="center"/>
          </w:tcPr>
          <w:p>
            <w:pPr>
              <w:widowControl/>
              <w:jc w:val="center"/>
              <w:rPr>
                <w:rFonts w:hint="eastAsia" w:hAnsi="宋体" w:cs="宋体"/>
                <w:sz w:val="18"/>
                <w:szCs w:val="18"/>
              </w:rPr>
            </w:pPr>
            <w:r>
              <w:rPr>
                <w:rFonts w:hint="eastAsia" w:hAnsi="宋体" w:cs="宋体"/>
                <w:sz w:val="18"/>
                <w:szCs w:val="18"/>
              </w:rPr>
              <w:t>配电箱名称</w:t>
            </w:r>
          </w:p>
        </w:tc>
        <w:tc>
          <w:tcPr>
            <w:tcW w:w="851" w:type="dxa"/>
            <w:shd w:val="clear" w:color="000000" w:fill="FFFFFF"/>
            <w:vAlign w:val="center"/>
          </w:tcPr>
          <w:p>
            <w:pPr>
              <w:widowControl/>
              <w:jc w:val="center"/>
              <w:rPr>
                <w:rFonts w:hint="eastAsia" w:hAnsi="宋体" w:cs="宋体"/>
                <w:sz w:val="18"/>
                <w:szCs w:val="18"/>
              </w:rPr>
            </w:pPr>
            <w:r>
              <w:rPr>
                <w:rFonts w:hint="eastAsia" w:hAnsi="宋体" w:cs="宋体"/>
                <w:sz w:val="18"/>
                <w:szCs w:val="18"/>
              </w:rPr>
              <w:t>分类名称</w:t>
            </w:r>
          </w:p>
        </w:tc>
        <w:tc>
          <w:tcPr>
            <w:tcW w:w="567" w:type="dxa"/>
            <w:shd w:val="clear" w:color="auto" w:fill="auto"/>
            <w:vAlign w:val="center"/>
          </w:tcPr>
          <w:p>
            <w:pPr>
              <w:widowControl/>
              <w:jc w:val="center"/>
              <w:rPr>
                <w:rFonts w:hint="eastAsia" w:hAnsi="宋体" w:cs="宋体"/>
                <w:sz w:val="18"/>
                <w:szCs w:val="18"/>
              </w:rPr>
            </w:pPr>
            <w:r>
              <w:rPr>
                <w:rFonts w:hint="eastAsia" w:hAnsi="宋体" w:cs="宋体"/>
                <w:sz w:val="18"/>
                <w:szCs w:val="18"/>
              </w:rPr>
              <w:t>序号</w:t>
            </w:r>
          </w:p>
        </w:tc>
        <w:tc>
          <w:tcPr>
            <w:tcW w:w="3118" w:type="dxa"/>
            <w:shd w:val="clear" w:color="000000" w:fill="FFFFFF"/>
            <w:vAlign w:val="center"/>
          </w:tcPr>
          <w:p>
            <w:pPr>
              <w:widowControl/>
              <w:jc w:val="center"/>
              <w:rPr>
                <w:rFonts w:hint="eastAsia" w:hAnsi="宋体" w:cs="宋体"/>
                <w:sz w:val="18"/>
                <w:szCs w:val="18"/>
              </w:rPr>
            </w:pPr>
            <w:r>
              <w:rPr>
                <w:rFonts w:hint="eastAsia" w:hAnsi="宋体" w:cs="宋体"/>
                <w:sz w:val="18"/>
                <w:szCs w:val="18"/>
              </w:rPr>
              <w:t>配电箱名称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restart"/>
            <w:shd w:val="clear" w:color="000000" w:fill="FFFFFF"/>
            <w:vAlign w:val="bottom"/>
          </w:tcPr>
          <w:p>
            <w:pPr>
              <w:widowControl/>
              <w:jc w:val="center"/>
              <w:rPr>
                <w:rFonts w:hAnsi="宋体" w:cs="宋体"/>
                <w:sz w:val="18"/>
                <w:szCs w:val="18"/>
              </w:rPr>
            </w:pPr>
            <w:r>
              <w:rPr>
                <w:rFonts w:hint="eastAsia" w:hAnsi="宋体" w:cs="宋体"/>
                <w:sz w:val="18"/>
                <w:szCs w:val="18"/>
              </w:rPr>
              <w:t>第一类双电源切换配电箱名称</w:t>
            </w: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信号双电源切换箱</w:t>
            </w:r>
          </w:p>
        </w:tc>
        <w:tc>
          <w:tcPr>
            <w:tcW w:w="851" w:type="dxa"/>
            <w:vMerge w:val="restart"/>
            <w:shd w:val="clear" w:color="000000" w:fill="FFFFFF"/>
            <w:vAlign w:val="bottom"/>
          </w:tcPr>
          <w:p>
            <w:pPr>
              <w:widowControl/>
              <w:jc w:val="center"/>
              <w:rPr>
                <w:rFonts w:hAnsi="宋体" w:cs="宋体"/>
                <w:sz w:val="18"/>
                <w:szCs w:val="18"/>
              </w:rPr>
            </w:pPr>
            <w:r>
              <w:rPr>
                <w:rFonts w:hint="eastAsia" w:hAnsi="宋体" w:cs="宋体"/>
                <w:sz w:val="18"/>
                <w:szCs w:val="18"/>
              </w:rPr>
              <w:t>第二类双电源切换配电箱名称</w:t>
            </w: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车站废水泵双电源切换箱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2</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BAS双电源切换箱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2</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车站雨水泵双电源切换箱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3</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疏散扶梯双电源切换箱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3</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区间废水泵双电源切换箱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4</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气体消防双电源切换箱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4</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风亭排水水泵双电源切换箱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5</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屏蔽门双电源切换箱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5</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电伴热双电源切换箱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6</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车控室双电源切换箱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6</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室外冷却塔集水泵双电源切换箱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7</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电动蝶阀双电源切换箱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7</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车站集水井双电源切换箱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8</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综合监控双电源切换箱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8</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区间工作照明双电源切换箱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9</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信号车载设备双电源切换箱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9</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防淹门双电源切换箱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10</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消防泵及自喷泵双电源切换箱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10</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开窗机双电源切换箱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11</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消防控制室双电源切换箱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11</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AFC设备电源双电源切换箱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12</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民用通信设备室</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12</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AFC设备室双电源切换箱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13</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通信设备电源</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13</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屋顶风机双电源切换箱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14</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公安通信设备电源</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14</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消防风机双电源切换箱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15</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派出所监控双电源切换箱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15</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电缆沟排水泵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16</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安防双电源切换箱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16</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通信、信号设备房空调双电源切换箱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17</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FAS双电源切换箱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17</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信息网络双电源切换箱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18</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档烟垂帘双电源切换箱</w:t>
            </w:r>
          </w:p>
        </w:tc>
        <w:tc>
          <w:tcPr>
            <w:tcW w:w="851" w:type="dxa"/>
            <w:vMerge w:val="continue"/>
            <w:shd w:val="clear" w:color="auto" w:fill="auto"/>
            <w:vAlign w:val="center"/>
          </w:tcPr>
          <w:p>
            <w:pPr>
              <w:widowControl/>
              <w:rPr>
                <w:rFonts w:hAnsi="宋体" w:cs="宋体"/>
                <w:sz w:val="18"/>
                <w:szCs w:val="18"/>
              </w:rPr>
            </w:pPr>
          </w:p>
        </w:tc>
        <w:tc>
          <w:tcPr>
            <w:tcW w:w="567" w:type="dxa"/>
            <w:shd w:val="clear" w:color="auto" w:fill="auto"/>
            <w:vAlign w:val="bottom"/>
          </w:tcPr>
          <w:p>
            <w:pPr>
              <w:widowControl/>
              <w:jc w:val="center"/>
              <w:rPr>
                <w:rFonts w:hAnsi="宋体" w:cs="宋体"/>
                <w:sz w:val="18"/>
                <w:szCs w:val="18"/>
              </w:rPr>
            </w:pPr>
            <w:r>
              <w:rPr>
                <w:rFonts w:hint="eastAsia" w:hAnsi="宋体" w:cs="宋体"/>
                <w:sz w:val="18"/>
                <w:szCs w:val="18"/>
              </w:rPr>
              <w:t>18</w:t>
            </w:r>
          </w:p>
        </w:tc>
        <w:tc>
          <w:tcPr>
            <w:tcW w:w="3118" w:type="dxa"/>
            <w:shd w:val="clear" w:color="000000" w:fill="FFFFFF"/>
            <w:vAlign w:val="bottom"/>
          </w:tcPr>
          <w:p>
            <w:pPr>
              <w:widowControl/>
              <w:jc w:val="center"/>
              <w:rPr>
                <w:rFonts w:hAnsi="宋体" w:cs="宋体"/>
                <w:sz w:val="18"/>
                <w:szCs w:val="18"/>
              </w:rPr>
            </w:pPr>
            <w:r>
              <w:rPr>
                <w:rFonts w:hint="eastAsia" w:hAnsi="宋体" w:cs="宋体"/>
                <w:sz w:val="18"/>
                <w:szCs w:val="18"/>
              </w:rPr>
              <w:t>人防双电源切换箱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19</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防火卷帘门双电源切换箱</w:t>
            </w:r>
          </w:p>
        </w:tc>
        <w:tc>
          <w:tcPr>
            <w:tcW w:w="851" w:type="dxa"/>
            <w:vMerge w:val="continue"/>
            <w:vAlign w:val="center"/>
          </w:tcPr>
          <w:p>
            <w:pPr>
              <w:widowControl/>
              <w:rPr>
                <w:rFonts w:hAnsi="宋体" w:cs="宋体"/>
                <w:sz w:val="18"/>
                <w:szCs w:val="18"/>
              </w:rPr>
            </w:pPr>
          </w:p>
        </w:tc>
        <w:tc>
          <w:tcPr>
            <w:tcW w:w="567" w:type="dxa"/>
            <w:vAlign w:val="bottom"/>
          </w:tcPr>
          <w:p>
            <w:pPr>
              <w:widowControl/>
              <w:rPr>
                <w:rFonts w:ascii="Calibri" w:hAnsi="Calibri" w:cs="Calibri"/>
                <w:szCs w:val="21"/>
              </w:rPr>
            </w:pPr>
            <w:r>
              <w:rPr>
                <w:rFonts w:ascii="Calibri" w:hAnsi="Calibri" w:cs="Calibri"/>
                <w:szCs w:val="21"/>
              </w:rPr>
              <w:t>　</w:t>
            </w:r>
          </w:p>
        </w:tc>
        <w:tc>
          <w:tcPr>
            <w:tcW w:w="3118" w:type="dxa"/>
            <w:vAlign w:val="bottom"/>
          </w:tcPr>
          <w:p>
            <w:pPr>
              <w:widowControl/>
              <w:rPr>
                <w:rFonts w:ascii="Calibri" w:hAnsi="Calibri" w:cs="Calibri"/>
                <w:szCs w:val="21"/>
              </w:rPr>
            </w:pPr>
            <w:r>
              <w:rPr>
                <w:rFonts w:ascii="Calibri" w:hAnsi="Calibri" w:cs="Calibri"/>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6" w:type="dxa"/>
            <w:vMerge w:val="continue"/>
            <w:shd w:val="clear" w:color="auto" w:fill="auto"/>
            <w:vAlign w:val="center"/>
          </w:tcPr>
          <w:p>
            <w:pPr>
              <w:widowControl/>
              <w:rPr>
                <w:rFonts w:hAnsi="宋体" w:cs="宋体"/>
                <w:sz w:val="18"/>
                <w:szCs w:val="18"/>
              </w:rPr>
            </w:pPr>
          </w:p>
        </w:tc>
        <w:tc>
          <w:tcPr>
            <w:tcW w:w="425" w:type="dxa"/>
            <w:shd w:val="clear" w:color="auto" w:fill="auto"/>
            <w:vAlign w:val="bottom"/>
          </w:tcPr>
          <w:p>
            <w:pPr>
              <w:widowControl/>
              <w:jc w:val="center"/>
              <w:rPr>
                <w:rFonts w:hAnsi="宋体" w:cs="宋体"/>
                <w:sz w:val="18"/>
                <w:szCs w:val="18"/>
              </w:rPr>
            </w:pPr>
            <w:r>
              <w:rPr>
                <w:rFonts w:hint="eastAsia" w:hAnsi="宋体" w:cs="宋体"/>
                <w:sz w:val="18"/>
                <w:szCs w:val="18"/>
              </w:rPr>
              <w:t>20</w:t>
            </w:r>
          </w:p>
        </w:tc>
        <w:tc>
          <w:tcPr>
            <w:tcW w:w="2693" w:type="dxa"/>
            <w:shd w:val="clear" w:color="000000" w:fill="FFFFFF"/>
            <w:vAlign w:val="bottom"/>
          </w:tcPr>
          <w:p>
            <w:pPr>
              <w:widowControl/>
              <w:jc w:val="center"/>
              <w:rPr>
                <w:rFonts w:hAnsi="宋体" w:cs="宋体"/>
                <w:sz w:val="18"/>
                <w:szCs w:val="18"/>
              </w:rPr>
            </w:pPr>
            <w:r>
              <w:rPr>
                <w:rFonts w:hint="eastAsia" w:hAnsi="宋体" w:cs="宋体"/>
                <w:sz w:val="18"/>
                <w:szCs w:val="18"/>
              </w:rPr>
              <w:t>变电所检修双电源切换箱</w:t>
            </w:r>
          </w:p>
        </w:tc>
        <w:tc>
          <w:tcPr>
            <w:tcW w:w="851" w:type="dxa"/>
            <w:vMerge w:val="continue"/>
            <w:vAlign w:val="center"/>
          </w:tcPr>
          <w:p>
            <w:pPr>
              <w:widowControl/>
              <w:rPr>
                <w:rFonts w:hAnsi="宋体" w:cs="宋体"/>
                <w:sz w:val="18"/>
                <w:szCs w:val="18"/>
              </w:rPr>
            </w:pPr>
          </w:p>
        </w:tc>
        <w:tc>
          <w:tcPr>
            <w:tcW w:w="567" w:type="dxa"/>
            <w:vAlign w:val="bottom"/>
          </w:tcPr>
          <w:p>
            <w:pPr>
              <w:widowControl/>
              <w:rPr>
                <w:rFonts w:ascii="Calibri" w:hAnsi="Calibri" w:cs="Calibri"/>
                <w:szCs w:val="21"/>
              </w:rPr>
            </w:pPr>
            <w:r>
              <w:rPr>
                <w:rFonts w:ascii="Calibri" w:hAnsi="Calibri" w:cs="Calibri"/>
                <w:szCs w:val="21"/>
              </w:rPr>
              <w:t>　</w:t>
            </w:r>
          </w:p>
        </w:tc>
        <w:tc>
          <w:tcPr>
            <w:tcW w:w="3118" w:type="dxa"/>
            <w:vAlign w:val="bottom"/>
          </w:tcPr>
          <w:p>
            <w:pPr>
              <w:widowControl/>
              <w:rPr>
                <w:rFonts w:ascii="Calibri" w:hAnsi="Calibri" w:cs="Calibri"/>
                <w:szCs w:val="21"/>
              </w:rPr>
            </w:pPr>
            <w:r>
              <w:rPr>
                <w:rFonts w:ascii="Calibri" w:hAnsi="Calibri" w:cs="Calibri"/>
                <w:szCs w:val="21"/>
              </w:rPr>
              <w:t>　</w:t>
            </w:r>
          </w:p>
        </w:tc>
      </w:tr>
    </w:tbl>
    <w:p>
      <w:pPr>
        <w:spacing w:line="360" w:lineRule="auto"/>
        <w:jc w:val="center"/>
        <w:rPr>
          <w:rFonts w:hint="eastAsia"/>
        </w:rPr>
      </w:pPr>
    </w:p>
    <w:p>
      <w:pPr>
        <w:spacing w:line="360" w:lineRule="auto"/>
        <w:ind w:firstLine="420" w:firstLineChars="200"/>
      </w:pPr>
      <w:r>
        <w:rPr>
          <w:rFonts w:hint="eastAsia" w:hAnsi="Times"/>
          <w:snapToGrid w:val="0"/>
        </w:rPr>
        <w:t>说明：本阶段各车站配电箱、插座箱系统图见招标设计图纸，最终生产应以施工设计图纸为依据，上列项目所列箱体等均适用于本技术条件。公共区照明配电总箱、广告照明配电箱参考附图见下页附图。</w:t>
      </w:r>
      <w:bookmarkStart w:id="51" w:name="_Toc273556969"/>
      <w:bookmarkStart w:id="52" w:name="_Toc254443583"/>
    </w:p>
    <w:p>
      <w:pPr>
        <w:pStyle w:val="20"/>
        <w:rPr>
          <w:rFonts w:hint="eastAsia"/>
          <w:lang w:eastAsia="zh-CN"/>
        </w:rPr>
        <w:sectPr>
          <w:footerReference r:id="rId4" w:type="default"/>
          <w:pgSz w:w="11906" w:h="16838"/>
          <w:pgMar w:top="1440" w:right="1800" w:bottom="1440" w:left="1800" w:header="851" w:footer="992" w:gutter="0"/>
          <w:cols w:space="720" w:num="1"/>
          <w:docGrid w:type="lines" w:linePitch="312" w:charSpace="0"/>
        </w:sectPr>
      </w:pPr>
    </w:p>
    <w:p>
      <w:pPr>
        <w:jc w:val="center"/>
      </w:pPr>
      <w:r>
        <w:drawing>
          <wp:inline distT="0" distB="0" distL="114300" distR="114300">
            <wp:extent cx="5561330" cy="5311775"/>
            <wp:effectExtent l="0" t="0" r="1270" b="3175"/>
            <wp:docPr id="7" name="图片 1" descr="E:\AH-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AH-ZM1.jpg"/>
                    <pic:cNvPicPr>
                      <a:picLocks noChangeAspect="1"/>
                    </pic:cNvPicPr>
                  </pic:nvPicPr>
                  <pic:blipFill>
                    <a:blip r:embed="rId6"/>
                    <a:stretch>
                      <a:fillRect/>
                    </a:stretch>
                  </pic:blipFill>
                  <pic:spPr>
                    <a:xfrm>
                      <a:off x="0" y="0"/>
                      <a:ext cx="5561330" cy="5311775"/>
                    </a:xfrm>
                    <a:prstGeom prst="rect">
                      <a:avLst/>
                    </a:prstGeom>
                    <a:noFill/>
                    <a:ln w="9525">
                      <a:noFill/>
                    </a:ln>
                  </pic:spPr>
                </pic:pic>
              </a:graphicData>
            </a:graphic>
          </wp:inline>
        </w:drawing>
      </w:r>
      <w:r>
        <w:drawing>
          <wp:inline distT="0" distB="0" distL="114300" distR="114300">
            <wp:extent cx="5461635" cy="6064250"/>
            <wp:effectExtent l="0" t="0" r="5715" b="12700"/>
            <wp:docPr id="9" name="图片 2" descr="E:\AH-Z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AH-ZM2.jpg"/>
                    <pic:cNvPicPr>
                      <a:picLocks noChangeAspect="1"/>
                    </pic:cNvPicPr>
                  </pic:nvPicPr>
                  <pic:blipFill>
                    <a:blip r:embed="rId7"/>
                    <a:stretch>
                      <a:fillRect/>
                    </a:stretch>
                  </pic:blipFill>
                  <pic:spPr>
                    <a:xfrm>
                      <a:off x="0" y="0"/>
                      <a:ext cx="5461635" cy="6064250"/>
                    </a:xfrm>
                    <a:prstGeom prst="rect">
                      <a:avLst/>
                    </a:prstGeom>
                    <a:noFill/>
                    <a:ln w="9525">
                      <a:noFill/>
                    </a:ln>
                  </pic:spPr>
                </pic:pic>
              </a:graphicData>
            </a:graphic>
          </wp:inline>
        </w:drawing>
      </w:r>
    </w:p>
    <w:p>
      <w:pPr>
        <w:jc w:val="center"/>
      </w:pPr>
      <w:r>
        <w:drawing>
          <wp:inline distT="0" distB="0" distL="114300" distR="114300">
            <wp:extent cx="5370195" cy="3795395"/>
            <wp:effectExtent l="0" t="0" r="1905" b="14605"/>
            <wp:docPr id="8" name="图片 3" descr="E:\AT-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E:\AT-ZM1.jpg"/>
                    <pic:cNvPicPr>
                      <a:picLocks noChangeAspect="1"/>
                    </pic:cNvPicPr>
                  </pic:nvPicPr>
                  <pic:blipFill>
                    <a:blip r:embed="rId8"/>
                    <a:stretch>
                      <a:fillRect/>
                    </a:stretch>
                  </pic:blipFill>
                  <pic:spPr>
                    <a:xfrm>
                      <a:off x="0" y="0"/>
                      <a:ext cx="5370195" cy="3795395"/>
                    </a:xfrm>
                    <a:prstGeom prst="rect">
                      <a:avLst/>
                    </a:prstGeom>
                    <a:noFill/>
                    <a:ln w="9525">
                      <a:noFill/>
                    </a:ln>
                  </pic:spPr>
                </pic:pic>
              </a:graphicData>
            </a:graphic>
          </wp:inline>
        </w:drawing>
      </w:r>
      <w:r>
        <w:drawing>
          <wp:inline distT="0" distB="0" distL="114300" distR="114300">
            <wp:extent cx="5461635" cy="5037455"/>
            <wp:effectExtent l="0" t="0" r="5715" b="10795"/>
            <wp:docPr id="1" name="图片 4" descr="E:\AT-Z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E:\AT-ZM2.jpg"/>
                    <pic:cNvPicPr>
                      <a:picLocks noChangeAspect="1"/>
                    </pic:cNvPicPr>
                  </pic:nvPicPr>
                  <pic:blipFill>
                    <a:blip r:embed="rId9"/>
                    <a:stretch>
                      <a:fillRect/>
                    </a:stretch>
                  </pic:blipFill>
                  <pic:spPr>
                    <a:xfrm>
                      <a:off x="0" y="0"/>
                      <a:ext cx="5461635" cy="5037455"/>
                    </a:xfrm>
                    <a:prstGeom prst="rect">
                      <a:avLst/>
                    </a:prstGeom>
                    <a:noFill/>
                    <a:ln w="9525">
                      <a:noFill/>
                    </a:ln>
                  </pic:spPr>
                </pic:pic>
              </a:graphicData>
            </a:graphic>
          </wp:inline>
        </w:drawing>
      </w:r>
    </w:p>
    <w:p/>
    <w:p>
      <w:pPr>
        <w:jc w:val="center"/>
        <w:sectPr>
          <w:pgSz w:w="23814" w:h="16840" w:orient="landscape"/>
          <w:pgMar w:top="1797" w:right="1440" w:bottom="1797" w:left="1440" w:header="851" w:footer="992" w:gutter="0"/>
          <w:cols w:space="720" w:num="1"/>
          <w:docGrid w:type="linesAndChars" w:linePitch="312" w:charSpace="0"/>
        </w:sectPr>
      </w:pPr>
      <w:r>
        <w:drawing>
          <wp:inline distT="0" distB="0" distL="114300" distR="114300">
            <wp:extent cx="5274310" cy="2713990"/>
            <wp:effectExtent l="0" t="0" r="2540" b="10160"/>
            <wp:docPr id="2" name="图片 5" descr="E:\AH-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E:\AH-GM.jpg"/>
                    <pic:cNvPicPr>
                      <a:picLocks noChangeAspect="1"/>
                    </pic:cNvPicPr>
                  </pic:nvPicPr>
                  <pic:blipFill>
                    <a:blip r:embed="rId10"/>
                    <a:stretch>
                      <a:fillRect/>
                    </a:stretch>
                  </pic:blipFill>
                  <pic:spPr>
                    <a:xfrm>
                      <a:off x="0" y="0"/>
                      <a:ext cx="5274310" cy="2713990"/>
                    </a:xfrm>
                    <a:prstGeom prst="rect">
                      <a:avLst/>
                    </a:prstGeom>
                    <a:noFill/>
                    <a:ln w="9525">
                      <a:noFill/>
                    </a:ln>
                  </pic:spPr>
                </pic:pic>
              </a:graphicData>
            </a:graphic>
          </wp:inline>
        </w:drawing>
      </w:r>
    </w:p>
    <w:p>
      <w:pPr>
        <w:pStyle w:val="20"/>
        <w:rPr>
          <w:rFonts w:hint="eastAsia"/>
          <w:lang w:eastAsia="zh-CN"/>
        </w:rPr>
      </w:pPr>
      <w:r>
        <w:br w:type="page"/>
      </w:r>
      <w:bookmarkEnd w:id="51"/>
      <w:bookmarkEnd w:id="52"/>
      <w:bookmarkStart w:id="53" w:name="_Toc456279580"/>
      <w:r>
        <w:rPr>
          <w:rFonts w:hint="eastAsia"/>
          <w:lang w:eastAsia="zh-CN"/>
        </w:rPr>
        <w:t>3.设计联络及试验</w:t>
      </w:r>
      <w:bookmarkEnd w:id="53"/>
    </w:p>
    <w:p>
      <w:pPr>
        <w:pStyle w:val="19"/>
        <w:ind w:firstLine="480"/>
        <w:rPr>
          <w:rFonts w:hint="eastAsia"/>
        </w:rPr>
      </w:pPr>
      <w:r>
        <w:rPr>
          <w:rFonts w:hint="eastAsia"/>
        </w:rPr>
        <w:t>承包商在签订合同后应尽快确定配电箱等主要设备的品牌及生产厂家，在设备开始生产前应开展设计联络工作，在设备出厂前/后应开展验收工作。业主、设计、监理和承包商应根据设计联络和验收工作的需要在设备生产厂家开展设计联络，请承包商考虑相关费用。</w:t>
      </w:r>
    </w:p>
    <w:p>
      <w:pPr>
        <w:pStyle w:val="19"/>
        <w:ind w:firstLine="480"/>
        <w:rPr>
          <w:rFonts w:hint="eastAsia"/>
        </w:rPr>
      </w:pPr>
      <w:r>
        <w:rPr>
          <w:rFonts w:hint="eastAsia"/>
        </w:rPr>
        <w:t>供货商（设备厂家）应提供配电箱插座箱选用主要设备、主要部件及原料产地，并提供设备最新样本。</w:t>
      </w:r>
    </w:p>
    <w:p>
      <w:pPr>
        <w:spacing w:line="360" w:lineRule="auto"/>
        <w:ind w:firstLine="420" w:firstLineChars="200"/>
        <w:rPr>
          <w:rFonts w:hint="eastAsia" w:hAnsi="宋体"/>
        </w:rPr>
      </w:pPr>
      <w:r>
        <w:rPr>
          <w:rFonts w:hint="eastAsia" w:hAnsi="宋体"/>
        </w:rPr>
        <w:t>在合同设备的设计过程中，根据设计进程和时间表的要求，业主将派技术人员进行配电箱等设备的设计联络。根据所设备的特点和生产需要，建议开三次设计联络会：</w:t>
      </w:r>
    </w:p>
    <w:tbl>
      <w:tblPr>
        <w:tblStyle w:val="12"/>
        <w:tblW w:w="874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537"/>
        <w:gridCol w:w="4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widowControl/>
              <w:spacing w:line="360" w:lineRule="auto"/>
              <w:jc w:val="center"/>
              <w:rPr>
                <w:rFonts w:hAnsi="宋体" w:cs="宋体"/>
                <w:b/>
                <w:szCs w:val="21"/>
              </w:rPr>
            </w:pPr>
            <w:r>
              <w:rPr>
                <w:rFonts w:hint="eastAsia" w:hAnsi="宋体" w:cs="宋体"/>
                <w:b/>
                <w:szCs w:val="21"/>
              </w:rPr>
              <w:t>设计联络会次数</w:t>
            </w:r>
          </w:p>
        </w:tc>
        <w:tc>
          <w:tcPr>
            <w:tcW w:w="1537" w:type="dxa"/>
            <w:vAlign w:val="center"/>
          </w:tcPr>
          <w:p>
            <w:pPr>
              <w:widowControl/>
              <w:spacing w:line="360" w:lineRule="auto"/>
              <w:jc w:val="center"/>
              <w:rPr>
                <w:rFonts w:hAnsi="宋体" w:cs="宋体"/>
                <w:b/>
                <w:szCs w:val="21"/>
              </w:rPr>
            </w:pPr>
            <w:r>
              <w:rPr>
                <w:rFonts w:hint="eastAsia" w:hAnsi="宋体" w:cs="宋体"/>
                <w:b/>
                <w:szCs w:val="21"/>
              </w:rPr>
              <w:t>时间</w:t>
            </w:r>
          </w:p>
        </w:tc>
        <w:tc>
          <w:tcPr>
            <w:tcW w:w="4944" w:type="dxa"/>
            <w:vAlign w:val="center"/>
          </w:tcPr>
          <w:p>
            <w:pPr>
              <w:widowControl/>
              <w:spacing w:line="360" w:lineRule="auto"/>
              <w:jc w:val="center"/>
              <w:rPr>
                <w:rFonts w:hAnsi="宋体" w:cs="宋体"/>
                <w:b/>
                <w:szCs w:val="21"/>
              </w:rPr>
            </w:pPr>
            <w:r>
              <w:rPr>
                <w:rFonts w:hint="eastAsia" w:hAnsi="宋体" w:cs="宋体"/>
                <w:b/>
                <w:szCs w:val="21"/>
              </w:rPr>
              <w:t>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widowControl/>
              <w:spacing w:line="360" w:lineRule="auto"/>
              <w:jc w:val="center"/>
              <w:rPr>
                <w:rFonts w:hAnsi="宋体" w:cs="宋体"/>
                <w:szCs w:val="21"/>
              </w:rPr>
            </w:pPr>
            <w:r>
              <w:rPr>
                <w:rFonts w:hint="eastAsia" w:hAnsi="宋体" w:cs="宋体"/>
                <w:szCs w:val="21"/>
              </w:rPr>
              <w:t>第一次设计联络会</w:t>
            </w:r>
          </w:p>
        </w:tc>
        <w:tc>
          <w:tcPr>
            <w:tcW w:w="1537" w:type="dxa"/>
            <w:vAlign w:val="center"/>
          </w:tcPr>
          <w:p>
            <w:pPr>
              <w:widowControl/>
              <w:spacing w:line="360" w:lineRule="auto"/>
              <w:jc w:val="center"/>
              <w:rPr>
                <w:rFonts w:hAnsi="宋体"/>
                <w:szCs w:val="21"/>
              </w:rPr>
            </w:pPr>
            <w:r>
              <w:rPr>
                <w:rFonts w:hint="eastAsia" w:hAnsi="宋体"/>
                <w:szCs w:val="21"/>
              </w:rPr>
              <w:t>待定</w:t>
            </w:r>
          </w:p>
        </w:tc>
        <w:tc>
          <w:tcPr>
            <w:tcW w:w="4944" w:type="dxa"/>
            <w:vAlign w:val="center"/>
          </w:tcPr>
          <w:p>
            <w:pPr>
              <w:widowControl/>
              <w:spacing w:line="360" w:lineRule="auto"/>
              <w:rPr>
                <w:rFonts w:hAnsi="宋体" w:cs="宋体"/>
                <w:szCs w:val="21"/>
              </w:rPr>
            </w:pPr>
            <w:r>
              <w:rPr>
                <w:rFonts w:hint="eastAsia" w:hAnsi="宋体" w:cs="宋体"/>
                <w:szCs w:val="21"/>
              </w:rPr>
              <w:t>相互提供基础资料，确认系统、设备功能和技术参数，业主考察工厂和设备应用现场。对业主提出的问题进行澄清。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widowControl/>
              <w:spacing w:line="360" w:lineRule="auto"/>
              <w:jc w:val="center"/>
              <w:rPr>
                <w:rFonts w:hAnsi="宋体" w:cs="宋体"/>
                <w:szCs w:val="21"/>
              </w:rPr>
            </w:pPr>
            <w:r>
              <w:rPr>
                <w:rFonts w:hint="eastAsia" w:hAnsi="宋体" w:cs="宋体"/>
                <w:szCs w:val="21"/>
              </w:rPr>
              <w:t>第二次设计联络会</w:t>
            </w:r>
          </w:p>
        </w:tc>
        <w:tc>
          <w:tcPr>
            <w:tcW w:w="1537" w:type="dxa"/>
            <w:vAlign w:val="center"/>
          </w:tcPr>
          <w:p>
            <w:pPr>
              <w:widowControl/>
              <w:spacing w:line="360" w:lineRule="auto"/>
              <w:jc w:val="center"/>
              <w:rPr>
                <w:rFonts w:hAnsi="宋体"/>
                <w:szCs w:val="21"/>
              </w:rPr>
            </w:pPr>
            <w:r>
              <w:rPr>
                <w:rFonts w:hint="eastAsia" w:hAnsi="宋体"/>
                <w:szCs w:val="21"/>
              </w:rPr>
              <w:t>待定</w:t>
            </w:r>
          </w:p>
        </w:tc>
        <w:tc>
          <w:tcPr>
            <w:tcW w:w="4944" w:type="dxa"/>
            <w:vAlign w:val="center"/>
          </w:tcPr>
          <w:p>
            <w:pPr>
              <w:widowControl/>
              <w:spacing w:line="360" w:lineRule="auto"/>
              <w:rPr>
                <w:rFonts w:hAnsi="宋体" w:cs="宋体"/>
                <w:szCs w:val="21"/>
              </w:rPr>
            </w:pPr>
            <w:r>
              <w:rPr>
                <w:rFonts w:hint="eastAsia" w:hAnsi="宋体" w:cs="宋体"/>
                <w:szCs w:val="21"/>
              </w:rPr>
              <w:t>业主审核设备厂家的技术规格书，根据设备厂家的初步设计方案讨论确定技术方案、讨论澄清接口问题。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widowControl/>
              <w:spacing w:line="360" w:lineRule="auto"/>
              <w:jc w:val="center"/>
              <w:rPr>
                <w:rFonts w:hAnsi="宋体" w:cs="宋体"/>
                <w:szCs w:val="21"/>
              </w:rPr>
            </w:pPr>
            <w:r>
              <w:rPr>
                <w:rFonts w:hint="eastAsia" w:hAnsi="宋体" w:cs="宋体"/>
                <w:szCs w:val="21"/>
              </w:rPr>
              <w:t>第三次设计联络会</w:t>
            </w:r>
          </w:p>
        </w:tc>
        <w:tc>
          <w:tcPr>
            <w:tcW w:w="1537" w:type="dxa"/>
            <w:vAlign w:val="center"/>
          </w:tcPr>
          <w:p>
            <w:pPr>
              <w:widowControl/>
              <w:spacing w:line="360" w:lineRule="auto"/>
              <w:jc w:val="center"/>
              <w:rPr>
                <w:rFonts w:hAnsi="宋体"/>
                <w:szCs w:val="21"/>
              </w:rPr>
            </w:pPr>
            <w:r>
              <w:rPr>
                <w:rFonts w:hint="eastAsia" w:hAnsi="宋体"/>
                <w:szCs w:val="21"/>
              </w:rPr>
              <w:t>待定</w:t>
            </w:r>
          </w:p>
        </w:tc>
        <w:tc>
          <w:tcPr>
            <w:tcW w:w="4944" w:type="dxa"/>
            <w:vAlign w:val="center"/>
          </w:tcPr>
          <w:p>
            <w:pPr>
              <w:widowControl/>
              <w:spacing w:line="360" w:lineRule="auto"/>
              <w:rPr>
                <w:rFonts w:hAnsi="宋体" w:cs="宋体"/>
                <w:szCs w:val="21"/>
              </w:rPr>
            </w:pPr>
            <w:r>
              <w:rPr>
                <w:rFonts w:hint="eastAsia" w:hAnsi="宋体" w:cs="宋体"/>
                <w:szCs w:val="21"/>
              </w:rPr>
              <w:t>业主确认设备厂家的图纸和技术文件，进一步澄清接口，讨论设备试验和出厂验收等事宜。</w:t>
            </w:r>
          </w:p>
        </w:tc>
      </w:tr>
    </w:tbl>
    <w:p>
      <w:pPr>
        <w:spacing w:line="360" w:lineRule="auto"/>
        <w:ind w:firstLine="420" w:firstLineChars="200"/>
        <w:rPr>
          <w:rFonts w:hint="eastAsia" w:hAnsi="宋体"/>
        </w:rPr>
      </w:pPr>
      <w:r>
        <w:rPr>
          <w:rFonts w:hint="eastAsia" w:hAnsi="宋体"/>
        </w:rPr>
        <w:t>1. 由于该工程量大，涉及面广，可能会有一些变更。将根据工程需要，随时调整设计方案以满足工程的要求，如有必要，也可按业主要求加开设计联络会。</w:t>
      </w:r>
    </w:p>
    <w:p>
      <w:pPr>
        <w:spacing w:line="360" w:lineRule="auto"/>
        <w:ind w:firstLine="420" w:firstLineChars="200"/>
        <w:rPr>
          <w:rFonts w:hint="eastAsia" w:hAnsi="宋体"/>
        </w:rPr>
      </w:pPr>
      <w:r>
        <w:rPr>
          <w:rFonts w:hint="eastAsia" w:hAnsi="宋体"/>
        </w:rPr>
        <w:t>2. 考虑到设计联络会涉及的相关人员比较多，设计联络会在业主方或设备供货商所在地进行。若设计联络会在设备厂家进行，业主方人员所需的差旅费、保险费不包括在合同价中，其它费用已包含在合同价中；若设计联络会在业主所在地进行，设备厂家人员所需的全部费用已包含在合同价中。</w:t>
      </w:r>
    </w:p>
    <w:p>
      <w:pPr>
        <w:spacing w:line="360" w:lineRule="auto"/>
        <w:ind w:firstLine="420" w:firstLineChars="200"/>
        <w:rPr>
          <w:rFonts w:hint="eastAsia" w:hAnsi="宋体"/>
        </w:rPr>
      </w:pPr>
      <w:r>
        <w:rPr>
          <w:rFonts w:hint="eastAsia" w:hAnsi="宋体"/>
        </w:rPr>
        <w:t>3. 业主方派出人员除有权行使总体商务条件中规定的权利外，有权决定设计、检验相关事项，有权签署试验报告、装车证书。</w:t>
      </w:r>
    </w:p>
    <w:p>
      <w:pPr>
        <w:spacing w:line="360" w:lineRule="auto"/>
        <w:ind w:firstLine="420" w:firstLineChars="200"/>
        <w:rPr>
          <w:rFonts w:hint="eastAsia" w:hAnsi="宋体"/>
        </w:rPr>
      </w:pPr>
      <w:r>
        <w:rPr>
          <w:rFonts w:hint="eastAsia" w:hAnsi="宋体"/>
        </w:rPr>
        <w:t>4. 业主方派出人员有权向承包商和设备厂家提出质疑并召开会议讨论有关事项，承包商和设备厂家将澄清业主提出的问题。</w:t>
      </w:r>
    </w:p>
    <w:p>
      <w:pPr>
        <w:spacing w:line="360" w:lineRule="auto"/>
        <w:ind w:firstLine="420" w:firstLineChars="200"/>
        <w:rPr>
          <w:rFonts w:hint="eastAsia" w:hAnsi="宋体"/>
        </w:rPr>
      </w:pPr>
      <w:r>
        <w:rPr>
          <w:rFonts w:hint="eastAsia" w:hAnsi="宋体"/>
        </w:rPr>
        <w:t>5.承包商及设备厂家将应指定专门的人员负责在设计联络期间为接待业主方人员工作和生活提供便利。</w:t>
      </w:r>
    </w:p>
    <w:p>
      <w:pPr>
        <w:spacing w:line="360" w:lineRule="auto"/>
        <w:ind w:firstLine="420" w:firstLineChars="200"/>
        <w:rPr>
          <w:rFonts w:hint="eastAsia" w:hAnsi="宋体"/>
        </w:rPr>
      </w:pPr>
      <w:r>
        <w:rPr>
          <w:rFonts w:hint="eastAsia" w:hAnsi="宋体"/>
        </w:rPr>
        <w:t>6.承包商应要求设备厂家方参加设计联络的技术人员是在设计方面具有多年工作经验的工程师。所有参加联络会议的技术人员均精通技术、身体健康。</w:t>
      </w:r>
    </w:p>
    <w:p>
      <w:pPr>
        <w:spacing w:line="360" w:lineRule="auto"/>
        <w:ind w:firstLine="420" w:firstLineChars="200"/>
        <w:rPr>
          <w:rFonts w:hint="eastAsia" w:hAnsi="宋体"/>
        </w:rPr>
      </w:pPr>
      <w:r>
        <w:rPr>
          <w:rFonts w:hint="eastAsia" w:hAnsi="宋体"/>
        </w:rPr>
        <w:t>7.承包商及设备厂家应免费提供必要的技术文件和工作条件给业主方人员。</w:t>
      </w:r>
    </w:p>
    <w:p>
      <w:pPr>
        <w:spacing w:line="360" w:lineRule="auto"/>
        <w:ind w:firstLine="420" w:firstLineChars="200"/>
        <w:rPr>
          <w:rFonts w:hint="eastAsia" w:hAnsi="宋体"/>
        </w:rPr>
      </w:pPr>
      <w:r>
        <w:rPr>
          <w:rFonts w:hint="eastAsia" w:hAnsi="宋体"/>
        </w:rPr>
        <w:t>8.承包商及设备厂家应完成包括但不限于下列内容：</w:t>
      </w:r>
    </w:p>
    <w:p>
      <w:pPr>
        <w:numPr>
          <w:ilvl w:val="2"/>
          <w:numId w:val="10"/>
        </w:numPr>
        <w:autoSpaceDE w:val="0"/>
        <w:autoSpaceDN w:val="0"/>
        <w:adjustRightInd w:val="0"/>
        <w:spacing w:line="360" w:lineRule="auto"/>
        <w:jc w:val="left"/>
        <w:rPr>
          <w:rFonts w:hint="eastAsia" w:hAnsi="宋体"/>
        </w:rPr>
      </w:pPr>
      <w:r>
        <w:rPr>
          <w:rFonts w:hint="eastAsia" w:hAnsi="宋体"/>
        </w:rPr>
        <w:t>根据BAS系统的招标结果确定BAS系统与配电箱的接口关系，并配合BAS系统完成接口设计。</w:t>
      </w:r>
    </w:p>
    <w:p>
      <w:pPr>
        <w:numPr>
          <w:ilvl w:val="2"/>
          <w:numId w:val="10"/>
        </w:numPr>
        <w:autoSpaceDE w:val="0"/>
        <w:autoSpaceDN w:val="0"/>
        <w:adjustRightInd w:val="0"/>
        <w:spacing w:line="360" w:lineRule="auto"/>
        <w:jc w:val="left"/>
        <w:rPr>
          <w:rFonts w:hint="eastAsia" w:hAnsi="宋体"/>
        </w:rPr>
      </w:pPr>
      <w:r>
        <w:rPr>
          <w:rFonts w:hint="eastAsia" w:hAnsi="宋体"/>
        </w:rPr>
        <w:t>根据BAS系统的通信协议无条件完成配电箱与BAS系统的协议转换。</w:t>
      </w:r>
    </w:p>
    <w:p>
      <w:pPr>
        <w:numPr>
          <w:ilvl w:val="2"/>
          <w:numId w:val="10"/>
        </w:numPr>
        <w:autoSpaceDE w:val="0"/>
        <w:autoSpaceDN w:val="0"/>
        <w:adjustRightInd w:val="0"/>
        <w:spacing w:line="360" w:lineRule="auto"/>
        <w:jc w:val="left"/>
        <w:rPr>
          <w:rFonts w:hint="eastAsia" w:hAnsi="宋体"/>
        </w:rPr>
      </w:pPr>
      <w:r>
        <w:rPr>
          <w:rFonts w:hint="eastAsia" w:hAnsi="宋体"/>
        </w:rPr>
        <w:t>根据BAS要求编写从站地址，并向BAS方提供对方所需的通信变量表，并协助BAS方完成联机调试。</w:t>
      </w:r>
    </w:p>
    <w:p>
      <w:pPr>
        <w:pStyle w:val="6"/>
        <w:spacing w:line="360" w:lineRule="auto"/>
        <w:ind w:right="210" w:firstLine="525" w:firstLineChars="250"/>
      </w:pPr>
      <w:r>
        <w:rPr>
          <w:rFonts w:hint="eastAsia" w:hAnsi="宋体"/>
        </w:rPr>
        <w:t>在设计联络过程中根据一次系统图及工艺要求完成二次原理图设计。</w:t>
      </w:r>
      <w:r>
        <w:br w:type="page"/>
      </w:r>
    </w:p>
    <w:p>
      <w:pPr>
        <w:rPr>
          <w:rFonts w:hint="eastAsia"/>
          <w:lang w:val="en-US" w:eastAsia="zh-CN"/>
        </w:rPr>
      </w:pPr>
      <w:r>
        <w:rPr>
          <w:rFonts w:hint="eastAsia"/>
          <w:lang w:val="en-US" w:eastAsia="zh-CN"/>
        </w:rPr>
        <w:t xml:space="preserve">  </w:t>
      </w:r>
    </w:p>
    <w:p>
      <w:pPr>
        <w:rPr>
          <w:rFonts w:hint="eastAsia"/>
          <w:lang w:val="en-US" w:eastAsia="zh-CN"/>
        </w:rPr>
      </w:pPr>
    </w:p>
    <w:p>
      <w:pPr>
        <w:ind w:firstLine="420"/>
        <w:rPr>
          <w:rFonts w:hint="eastAsia"/>
          <w:lang w:val="en-US" w:eastAsia="zh-CN"/>
        </w:rPr>
      </w:pPr>
      <w:r>
        <w:rPr>
          <w:rFonts w:hint="eastAsia"/>
          <w:lang w:val="en-US" w:eastAsia="zh-CN"/>
        </w:rPr>
        <w:t>图纸及设计交底中技术要求:</w:t>
      </w:r>
    </w:p>
    <w:p>
      <w:pPr>
        <w:ind w:firstLine="420"/>
        <w:rPr>
          <w:rFonts w:hint="eastAsia" w:ascii="宋体" w:hAnsi="宋体"/>
          <w:color w:val="auto"/>
          <w:szCs w:val="21"/>
          <w:highlight w:val="none"/>
        </w:rPr>
      </w:pPr>
      <w:r>
        <w:rPr>
          <w:rFonts w:hint="eastAsia"/>
          <w:lang w:val="en-US" w:eastAsia="zh-CN"/>
        </w:rPr>
        <w:t>1.</w:t>
      </w:r>
      <w:r>
        <w:rPr>
          <w:rFonts w:hint="eastAsia" w:ascii="宋体" w:hAnsi="宋体"/>
          <w:color w:val="auto"/>
          <w:szCs w:val="21"/>
          <w:highlight w:val="none"/>
        </w:rPr>
        <w:t>图纸补充说明：</w:t>
      </w:r>
    </w:p>
    <w:p>
      <w:pPr>
        <w:numPr>
          <w:ilvl w:val="0"/>
          <w:numId w:val="11"/>
        </w:numPr>
        <w:rPr>
          <w:rFonts w:hint="eastAsia" w:hAnsi="宋体"/>
          <w:b/>
          <w:color w:val="auto"/>
          <w:szCs w:val="21"/>
          <w:highlight w:val="none"/>
        </w:rPr>
      </w:pPr>
      <w:r>
        <w:rPr>
          <w:rFonts w:hint="eastAsia" w:hAnsi="宋体"/>
          <w:b/>
          <w:color w:val="auto"/>
          <w:szCs w:val="21"/>
          <w:highlight w:val="none"/>
        </w:rPr>
        <w:t>含元殿站接地母排端子数量根据通信专业要求：专用通信机房需要30个，专用电源室需要15个，民用通信机房需要30个。</w:t>
      </w:r>
    </w:p>
    <w:p>
      <w:pPr>
        <w:rPr>
          <w:rFonts w:hint="eastAsia" w:hAnsi="宋体"/>
          <w:color w:val="auto"/>
          <w:szCs w:val="21"/>
          <w:highlight w:val="none"/>
        </w:rPr>
      </w:pPr>
      <w:r>
        <w:rPr>
          <w:rFonts w:hint="eastAsia" w:hAnsi="宋体"/>
          <w:b/>
          <w:color w:val="auto"/>
          <w:szCs w:val="21"/>
          <w:highlight w:val="none"/>
          <w:lang w:val="en-US" w:eastAsia="zh-CN"/>
        </w:rPr>
        <w:t xml:space="preserve">    2.</w:t>
      </w:r>
      <w:r>
        <w:rPr>
          <w:rFonts w:hint="eastAsia" w:hAnsi="宋体"/>
          <w:color w:val="auto"/>
          <w:szCs w:val="21"/>
          <w:highlight w:val="none"/>
        </w:rPr>
        <w:t>图纸补充说明：</w:t>
      </w:r>
    </w:p>
    <w:p>
      <w:pPr>
        <w:numPr>
          <w:ilvl w:val="0"/>
          <w:numId w:val="0"/>
        </w:numPr>
        <w:rPr>
          <w:rFonts w:hint="eastAsia" w:hAnsi="宋体"/>
          <w:b/>
          <w:color w:val="auto"/>
          <w:szCs w:val="21"/>
          <w:highlight w:val="none"/>
        </w:rPr>
      </w:pPr>
      <w:r>
        <w:rPr>
          <w:rFonts w:hint="eastAsia" w:hAnsi="宋体"/>
          <w:b/>
          <w:color w:val="auto"/>
          <w:szCs w:val="21"/>
          <w:highlight w:val="none"/>
        </w:rPr>
        <w:t>按照电扶梯提资：040417-S-PDZM-04-013图中公共区电梯电源箱系统图、Ⅱ号出入口电梯电源箱系统图中 电梯馈线回路开关由塑壳-D50/3P改为塑壳-D63/3P。</w:t>
      </w:r>
    </w:p>
    <w:p>
      <w:pPr>
        <w:numPr>
          <w:ilvl w:val="0"/>
          <w:numId w:val="0"/>
        </w:numPr>
        <w:rPr>
          <w:rFonts w:hint="eastAsia"/>
          <w:color w:val="auto"/>
          <w:highlight w:val="none"/>
        </w:rPr>
      </w:pPr>
      <w:r>
        <w:rPr>
          <w:rFonts w:hint="eastAsia" w:hAnsi="宋体"/>
          <w:b/>
          <w:color w:val="auto"/>
          <w:szCs w:val="21"/>
          <w:highlight w:val="none"/>
          <w:lang w:val="en-US" w:eastAsia="zh-CN"/>
        </w:rPr>
        <w:t xml:space="preserve">   3.</w:t>
      </w:r>
      <w:r>
        <w:rPr>
          <w:rFonts w:hint="eastAsia"/>
          <w:color w:val="auto"/>
          <w:highlight w:val="none"/>
        </w:rPr>
        <w:t>配电箱柜的安装螺栓或焊接强度必须满足抗震要求。壁装箱与墙壁之间应采用金属膨胀螺栓连接。箱柜内元器件应考虑与支承结构间的相互作用，元器件间采用软连接，接线处做防震处理。</w:t>
      </w:r>
    </w:p>
    <w:p>
      <w:pPr>
        <w:numPr>
          <w:ilvl w:val="0"/>
          <w:numId w:val="0"/>
        </w:numPr>
        <w:ind w:firstLine="420"/>
        <w:rPr>
          <w:rFonts w:hint="eastAsia" w:ascii="宋体" w:hAnsi="宋体"/>
          <w:color w:val="auto"/>
          <w:szCs w:val="21"/>
          <w:highlight w:val="none"/>
        </w:rPr>
      </w:pPr>
      <w:r>
        <w:rPr>
          <w:rFonts w:hint="eastAsia"/>
          <w:color w:val="auto"/>
          <w:highlight w:val="none"/>
          <w:lang w:val="en-US" w:eastAsia="zh-CN"/>
        </w:rPr>
        <w:t>4.</w:t>
      </w:r>
      <w:r>
        <w:rPr>
          <w:rFonts w:hint="eastAsia" w:ascii="宋体" w:hAnsi="宋体"/>
          <w:color w:val="auto"/>
          <w:szCs w:val="21"/>
          <w:highlight w:val="none"/>
        </w:rPr>
        <w:t>乙供配电箱的生产及深化设计（含设备选型、原理图、规格尺寸、安装方式等</w:t>
      </w:r>
      <w:r>
        <w:rPr>
          <w:rFonts w:ascii="宋体" w:hAnsi="宋体"/>
          <w:color w:val="auto"/>
          <w:szCs w:val="21"/>
          <w:highlight w:val="none"/>
        </w:rPr>
        <w:t>）</w:t>
      </w:r>
      <w:r>
        <w:rPr>
          <w:rFonts w:hint="eastAsia" w:ascii="宋体" w:hAnsi="宋体"/>
          <w:color w:val="auto"/>
          <w:szCs w:val="21"/>
          <w:highlight w:val="none"/>
        </w:rPr>
        <w:t>必须与设计进行确认后方可进行生产及供货。暗装箱不得大于预留暗装孔洞尺寸。</w:t>
      </w:r>
    </w:p>
    <w:p>
      <w:pPr>
        <w:numPr>
          <w:ilvl w:val="0"/>
          <w:numId w:val="0"/>
        </w:numPr>
        <w:ind w:firstLine="420"/>
        <w:rPr>
          <w:rFonts w:ascii="微软雅黑" w:hAnsi="微软雅黑" w:eastAsia="微软雅黑" w:cs="微软雅黑"/>
          <w:b/>
          <w:i w:val="0"/>
          <w:caps w:val="0"/>
          <w:color w:val="auto"/>
          <w:spacing w:val="0"/>
          <w:sz w:val="18"/>
          <w:szCs w:val="18"/>
          <w:highlight w:val="none"/>
          <w:shd w:val="clear" w:fill="FFEDC4"/>
        </w:rPr>
      </w:pPr>
      <w:r>
        <w:rPr>
          <w:rFonts w:hint="eastAsia" w:ascii="宋体" w:hAnsi="宋体"/>
          <w:color w:val="auto"/>
          <w:szCs w:val="21"/>
          <w:highlight w:val="none"/>
          <w:lang w:val="en-US" w:eastAsia="zh-CN"/>
        </w:rPr>
        <w:t>5.</w:t>
      </w:r>
      <w:r>
        <w:rPr>
          <w:rFonts w:ascii="微软雅黑" w:hAnsi="微软雅黑" w:eastAsia="微软雅黑" w:cs="微软雅黑"/>
          <w:b/>
          <w:i w:val="0"/>
          <w:caps w:val="0"/>
          <w:color w:val="auto"/>
          <w:spacing w:val="0"/>
          <w:sz w:val="18"/>
          <w:szCs w:val="18"/>
          <w:highlight w:val="none"/>
          <w:shd w:val="clear" w:fill="FFEDC4"/>
        </w:rPr>
        <w:t>地下区间隧道内照明回路采用专用接线盒与灯具连接，工作照明回路采用阻燃专用接线盒，分支线采用WDZB1-YJY23-3x2.5电缆，为灯具供电。地下区间隧道内应急照明回路采用耐火专用接线盒，分支线采用WDZB1N-YJY-3x2.523电缆穿SC25热镀锌钢管明敷设。应急回路外穿钢管外须涂防火涂料，耐火专用接线盒处也应有相应的金属盒保护。金属胀栓及双螺母固定。</w:t>
      </w:r>
      <w:r>
        <w:rPr>
          <w:rFonts w:hint="eastAsia" w:ascii="微软雅黑" w:hAnsi="微软雅黑" w:eastAsia="微软雅黑" w:cs="微软雅黑"/>
          <w:b/>
          <w:i w:val="0"/>
          <w:caps w:val="0"/>
          <w:color w:val="auto"/>
          <w:spacing w:val="0"/>
          <w:sz w:val="18"/>
          <w:szCs w:val="18"/>
          <w:highlight w:val="none"/>
          <w:shd w:val="clear" w:fill="FFEDC4"/>
        </w:rPr>
        <w:t>区间内接线盒均采用防水接线盒。</w:t>
      </w:r>
    </w:p>
    <w:p>
      <w:pPr>
        <w:numPr>
          <w:ilvl w:val="0"/>
          <w:numId w:val="0"/>
        </w:numPr>
        <w:ind w:firstLine="420"/>
      </w:pPr>
      <w:r>
        <w:rPr>
          <w:rFonts w:hint="eastAsia" w:ascii="微软雅黑" w:hAnsi="微软雅黑" w:eastAsia="微软雅黑" w:cs="微软雅黑"/>
          <w:b/>
          <w:i w:val="0"/>
          <w:caps w:val="0"/>
          <w:color w:val="auto"/>
          <w:spacing w:val="0"/>
          <w:sz w:val="18"/>
          <w:szCs w:val="18"/>
          <w:highlight w:val="none"/>
          <w:shd w:val="clear" w:fill="FFEDC4"/>
          <w:lang w:val="en-US" w:eastAsia="zh-CN"/>
        </w:rPr>
        <w:t>6.</w:t>
      </w:r>
      <w:r>
        <w:drawing>
          <wp:inline distT="0" distB="0" distL="114300" distR="114300">
            <wp:extent cx="5262245" cy="410845"/>
            <wp:effectExtent l="0" t="0" r="14605"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a:stretch>
                      <a:fillRect/>
                    </a:stretch>
                  </pic:blipFill>
                  <pic:spPr>
                    <a:xfrm>
                      <a:off x="0" y="0"/>
                      <a:ext cx="5262245" cy="410845"/>
                    </a:xfrm>
                    <a:prstGeom prst="rect">
                      <a:avLst/>
                    </a:prstGeom>
                    <a:noFill/>
                    <a:ln w="9525">
                      <a:noFill/>
                    </a:ln>
                  </pic:spPr>
                </pic:pic>
              </a:graphicData>
            </a:graphic>
          </wp:inline>
        </w:drawing>
      </w:r>
    </w:p>
    <w:p>
      <w:pPr>
        <w:numPr>
          <w:ilvl w:val="0"/>
          <w:numId w:val="0"/>
        </w:numPr>
        <w:ind w:firstLine="420"/>
      </w:pPr>
      <w:r>
        <w:rPr>
          <w:rFonts w:hint="eastAsia"/>
          <w:lang w:val="en-US" w:eastAsia="zh-CN"/>
        </w:rPr>
        <w:t>7.</w:t>
      </w:r>
      <w:r>
        <w:drawing>
          <wp:inline distT="0" distB="0" distL="114300" distR="114300">
            <wp:extent cx="5262245" cy="417830"/>
            <wp:effectExtent l="0" t="0" r="14605" b="127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5262245" cy="417830"/>
                    </a:xfrm>
                    <a:prstGeom prst="rect">
                      <a:avLst/>
                    </a:prstGeom>
                    <a:noFill/>
                    <a:ln w="9525">
                      <a:noFill/>
                    </a:ln>
                  </pic:spPr>
                </pic:pic>
              </a:graphicData>
            </a:graphic>
          </wp:inline>
        </w:drawing>
      </w:r>
    </w:p>
    <w:p>
      <w:pPr>
        <w:numPr>
          <w:ilvl w:val="0"/>
          <w:numId w:val="0"/>
        </w:numPr>
        <w:ind w:firstLine="420"/>
      </w:pPr>
      <w:r>
        <w:rPr>
          <w:rFonts w:hint="eastAsia"/>
          <w:lang w:val="en-US" w:eastAsia="zh-CN"/>
        </w:rPr>
        <w:t>8.</w:t>
      </w:r>
      <w:r>
        <w:drawing>
          <wp:inline distT="0" distB="0" distL="114300" distR="114300">
            <wp:extent cx="5273040" cy="440055"/>
            <wp:effectExtent l="0" t="0" r="3810" b="1714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3"/>
                    <a:stretch>
                      <a:fillRect/>
                    </a:stretch>
                  </pic:blipFill>
                  <pic:spPr>
                    <a:xfrm>
                      <a:off x="0" y="0"/>
                      <a:ext cx="5273040" cy="440055"/>
                    </a:xfrm>
                    <a:prstGeom prst="rect">
                      <a:avLst/>
                    </a:prstGeom>
                    <a:noFill/>
                    <a:ln w="9525">
                      <a:noFill/>
                    </a:ln>
                  </pic:spPr>
                </pic:pic>
              </a:graphicData>
            </a:graphic>
          </wp:inline>
        </w:drawing>
      </w:r>
    </w:p>
    <w:p>
      <w:pPr>
        <w:numPr>
          <w:ilvl w:val="0"/>
          <w:numId w:val="0"/>
        </w:numPr>
        <w:ind w:firstLine="420"/>
        <w:rPr>
          <w:rFonts w:hint="eastAsia" w:eastAsiaTheme="minorEastAsia"/>
          <w:lang w:val="en-US" w:eastAsia="zh-CN"/>
        </w:rPr>
      </w:pPr>
      <w:r>
        <w:rPr>
          <w:rFonts w:hint="eastAsia"/>
          <w:lang w:val="en-US" w:eastAsia="zh-CN"/>
        </w:rPr>
        <w:t>9.</w:t>
      </w:r>
      <w:r>
        <w:drawing>
          <wp:inline distT="0" distB="0" distL="114300" distR="114300">
            <wp:extent cx="5263515" cy="474980"/>
            <wp:effectExtent l="0" t="0" r="13335" b="127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4"/>
                    <a:stretch>
                      <a:fillRect/>
                    </a:stretch>
                  </pic:blipFill>
                  <pic:spPr>
                    <a:xfrm>
                      <a:off x="0" y="0"/>
                      <a:ext cx="5263515" cy="474980"/>
                    </a:xfrm>
                    <a:prstGeom prst="rect">
                      <a:avLst/>
                    </a:prstGeom>
                    <a:noFill/>
                    <a:ln w="9525">
                      <a:noFill/>
                    </a:ln>
                  </pic:spPr>
                </pic:pic>
              </a:graphicData>
            </a:graphic>
          </wp:inline>
        </w:drawing>
      </w:r>
    </w:p>
    <w:p>
      <w:pPr>
        <w:rPr>
          <w:rFonts w:hint="default" w:asciiTheme="minorEastAsia" w:hAnsiTheme="minorEastAsia" w:eastAsiaTheme="minorEastAsia"/>
          <w:sz w:val="32"/>
          <w:szCs w:val="32"/>
        </w:rPr>
      </w:pPr>
    </w:p>
    <w:p>
      <w:pPr>
        <w:rPr>
          <w:rFonts w:hint="default" w:asciiTheme="minorEastAsia" w:hAnsiTheme="minorEastAsia" w:eastAsiaTheme="minorEastAsia"/>
          <w:sz w:val="32"/>
          <w:szCs w:val="32"/>
        </w:rPr>
      </w:pPr>
    </w:p>
    <w:p>
      <w:pPr>
        <w:rPr>
          <w:rFonts w:hint="default" w:asciiTheme="minorEastAsia" w:hAnsiTheme="minorEastAsia" w:eastAsiaTheme="minorEastAsia"/>
          <w:sz w:val="32"/>
          <w:szCs w:val="32"/>
        </w:rPr>
      </w:pPr>
    </w:p>
    <w:p>
      <w:bookmarkStart w:id="54" w:name="_GoBack"/>
      <w:bookmarkEnd w:id="5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43" w:usb2="00000009" w:usb3="00000000" w:csb0="400001FF" w:csb1="FFFF0000"/>
  </w:font>
  <w:font w:name="??_GB2312">
    <w:altName w:val="Arial"/>
    <w:panose1 w:val="00000000000000000000"/>
    <w:charset w:val="00"/>
    <w:family w:val="swiss"/>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Li Super">
    <w:altName w:val="宋体"/>
    <w:panose1 w:val="00000000000000000000"/>
    <w:charset w:val="86"/>
    <w:family w:val="auto"/>
    <w:pitch w:val="default"/>
    <w:sig w:usb0="00000000" w:usb1="00000000" w:usb2="00000010" w:usb3="00000000" w:csb0="00040000" w:csb1="00000000"/>
  </w:font>
  <w:font w:name="font-weight : 400">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PMingLiU">
    <w:altName w:val="PMingLiU-ExtB"/>
    <w:panose1 w:val="02020500000000000000"/>
    <w:charset w:val="88"/>
    <w:family w:val="roman"/>
    <w:pitch w:val="default"/>
    <w:sig w:usb0="00000000" w:usb1="00000000" w:usb2="00000016" w:usb3="00000000" w:csb0="00100001" w:csb1="00000000"/>
  </w:font>
  <w:font w:name="SimSun+3">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楷体_GB2312">
    <w:altName w:val="楷体"/>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SimSun+1">
    <w:altName w:val="黑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MS Mincho">
    <w:altName w:val="Yu Gothic UI"/>
    <w:panose1 w:val="02020609040205080304"/>
    <w:charset w:val="80"/>
    <w:family w:val="modern"/>
    <w:pitch w:val="default"/>
    <w:sig w:usb0="00000000" w:usb1="00000000" w:usb2="00000012" w:usb3="00000000" w:csb0="4002009F" w:csb1="DFD7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CF3C50"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 w:name="仿宋_GB2312">
    <w:altName w:val="仿宋"/>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方正小标宋简体">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华文琥珀">
    <w:altName w:val="宋体"/>
    <w:panose1 w:val="02010800040101010101"/>
    <w:charset w:val="86"/>
    <w:family w:val="auto"/>
    <w:pitch w:val="default"/>
    <w:sig w:usb0="00000000" w:usb1="0000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华文彩云">
    <w:altName w:val="微软雅黑"/>
    <w:panose1 w:val="02010800040101010101"/>
    <w:charset w:val="86"/>
    <w:family w:val="auto"/>
    <w:pitch w:val="default"/>
    <w:sig w:usb0="00000000" w:usb1="00000000" w:usb2="00000000" w:usb3="00000000" w:csb0="00040000" w:csb1="00000000"/>
  </w:font>
  <w:font w:name="Century Gothic">
    <w:altName w:val="Yu Gothic UI"/>
    <w:panose1 w:val="020B0502020202020204"/>
    <w:charset w:val="00"/>
    <w:family w:val="swiss"/>
    <w:pitch w:val="default"/>
    <w:sig w:usb0="00000000" w:usb1="00000000" w:usb2="00000000" w:usb3="00000000" w:csb0="2000009F" w:csb1="DFD70000"/>
  </w:font>
  <w:font w:name="Helvetica 45 Light">
    <w:altName w:val="微软雅黑"/>
    <w:panose1 w:val="00000000000000000000"/>
    <w:charset w:val="00"/>
    <w:family w:val="swiss"/>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Times">
    <w:altName w:val="Times New Roman"/>
    <w:panose1 w:val="02020603050405020304"/>
    <w:charset w:val="00"/>
    <w:family w:val="roman"/>
    <w:pitch w:val="default"/>
    <w:sig w:usb0="00000000" w:usb1="00000000" w:usb2="00000008" w:usb3="00000000" w:csb0="000001FF" w:csb1="00000000"/>
  </w:font>
  <w:font w:name="瀹嬩綋">
    <w:altName w:val="宋体"/>
    <w:panose1 w:val="00000000000000000000"/>
    <w:charset w:val="00"/>
    <w:family w:val="auto"/>
    <w:pitch w:val="default"/>
    <w:sig w:usb0="00000000" w:usb1="00000000" w:usb2="00000000"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AMGDT">
    <w:altName w:val="Segoe UI Semilight"/>
    <w:panose1 w:val="02000400000000000000"/>
    <w:charset w:val="00"/>
    <w:family w:val="auto"/>
    <w:pitch w:val="default"/>
    <w:sig w:usb0="00000000" w:usb1="00000000" w:usb2="00000000" w:usb3="00000000" w:csb0="00000001" w:csb1="00000000"/>
  </w:font>
  <w:font w:name="hakuyoxingshu7000">
    <w:altName w:val="宋体"/>
    <w:panose1 w:val="02000600000000000000"/>
    <w:charset w:val="86"/>
    <w:family w:val="auto"/>
    <w:pitch w:val="default"/>
    <w:sig w:usb0="00000000" w:usb1="00000000" w:usb2="0000003F" w:usb3="00000000" w:csb0="603F00FF" w:csb1="FFFF0000"/>
  </w:font>
  <w:font w:name="Vrinda">
    <w:altName w:val="Segoe UI Symbol"/>
    <w:panose1 w:val="020B0502040204020203"/>
    <w:charset w:val="00"/>
    <w:family w:val="auto"/>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Segoe UI Semilight">
    <w:panose1 w:val="020B0402040204020203"/>
    <w:charset w:val="00"/>
    <w:family w:val="auto"/>
    <w:pitch w:val="default"/>
    <w:sig w:usb0="E4002EFF" w:usb1="C000E47F"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rPr>
    </w:pPr>
    <w:r>
      <w:fldChar w:fldCharType="begin"/>
    </w:r>
    <w:r>
      <w:instrText xml:space="preserve">PAGE   \* MERGEFORMAT</w:instrText>
    </w:r>
    <w:r>
      <w:fldChar w:fldCharType="separate"/>
    </w:r>
    <w:r>
      <w:rPr>
        <w:lang w:val="zh-CN"/>
      </w:rPr>
      <w:t>428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rPr>
        <w:rFonts w:hint="default" w:eastAsia="Times New Roman"/>
      </w:rPr>
    </w:pPr>
  </w:p>
  <w:p>
    <w:pPr>
      <w:pStyle w:val="13"/>
      <w:widowControl/>
      <w:ind w:right="400"/>
      <w:rPr>
        <w:rFonts w:hint="default" w:eastAsia="Times New Roman"/>
      </w:rPr>
    </w:pPr>
  </w:p>
  <w:p>
    <w:pPr>
      <w:pStyle w:val="13"/>
      <w:widowControl/>
      <w:rPr>
        <w:rFonts w:hint="default" w:eastAsia="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758DD"/>
    <w:multiLevelType w:val="multilevel"/>
    <w:tmpl w:val="088758DD"/>
    <w:lvl w:ilvl="0" w:tentative="0">
      <w:start w:val="1"/>
      <w:numFmt w:val="decimal"/>
      <w:lvlText w:val="（%1）"/>
      <w:lvlJc w:val="left"/>
      <w:pPr>
        <w:ind w:left="704" w:hanging="420"/>
      </w:pPr>
      <w:rPr>
        <w:rFonts w:hint="eastAsia"/>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
    <w:nsid w:val="43C11207"/>
    <w:multiLevelType w:val="multilevel"/>
    <w:tmpl w:val="43C11207"/>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5FF560B"/>
    <w:multiLevelType w:val="multilevel"/>
    <w:tmpl w:val="55FF560B"/>
    <w:lvl w:ilvl="0" w:tentative="0">
      <w:start w:val="1"/>
      <w:numFmt w:val="upp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941EB17"/>
    <w:multiLevelType w:val="singleLevel"/>
    <w:tmpl w:val="5941EB17"/>
    <w:lvl w:ilvl="0" w:tentative="0">
      <w:start w:val="1"/>
      <w:numFmt w:val="decimal"/>
      <w:suff w:val="nothing"/>
      <w:lvlText w:val="（%1）"/>
      <w:lvlJc w:val="left"/>
    </w:lvl>
  </w:abstractNum>
  <w:abstractNum w:abstractNumId="4">
    <w:nsid w:val="5A4E3DE8"/>
    <w:multiLevelType w:val="multilevel"/>
    <w:tmpl w:val="5A4E3DE8"/>
    <w:lvl w:ilvl="0" w:tentative="0">
      <w:start w:val="1"/>
      <w:numFmt w:val="upperLetter"/>
      <w:lvlText w:val="%1."/>
      <w:lvlJc w:val="left"/>
      <w:pPr>
        <w:ind w:left="900" w:hanging="420"/>
      </w:pPr>
    </w:lvl>
    <w:lvl w:ilvl="1" w:tentative="0">
      <w:start w:val="1"/>
      <w:numFmt w:val="upperLetter"/>
      <w:lvlText w:val="%2."/>
      <w:lvlJc w:val="left"/>
      <w:pPr>
        <w:ind w:left="987" w:hanging="420"/>
      </w:pPr>
    </w:lvl>
    <w:lvl w:ilvl="2" w:tentative="0">
      <w:start w:val="1"/>
      <w:numFmt w:val="decimal"/>
      <w:lvlText w:val="（%3）"/>
      <w:lvlJc w:val="left"/>
      <w:pPr>
        <w:ind w:left="2400" w:hanging="108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D9F62C2"/>
    <w:multiLevelType w:val="multilevel"/>
    <w:tmpl w:val="5D9F62C2"/>
    <w:lvl w:ilvl="0" w:tentative="0">
      <w:start w:val="1"/>
      <w:numFmt w:val="upp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AC71D94"/>
    <w:multiLevelType w:val="multilevel"/>
    <w:tmpl w:val="6AC71D94"/>
    <w:lvl w:ilvl="0" w:tentative="0">
      <w:start w:val="1"/>
      <w:numFmt w:val="lowerLetter"/>
      <w:lvlText w:val="%1"/>
      <w:lvlJc w:val="left"/>
      <w:pPr>
        <w:ind w:left="1440" w:hanging="420"/>
      </w:pPr>
      <w:rPr>
        <w:rFonts w:hint="eastAsia"/>
      </w:rPr>
    </w:lvl>
    <w:lvl w:ilvl="1" w:tentative="0">
      <w:start w:val="1"/>
      <w:numFmt w:val="lowerLetter"/>
      <w:lvlText w:val="%2)"/>
      <w:lvlJc w:val="left"/>
      <w:pPr>
        <w:ind w:left="1860" w:hanging="420"/>
      </w:pPr>
      <w:rPr>
        <w:rFonts w:hint="eastAsia"/>
      </w:rPr>
    </w:lvl>
    <w:lvl w:ilvl="2" w:tentative="0">
      <w:start w:val="1"/>
      <w:numFmt w:val="lowerRoman"/>
      <w:lvlText w:val="%3."/>
      <w:lvlJc w:val="right"/>
      <w:pPr>
        <w:ind w:left="2280" w:hanging="420"/>
      </w:pPr>
    </w:lvl>
    <w:lvl w:ilvl="3" w:tentative="0">
      <w:start w:val="1"/>
      <w:numFmt w:val="decimal"/>
      <w:lvlText w:val="%4."/>
      <w:lvlJc w:val="left"/>
      <w:pPr>
        <w:ind w:left="2700" w:hanging="420"/>
      </w:pPr>
    </w:lvl>
    <w:lvl w:ilvl="4" w:tentative="0">
      <w:start w:val="1"/>
      <w:numFmt w:val="lowerLetter"/>
      <w:lvlText w:val="%5)"/>
      <w:lvlJc w:val="left"/>
      <w:pPr>
        <w:ind w:left="3120" w:hanging="420"/>
      </w:pPr>
    </w:lvl>
    <w:lvl w:ilvl="5" w:tentative="0">
      <w:start w:val="1"/>
      <w:numFmt w:val="lowerRoman"/>
      <w:lvlText w:val="%6."/>
      <w:lvlJc w:val="right"/>
      <w:pPr>
        <w:ind w:left="3540" w:hanging="420"/>
      </w:pPr>
    </w:lvl>
    <w:lvl w:ilvl="6" w:tentative="0">
      <w:start w:val="1"/>
      <w:numFmt w:val="decimal"/>
      <w:lvlText w:val="%7."/>
      <w:lvlJc w:val="left"/>
      <w:pPr>
        <w:ind w:left="3960" w:hanging="420"/>
      </w:pPr>
    </w:lvl>
    <w:lvl w:ilvl="7" w:tentative="0">
      <w:start w:val="1"/>
      <w:numFmt w:val="lowerLetter"/>
      <w:lvlText w:val="%8)"/>
      <w:lvlJc w:val="left"/>
      <w:pPr>
        <w:ind w:left="4380" w:hanging="420"/>
      </w:pPr>
    </w:lvl>
    <w:lvl w:ilvl="8" w:tentative="0">
      <w:start w:val="1"/>
      <w:numFmt w:val="lowerRoman"/>
      <w:lvlText w:val="%9."/>
      <w:lvlJc w:val="right"/>
      <w:pPr>
        <w:ind w:left="4800" w:hanging="420"/>
      </w:pPr>
    </w:lvl>
  </w:abstractNum>
  <w:abstractNum w:abstractNumId="7">
    <w:nsid w:val="6E2553F8"/>
    <w:multiLevelType w:val="multilevel"/>
    <w:tmpl w:val="6E2553F8"/>
    <w:lvl w:ilvl="0" w:tentative="0">
      <w:start w:val="1"/>
      <w:numFmt w:val="decimal"/>
      <w:lvlText w:val="（%1）"/>
      <w:lvlJc w:val="left"/>
      <w:pPr>
        <w:ind w:left="900" w:hanging="420"/>
      </w:pPr>
      <w:rPr>
        <w:rFonts w:hint="default"/>
        <w:lang w:val="en-US"/>
      </w:rPr>
    </w:lvl>
    <w:lvl w:ilvl="1" w:tentative="0">
      <w:start w:val="1"/>
      <w:numFmt w:val="decimal"/>
      <w:lvlText w:val="（%2）"/>
      <w:lvlJc w:val="left"/>
      <w:pPr>
        <w:ind w:left="562"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77861C6B"/>
    <w:multiLevelType w:val="multilevel"/>
    <w:tmpl w:val="77861C6B"/>
    <w:lvl w:ilvl="0" w:tentative="0">
      <w:start w:val="1"/>
      <w:numFmt w:val="upp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77DB5A7B"/>
    <w:multiLevelType w:val="multilevel"/>
    <w:tmpl w:val="77DB5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9C00994"/>
    <w:multiLevelType w:val="multilevel"/>
    <w:tmpl w:val="79C00994"/>
    <w:lvl w:ilvl="0" w:tentative="0">
      <w:start w:val="1"/>
      <w:numFmt w:val="lowerLetter"/>
      <w:lvlText w:val="%1"/>
      <w:lvlJc w:val="left"/>
      <w:pPr>
        <w:ind w:left="1020" w:hanging="420"/>
      </w:pPr>
      <w:rPr>
        <w:rFonts w:hint="eastAsia"/>
      </w:rPr>
    </w:lvl>
    <w:lvl w:ilvl="1" w:tentative="0">
      <w:start w:val="1"/>
      <w:numFmt w:val="decimal"/>
      <w:lvlText w:val="%2）"/>
      <w:lvlJc w:val="left"/>
      <w:pPr>
        <w:ind w:left="1380" w:hanging="360"/>
      </w:pPr>
      <w:rPr>
        <w:rFonts w:hint="default"/>
      </w:r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8"/>
  </w:num>
  <w:num w:numId="2">
    <w:abstractNumId w:val="2"/>
  </w:num>
  <w:num w:numId="3">
    <w:abstractNumId w:val="5"/>
  </w:num>
  <w:num w:numId="4">
    <w:abstractNumId w:val="4"/>
  </w:num>
  <w:num w:numId="5">
    <w:abstractNumId w:val="10"/>
  </w:num>
  <w:num w:numId="6">
    <w:abstractNumId w:val="6"/>
  </w:num>
  <w:num w:numId="7">
    <w:abstractNumId w:val="1"/>
  </w:num>
  <w:num w:numId="8">
    <w:abstractNumId w:val="7"/>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05A0"/>
    <w:rsid w:val="17791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jc w:val="both"/>
    </w:pPr>
    <w:rPr>
      <w:rFonts w:hint="eastAsia" w:ascii="宋体" w:hAnsi="Calibri" w:eastAsia="宋体" w:cs="Times New Roman"/>
      <w:sz w:val="21"/>
      <w:szCs w:val="22"/>
      <w:lang w:val="zh-CN" w:eastAsia="zh-CN" w:bidi="ar-SA"/>
    </w:rPr>
  </w:style>
  <w:style w:type="paragraph" w:styleId="2">
    <w:name w:val="heading 1"/>
    <w:basedOn w:val="1"/>
    <w:next w:val="1"/>
    <w:qFormat/>
    <w:uiPriority w:val="0"/>
    <w:pPr>
      <w:keepNext/>
      <w:keepLines/>
      <w:spacing w:line="360" w:lineRule="auto"/>
      <w:outlineLvl w:val="0"/>
    </w:pPr>
    <w:rPr>
      <w:b/>
      <w:bCs/>
      <w:kern w:val="44"/>
      <w:sz w:val="32"/>
      <w:szCs w:val="44"/>
    </w:rPr>
  </w:style>
  <w:style w:type="paragraph" w:styleId="3">
    <w:name w:val="heading 2"/>
    <w:basedOn w:val="1"/>
    <w:next w:val="1"/>
    <w:unhideWhenUsed/>
    <w:qFormat/>
    <w:uiPriority w:val="0"/>
    <w:pPr>
      <w:keepNext/>
      <w:keepLines/>
      <w:spacing w:before="260" w:after="260" w:line="408" w:lineRule="auto"/>
      <w:outlineLvl w:val="1"/>
    </w:pPr>
    <w:rPr>
      <w:rFonts w:ascii="Cambria" w:hAnsi="Cambria"/>
      <w:b/>
      <w:sz w:val="32"/>
    </w:rPr>
  </w:style>
  <w:style w:type="paragraph" w:styleId="4">
    <w:name w:val="heading 3"/>
    <w:basedOn w:val="1"/>
    <w:next w:val="1"/>
    <w:unhideWhenUsed/>
    <w:qFormat/>
    <w:uiPriority w:val="0"/>
    <w:pPr>
      <w:keepNext/>
      <w:keepLines/>
      <w:spacing w:before="260" w:after="260" w:line="408" w:lineRule="auto"/>
      <w:outlineLvl w:val="2"/>
    </w:pPr>
    <w:rPr>
      <w:b/>
      <w:sz w:val="32"/>
    </w:rPr>
  </w:style>
  <w:style w:type="paragraph" w:styleId="5">
    <w:name w:val="heading 4"/>
    <w:basedOn w:val="1"/>
    <w:next w:val="1"/>
    <w:unhideWhenUsed/>
    <w:qFormat/>
    <w:uiPriority w:val="0"/>
    <w:pPr>
      <w:keepNext/>
      <w:keepLines/>
      <w:spacing w:before="280" w:after="280" w:line="384" w:lineRule="auto"/>
      <w:outlineLvl w:val="3"/>
    </w:pPr>
    <w:rPr>
      <w:rFonts w:ascii="Cambria" w:hAnsi="Cambria"/>
      <w:b/>
      <w:sz w:val="28"/>
    </w:rPr>
  </w:style>
  <w:style w:type="character" w:default="1" w:styleId="11">
    <w:name w:val="Default Paragraph Font"/>
    <w:semiHidden/>
    <w:uiPriority w:val="0"/>
  </w:style>
  <w:style w:type="table" w:default="1" w:styleId="12">
    <w:name w:val="Normal Table"/>
    <w:semiHidden/>
    <w:uiPriority w:val="0"/>
    <w:tblPr>
      <w:tblLayout w:type="fixed"/>
      <w:tblCellMar>
        <w:top w:w="0" w:type="dxa"/>
        <w:left w:w="108" w:type="dxa"/>
        <w:bottom w:w="0" w:type="dxa"/>
        <w:right w:w="108" w:type="dxa"/>
      </w:tblCellMar>
    </w:tblPr>
  </w:style>
  <w:style w:type="paragraph" w:styleId="6">
    <w:name w:val="Normal Indent"/>
    <w:basedOn w:val="1"/>
    <w:uiPriority w:val="0"/>
    <w:pPr>
      <w:ind w:firstLine="420" w:firstLineChars="200"/>
    </w:pPr>
  </w:style>
  <w:style w:type="paragraph" w:styleId="7">
    <w:name w:val="annotation text"/>
    <w:basedOn w:val="1"/>
    <w:uiPriority w:val="0"/>
    <w:pPr>
      <w:jc w:val="left"/>
    </w:pPr>
  </w:style>
  <w:style w:type="paragraph" w:styleId="8">
    <w:name w:val="Block Text"/>
    <w:basedOn w:val="1"/>
    <w:uiPriority w:val="0"/>
    <w:pPr>
      <w:spacing w:after="120"/>
      <w:ind w:left="1440" w:right="1440"/>
      <w:jc w:val="left"/>
    </w:pPr>
    <w:rPr>
      <w:rFonts w:ascii="黑体" w:eastAsia="黑体"/>
      <w:sz w:val="24"/>
      <w:lang w:val="en-US"/>
    </w:rPr>
  </w:style>
  <w:style w:type="paragraph" w:styleId="9">
    <w:name w:val="footer"/>
    <w:basedOn w:val="1"/>
    <w:uiPriority w:val="0"/>
    <w:pPr>
      <w:tabs>
        <w:tab w:val="center" w:pos="4153"/>
        <w:tab w:val="right" w:pos="8306"/>
      </w:tabs>
      <w:snapToGrid w:val="0"/>
      <w:jc w:val="left"/>
    </w:pPr>
    <w:rPr>
      <w:sz w:val="18"/>
    </w:rPr>
  </w:style>
  <w:style w:type="paragraph" w:styleId="10">
    <w:name w:val="List"/>
    <w:basedOn w:val="1"/>
    <w:uiPriority w:val="0"/>
    <w:rPr>
      <w:rFonts w:ascii="Times New Roman" w:hAnsi="Times New Roman"/>
      <w:kern w:val="2"/>
      <w:sz w:val="24"/>
    </w:rPr>
  </w:style>
  <w:style w:type="paragraph" w:customStyle="1" w:styleId="13">
    <w:name w:val="é??????11"/>
    <w:basedOn w:val="1"/>
    <w:unhideWhenUsed/>
    <w:qFormat/>
    <w:uiPriority w:val="99"/>
    <w:pPr>
      <w:tabs>
        <w:tab w:val="center" w:pos="4152"/>
        <w:tab w:val="center" w:pos="8306"/>
      </w:tabs>
      <w:jc w:val="center"/>
    </w:pPr>
    <w:rPr>
      <w:sz w:val="18"/>
    </w:rPr>
  </w:style>
  <w:style w:type="paragraph" w:customStyle="1" w:styleId="14">
    <w:name w:val="样式 标题 3 + (中文) 黑体 小四 非加粗 段前: 7.8 磅 段后: 0 磅 行距: 固定值 20 磅"/>
    <w:basedOn w:val="4"/>
    <w:unhideWhenUsed/>
    <w:qFormat/>
    <w:uiPriority w:val="0"/>
    <w:pPr>
      <w:spacing w:before="0" w:after="0" w:line="400" w:lineRule="exact"/>
    </w:pPr>
    <w:rPr>
      <w:rFonts w:ascii="Times New Roman" w:hAnsi="Times New Roman" w:eastAsia="黑体"/>
      <w:b w:val="0"/>
      <w:sz w:val="24"/>
      <w:lang w:val="en-US"/>
    </w:rPr>
  </w:style>
  <w:style w:type="paragraph" w:customStyle="1" w:styleId="15">
    <w:name w:val="heading 11"/>
    <w:basedOn w:val="1"/>
    <w:next w:val="1"/>
    <w:unhideWhenUsed/>
    <w:qFormat/>
    <w:uiPriority w:val="9"/>
    <w:pPr>
      <w:keepNext/>
      <w:keepLines/>
      <w:spacing w:before="340" w:after="320" w:line="576" w:lineRule="auto"/>
      <w:outlineLvl w:val="0"/>
    </w:pPr>
    <w:rPr>
      <w:b/>
      <w:kern w:val="44"/>
      <w:sz w:val="44"/>
    </w:rPr>
  </w:style>
  <w:style w:type="paragraph" w:customStyle="1" w:styleId="16">
    <w:name w:val="样式 标题 3h33rd level3列表编号33 bulletbhead:3#Head 3二级节名Head...3"/>
    <w:basedOn w:val="4"/>
    <w:qFormat/>
    <w:uiPriority w:val="0"/>
    <w:pPr>
      <w:widowControl/>
      <w:suppressAutoHyphens/>
      <w:spacing w:before="360" w:after="120" w:line="360" w:lineRule="exact"/>
      <w:ind w:right="170"/>
    </w:pPr>
    <w:rPr>
      <w:rFonts w:ascii="宋体" w:hAnsi="宋体" w:cs="宋体"/>
      <w:b w:val="0"/>
      <w:smallCaps/>
      <w:snapToGrid w:val="0"/>
      <w:color w:val="000000"/>
      <w:kern w:val="0"/>
      <w:szCs w:val="20"/>
      <w:lang w:val="en-GB"/>
    </w:rPr>
  </w:style>
  <w:style w:type="paragraph" w:customStyle="1" w:styleId="17">
    <w:name w:val="标准"/>
    <w:basedOn w:val="1"/>
    <w:qFormat/>
    <w:uiPriority w:val="0"/>
    <w:pPr>
      <w:autoSpaceDE w:val="0"/>
      <w:autoSpaceDN w:val="0"/>
      <w:adjustRightInd w:val="0"/>
      <w:spacing w:line="360" w:lineRule="auto"/>
      <w:jc w:val="left"/>
      <w:textAlignment w:val="baseline"/>
    </w:pPr>
    <w:rPr>
      <w:rFonts w:ascii="宋体"/>
      <w:kern w:val="0"/>
      <w:sz w:val="24"/>
      <w:szCs w:val="20"/>
    </w:rPr>
  </w:style>
  <w:style w:type="paragraph" w:customStyle="1" w:styleId="18">
    <w:name w:val="样式 样式 文本块 + 宋体 五号 左侧:  0 厘米 右侧:  0 厘米 + 首行缩进:  2 字符"/>
    <w:basedOn w:val="1"/>
    <w:next w:val="1"/>
    <w:qFormat/>
    <w:uiPriority w:val="0"/>
    <w:pPr>
      <w:adjustRightInd w:val="0"/>
      <w:spacing w:line="360" w:lineRule="auto"/>
      <w:ind w:firstLine="480" w:firstLineChars="200"/>
      <w:textAlignment w:val="baseline"/>
    </w:pPr>
    <w:rPr>
      <w:rFonts w:ascii="宋体" w:hAnsi="宋体" w:cs="宋体"/>
      <w:color w:val="000000"/>
      <w:kern w:val="32"/>
      <w:sz w:val="24"/>
      <w:szCs w:val="20"/>
    </w:rPr>
  </w:style>
  <w:style w:type="paragraph" w:customStyle="1" w:styleId="19">
    <w:name w:val="样式 宋体 行距: 1.5 倍行距1"/>
    <w:basedOn w:val="1"/>
    <w:qFormat/>
    <w:uiPriority w:val="0"/>
    <w:pPr>
      <w:spacing w:line="360" w:lineRule="auto"/>
      <w:ind w:firstLine="420" w:firstLineChars="200"/>
    </w:pPr>
    <w:rPr>
      <w:rFonts w:ascii="宋体" w:hAnsi="宋体" w:cs="宋体"/>
      <w:sz w:val="24"/>
      <w:szCs w:val="20"/>
    </w:rPr>
  </w:style>
  <w:style w:type="paragraph" w:customStyle="1" w:styleId="20">
    <w:name w:val="样式 标题 1标题 1 1head:1#Head 1111213141511112113116112...1"/>
    <w:basedOn w:val="2"/>
    <w:qFormat/>
    <w:uiPriority w:val="0"/>
    <w:pPr>
      <w:widowControl/>
      <w:spacing w:before="200" w:after="200"/>
    </w:pPr>
    <w:rPr>
      <w:rFonts w:ascii="黑体" w:hAnsi="黑体" w:eastAsia="黑体" w:cs="宋体"/>
      <w:snapToGrid w:val="0"/>
      <w:kern w:val="0"/>
      <w:sz w:val="28"/>
      <w:szCs w:val="20"/>
      <w:lang w:val="fr-F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2017-11-29T08:50:57Z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