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overflowPunct/>
        <w:bidi w:val="0"/>
        <w:spacing w:line="240" w:lineRule="auto"/>
        <w:jc w:val="left"/>
        <w:outlineLvl w:val="0"/>
        <w:rPr>
          <w:rFonts w:hint="eastAsia" w:ascii="宋体" w:hAnsi="宋体"/>
          <w:b/>
          <w:szCs w:val="28"/>
        </w:rPr>
      </w:pPr>
      <w:bookmarkStart w:id="0" w:name="_Toc4605"/>
      <w:r>
        <w:rPr>
          <w:rFonts w:hint="eastAsia" w:ascii="宋体" w:hAnsi="宋体"/>
          <w:b/>
          <w:szCs w:val="28"/>
        </w:rPr>
        <w:t>附件1</w:t>
      </w:r>
      <w:bookmarkEnd w:id="0"/>
      <w:bookmarkStart w:id="1" w:name="OLE_LINK10"/>
    </w:p>
    <w:p>
      <w:pPr>
        <w:pStyle w:val="6"/>
        <w:pageBreakBefore w:val="0"/>
        <w:kinsoku/>
        <w:overflowPunct/>
        <w:bidi w:val="0"/>
        <w:spacing w:line="240" w:lineRule="auto"/>
        <w:jc w:val="center"/>
        <w:outlineLvl w:val="0"/>
        <w:rPr>
          <w:rFonts w:hint="eastAsia" w:ascii="宋体" w:hAnsi="宋体" w:eastAsia="宋体"/>
          <w:b/>
          <w:bCs/>
          <w:sz w:val="36"/>
          <w:szCs w:val="28"/>
        </w:rPr>
      </w:pPr>
      <w:bookmarkStart w:id="2" w:name="_Toc13805"/>
      <w:r>
        <w:rPr>
          <w:rFonts w:hint="eastAsia" w:ascii="宋体" w:hAnsi="宋体" w:eastAsia="宋体"/>
          <w:b/>
          <w:sz w:val="24"/>
          <w:szCs w:val="21"/>
        </w:rPr>
        <w:t>京广线坪石至广州段牵引供电系统适应性改造物资（第</w:t>
      </w:r>
      <w:r>
        <w:rPr>
          <w:rFonts w:hint="eastAsia" w:ascii="宋体" w:hAnsi="宋体" w:eastAsia="宋体"/>
          <w:b/>
          <w:sz w:val="24"/>
          <w:szCs w:val="21"/>
          <w:lang w:val="en-US" w:eastAsia="zh-CN"/>
        </w:rPr>
        <w:t>八</w:t>
      </w:r>
      <w:r>
        <w:rPr>
          <w:rFonts w:hint="eastAsia" w:ascii="宋体" w:hAnsi="宋体" w:eastAsia="宋体"/>
          <w:b/>
          <w:sz w:val="24"/>
          <w:szCs w:val="21"/>
        </w:rPr>
        <w:t>批）电缆</w:t>
      </w:r>
      <w:r>
        <w:rPr>
          <w:rFonts w:hint="eastAsia" w:ascii="宋体" w:hAnsi="宋体" w:eastAsia="宋体"/>
          <w:b/>
          <w:sz w:val="24"/>
          <w:szCs w:val="21"/>
          <w:lang w:val="en-US" w:eastAsia="zh-CN"/>
        </w:rPr>
        <w:t>二次</w:t>
      </w:r>
      <w:r>
        <w:rPr>
          <w:rFonts w:hint="eastAsia" w:ascii="宋体" w:hAnsi="宋体" w:eastAsia="宋体"/>
          <w:b/>
          <w:sz w:val="24"/>
          <w:szCs w:val="21"/>
        </w:rPr>
        <w:t>竞争性谈判采购包件一览表</w:t>
      </w:r>
      <w:bookmarkEnd w:id="2"/>
    </w:p>
    <w:bookmarkEnd w:id="1"/>
    <w:p>
      <w:pPr>
        <w:pageBreakBefore w:val="0"/>
        <w:tabs>
          <w:tab w:val="center" w:pos="4620"/>
          <w:tab w:val="left" w:pos="6720"/>
        </w:tabs>
        <w:kinsoku/>
        <w:overflowPunct/>
        <w:bidi w:val="0"/>
        <w:snapToGrid w:val="0"/>
        <w:spacing w:line="240" w:lineRule="auto"/>
        <w:rPr>
          <w:rFonts w:hint="eastAsia" w:ascii="宋体" w:hAnsi="宋体" w:cs="宋体"/>
          <w:b/>
          <w:szCs w:val="21"/>
        </w:rPr>
      </w:pPr>
      <w:r>
        <w:rPr>
          <w:rFonts w:hint="eastAsia" w:ascii="宋体" w:hAnsi="宋体" w:cs="宋体"/>
          <w:b/>
          <w:szCs w:val="21"/>
        </w:rPr>
        <w:t>填制单位：</w:t>
      </w:r>
      <w:bookmarkStart w:id="3" w:name="OLE_LINK13"/>
      <w:r>
        <w:rPr>
          <w:rFonts w:hint="eastAsia" w:ascii="宋体" w:hAnsi="宋体" w:cs="宋体"/>
          <w:b/>
          <w:bCs/>
          <w:kern w:val="0"/>
          <w:szCs w:val="21"/>
        </w:rPr>
        <w:t>中铁电气化局集团有限公司第二工程分公司坪广供电改造项目部</w:t>
      </w:r>
      <w:r>
        <w:rPr>
          <w:rFonts w:hint="eastAsia" w:ascii="宋体" w:hAnsi="宋体" w:cs="宋体"/>
          <w:kern w:val="0"/>
          <w:szCs w:val="21"/>
        </w:rPr>
        <w:t xml:space="preserve"> </w:t>
      </w:r>
      <w:r>
        <w:rPr>
          <w:rFonts w:hint="eastAsia" w:ascii="宋体" w:hAnsi="宋体" w:cs="宋体"/>
          <w:b/>
          <w:szCs w:val="21"/>
        </w:rPr>
        <w:t xml:space="preserve">  </w:t>
      </w:r>
      <w:r>
        <w:rPr>
          <w:rFonts w:hint="eastAsia" w:ascii="宋体" w:hAnsi="宋体" w:cs="宋体"/>
          <w:kern w:val="0"/>
          <w:szCs w:val="21"/>
          <w:lang w:bidi="ar"/>
        </w:rPr>
        <w:t xml:space="preserve">        </w:t>
      </w:r>
      <w:r>
        <w:rPr>
          <w:rFonts w:hint="eastAsia" w:ascii="宋体" w:hAnsi="宋体" w:cs="宋体"/>
          <w:b/>
          <w:bCs/>
          <w:kern w:val="0"/>
          <w:szCs w:val="21"/>
          <w:lang w:bidi="ar"/>
        </w:rPr>
        <w:t xml:space="preserve">                         </w:t>
      </w:r>
      <w:r>
        <w:rPr>
          <w:rFonts w:hint="eastAsia" w:ascii="宋体" w:hAnsi="宋体" w:cs="宋体"/>
          <w:b/>
          <w:szCs w:val="21"/>
        </w:rPr>
        <w:t xml:space="preserve"> 采购编码：</w:t>
      </w:r>
      <w:bookmarkEnd w:id="3"/>
      <w:r>
        <w:rPr>
          <w:rFonts w:hint="eastAsia" w:ascii="宋体" w:hAnsi="宋体" w:cs="宋体"/>
          <w:b/>
          <w:szCs w:val="21"/>
        </w:rPr>
        <w:t>ZTPGGZ-2018-15</w:t>
      </w:r>
    </w:p>
    <w:tbl>
      <w:tblPr>
        <w:tblStyle w:val="5"/>
        <w:tblW w:w="15075" w:type="dxa"/>
        <w:jc w:val="center"/>
        <w:tblInd w:w="0" w:type="dxa"/>
        <w:tblLayout w:type="fixed"/>
        <w:tblCellMar>
          <w:top w:w="15" w:type="dxa"/>
          <w:left w:w="15" w:type="dxa"/>
          <w:bottom w:w="15" w:type="dxa"/>
          <w:right w:w="15" w:type="dxa"/>
        </w:tblCellMar>
      </w:tblPr>
      <w:tblGrid>
        <w:gridCol w:w="465"/>
        <w:gridCol w:w="826"/>
        <w:gridCol w:w="1449"/>
        <w:gridCol w:w="2091"/>
        <w:gridCol w:w="567"/>
        <w:gridCol w:w="816"/>
        <w:gridCol w:w="1050"/>
        <w:gridCol w:w="1184"/>
        <w:gridCol w:w="4666"/>
        <w:gridCol w:w="1067"/>
        <w:gridCol w:w="894"/>
      </w:tblGrid>
      <w:tr>
        <w:tblPrEx>
          <w:tblLayout w:type="fixed"/>
          <w:tblCellMar>
            <w:top w:w="15" w:type="dxa"/>
            <w:left w:w="15" w:type="dxa"/>
            <w:bottom w:w="15" w:type="dxa"/>
            <w:right w:w="15" w:type="dxa"/>
          </w:tblCellMar>
        </w:tblPrEx>
        <w:trPr>
          <w:trHeight w:val="276" w:hRule="atLeast"/>
          <w:tblHeader/>
          <w:jc w:val="center"/>
        </w:trPr>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序号</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包件号</w:t>
            </w:r>
          </w:p>
        </w:tc>
        <w:tc>
          <w:tcPr>
            <w:tcW w:w="1449"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物资设备名称</w:t>
            </w:r>
          </w:p>
        </w:tc>
        <w:tc>
          <w:tcPr>
            <w:tcW w:w="2091"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规格型号</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计量单位</w:t>
            </w:r>
          </w:p>
        </w:tc>
        <w:tc>
          <w:tcPr>
            <w:tcW w:w="81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需求</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交货</w:t>
            </w:r>
          </w:p>
        </w:tc>
        <w:tc>
          <w:tcPr>
            <w:tcW w:w="118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交货</w:t>
            </w:r>
          </w:p>
        </w:tc>
        <w:tc>
          <w:tcPr>
            <w:tcW w:w="4666"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投标人资格</w:t>
            </w:r>
          </w:p>
        </w:tc>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kern w:val="0"/>
                <w:sz w:val="20"/>
                <w:szCs w:val="20"/>
                <w:lang w:bidi="ar"/>
              </w:rPr>
            </w:pPr>
            <w:r>
              <w:rPr>
                <w:rFonts w:hint="eastAsia" w:ascii="宋体" w:hAnsi="宋体" w:cs="宋体"/>
                <w:b/>
                <w:kern w:val="0"/>
                <w:sz w:val="20"/>
                <w:szCs w:val="20"/>
                <w:lang w:bidi="ar"/>
              </w:rPr>
              <w:t>标书费</w:t>
            </w:r>
          </w:p>
          <w:p>
            <w:pPr>
              <w:pageBreakBefore w:val="0"/>
              <w:widowControl/>
              <w:kinsoku/>
              <w:overflowPunct/>
              <w:bidi w:val="0"/>
              <w:spacing w:line="240" w:lineRule="auto"/>
              <w:jc w:val="center"/>
              <w:textAlignment w:val="center"/>
              <w:rPr>
                <w:rFonts w:hint="eastAsia" w:ascii="宋体" w:hAnsi="宋体" w:cs="宋体"/>
                <w:b/>
                <w:sz w:val="20"/>
                <w:szCs w:val="20"/>
              </w:rPr>
            </w:pPr>
            <w:r>
              <w:rPr>
                <w:rFonts w:hint="eastAsia" w:ascii="宋体" w:hAnsi="宋体" w:cs="宋体"/>
                <w:b/>
                <w:kern w:val="0"/>
                <w:sz w:val="20"/>
                <w:szCs w:val="20"/>
                <w:lang w:bidi="ar"/>
              </w:rPr>
              <w:t>（元）</w:t>
            </w:r>
          </w:p>
        </w:tc>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 w:val="20"/>
                <w:szCs w:val="20"/>
              </w:rPr>
            </w:pPr>
            <w:r>
              <w:rPr>
                <w:rFonts w:hint="eastAsia" w:ascii="宋体" w:hAnsi="宋体" w:cs="宋体"/>
                <w:b/>
                <w:kern w:val="0"/>
                <w:sz w:val="20"/>
                <w:szCs w:val="20"/>
                <w:lang w:bidi="ar"/>
              </w:rPr>
              <w:t>备注</w:t>
            </w:r>
          </w:p>
        </w:tc>
      </w:tr>
      <w:tr>
        <w:tblPrEx>
          <w:tblLayout w:type="fixed"/>
          <w:tblCellMar>
            <w:top w:w="15" w:type="dxa"/>
            <w:left w:w="15" w:type="dxa"/>
            <w:bottom w:w="15" w:type="dxa"/>
            <w:right w:w="15" w:type="dxa"/>
          </w:tblCellMar>
        </w:tblPrEx>
        <w:trPr>
          <w:trHeight w:val="226" w:hRule="atLeast"/>
          <w:tblHeader/>
          <w:jc w:val="center"/>
        </w:trPr>
        <w:tc>
          <w:tcPr>
            <w:tcW w:w="465"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826"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1449"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2091"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567"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816" w:type="dxa"/>
            <w:tcBorders>
              <w:top w:val="single" w:color="000000" w:sz="4" w:space="0"/>
              <w:left w:val="single" w:color="000000" w:sz="4" w:space="0"/>
              <w:bottom w:val="single" w:color="auto"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数量</w:t>
            </w:r>
          </w:p>
        </w:tc>
        <w:tc>
          <w:tcPr>
            <w:tcW w:w="1050" w:type="dxa"/>
            <w:tcBorders>
              <w:top w:val="single" w:color="000000" w:sz="4" w:space="0"/>
              <w:left w:val="single" w:color="000000" w:sz="4" w:space="0"/>
              <w:bottom w:val="single" w:color="auto"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时间</w:t>
            </w:r>
          </w:p>
        </w:tc>
        <w:tc>
          <w:tcPr>
            <w:tcW w:w="1184" w:type="dxa"/>
            <w:tcBorders>
              <w:top w:val="single" w:color="000000" w:sz="4" w:space="0"/>
              <w:left w:val="single" w:color="000000" w:sz="4" w:space="0"/>
              <w:bottom w:val="single" w:color="auto" w:sz="4" w:space="0"/>
              <w:right w:val="single" w:color="000000" w:sz="4" w:space="0"/>
            </w:tcBorders>
            <w:vAlign w:val="center"/>
          </w:tcPr>
          <w:p>
            <w:pPr>
              <w:pageBreakBefore w:val="0"/>
              <w:widowControl/>
              <w:kinsoku/>
              <w:overflowPunct/>
              <w:bidi w:val="0"/>
              <w:spacing w:line="240" w:lineRule="auto"/>
              <w:jc w:val="center"/>
              <w:textAlignment w:val="center"/>
              <w:rPr>
                <w:rFonts w:hint="eastAsia" w:ascii="宋体" w:hAnsi="宋体" w:cs="宋体"/>
                <w:b/>
                <w:szCs w:val="21"/>
              </w:rPr>
            </w:pPr>
            <w:r>
              <w:rPr>
                <w:rFonts w:hint="eastAsia" w:ascii="宋体" w:hAnsi="宋体" w:cs="宋体"/>
                <w:b/>
                <w:kern w:val="0"/>
                <w:szCs w:val="21"/>
                <w:lang w:bidi="ar"/>
              </w:rPr>
              <w:t>地点</w:t>
            </w:r>
          </w:p>
        </w:tc>
        <w:tc>
          <w:tcPr>
            <w:tcW w:w="4666"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Cs w:val="21"/>
              </w:rPr>
            </w:pPr>
          </w:p>
        </w:tc>
        <w:tc>
          <w:tcPr>
            <w:tcW w:w="1067"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 w:val="20"/>
                <w:szCs w:val="20"/>
              </w:rPr>
            </w:pPr>
          </w:p>
        </w:tc>
        <w:tc>
          <w:tcPr>
            <w:tcW w:w="894" w:type="dxa"/>
            <w:vMerge w:val="continue"/>
            <w:tcBorders>
              <w:top w:val="single" w:color="000000" w:sz="4" w:space="0"/>
              <w:left w:val="single" w:color="000000" w:sz="4" w:space="0"/>
              <w:bottom w:val="single" w:color="auto" w:sz="4" w:space="0"/>
              <w:right w:val="single" w:color="000000" w:sz="4" w:space="0"/>
            </w:tcBorders>
            <w:vAlign w:val="center"/>
          </w:tcPr>
          <w:p>
            <w:pPr>
              <w:pageBreakBefore w:val="0"/>
              <w:kinsoku/>
              <w:overflowPunct/>
              <w:bidi w:val="0"/>
              <w:spacing w:line="240" w:lineRule="auto"/>
              <w:jc w:val="center"/>
              <w:rPr>
                <w:rFonts w:hint="eastAsia" w:ascii="宋体" w:hAnsi="宋体" w:cs="宋体"/>
                <w:b/>
                <w:sz w:val="20"/>
                <w:szCs w:val="20"/>
              </w:rPr>
            </w:pPr>
          </w:p>
        </w:tc>
      </w:tr>
      <w:tr>
        <w:tblPrEx>
          <w:tblLayout w:type="fixed"/>
          <w:tblCellMar>
            <w:top w:w="15" w:type="dxa"/>
            <w:left w:w="15" w:type="dxa"/>
            <w:bottom w:w="15" w:type="dxa"/>
            <w:right w:w="15" w:type="dxa"/>
          </w:tblCellMar>
        </w:tblPrEx>
        <w:trPr>
          <w:trHeight w:val="277" w:hRule="atLeast"/>
          <w:jc w:val="center"/>
        </w:trPr>
        <w:tc>
          <w:tcPr>
            <w:tcW w:w="14181" w:type="dxa"/>
            <w:gridSpan w:val="10"/>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bidi w:val="0"/>
              <w:spacing w:line="240" w:lineRule="auto"/>
              <w:jc w:val="left"/>
              <w:textAlignment w:val="center"/>
              <w:rPr>
                <w:rFonts w:hint="eastAsia" w:ascii="宋体" w:hAnsi="宋体" w:cs="宋体"/>
                <w:b/>
                <w:szCs w:val="21"/>
              </w:rPr>
            </w:pPr>
            <w:r>
              <w:rPr>
                <w:rFonts w:hint="eastAsia" w:ascii="宋体" w:hAnsi="宋体" w:cs="宋体"/>
                <w:b/>
                <w:kern w:val="0"/>
                <w:szCs w:val="21"/>
                <w:lang w:bidi="ar"/>
              </w:rPr>
              <w:t>一、</w:t>
            </w:r>
            <w:r>
              <w:rPr>
                <w:rFonts w:hint="eastAsia" w:ascii="宋体" w:hAnsi="宋体" w:cs="宋体"/>
                <w:b/>
                <w:kern w:val="0"/>
                <w:szCs w:val="21"/>
                <w:lang w:val="en-US" w:eastAsia="zh-CN" w:bidi="ar"/>
              </w:rPr>
              <w:t>接触网材料</w:t>
            </w:r>
          </w:p>
        </w:tc>
        <w:tc>
          <w:tcPr>
            <w:tcW w:w="89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240" w:lineRule="auto"/>
              <w:jc w:val="left"/>
              <w:rPr>
                <w:rFonts w:hint="eastAsia" w:ascii="宋体" w:hAnsi="宋体" w:cs="宋体"/>
                <w:sz w:val="22"/>
                <w:szCs w:val="22"/>
              </w:rPr>
            </w:pPr>
          </w:p>
        </w:tc>
      </w:tr>
      <w:tr>
        <w:tblPrEx>
          <w:tblLayout w:type="fixed"/>
          <w:tblCellMar>
            <w:top w:w="15" w:type="dxa"/>
            <w:left w:w="15" w:type="dxa"/>
            <w:bottom w:w="15" w:type="dxa"/>
            <w:right w:w="15" w:type="dxa"/>
          </w:tblCellMar>
        </w:tblPrEx>
        <w:trPr>
          <w:trHeight w:val="669"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2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b w:val="0"/>
                <w:bCs w:val="0"/>
                <w:kern w:val="0"/>
                <w:sz w:val="20"/>
                <w:szCs w:val="20"/>
                <w:lang w:val="en-US" w:eastAsia="zh-CN"/>
              </w:rPr>
            </w:pPr>
            <w:r>
              <w:rPr>
                <w:rFonts w:hint="eastAsia" w:ascii="宋体" w:hAnsi="宋体" w:eastAsia="宋体" w:cs="宋体"/>
                <w:i w:val="0"/>
                <w:color w:val="auto"/>
                <w:kern w:val="0"/>
                <w:sz w:val="20"/>
                <w:szCs w:val="20"/>
                <w:u w:val="none"/>
                <w:lang w:val="en-US" w:eastAsia="zh-CN" w:bidi="ar"/>
              </w:rPr>
              <w:t>BD-13</w:t>
            </w: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回流电缆</w:t>
            </w:r>
          </w:p>
        </w:tc>
        <w:tc>
          <w:tcPr>
            <w:tcW w:w="2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0.6/1YJLV-1*150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米</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25000</w:t>
            </w:r>
          </w:p>
        </w:tc>
        <w:tc>
          <w:tcPr>
            <w:tcW w:w="105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2018年11月20日前</w:t>
            </w:r>
          </w:p>
        </w:tc>
        <w:tc>
          <w:tcPr>
            <w:tcW w:w="118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坪广供电改造项目部中心料库</w:t>
            </w:r>
          </w:p>
        </w:tc>
        <w:tc>
          <w:tcPr>
            <w:tcW w:w="4666" w:type="dxa"/>
            <w:vMerge w:val="restart"/>
            <w:tcBorders>
              <w:top w:val="single" w:color="auto" w:sz="4" w:space="0"/>
              <w:left w:val="single" w:color="auto" w:sz="4" w:space="0"/>
              <w:right w:val="single" w:color="auto" w:sz="4" w:space="0"/>
            </w:tcBorders>
            <w:vAlign w:val="center"/>
          </w:tcPr>
          <w:p>
            <w:pPr>
              <w:widowControl/>
              <w:numPr>
                <w:ilvl w:val="0"/>
                <w:numId w:val="0"/>
              </w:numPr>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1.生产企业注册资金不少于1000万元；</w:t>
            </w:r>
          </w:p>
          <w:p>
            <w:pPr>
              <w:widowControl/>
              <w:numPr>
                <w:ilvl w:val="0"/>
                <w:numId w:val="0"/>
              </w:numPr>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2.投标物资须具有CMA或CNAS标志的省部级及以上国家权威机构出具的产品型式试验报告或近三年产品检验报告</w:t>
            </w:r>
          </w:p>
          <w:p>
            <w:pPr>
              <w:widowControl/>
              <w:numPr>
                <w:ilvl w:val="0"/>
                <w:numId w:val="0"/>
              </w:numPr>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3.投标物资须具有运行速度160km/h及以上铁路供货业绩，开通运营一年（含）以上，出具相应的购售合同影印件及铁路局（集团公司）供电处（机务处）开具的运营证明影印件；</w:t>
            </w:r>
          </w:p>
          <w:p>
            <w:pPr>
              <w:widowControl/>
              <w:numPr>
                <w:ilvl w:val="0"/>
                <w:numId w:val="0"/>
              </w:numPr>
              <w:jc w:val="left"/>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4.不接受代理商和联合</w:t>
            </w:r>
            <w:bookmarkStart w:id="9" w:name="_GoBack"/>
            <w:bookmarkEnd w:id="9"/>
            <w:r>
              <w:rPr>
                <w:rFonts w:hint="eastAsia" w:ascii="宋体" w:hAnsi="宋体" w:cs="宋体"/>
                <w:color w:val="auto"/>
                <w:sz w:val="20"/>
                <w:szCs w:val="20"/>
                <w:lang w:val="en-US" w:eastAsia="zh-CN"/>
              </w:rPr>
              <w:t>体投标</w:t>
            </w:r>
          </w:p>
        </w:tc>
        <w:tc>
          <w:tcPr>
            <w:tcW w:w="106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
                <w:bCs/>
                <w:sz w:val="20"/>
                <w:szCs w:val="20"/>
                <w:lang w:val="en-US" w:eastAsia="zh-CN"/>
              </w:rPr>
            </w:pPr>
            <w:r>
              <w:rPr>
                <w:rFonts w:hint="eastAsia" w:ascii="宋体" w:hAnsi="宋体" w:cs="宋体"/>
                <w:b/>
                <w:bCs/>
                <w:sz w:val="20"/>
                <w:szCs w:val="20"/>
                <w:lang w:val="en-US" w:eastAsia="zh-CN"/>
              </w:rPr>
              <w:t>500.00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15" w:type="dxa"/>
            <w:left w:w="15" w:type="dxa"/>
            <w:bottom w:w="15" w:type="dxa"/>
            <w:right w:w="15" w:type="dxa"/>
          </w:tblCellMar>
        </w:tblPrEx>
        <w:trPr>
          <w:trHeight w:val="669"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82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b w:val="0"/>
                <w:bCs w:val="0"/>
                <w:kern w:val="0"/>
                <w:sz w:val="20"/>
                <w:szCs w:val="20"/>
                <w:lang w:val="en-US" w:eastAsia="zh-CN"/>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电力电缆</w:t>
            </w:r>
          </w:p>
        </w:tc>
        <w:tc>
          <w:tcPr>
            <w:tcW w:w="2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ZR-VV22-4*10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米</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19340</w:t>
            </w:r>
          </w:p>
        </w:tc>
        <w:tc>
          <w:tcPr>
            <w:tcW w:w="105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84"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666" w:type="dxa"/>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auto"/>
                <w:sz w:val="20"/>
                <w:szCs w:val="20"/>
                <w:lang w:val="en-US" w:eastAsia="zh-CN"/>
              </w:rPr>
            </w:pPr>
          </w:p>
        </w:tc>
        <w:tc>
          <w:tcPr>
            <w:tcW w:w="1067" w:type="dxa"/>
            <w:vMerge w:val="continue"/>
            <w:tcBorders>
              <w:left w:val="single" w:color="auto" w:sz="4" w:space="0"/>
              <w:right w:val="single" w:color="auto" w:sz="4" w:space="0"/>
            </w:tcBorders>
            <w:vAlign w:val="center"/>
          </w:tcPr>
          <w:p>
            <w:pPr>
              <w:jc w:val="center"/>
              <w:rPr>
                <w:rFonts w:hint="eastAsia" w:ascii="宋体" w:hAnsi="宋体" w:cs="宋体"/>
                <w:b/>
                <w:bCs/>
                <w:sz w:val="20"/>
                <w:szCs w:val="20"/>
                <w:lang w:val="en-US" w:eastAsia="zh-CN"/>
              </w:rPr>
            </w:pP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15" w:type="dxa"/>
            <w:left w:w="15" w:type="dxa"/>
            <w:bottom w:w="15" w:type="dxa"/>
            <w:right w:w="15" w:type="dxa"/>
          </w:tblCellMar>
        </w:tblPrEx>
        <w:trPr>
          <w:trHeight w:val="669"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82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b w:val="0"/>
                <w:bCs w:val="0"/>
                <w:kern w:val="0"/>
                <w:sz w:val="20"/>
                <w:szCs w:val="20"/>
                <w:lang w:val="en-US" w:eastAsia="zh-CN"/>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电力电缆</w:t>
            </w:r>
          </w:p>
        </w:tc>
        <w:tc>
          <w:tcPr>
            <w:tcW w:w="2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ZR-VV22-2*35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米</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1850</w:t>
            </w:r>
          </w:p>
        </w:tc>
        <w:tc>
          <w:tcPr>
            <w:tcW w:w="105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84"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666" w:type="dxa"/>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auto"/>
                <w:sz w:val="20"/>
                <w:szCs w:val="20"/>
                <w:lang w:val="en-US" w:eastAsia="zh-CN"/>
              </w:rPr>
            </w:pPr>
          </w:p>
        </w:tc>
        <w:tc>
          <w:tcPr>
            <w:tcW w:w="1067" w:type="dxa"/>
            <w:vMerge w:val="continue"/>
            <w:tcBorders>
              <w:left w:val="single" w:color="auto" w:sz="4" w:space="0"/>
              <w:right w:val="single" w:color="auto" w:sz="4" w:space="0"/>
            </w:tcBorders>
            <w:vAlign w:val="center"/>
          </w:tcPr>
          <w:p>
            <w:pPr>
              <w:jc w:val="center"/>
              <w:rPr>
                <w:rFonts w:hint="eastAsia" w:ascii="宋体" w:hAnsi="宋体" w:cs="宋体"/>
                <w:b/>
                <w:bCs/>
                <w:sz w:val="20"/>
                <w:szCs w:val="20"/>
                <w:lang w:val="en-US" w:eastAsia="zh-CN"/>
              </w:rPr>
            </w:pP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15" w:type="dxa"/>
            <w:left w:w="15" w:type="dxa"/>
            <w:bottom w:w="15" w:type="dxa"/>
            <w:right w:w="15" w:type="dxa"/>
          </w:tblCellMar>
        </w:tblPrEx>
        <w:trPr>
          <w:trHeight w:val="669"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82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b w:val="0"/>
                <w:bCs w:val="0"/>
                <w:kern w:val="0"/>
                <w:sz w:val="20"/>
                <w:szCs w:val="20"/>
                <w:lang w:val="en-US" w:eastAsia="zh-CN"/>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电力电缆</w:t>
            </w:r>
          </w:p>
        </w:tc>
        <w:tc>
          <w:tcPr>
            <w:tcW w:w="2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ZR-VV22-2*25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米</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5548</w:t>
            </w:r>
          </w:p>
        </w:tc>
        <w:tc>
          <w:tcPr>
            <w:tcW w:w="105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84"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666" w:type="dxa"/>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auto"/>
                <w:sz w:val="20"/>
                <w:szCs w:val="20"/>
                <w:lang w:val="en-US" w:eastAsia="zh-CN"/>
              </w:rPr>
            </w:pPr>
          </w:p>
        </w:tc>
        <w:tc>
          <w:tcPr>
            <w:tcW w:w="1067" w:type="dxa"/>
            <w:vMerge w:val="continue"/>
            <w:tcBorders>
              <w:left w:val="single" w:color="auto" w:sz="4" w:space="0"/>
              <w:right w:val="single" w:color="auto" w:sz="4" w:space="0"/>
            </w:tcBorders>
            <w:vAlign w:val="center"/>
          </w:tcPr>
          <w:p>
            <w:pPr>
              <w:jc w:val="center"/>
              <w:rPr>
                <w:rFonts w:hint="eastAsia" w:ascii="宋体" w:hAnsi="宋体" w:cs="宋体"/>
                <w:b/>
                <w:bCs/>
                <w:sz w:val="20"/>
                <w:szCs w:val="20"/>
                <w:lang w:val="en-US" w:eastAsia="zh-CN"/>
              </w:rPr>
            </w:pP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15" w:type="dxa"/>
            <w:left w:w="15" w:type="dxa"/>
            <w:bottom w:w="15" w:type="dxa"/>
            <w:right w:w="15" w:type="dxa"/>
          </w:tblCellMar>
        </w:tblPrEx>
        <w:trPr>
          <w:trHeight w:val="669"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82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b w:val="0"/>
                <w:bCs w:val="0"/>
                <w:kern w:val="0"/>
                <w:sz w:val="20"/>
                <w:szCs w:val="20"/>
                <w:lang w:val="en-US" w:eastAsia="zh-CN"/>
              </w:rPr>
            </w:pPr>
          </w:p>
        </w:tc>
        <w:tc>
          <w:tcPr>
            <w:tcW w:w="14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电力电缆</w:t>
            </w:r>
          </w:p>
        </w:tc>
        <w:tc>
          <w:tcPr>
            <w:tcW w:w="20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ZR-VV22-2*16</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米</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2521</w:t>
            </w:r>
          </w:p>
        </w:tc>
        <w:tc>
          <w:tcPr>
            <w:tcW w:w="10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666" w:type="dxa"/>
            <w:vMerge w:val="continue"/>
            <w:tcBorders>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sz w:val="20"/>
                <w:szCs w:val="20"/>
                <w:lang w:val="en-US" w:eastAsia="zh-CN"/>
              </w:rPr>
            </w:pPr>
          </w:p>
        </w:tc>
        <w:tc>
          <w:tcPr>
            <w:tcW w:w="106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b/>
                <w:bCs/>
                <w:sz w:val="20"/>
                <w:szCs w:val="20"/>
                <w:lang w:val="en-US" w:eastAsia="zh-CN"/>
              </w:rPr>
            </w:pP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pageBreakBefore w:val="0"/>
        <w:kinsoku/>
        <w:overflowPunct/>
        <w:bidi w:val="0"/>
        <w:spacing w:line="240" w:lineRule="auto"/>
        <w:rPr>
          <w:rFonts w:hint="eastAsia"/>
          <w:b/>
          <w:szCs w:val="21"/>
        </w:rPr>
      </w:pPr>
    </w:p>
    <w:p>
      <w:pPr>
        <w:pageBreakBefore w:val="0"/>
        <w:kinsoku/>
        <w:overflowPunct/>
        <w:bidi w:val="0"/>
        <w:spacing w:line="240" w:lineRule="auto"/>
        <w:rPr>
          <w:rFonts w:hint="eastAsia"/>
          <w:b/>
          <w:szCs w:val="21"/>
        </w:rPr>
      </w:pPr>
    </w:p>
    <w:p>
      <w:pPr>
        <w:pageBreakBefore w:val="0"/>
        <w:kinsoku/>
        <w:overflowPunct/>
        <w:bidi w:val="0"/>
        <w:spacing w:line="240" w:lineRule="auto"/>
        <w:rPr>
          <w:rFonts w:hint="eastAsia"/>
          <w:b/>
          <w:szCs w:val="21"/>
        </w:rPr>
      </w:pPr>
      <w:r>
        <w:rPr>
          <w:rFonts w:hint="eastAsia"/>
          <w:b/>
          <w:szCs w:val="21"/>
        </w:rPr>
        <w:t xml:space="preserve"> </w:t>
      </w:r>
      <w:r>
        <w:rPr>
          <w:rFonts w:hint="eastAsia"/>
          <w:b/>
          <w:sz w:val="24"/>
        </w:rPr>
        <w:t>注：以上规格型号数量是施工图数量，最终供货规格型号数量以现场实际确认单为准。</w:t>
      </w:r>
    </w:p>
    <w:p>
      <w:pPr>
        <w:pageBreakBefore w:val="0"/>
        <w:kinsoku/>
        <w:overflowPunct/>
        <w:bidi w:val="0"/>
        <w:spacing w:line="240" w:lineRule="auto"/>
        <w:rPr>
          <w:rFonts w:hint="eastAsia"/>
          <w:b/>
          <w:sz w:val="16"/>
          <w:szCs w:val="16"/>
        </w:rPr>
        <w:sectPr>
          <w:pgSz w:w="16838" w:h="11906" w:orient="landscape"/>
          <w:pgMar w:top="897" w:right="1361" w:bottom="709" w:left="1077" w:header="851" w:footer="329" w:gutter="0"/>
          <w:cols w:space="720" w:num="1"/>
          <w:docGrid w:type="lines" w:linePitch="312" w:charSpace="0"/>
        </w:sectPr>
      </w:pPr>
    </w:p>
    <w:p>
      <w:pPr>
        <w:pageBreakBefore w:val="0"/>
        <w:kinsoku/>
        <w:overflowPunct/>
        <w:bidi w:val="0"/>
        <w:spacing w:line="240" w:lineRule="auto"/>
        <w:rPr>
          <w:rFonts w:hint="eastAsia"/>
        </w:rPr>
      </w:pPr>
    </w:p>
    <w:p>
      <w:pPr>
        <w:pStyle w:val="6"/>
        <w:pageBreakBefore w:val="0"/>
        <w:tabs>
          <w:tab w:val="left" w:pos="5250"/>
        </w:tabs>
        <w:kinsoku/>
        <w:overflowPunct/>
        <w:bidi w:val="0"/>
        <w:spacing w:line="240" w:lineRule="auto"/>
        <w:outlineLvl w:val="0"/>
        <w:rPr>
          <w:rFonts w:ascii="宋体" w:hAnsi="宋体" w:eastAsia="宋体"/>
          <w:b/>
        </w:rPr>
      </w:pPr>
      <w:bookmarkStart w:id="4" w:name="_Toc32143"/>
      <w:bookmarkStart w:id="5" w:name="_Toc429659471"/>
      <w:bookmarkStart w:id="6" w:name="_Toc364849453"/>
      <w:bookmarkStart w:id="7" w:name="_Toc416375813"/>
      <w:bookmarkStart w:id="8" w:name="_Toc372367584"/>
      <w:r>
        <w:rPr>
          <w:rFonts w:ascii="宋体" w:hAnsi="宋体" w:eastAsia="宋体"/>
          <w:b/>
        </w:rPr>
        <w:t>附件2</w:t>
      </w:r>
      <w:bookmarkEnd w:id="4"/>
      <w:bookmarkEnd w:id="5"/>
      <w:bookmarkEnd w:id="6"/>
      <w:bookmarkEnd w:id="7"/>
      <w:bookmarkEnd w:id="8"/>
    </w:p>
    <w:p>
      <w:pPr>
        <w:pageBreakBefore w:val="0"/>
        <w:kinsoku/>
        <w:overflowPunct/>
        <w:bidi w:val="0"/>
        <w:spacing w:line="240" w:lineRule="auto"/>
        <w:jc w:val="center"/>
        <w:rPr>
          <w:b/>
          <w:sz w:val="28"/>
          <w:szCs w:val="28"/>
        </w:rPr>
      </w:pPr>
      <w:r>
        <w:rPr>
          <w:rFonts w:hint="eastAsia"/>
          <w:b/>
          <w:sz w:val="28"/>
          <w:szCs w:val="28"/>
        </w:rPr>
        <w:t>谈判申请表</w:t>
      </w:r>
    </w:p>
    <w:p>
      <w:pPr>
        <w:pageBreakBefore w:val="0"/>
        <w:kinsoku/>
        <w:overflowPunct/>
        <w:bidi w:val="0"/>
        <w:spacing w:line="240" w:lineRule="auto"/>
        <w:jc w:val="right"/>
        <w:rPr>
          <w:rFonts w:ascii="宋体" w:hAnsi="宋体"/>
          <w:b/>
          <w:sz w:val="18"/>
          <w:szCs w:val="18"/>
        </w:rPr>
      </w:pPr>
      <w:r>
        <w:rPr>
          <w:rFonts w:hint="eastAsia"/>
          <w:b/>
          <w:sz w:val="15"/>
          <w:szCs w:val="15"/>
        </w:rPr>
        <w:t xml:space="preserve">   </w:t>
      </w:r>
      <w:r>
        <w:rPr>
          <w:rFonts w:hint="eastAsia" w:ascii="宋体" w:hAnsi="宋体"/>
          <w:b/>
          <w:sz w:val="18"/>
          <w:szCs w:val="18"/>
        </w:rPr>
        <w:t xml:space="preserve"> </w:t>
      </w:r>
    </w:p>
    <w:tbl>
      <w:tblPr>
        <w:tblStyle w:val="5"/>
        <w:tblW w:w="900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2113"/>
        <w:gridCol w:w="1296"/>
        <w:gridCol w:w="671"/>
        <w:gridCol w:w="34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申请单位</w:t>
            </w:r>
          </w:p>
        </w:tc>
        <w:tc>
          <w:tcPr>
            <w:tcW w:w="7485" w:type="dxa"/>
            <w:gridSpan w:val="4"/>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谈判项目名称</w:t>
            </w:r>
          </w:p>
        </w:tc>
        <w:tc>
          <w:tcPr>
            <w:tcW w:w="7485" w:type="dxa"/>
            <w:gridSpan w:val="4"/>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谈判联系人</w:t>
            </w:r>
          </w:p>
        </w:tc>
        <w:tc>
          <w:tcPr>
            <w:tcW w:w="2113" w:type="dxa"/>
            <w:vAlign w:val="center"/>
          </w:tcPr>
          <w:p>
            <w:pPr>
              <w:pageBreakBefore w:val="0"/>
              <w:kinsoku/>
              <w:overflowPunct/>
              <w:bidi w:val="0"/>
              <w:spacing w:line="240" w:lineRule="auto"/>
              <w:jc w:val="center"/>
              <w:rPr>
                <w:szCs w:val="21"/>
              </w:rPr>
            </w:pPr>
          </w:p>
        </w:tc>
        <w:tc>
          <w:tcPr>
            <w:tcW w:w="1296" w:type="dxa"/>
            <w:vAlign w:val="center"/>
          </w:tcPr>
          <w:p>
            <w:pPr>
              <w:pageBreakBefore w:val="0"/>
              <w:kinsoku/>
              <w:overflowPunct/>
              <w:bidi w:val="0"/>
              <w:spacing w:line="240" w:lineRule="auto"/>
              <w:jc w:val="center"/>
              <w:rPr>
                <w:b/>
                <w:szCs w:val="21"/>
              </w:rPr>
            </w:pPr>
            <w:r>
              <w:rPr>
                <w:rFonts w:hint="eastAsia"/>
                <w:b/>
                <w:szCs w:val="21"/>
              </w:rPr>
              <w:t>谈判编号</w:t>
            </w:r>
          </w:p>
        </w:tc>
        <w:tc>
          <w:tcPr>
            <w:tcW w:w="4076" w:type="dxa"/>
            <w:gridSpan w:val="2"/>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联系电话</w:t>
            </w:r>
          </w:p>
        </w:tc>
        <w:tc>
          <w:tcPr>
            <w:tcW w:w="2113" w:type="dxa"/>
            <w:vAlign w:val="center"/>
          </w:tcPr>
          <w:p>
            <w:pPr>
              <w:pageBreakBefore w:val="0"/>
              <w:kinsoku/>
              <w:overflowPunct/>
              <w:bidi w:val="0"/>
              <w:spacing w:line="240" w:lineRule="auto"/>
              <w:jc w:val="center"/>
              <w:rPr>
                <w:szCs w:val="21"/>
              </w:rPr>
            </w:pPr>
          </w:p>
        </w:tc>
        <w:tc>
          <w:tcPr>
            <w:tcW w:w="1296" w:type="dxa"/>
            <w:vAlign w:val="center"/>
          </w:tcPr>
          <w:p>
            <w:pPr>
              <w:pageBreakBefore w:val="0"/>
              <w:kinsoku/>
              <w:overflowPunct/>
              <w:bidi w:val="0"/>
              <w:spacing w:line="240" w:lineRule="auto"/>
              <w:jc w:val="center"/>
              <w:rPr>
                <w:b/>
                <w:szCs w:val="21"/>
              </w:rPr>
            </w:pPr>
            <w:r>
              <w:rPr>
                <w:rFonts w:hint="eastAsia"/>
                <w:b/>
                <w:szCs w:val="21"/>
              </w:rPr>
              <w:t>谈判内容</w:t>
            </w:r>
          </w:p>
        </w:tc>
        <w:tc>
          <w:tcPr>
            <w:tcW w:w="4076" w:type="dxa"/>
            <w:gridSpan w:val="2"/>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传真电话</w:t>
            </w:r>
          </w:p>
        </w:tc>
        <w:tc>
          <w:tcPr>
            <w:tcW w:w="2113" w:type="dxa"/>
            <w:vAlign w:val="center"/>
          </w:tcPr>
          <w:p>
            <w:pPr>
              <w:pageBreakBefore w:val="0"/>
              <w:kinsoku/>
              <w:overflowPunct/>
              <w:bidi w:val="0"/>
              <w:spacing w:line="240" w:lineRule="auto"/>
              <w:jc w:val="center"/>
              <w:rPr>
                <w:b/>
                <w:szCs w:val="21"/>
              </w:rPr>
            </w:pPr>
          </w:p>
        </w:tc>
        <w:tc>
          <w:tcPr>
            <w:tcW w:w="1296" w:type="dxa"/>
            <w:vAlign w:val="center"/>
          </w:tcPr>
          <w:p>
            <w:pPr>
              <w:pageBreakBefore w:val="0"/>
              <w:kinsoku/>
              <w:overflowPunct/>
              <w:bidi w:val="0"/>
              <w:spacing w:line="240" w:lineRule="auto"/>
              <w:jc w:val="center"/>
              <w:rPr>
                <w:szCs w:val="21"/>
              </w:rPr>
            </w:pPr>
            <w:r>
              <w:rPr>
                <w:rFonts w:hint="eastAsia"/>
                <w:b/>
                <w:szCs w:val="21"/>
              </w:rPr>
              <w:t>邮    箱</w:t>
            </w:r>
          </w:p>
        </w:tc>
        <w:tc>
          <w:tcPr>
            <w:tcW w:w="4076" w:type="dxa"/>
            <w:gridSpan w:val="2"/>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b/>
                <w:szCs w:val="21"/>
              </w:rPr>
            </w:pPr>
            <w:r>
              <w:rPr>
                <w:rFonts w:hint="eastAsia"/>
                <w:b/>
                <w:szCs w:val="21"/>
              </w:rPr>
              <w:t>注册资金</w:t>
            </w:r>
          </w:p>
        </w:tc>
        <w:tc>
          <w:tcPr>
            <w:tcW w:w="2113" w:type="dxa"/>
            <w:vAlign w:val="center"/>
          </w:tcPr>
          <w:p>
            <w:pPr>
              <w:pageBreakBefore w:val="0"/>
              <w:kinsoku/>
              <w:overflowPunct/>
              <w:bidi w:val="0"/>
              <w:spacing w:line="240" w:lineRule="auto"/>
              <w:jc w:val="center"/>
              <w:rPr>
                <w:b/>
                <w:szCs w:val="21"/>
              </w:rPr>
            </w:pPr>
          </w:p>
        </w:tc>
        <w:tc>
          <w:tcPr>
            <w:tcW w:w="1296" w:type="dxa"/>
            <w:vAlign w:val="center"/>
          </w:tcPr>
          <w:p>
            <w:pPr>
              <w:pageBreakBefore w:val="0"/>
              <w:kinsoku/>
              <w:overflowPunct/>
              <w:bidi w:val="0"/>
              <w:spacing w:line="240" w:lineRule="auto"/>
              <w:jc w:val="center"/>
              <w:rPr>
                <w:rFonts w:hint="eastAsia"/>
                <w:b/>
                <w:szCs w:val="21"/>
              </w:rPr>
            </w:pPr>
            <w:r>
              <w:rPr>
                <w:rFonts w:hint="eastAsia"/>
                <w:b/>
                <w:szCs w:val="21"/>
              </w:rPr>
              <w:t>代理生产厂（如有）</w:t>
            </w:r>
          </w:p>
        </w:tc>
        <w:tc>
          <w:tcPr>
            <w:tcW w:w="4076" w:type="dxa"/>
            <w:gridSpan w:val="2"/>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5" w:type="dxa"/>
            <w:vAlign w:val="center"/>
          </w:tcPr>
          <w:p>
            <w:pPr>
              <w:pageBreakBefore w:val="0"/>
              <w:kinsoku/>
              <w:overflowPunct/>
              <w:bidi w:val="0"/>
              <w:spacing w:line="240" w:lineRule="auto"/>
              <w:jc w:val="center"/>
              <w:rPr>
                <w:rFonts w:hint="eastAsia"/>
                <w:b/>
                <w:szCs w:val="21"/>
              </w:rPr>
            </w:pPr>
            <w:r>
              <w:rPr>
                <w:rFonts w:hint="eastAsia"/>
                <w:b/>
                <w:szCs w:val="21"/>
              </w:rPr>
              <w:t>单位地址</w:t>
            </w:r>
          </w:p>
        </w:tc>
        <w:tc>
          <w:tcPr>
            <w:tcW w:w="7485" w:type="dxa"/>
            <w:gridSpan w:val="4"/>
            <w:vAlign w:val="center"/>
          </w:tcPr>
          <w:p>
            <w:pPr>
              <w:pageBreakBefore w:val="0"/>
              <w:kinsoku/>
              <w:overflowPunct/>
              <w:bidi w:val="0"/>
              <w:spacing w:line="24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595" w:type="dxa"/>
            <w:gridSpan w:val="4"/>
            <w:tcBorders>
              <w:right w:val="single" w:color="auto" w:sz="4" w:space="0"/>
            </w:tcBorders>
            <w:vAlign w:val="center"/>
          </w:tcPr>
          <w:p>
            <w:pPr>
              <w:pageBreakBefore w:val="0"/>
              <w:kinsoku/>
              <w:overflowPunct/>
              <w:bidi w:val="0"/>
              <w:spacing w:line="240" w:lineRule="auto"/>
              <w:rPr>
                <w:szCs w:val="21"/>
              </w:rPr>
            </w:pPr>
            <w:r>
              <w:rPr>
                <w:rFonts w:hint="eastAsia"/>
                <w:b/>
                <w:szCs w:val="21"/>
              </w:rPr>
              <w:t>中铁电气化局集团有限公司颁发的物资供应商准入证编号</w:t>
            </w:r>
          </w:p>
        </w:tc>
        <w:tc>
          <w:tcPr>
            <w:tcW w:w="3405" w:type="dxa"/>
            <w:tcBorders>
              <w:left w:val="single" w:color="auto" w:sz="4" w:space="0"/>
            </w:tcBorders>
            <w:vAlign w:val="center"/>
          </w:tcPr>
          <w:p>
            <w:pPr>
              <w:pageBreakBefore w:val="0"/>
              <w:kinsoku/>
              <w:overflowPunct/>
              <w:bidi w:val="0"/>
              <w:spacing w:line="240" w:lineRule="auto"/>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 w:hRule="atLeast"/>
          <w:jc w:val="center"/>
        </w:trPr>
        <w:tc>
          <w:tcPr>
            <w:tcW w:w="9000" w:type="dxa"/>
            <w:gridSpan w:val="5"/>
            <w:vAlign w:val="top"/>
          </w:tcPr>
          <w:p>
            <w:pPr>
              <w:pageBreakBefore w:val="0"/>
              <w:kinsoku/>
              <w:overflowPunct/>
              <w:bidi w:val="0"/>
              <w:spacing w:line="240" w:lineRule="auto"/>
              <w:rPr>
                <w:b/>
                <w:szCs w:val="21"/>
              </w:rPr>
            </w:pPr>
            <w:r>
              <w:rPr>
                <w:rFonts w:hint="eastAsia"/>
                <w:b/>
                <w:szCs w:val="21"/>
              </w:rPr>
              <w:t>申请谈判范围：（注明拟谈判包件号）</w:t>
            </w:r>
          </w:p>
          <w:p>
            <w:pPr>
              <w:pageBreakBefore w:val="0"/>
              <w:kinsoku/>
              <w:overflowPunct/>
              <w:bidi w:val="0"/>
              <w:spacing w:line="240" w:lineRule="auto"/>
              <w:rPr>
                <w:szCs w:val="21"/>
              </w:rPr>
            </w:pPr>
          </w:p>
          <w:p>
            <w:pPr>
              <w:pageBreakBefore w:val="0"/>
              <w:kinsoku/>
              <w:overflowPunct/>
              <w:bidi w:val="0"/>
              <w:spacing w:line="240" w:lineRule="auto"/>
              <w:jc w:val="center"/>
              <w:rPr>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单位开票信息：</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名        称：</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纳税人识别号：</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地址、  电话：</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开户行及账号：</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rFonts w:hint="eastAsia" w:ascii="宋体" w:hAnsi="宋体" w:cs="宋体"/>
                <w:b/>
                <w:szCs w:val="21"/>
              </w:rPr>
            </w:pPr>
            <w:r>
              <w:rPr>
                <w:rFonts w:hint="eastAsia" w:ascii="宋体" w:hAnsi="宋体" w:cs="宋体"/>
                <w:b/>
                <w:szCs w:val="21"/>
              </w:rPr>
              <w:t>邮寄发票地址：</w:t>
            </w:r>
          </w:p>
          <w:p>
            <w:pPr>
              <w:pageBreakBefore w:val="0"/>
              <w:kinsoku/>
              <w:overflowPunct/>
              <w:bidi w:val="0"/>
              <w:spacing w:line="240" w:lineRule="auto"/>
              <w:rPr>
                <w:rFonts w:hint="eastAsia" w:ascii="宋体" w:hAnsi="宋体" w:cs="宋体"/>
                <w:b/>
                <w:szCs w:val="21"/>
              </w:rPr>
            </w:pPr>
          </w:p>
          <w:p>
            <w:pPr>
              <w:pageBreakBefore w:val="0"/>
              <w:kinsoku/>
              <w:overflowPunct/>
              <w:bidi w:val="0"/>
              <w:spacing w:line="240" w:lineRule="auto"/>
              <w:rPr>
                <w:szCs w:val="21"/>
              </w:rPr>
            </w:pPr>
          </w:p>
          <w:p>
            <w:pPr>
              <w:pageBreakBefore w:val="0"/>
              <w:kinsoku/>
              <w:overflowPunct/>
              <w:bidi w:val="0"/>
              <w:spacing w:line="240" w:lineRule="auto"/>
              <w:rPr>
                <w:rFonts w:hint="eastAsia"/>
                <w:b/>
                <w:szCs w:val="21"/>
              </w:rPr>
            </w:pPr>
          </w:p>
          <w:p>
            <w:pPr>
              <w:pageBreakBefore w:val="0"/>
              <w:kinsoku/>
              <w:overflowPunct/>
              <w:bidi w:val="0"/>
              <w:spacing w:line="240" w:lineRule="auto"/>
              <w:ind w:firstLine="4889" w:firstLineChars="2319"/>
              <w:rPr>
                <w:rFonts w:hint="eastAsia"/>
                <w:b/>
                <w:szCs w:val="21"/>
              </w:rPr>
            </w:pPr>
          </w:p>
          <w:p>
            <w:pPr>
              <w:pageBreakBefore w:val="0"/>
              <w:kinsoku/>
              <w:overflowPunct/>
              <w:bidi w:val="0"/>
              <w:spacing w:line="240" w:lineRule="auto"/>
              <w:ind w:firstLine="5483" w:firstLineChars="2601"/>
              <w:rPr>
                <w:b/>
                <w:szCs w:val="21"/>
              </w:rPr>
            </w:pPr>
            <w:r>
              <w:rPr>
                <w:rFonts w:hint="eastAsia"/>
                <w:b/>
                <w:szCs w:val="21"/>
              </w:rPr>
              <w:t>申请单位（章）</w:t>
            </w:r>
          </w:p>
          <w:p>
            <w:pPr>
              <w:pageBreakBefore w:val="0"/>
              <w:kinsoku/>
              <w:overflowPunct/>
              <w:bidi w:val="0"/>
              <w:spacing w:line="240" w:lineRule="auto"/>
              <w:ind w:firstLine="5682" w:firstLineChars="2695"/>
              <w:rPr>
                <w:rFonts w:hint="eastAsia"/>
                <w:b/>
                <w:szCs w:val="21"/>
              </w:rPr>
            </w:pPr>
            <w:r>
              <w:rPr>
                <w:rFonts w:hint="eastAsia"/>
                <w:b/>
                <w:szCs w:val="21"/>
              </w:rPr>
              <w:t>年  月  日</w:t>
            </w:r>
          </w:p>
          <w:p>
            <w:pPr>
              <w:pageBreakBefore w:val="0"/>
              <w:kinsoku/>
              <w:overflowPunct/>
              <w:bidi w:val="0"/>
              <w:spacing w:line="240" w:lineRule="auto"/>
              <w:rPr>
                <w:b/>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3598B"/>
    <w:rsid w:val="0C23598B"/>
    <w:rsid w:val="4EA5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customStyle="1" w:styleId="6">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2018-10-19T02:20:00Z</dcterms:created>
  <dc:creator>。</dc:creator>
  <cp:lastModifiedBy>。</cp:lastModifiedBy>
  <dcterms:modified xsi:type="dcterms:W3CDTF">2018-10-22T07:42:07Z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