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（物资品种）招标公告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  <w:u w:val="single"/>
        </w:rPr>
        <w:t>清华大学新建继续教育综合楼及学生宿舍、迁建附属小学工程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迁建小学电线电缆</w:t>
      </w:r>
      <w:r>
        <w:rPr>
          <w:rFonts w:ascii="宋体" w:hAnsi="宋体" w:eastAsia="宋体" w:cs="宋体"/>
          <w:kern w:val="0"/>
          <w:szCs w:val="21"/>
        </w:rPr>
        <w:t>（物资品种）已具备招标条件，招标人</w:t>
      </w:r>
      <w:r>
        <w:rPr>
          <w:rFonts w:hint="eastAsia" w:ascii="宋体" w:hAnsi="宋体" w:eastAsia="宋体" w:cs="宋体"/>
          <w:kern w:val="0"/>
          <w:szCs w:val="21"/>
          <w:u w:val="single"/>
        </w:rPr>
        <w:t>清华大学新建继续教育综合楼及学生宿舍迁建附属小学工程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北京市海淀区双清路14号，建筑面积226009平米</w:t>
      </w:r>
      <w:r>
        <w:rPr>
          <w:rFonts w:ascii="宋体" w:hAnsi="宋体" w:eastAsia="宋体" w:cs="宋体"/>
          <w:kern w:val="0"/>
          <w:szCs w:val="21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迁建小学电线电缆</w:t>
      </w:r>
      <w:r>
        <w:rPr>
          <w:rFonts w:ascii="宋体" w:hAnsi="宋体" w:eastAsia="宋体" w:cs="宋体"/>
          <w:kern w:val="0"/>
          <w:szCs w:val="21"/>
        </w:rPr>
        <w:t>（物资品种、质量标准、数量、包件划分、计划交货期等）。</w:t>
      </w:r>
    </w:p>
    <w:tbl>
      <w:tblPr>
        <w:tblStyle w:val="5"/>
        <w:tblW w:w="8546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389"/>
        <w:gridCol w:w="780"/>
        <w:gridCol w:w="525"/>
        <w:gridCol w:w="1350"/>
        <w:gridCol w:w="720"/>
        <w:gridCol w:w="660"/>
        <w:gridCol w:w="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tblCellSpacing w:w="0" w:type="dxa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物资名称</w:t>
            </w:r>
          </w:p>
        </w:tc>
        <w:tc>
          <w:tcPr>
            <w:tcW w:w="2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质量标准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生产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厂家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品牌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商标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送货城市（区域）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BTLY-3X50+2X25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BTLY-4x25+1x16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BTLY-4X35+1X16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BTLY-4X50+1X25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1209.89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309.15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431.77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RS485总线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RVVP-4x0.75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WDZB-BYJ-1.0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WDZB-BYJ-1.5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WDZB-BYJ-10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WDZB-BYJ-2.5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113850.16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WDZB-BYJ-4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47632.92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WDZB-BYJ-6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5974.72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WDZN22-YJY 4X150+1X70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WDZN-BYJ-1.0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2684.52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WDZN-BYJ-1.5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WDZN-BYJ-2.5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37627.01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WDZN-BYJ-4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1486.87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WDZN-BYJ-6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WDZN-YJY22 4X185+1X95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WDZN-YJY22 4X240+1X120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WDZN-YJY22 4X95+1X50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WDZN-YJY-3X4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548.89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WDZN-YJY-5x10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WDZN-YJY-5X16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WDZN-YJY-5X4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WDZ-YJY22 4X120+1X70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WDZ-YJY22 4X150+1X70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WDZ-YJY22 4X185+1X95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WDZ-YJY22 4X240+1X120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1828.89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WDZ-YJY22 4X35+1X16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WDZ-YJY22 4X95+1X50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WDZ-YJY-3x4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407.77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WDZ-YJY-3x6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5910.79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WDZ-YJY-4X2.5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WDZ-YJY-4X25+1X16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WDZ-YJY-4X35+1X16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634.23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WDZ-YJY-4X4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WDZ-YJY-4X50+1X25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829.36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WDZ-YJY-4X6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WDZ-YJY-4X70+1X35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1237.38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WDZ-YJY-4X95+1X50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1652.58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306.82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656.38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3098.65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WDZ-YJY-5X6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防水电缆 5X1.5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防水电缆4X2.5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防水电缆4X6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防水电缆5X1.5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NH-RVV-2*1.5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ZR-RVSP-2*1.5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854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>清华大学新建继续教育综合楼及学生宿舍、迁建附属小学工程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4.4要求：</w:t>
      </w:r>
    </w:p>
    <w:p>
      <w:pPr>
        <w:widowControl/>
        <w:numPr>
          <w:numId w:val="0"/>
        </w:numPr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①品牌：天津津能、北京华远高科电缆有限公司、河间新宝丰电线电缆有限公司、河北超达电线电缆有限公司</w:t>
      </w:r>
    </w:p>
    <w:p>
      <w:pPr>
        <w:widowControl/>
        <w:numPr>
          <w:numId w:val="0"/>
        </w:numPr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②要求：电线、电缆严格执行国家标准。不能亏方、不能少米数。</w:t>
      </w:r>
    </w:p>
    <w:p>
      <w:pPr>
        <w:widowControl/>
        <w:numPr>
          <w:numId w:val="0"/>
        </w:numPr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③报价时附上各厂家资质，加盖红章(代理商或经销商在原厂资质上加盖代理商或经销商红章）</w:t>
      </w:r>
    </w:p>
    <w:p>
      <w:pPr>
        <w:widowControl/>
        <w:numPr>
          <w:numId w:val="0"/>
        </w:numPr>
        <w:spacing w:before="100" w:beforeAutospacing="1" w:after="100" w:afterAutospacing="1" w:line="120" w:lineRule="auto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④含税单价为包干价(运费、装卸费、机械费、复检费等一切费用）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  <w:bookmarkStart w:id="0" w:name="_GoBack"/>
      <w:bookmarkEnd w:id="0"/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</w:rPr>
        <w:t>清华大学新建继续教育综合楼及学生宿舍、迁建附属小学工程</w:t>
      </w:r>
      <w:r>
        <w:rPr>
          <w:rFonts w:ascii="宋体" w:hAnsi="宋体" w:eastAsia="宋体" w:cs="宋体"/>
          <w:kern w:val="0"/>
          <w:szCs w:val="21"/>
        </w:rPr>
        <w:t>                 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毕云龙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</w:rPr>
        <w:t>17701353210</w:t>
      </w:r>
      <w:r>
        <w:rPr>
          <w:rFonts w:ascii="宋体" w:hAnsi="宋体" w:eastAsia="宋体" w:cs="宋体"/>
          <w:kern w:val="0"/>
          <w:szCs w:val="21"/>
        </w:rPr>
        <w:t>    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1146F"/>
    <w:rsid w:val="00324FA2"/>
    <w:rsid w:val="00343BA6"/>
    <w:rsid w:val="0036589A"/>
    <w:rsid w:val="003E5537"/>
    <w:rsid w:val="0040181D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7F57AC"/>
    <w:rsid w:val="00872446"/>
    <w:rsid w:val="00890935"/>
    <w:rsid w:val="00916121"/>
    <w:rsid w:val="00944E32"/>
    <w:rsid w:val="009B0BC0"/>
    <w:rsid w:val="009C7416"/>
    <w:rsid w:val="00A102E4"/>
    <w:rsid w:val="00A176A6"/>
    <w:rsid w:val="00A4390A"/>
    <w:rsid w:val="00A64437"/>
    <w:rsid w:val="00AD3392"/>
    <w:rsid w:val="00AD4445"/>
    <w:rsid w:val="00AE5D71"/>
    <w:rsid w:val="00AF0C3C"/>
    <w:rsid w:val="00B52CAB"/>
    <w:rsid w:val="00B85302"/>
    <w:rsid w:val="00BF322D"/>
    <w:rsid w:val="00C04474"/>
    <w:rsid w:val="00C5545C"/>
    <w:rsid w:val="00CA44C5"/>
    <w:rsid w:val="00D060A4"/>
    <w:rsid w:val="00D93E32"/>
    <w:rsid w:val="00DE1A18"/>
    <w:rsid w:val="00DE6A18"/>
    <w:rsid w:val="00E07C76"/>
    <w:rsid w:val="00E24F20"/>
    <w:rsid w:val="00F71D0E"/>
    <w:rsid w:val="00FB379A"/>
    <w:rsid w:val="12770F53"/>
    <w:rsid w:val="1309254C"/>
    <w:rsid w:val="259B68A3"/>
    <w:rsid w:val="27212C5E"/>
    <w:rsid w:val="31B26753"/>
    <w:rsid w:val="3215440D"/>
    <w:rsid w:val="36BE3803"/>
    <w:rsid w:val="736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3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ascii="Arial Unicode MS" w:hAnsi="Arial Unicode MS" w:eastAsia="Arial Unicode MS" w:cs="Arial Unicode MS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323</Words>
  <Characters>1842</Characters>
  <Lines>15</Lines>
  <Paragraphs>4</Paragraphs>
  <TotalTime>26</TotalTime>
  <ScaleCrop>false</ScaleCrop>
  <LinksUpToDate>false</LinksUpToDate>
  <CharactersWithSpaces>2161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青迷之青</cp:lastModifiedBy>
  <dcterms:modified xsi:type="dcterms:W3CDTF">2019-04-01T02:39:25Z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