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水源地动力电缆技术要求：</w:t>
      </w:r>
    </w:p>
    <w:p>
      <w:pPr>
        <w:adjustRightInd w:val="0"/>
        <w:snapToGrid w:val="0"/>
        <w:spacing w:line="240" w:lineRule="auto"/>
        <w:ind w:firstLine="420" w:firstLineChars="200"/>
        <w:rPr>
          <w:rFonts w:hint="eastAsia" w:ascii="宋体" w:hAnsi="宋体"/>
          <w:kern w:val="24"/>
          <w:szCs w:val="24"/>
        </w:rPr>
      </w:pPr>
      <w:r>
        <w:rPr>
          <w:rFonts w:hint="eastAsia" w:ascii="宋体" w:hAnsi="宋体"/>
          <w:kern w:val="24"/>
          <w:szCs w:val="24"/>
          <w:lang w:val="en-US" w:eastAsia="zh-CN"/>
        </w:rPr>
        <w:t>1、所供电缆</w:t>
      </w:r>
      <w:r>
        <w:rPr>
          <w:rFonts w:hint="eastAsia" w:ascii="宋体" w:hAnsi="宋体"/>
          <w:kern w:val="24"/>
          <w:szCs w:val="24"/>
        </w:rPr>
        <w:t>应遵循以下主要现行的国家、行业标准和规程，并严格执行有关的强制性国家标准和国家颁发的“工程建设标准强制性条文”。（但不限于此）</w:t>
      </w:r>
    </w:p>
    <w:p>
      <w:pPr>
        <w:spacing w:line="240" w:lineRule="auto"/>
        <w:ind w:left="567"/>
        <w:rPr>
          <w:rFonts w:hint="eastAsia" w:ascii="Arial" w:hAnsi="Arial" w:cs="Arial"/>
        </w:rPr>
      </w:pPr>
      <w:r>
        <w:rPr>
          <w:rFonts w:hint="eastAsia" w:ascii="Arial" w:hAnsi="Arial" w:cs="Arial"/>
        </w:rPr>
        <w:t>电缆应满足的主要现行标准有：</w:t>
      </w:r>
    </w:p>
    <w:p>
      <w:pPr>
        <w:spacing w:line="240" w:lineRule="auto"/>
        <w:ind w:firstLine="420" w:firstLineChars="200"/>
        <w:rPr>
          <w:rFonts w:hint="eastAsia" w:ascii="宋体" w:hAnsi="宋体"/>
          <w:color w:val="000000"/>
        </w:rPr>
      </w:pPr>
      <w:r>
        <w:rPr>
          <w:rFonts w:hint="eastAsia" w:ascii="宋体" w:hAnsi="宋体"/>
          <w:color w:val="000000"/>
        </w:rPr>
        <w:t>GB/T 2900            电工术语  电缆</w:t>
      </w:r>
    </w:p>
    <w:p>
      <w:pPr>
        <w:spacing w:line="240" w:lineRule="auto"/>
        <w:ind w:firstLine="420" w:firstLineChars="200"/>
        <w:rPr>
          <w:rFonts w:hint="eastAsia" w:ascii="宋体" w:hAnsi="宋体"/>
          <w:color w:val="000000"/>
        </w:rPr>
      </w:pPr>
      <w:r>
        <w:rPr>
          <w:rFonts w:hint="eastAsia" w:ascii="宋体" w:hAnsi="宋体"/>
          <w:color w:val="000000"/>
        </w:rPr>
        <w:t>GB/T 2951       电线电缆机械物理性能试验方法</w:t>
      </w:r>
    </w:p>
    <w:p>
      <w:pPr>
        <w:spacing w:line="240" w:lineRule="auto"/>
        <w:ind w:firstLine="420" w:firstLineChars="200"/>
        <w:rPr>
          <w:rFonts w:hint="eastAsia" w:ascii="宋体" w:hAnsi="宋体"/>
          <w:color w:val="000000"/>
        </w:rPr>
      </w:pPr>
      <w:r>
        <w:rPr>
          <w:rFonts w:hint="eastAsia" w:ascii="宋体" w:hAnsi="宋体"/>
          <w:color w:val="000000"/>
        </w:rPr>
        <w:t>GB/T 2952       电缆外护层</w:t>
      </w:r>
    </w:p>
    <w:p>
      <w:pPr>
        <w:spacing w:line="240" w:lineRule="auto"/>
        <w:ind w:firstLine="420" w:firstLineChars="200"/>
        <w:rPr>
          <w:rFonts w:hint="eastAsia" w:ascii="宋体" w:hAnsi="宋体"/>
          <w:color w:val="000000"/>
        </w:rPr>
      </w:pPr>
      <w:r>
        <w:rPr>
          <w:rFonts w:hint="eastAsia" w:ascii="宋体" w:hAnsi="宋体"/>
          <w:color w:val="000000"/>
        </w:rPr>
        <w:t>GB/T 3048       电线电缆电性能试验方法</w:t>
      </w:r>
    </w:p>
    <w:p>
      <w:pPr>
        <w:spacing w:line="240" w:lineRule="auto"/>
        <w:ind w:firstLine="420" w:firstLineChars="200"/>
        <w:rPr>
          <w:rFonts w:hint="eastAsia" w:ascii="宋体" w:hAnsi="宋体"/>
          <w:color w:val="000000"/>
        </w:rPr>
      </w:pPr>
      <w:r>
        <w:rPr>
          <w:rFonts w:hint="eastAsia" w:ascii="宋体" w:hAnsi="宋体"/>
          <w:color w:val="000000"/>
        </w:rPr>
        <w:t>GB/T 3953       电工用圆铜线</w:t>
      </w:r>
    </w:p>
    <w:p>
      <w:pPr>
        <w:spacing w:line="240" w:lineRule="auto"/>
        <w:ind w:firstLine="420" w:firstLineChars="200"/>
        <w:rPr>
          <w:rFonts w:hint="eastAsia" w:ascii="宋体" w:hAnsi="宋体"/>
          <w:color w:val="000000"/>
        </w:rPr>
      </w:pPr>
      <w:r>
        <w:rPr>
          <w:rFonts w:hint="eastAsia" w:ascii="宋体" w:hAnsi="宋体"/>
          <w:color w:val="000000"/>
        </w:rPr>
        <w:t>GB/T 3956       电缆导体</w:t>
      </w:r>
    </w:p>
    <w:p>
      <w:pPr>
        <w:spacing w:line="240" w:lineRule="auto"/>
        <w:ind w:firstLine="420" w:firstLineChars="200"/>
        <w:rPr>
          <w:rFonts w:hint="eastAsia" w:ascii="宋体" w:hAnsi="宋体"/>
          <w:color w:val="000000"/>
        </w:rPr>
      </w:pPr>
      <w:r>
        <w:rPr>
          <w:rFonts w:hint="eastAsia" w:ascii="宋体" w:hAnsi="宋体"/>
          <w:color w:val="000000"/>
        </w:rPr>
        <w:t>GB/T 4909       裸电线试验方法</w:t>
      </w:r>
    </w:p>
    <w:p>
      <w:pPr>
        <w:spacing w:line="240" w:lineRule="auto"/>
        <w:ind w:firstLine="420" w:firstLineChars="200"/>
        <w:rPr>
          <w:rFonts w:hint="eastAsia" w:ascii="宋体" w:hAnsi="宋体"/>
          <w:color w:val="000000"/>
        </w:rPr>
      </w:pPr>
      <w:r>
        <w:rPr>
          <w:rFonts w:hint="eastAsia" w:ascii="宋体" w:hAnsi="宋体"/>
          <w:color w:val="000000"/>
        </w:rPr>
        <w:t>GB/T 6995       电线电缆识别标志</w:t>
      </w:r>
    </w:p>
    <w:p>
      <w:pPr>
        <w:spacing w:line="240" w:lineRule="auto"/>
        <w:ind w:firstLine="420" w:firstLineChars="200"/>
        <w:rPr>
          <w:rFonts w:hint="eastAsia" w:ascii="宋体" w:hAnsi="宋体"/>
          <w:color w:val="000000"/>
        </w:rPr>
      </w:pPr>
      <w:r>
        <w:rPr>
          <w:rFonts w:hint="eastAsia" w:ascii="宋体" w:hAnsi="宋体"/>
          <w:color w:val="000000"/>
        </w:rPr>
        <w:t>GB/T 12666      电线电缆燃烧试验方法</w:t>
      </w:r>
    </w:p>
    <w:p>
      <w:pPr>
        <w:spacing w:line="240" w:lineRule="auto"/>
        <w:ind w:firstLine="420" w:firstLineChars="200"/>
        <w:rPr>
          <w:rFonts w:hint="eastAsia" w:ascii="宋体" w:hAnsi="宋体"/>
          <w:color w:val="000000"/>
        </w:rPr>
      </w:pPr>
      <w:r>
        <w:rPr>
          <w:rFonts w:hint="eastAsia" w:ascii="宋体" w:hAnsi="宋体"/>
          <w:color w:val="000000"/>
        </w:rPr>
        <w:t>GB/T 18380      电缆在火焰条件下的燃烧试验</w:t>
      </w:r>
    </w:p>
    <w:p>
      <w:pPr>
        <w:spacing w:line="240" w:lineRule="auto"/>
        <w:ind w:firstLine="420" w:firstLineChars="200"/>
        <w:rPr>
          <w:rFonts w:hint="eastAsia" w:ascii="宋体" w:hAnsi="宋体"/>
          <w:color w:val="000000"/>
        </w:rPr>
      </w:pPr>
      <w:r>
        <w:rPr>
          <w:rFonts w:hint="eastAsia" w:ascii="宋体" w:hAnsi="宋体"/>
          <w:color w:val="000000"/>
        </w:rPr>
        <w:t>GB/T 19666      阻燃和耐火电线电缆通则</w:t>
      </w:r>
    </w:p>
    <w:p>
      <w:pPr>
        <w:spacing w:line="240" w:lineRule="auto"/>
        <w:ind w:firstLine="420" w:firstLineChars="200"/>
        <w:rPr>
          <w:rFonts w:hint="eastAsia" w:ascii="宋体" w:hAnsi="宋体"/>
          <w:color w:val="000000"/>
        </w:rPr>
      </w:pPr>
      <w:r>
        <w:rPr>
          <w:rFonts w:hint="eastAsia" w:ascii="宋体" w:hAnsi="宋体"/>
          <w:color w:val="000000"/>
        </w:rPr>
        <w:t xml:space="preserve">GB 50168        电气装置安装工程电缆线路施工及验收规范  </w:t>
      </w:r>
    </w:p>
    <w:p>
      <w:pPr>
        <w:spacing w:line="240" w:lineRule="auto"/>
        <w:ind w:firstLine="420" w:firstLineChars="200"/>
        <w:rPr>
          <w:rFonts w:hint="eastAsia" w:ascii="宋体" w:hAnsi="宋体"/>
          <w:color w:val="000000"/>
        </w:rPr>
      </w:pPr>
      <w:r>
        <w:rPr>
          <w:rFonts w:hint="eastAsia" w:ascii="宋体" w:hAnsi="宋体"/>
          <w:color w:val="000000"/>
        </w:rPr>
        <w:t>GB 50217        电力工程电缆设计规范</w:t>
      </w:r>
    </w:p>
    <w:p>
      <w:pPr>
        <w:spacing w:line="240" w:lineRule="auto"/>
        <w:ind w:firstLine="420" w:firstLineChars="200"/>
        <w:rPr>
          <w:rFonts w:hint="eastAsia" w:ascii="宋体" w:hAnsi="宋体"/>
          <w:color w:val="000000"/>
        </w:rPr>
      </w:pPr>
      <w:r>
        <w:rPr>
          <w:rFonts w:hint="eastAsia" w:ascii="宋体" w:hAnsi="宋体"/>
          <w:color w:val="000000"/>
        </w:rPr>
        <w:t>JB/T 8137       电线电缆交货盘</w:t>
      </w:r>
    </w:p>
    <w:p>
      <w:pPr>
        <w:spacing w:line="240" w:lineRule="auto"/>
        <w:ind w:left="420" w:leftChars="200" w:firstLine="0" w:firstLineChars="0"/>
        <w:rPr>
          <w:rFonts w:hint="eastAsia" w:ascii="宋体" w:hAnsi="宋体"/>
          <w:color w:val="000000"/>
        </w:rPr>
      </w:pPr>
      <w:r>
        <w:rPr>
          <w:rFonts w:hint="eastAsia" w:ascii="宋体" w:hAnsi="宋体"/>
          <w:color w:val="000000"/>
        </w:rPr>
        <w:t>GB/T 12706.2    额定电压1kV(Um=1.2kV)到35 kV(Um=40.5kV)挤包绝缘电力电缆及其GB/T 12706.3    额定电压1kV（Um=1.2kV）到35kV（Um=40.5kV）挤包绝缘电力电缆及附件 第3部分：额定电压35kV（Um=40.5kV）电缆</w:t>
      </w:r>
    </w:p>
    <w:p>
      <w:pPr>
        <w:spacing w:line="240" w:lineRule="auto"/>
        <w:ind w:firstLine="420" w:firstLineChars="200"/>
        <w:rPr>
          <w:rFonts w:hint="eastAsia" w:ascii="宋体" w:hAnsi="宋体"/>
          <w:color w:val="000000"/>
        </w:rPr>
      </w:pPr>
      <w:r>
        <w:rPr>
          <w:rFonts w:hint="eastAsia" w:ascii="宋体" w:hAnsi="宋体"/>
          <w:color w:val="000000"/>
        </w:rPr>
        <w:t>在合同执行过程中,若又出版了与合同货物有关的新的标准,也视为应遵循的标准。</w:t>
      </w:r>
    </w:p>
    <w:p>
      <w:pPr>
        <w:numPr>
          <w:ilvl w:val="0"/>
          <w:numId w:val="1"/>
        </w:numPr>
        <w:spacing w:line="240" w:lineRule="auto"/>
        <w:ind w:firstLine="420" w:firstLineChars="200"/>
        <w:rPr>
          <w:rFonts w:hint="eastAsia" w:ascii="宋体" w:hAnsi="宋体"/>
          <w:color w:val="000000"/>
          <w:lang w:val="en-US" w:eastAsia="zh-CN"/>
        </w:rPr>
      </w:pPr>
      <w:r>
        <w:rPr>
          <w:rFonts w:hint="eastAsia" w:ascii="宋体" w:hAnsi="宋体"/>
          <w:color w:val="000000"/>
          <w:lang w:val="en-US" w:eastAsia="zh-CN"/>
        </w:rPr>
        <w:t>供货清单</w:t>
      </w:r>
    </w:p>
    <w:tbl>
      <w:tblPr>
        <w:tblW w:w="7335" w:type="dxa"/>
        <w:jc w:val="center"/>
        <w:tblInd w:w="501"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tblLayout w:type="fixed"/>
        <w:tblCellMar>
          <w:top w:w="15" w:type="dxa"/>
          <w:left w:w="15" w:type="dxa"/>
          <w:bottom w:w="15" w:type="dxa"/>
          <w:right w:w="15" w:type="dxa"/>
        </w:tblCellMar>
      </w:tblPr>
      <w:tblGrid>
        <w:gridCol w:w="957"/>
        <w:gridCol w:w="958"/>
        <w:gridCol w:w="1762"/>
        <w:gridCol w:w="1855"/>
        <w:gridCol w:w="1028"/>
        <w:gridCol w:w="77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tblLayout w:type="fixed"/>
          <w:tblCellMar>
            <w:top w:w="15" w:type="dxa"/>
            <w:left w:w="15" w:type="dxa"/>
            <w:bottom w:w="15" w:type="dxa"/>
            <w:right w:w="15" w:type="dxa"/>
          </w:tblCellMar>
        </w:tblPrEx>
        <w:trPr>
          <w:trHeight w:val="283" w:hRule="atLeast"/>
          <w:tblHeader/>
          <w:jc w:val="center"/>
        </w:trPr>
        <w:tc>
          <w:tcPr>
            <w:tcW w:w="957" w:type="dxa"/>
            <w:tcBorders>
              <w:tl2br w:val="nil"/>
              <w:tr2bl w:val="nil"/>
            </w:tcBorders>
            <w:shd w:val="clear"/>
            <w:vAlign w:val="top"/>
          </w:tcPr>
          <w:p>
            <w:pPr>
              <w:keepNext w:val="0"/>
              <w:keepLines w:val="0"/>
              <w:widowControl/>
              <w:suppressLineNumbers w:val="0"/>
              <w:spacing w:line="240" w:lineRule="auto"/>
              <w:jc w:val="center"/>
              <w:textAlignment w:val="top"/>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序号</w:t>
            </w:r>
          </w:p>
        </w:tc>
        <w:tc>
          <w:tcPr>
            <w:tcW w:w="958" w:type="dxa"/>
            <w:tcBorders>
              <w:tl2br w:val="nil"/>
              <w:tr2bl w:val="nil"/>
            </w:tcBorders>
            <w:shd w:val="clear"/>
            <w:vAlign w:val="top"/>
          </w:tcPr>
          <w:p>
            <w:pPr>
              <w:keepNext w:val="0"/>
              <w:keepLines w:val="0"/>
              <w:widowControl/>
              <w:suppressLineNumbers w:val="0"/>
              <w:spacing w:line="240" w:lineRule="auto"/>
              <w:jc w:val="center"/>
              <w:textAlignment w:val="top"/>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名称</w:t>
            </w:r>
          </w:p>
        </w:tc>
        <w:tc>
          <w:tcPr>
            <w:tcW w:w="1762" w:type="dxa"/>
            <w:tcBorders>
              <w:tl2br w:val="nil"/>
              <w:tr2bl w:val="nil"/>
            </w:tcBorders>
            <w:shd w:val="clear"/>
            <w:vAlign w:val="top"/>
          </w:tcPr>
          <w:p>
            <w:pPr>
              <w:keepNext w:val="0"/>
              <w:keepLines w:val="0"/>
              <w:widowControl/>
              <w:suppressLineNumbers w:val="0"/>
              <w:spacing w:line="240" w:lineRule="auto"/>
              <w:jc w:val="center"/>
              <w:textAlignment w:val="top"/>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电缆型号</w:t>
            </w:r>
          </w:p>
        </w:tc>
        <w:tc>
          <w:tcPr>
            <w:tcW w:w="1855" w:type="dxa"/>
            <w:tcBorders>
              <w:tl2br w:val="nil"/>
              <w:tr2bl w:val="nil"/>
            </w:tcBorders>
            <w:shd w:val="clear"/>
            <w:vAlign w:val="top"/>
          </w:tcPr>
          <w:p>
            <w:pPr>
              <w:keepNext w:val="0"/>
              <w:keepLines w:val="0"/>
              <w:widowControl/>
              <w:suppressLineNumbers w:val="0"/>
              <w:spacing w:line="240" w:lineRule="auto"/>
              <w:jc w:val="center"/>
              <w:textAlignment w:val="top"/>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规格</w:t>
            </w:r>
          </w:p>
        </w:tc>
        <w:tc>
          <w:tcPr>
            <w:tcW w:w="1028" w:type="dxa"/>
            <w:tcBorders>
              <w:tl2br w:val="nil"/>
              <w:tr2bl w:val="nil"/>
            </w:tcBorders>
            <w:shd w:val="clear"/>
            <w:vAlign w:val="top"/>
          </w:tcPr>
          <w:p>
            <w:pPr>
              <w:keepNext w:val="0"/>
              <w:keepLines w:val="0"/>
              <w:widowControl/>
              <w:suppressLineNumbers w:val="0"/>
              <w:spacing w:line="240" w:lineRule="auto"/>
              <w:jc w:val="center"/>
              <w:textAlignment w:val="top"/>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长度（</w:t>
            </w:r>
            <w:r>
              <w:rPr>
                <w:rFonts w:ascii="Tahoma" w:hAnsi="Tahoma" w:eastAsia="Tahoma" w:cs="Tahoma"/>
                <w:b/>
                <w:i w:val="0"/>
                <w:color w:val="000000"/>
                <w:kern w:val="0"/>
                <w:sz w:val="20"/>
                <w:szCs w:val="20"/>
                <w:u w:val="none"/>
                <w:bdr w:val="none" w:color="auto" w:sz="0" w:space="0"/>
                <w:lang w:val="en-US" w:eastAsia="zh-CN" w:bidi="ar"/>
              </w:rPr>
              <w:t>m</w:t>
            </w:r>
            <w:r>
              <w:rPr>
                <w:rFonts w:hint="eastAsia" w:ascii="宋体" w:hAnsi="宋体" w:eastAsia="宋体" w:cs="宋体"/>
                <w:b/>
                <w:i w:val="0"/>
                <w:color w:val="000000"/>
                <w:kern w:val="0"/>
                <w:sz w:val="20"/>
                <w:szCs w:val="20"/>
                <w:u w:val="none"/>
                <w:bdr w:val="none" w:color="auto" w:sz="0" w:space="0"/>
                <w:lang w:val="en-US" w:eastAsia="zh-CN" w:bidi="ar"/>
              </w:rPr>
              <w:t>）</w:t>
            </w:r>
          </w:p>
        </w:tc>
        <w:tc>
          <w:tcPr>
            <w:tcW w:w="775" w:type="dxa"/>
            <w:tcBorders>
              <w:tl2br w:val="nil"/>
              <w:tr2bl w:val="nil"/>
            </w:tcBorders>
            <w:shd w:val="clear"/>
            <w:vAlign w:val="top"/>
          </w:tcPr>
          <w:p>
            <w:pPr>
              <w:keepNext w:val="0"/>
              <w:keepLines w:val="0"/>
              <w:widowControl/>
              <w:suppressLineNumbers w:val="0"/>
              <w:spacing w:line="240" w:lineRule="auto"/>
              <w:jc w:val="center"/>
              <w:textAlignment w:val="top"/>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286" w:hRule="atLeast"/>
          <w:jc w:val="center"/>
        </w:trPr>
        <w:tc>
          <w:tcPr>
            <w:tcW w:w="957" w:type="dxa"/>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bdr w:val="none" w:color="auto" w:sz="0" w:space="0"/>
                <w:lang w:val="en-US" w:eastAsia="zh-CN" w:bidi="ar"/>
              </w:rPr>
              <w:t>1</w:t>
            </w:r>
          </w:p>
        </w:tc>
        <w:tc>
          <w:tcPr>
            <w:tcW w:w="958" w:type="dxa"/>
            <w:vMerge w:val="restart"/>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高压电缆</w:t>
            </w:r>
          </w:p>
        </w:tc>
        <w:tc>
          <w:tcPr>
            <w:tcW w:w="1762" w:type="dxa"/>
            <w:vMerge w:val="restart"/>
            <w:tcBorders>
              <w:tl2br w:val="nil"/>
              <w:tr2bl w:val="nil"/>
            </w:tcBorders>
            <w:shd w:val="clear" w:color="auto" w:fill="8DB4E2"/>
            <w:vAlign w:val="top"/>
          </w:tcPr>
          <w:p>
            <w:pPr>
              <w:keepNext w:val="0"/>
              <w:keepLines w:val="0"/>
              <w:widowControl/>
              <w:suppressLineNumbers w:val="0"/>
              <w:spacing w:line="240" w:lineRule="auto"/>
              <w:jc w:val="center"/>
              <w:textAlignment w:val="top"/>
              <w:rPr>
                <w:rFonts w:ascii="Arial" w:hAnsi="Arial" w:eastAsia="宋体" w:cs="Arial"/>
                <w:i w:val="0"/>
                <w:color w:val="000000"/>
                <w:sz w:val="18"/>
                <w:szCs w:val="18"/>
                <w:u w:val="none"/>
                <w:lang w:val="en-US"/>
              </w:rPr>
            </w:pPr>
            <w:r>
              <w:rPr>
                <w:rFonts w:hint="default" w:ascii="Arial" w:hAnsi="Arial" w:eastAsia="宋体" w:cs="Arial"/>
                <w:i w:val="0"/>
                <w:color w:val="000000"/>
                <w:kern w:val="0"/>
                <w:sz w:val="18"/>
                <w:szCs w:val="18"/>
                <w:u w:val="none"/>
                <w:lang w:val="en-US" w:eastAsia="zh-CN" w:bidi="ar"/>
              </w:rPr>
              <w:t>ZRC-YJV22-8.7/15</w:t>
            </w:r>
            <w:r>
              <w:rPr>
                <w:rFonts w:hint="eastAsia" w:ascii="Arial" w:hAnsi="Arial" w:eastAsia="宋体" w:cs="Arial"/>
                <w:i w:val="0"/>
                <w:color w:val="000000"/>
                <w:kern w:val="0"/>
                <w:sz w:val="18"/>
                <w:szCs w:val="18"/>
                <w:u w:val="none"/>
                <w:lang w:val="en-US" w:eastAsia="zh-CN" w:bidi="ar"/>
              </w:rPr>
              <w:t>kV</w:t>
            </w:r>
          </w:p>
        </w:tc>
        <w:tc>
          <w:tcPr>
            <w:tcW w:w="1855" w:type="dxa"/>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Tahoma" w:hAnsi="Tahoma" w:eastAsia="Tahoma" w:cs="Tahoma"/>
                <w:i w:val="0"/>
                <w:color w:val="000000"/>
                <w:sz w:val="18"/>
                <w:szCs w:val="18"/>
                <w:u w:val="none"/>
                <w:vertAlign w:val="superscript"/>
                <w:lang w:val="en-US"/>
              </w:rPr>
            </w:pPr>
            <w:r>
              <w:rPr>
                <w:rFonts w:hint="default" w:ascii="Tahoma" w:hAnsi="Tahoma" w:eastAsia="Tahoma" w:cs="Tahom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×185mm</w:t>
            </w:r>
            <w:r>
              <w:rPr>
                <w:rFonts w:hint="eastAsia" w:ascii="宋体" w:hAnsi="宋体" w:eastAsia="宋体" w:cs="宋体"/>
                <w:i w:val="0"/>
                <w:color w:val="000000"/>
                <w:kern w:val="0"/>
                <w:sz w:val="18"/>
                <w:szCs w:val="18"/>
                <w:u w:val="none"/>
                <w:bdr w:val="none" w:color="auto" w:sz="0" w:space="0"/>
                <w:vertAlign w:val="superscript"/>
                <w:lang w:val="en-US" w:eastAsia="zh-CN" w:bidi="ar"/>
              </w:rPr>
              <w:t>2</w:t>
            </w:r>
          </w:p>
        </w:tc>
        <w:tc>
          <w:tcPr>
            <w:tcW w:w="1028" w:type="dxa"/>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bdr w:val="none" w:color="auto" w:sz="0" w:space="0"/>
                <w:lang w:val="en-US" w:eastAsia="zh-CN" w:bidi="ar"/>
              </w:rPr>
              <w:t>150</w:t>
            </w:r>
          </w:p>
        </w:tc>
        <w:tc>
          <w:tcPr>
            <w:tcW w:w="775" w:type="dxa"/>
            <w:tcBorders>
              <w:tl2br w:val="nil"/>
              <w:tr2bl w:val="nil"/>
            </w:tcBorders>
            <w:shd w:val="clear" w:color="auto" w:fill="8DB4E2"/>
            <w:vAlign w:val="top"/>
          </w:tcPr>
          <w:p>
            <w:pPr>
              <w:spacing w:line="240" w:lineRule="auto"/>
              <w:jc w:val="center"/>
              <w:rPr>
                <w:rFonts w:hint="default" w:ascii="Tahoma" w:hAnsi="Tahoma" w:eastAsia="Tahoma" w:cs="Tahoma"/>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225" w:hRule="atLeast"/>
          <w:jc w:val="center"/>
        </w:trPr>
        <w:tc>
          <w:tcPr>
            <w:tcW w:w="957" w:type="dxa"/>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bdr w:val="none" w:color="auto" w:sz="0" w:space="0"/>
                <w:lang w:val="en-US" w:eastAsia="zh-CN" w:bidi="ar"/>
              </w:rPr>
              <w:t>2</w:t>
            </w:r>
          </w:p>
        </w:tc>
        <w:tc>
          <w:tcPr>
            <w:tcW w:w="958" w:type="dxa"/>
            <w:vMerge w:val="continue"/>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eastAsia" w:ascii="宋体" w:hAnsi="宋体" w:eastAsia="宋体" w:cs="宋体"/>
                <w:i w:val="0"/>
                <w:color w:val="000000"/>
                <w:sz w:val="20"/>
                <w:szCs w:val="20"/>
                <w:u w:val="none"/>
              </w:rPr>
            </w:pPr>
          </w:p>
        </w:tc>
        <w:tc>
          <w:tcPr>
            <w:tcW w:w="1762" w:type="dxa"/>
            <w:vMerge w:val="continue"/>
            <w:tcBorders>
              <w:tl2br w:val="nil"/>
              <w:tr2bl w:val="nil"/>
            </w:tcBorders>
            <w:shd w:val="clear" w:color="auto" w:fill="8DB4E2"/>
            <w:vAlign w:val="top"/>
          </w:tcPr>
          <w:p>
            <w:pPr>
              <w:keepNext w:val="0"/>
              <w:keepLines w:val="0"/>
              <w:widowControl/>
              <w:suppressLineNumbers w:val="0"/>
              <w:spacing w:line="240" w:lineRule="auto"/>
              <w:jc w:val="center"/>
              <w:textAlignment w:val="top"/>
              <w:rPr>
                <w:rFonts w:ascii="Arial" w:hAnsi="Arial" w:eastAsia="宋体" w:cs="Arial"/>
                <w:i w:val="0"/>
                <w:color w:val="000000"/>
                <w:sz w:val="18"/>
                <w:szCs w:val="18"/>
                <w:u w:val="none"/>
              </w:rPr>
            </w:pPr>
          </w:p>
        </w:tc>
        <w:tc>
          <w:tcPr>
            <w:tcW w:w="1855" w:type="dxa"/>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×120</w:t>
            </w:r>
            <w:r>
              <w:rPr>
                <w:rFonts w:hint="eastAsia" w:ascii="宋体" w:hAnsi="宋体" w:eastAsia="宋体" w:cs="宋体"/>
                <w:i w:val="0"/>
                <w:color w:val="000000"/>
                <w:kern w:val="0"/>
                <w:sz w:val="18"/>
                <w:szCs w:val="18"/>
                <w:u w:val="none"/>
                <w:lang w:val="en-US" w:eastAsia="zh-CN" w:bidi="ar"/>
              </w:rPr>
              <w:t>mm</w:t>
            </w:r>
            <w:r>
              <w:rPr>
                <w:rFonts w:hint="eastAsia" w:ascii="宋体" w:hAnsi="宋体" w:eastAsia="宋体" w:cs="宋体"/>
                <w:i w:val="0"/>
                <w:color w:val="000000"/>
                <w:kern w:val="0"/>
                <w:sz w:val="18"/>
                <w:szCs w:val="18"/>
                <w:u w:val="none"/>
                <w:vertAlign w:val="superscript"/>
                <w:lang w:val="en-US" w:eastAsia="zh-CN" w:bidi="ar"/>
              </w:rPr>
              <w:t>2</w:t>
            </w:r>
          </w:p>
        </w:tc>
        <w:tc>
          <w:tcPr>
            <w:tcW w:w="1028" w:type="dxa"/>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bdr w:val="none" w:color="auto" w:sz="0" w:space="0"/>
                <w:lang w:val="en-US" w:eastAsia="zh-CN" w:bidi="ar"/>
              </w:rPr>
              <w:t>520</w:t>
            </w:r>
          </w:p>
        </w:tc>
        <w:tc>
          <w:tcPr>
            <w:tcW w:w="775" w:type="dxa"/>
            <w:tcBorders>
              <w:tl2br w:val="nil"/>
              <w:tr2bl w:val="nil"/>
            </w:tcBorders>
            <w:shd w:val="clear" w:color="auto" w:fill="8DB4E2"/>
            <w:vAlign w:val="top"/>
          </w:tcPr>
          <w:p>
            <w:pPr>
              <w:spacing w:line="240" w:lineRule="auto"/>
              <w:jc w:val="center"/>
              <w:rPr>
                <w:rFonts w:hint="default" w:ascii="Tahoma" w:hAnsi="Tahoma" w:eastAsia="Tahoma" w:cs="Tahoma"/>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286" w:hRule="atLeast"/>
          <w:jc w:val="center"/>
        </w:trPr>
        <w:tc>
          <w:tcPr>
            <w:tcW w:w="957" w:type="dxa"/>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bdr w:val="none" w:color="auto" w:sz="0" w:space="0"/>
                <w:lang w:val="en-US" w:eastAsia="zh-CN" w:bidi="ar"/>
              </w:rPr>
              <w:t>3</w:t>
            </w:r>
          </w:p>
        </w:tc>
        <w:tc>
          <w:tcPr>
            <w:tcW w:w="958" w:type="dxa"/>
            <w:vMerge w:val="continue"/>
            <w:tcBorders>
              <w:tl2br w:val="nil"/>
              <w:tr2bl w:val="nil"/>
            </w:tcBorders>
            <w:shd w:val="clear" w:color="auto" w:fill="8DB4E2"/>
            <w:vAlign w:val="top"/>
          </w:tcPr>
          <w:p>
            <w:pPr>
              <w:spacing w:line="240" w:lineRule="auto"/>
              <w:rPr>
                <w:rFonts w:hint="eastAsia" w:ascii="宋体" w:hAnsi="宋体" w:eastAsia="宋体" w:cs="宋体"/>
                <w:i w:val="0"/>
                <w:color w:val="000000"/>
                <w:sz w:val="22"/>
                <w:szCs w:val="22"/>
                <w:u w:val="none"/>
              </w:rPr>
            </w:pPr>
          </w:p>
        </w:tc>
        <w:tc>
          <w:tcPr>
            <w:tcW w:w="1762" w:type="dxa"/>
            <w:vMerge w:val="continue"/>
            <w:tcBorders>
              <w:tl2br w:val="nil"/>
              <w:tr2bl w:val="nil"/>
            </w:tcBorders>
            <w:shd w:val="clear" w:color="auto" w:fill="8DB4E2"/>
            <w:vAlign w:val="top"/>
          </w:tcPr>
          <w:p>
            <w:pPr>
              <w:spacing w:line="240" w:lineRule="auto"/>
              <w:rPr>
                <w:rFonts w:hint="eastAsia" w:ascii="宋体" w:hAnsi="宋体" w:eastAsia="宋体" w:cs="宋体"/>
                <w:i w:val="0"/>
                <w:color w:val="000000"/>
                <w:sz w:val="22"/>
                <w:szCs w:val="22"/>
                <w:u w:val="none"/>
              </w:rPr>
            </w:pPr>
          </w:p>
        </w:tc>
        <w:tc>
          <w:tcPr>
            <w:tcW w:w="1855" w:type="dxa"/>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×35</w:t>
            </w:r>
            <w:r>
              <w:rPr>
                <w:rFonts w:hint="eastAsia" w:ascii="宋体" w:hAnsi="宋体" w:eastAsia="宋体" w:cs="宋体"/>
                <w:i w:val="0"/>
                <w:color w:val="000000"/>
                <w:kern w:val="0"/>
                <w:sz w:val="18"/>
                <w:szCs w:val="18"/>
                <w:u w:val="none"/>
                <w:lang w:val="en-US" w:eastAsia="zh-CN" w:bidi="ar"/>
              </w:rPr>
              <w:t>mm</w:t>
            </w:r>
            <w:r>
              <w:rPr>
                <w:rFonts w:hint="eastAsia" w:ascii="宋体" w:hAnsi="宋体" w:eastAsia="宋体" w:cs="宋体"/>
                <w:i w:val="0"/>
                <w:color w:val="000000"/>
                <w:kern w:val="0"/>
                <w:sz w:val="18"/>
                <w:szCs w:val="18"/>
                <w:u w:val="none"/>
                <w:vertAlign w:val="superscript"/>
                <w:lang w:val="en-US" w:eastAsia="zh-CN" w:bidi="ar"/>
              </w:rPr>
              <w:t>2</w:t>
            </w:r>
          </w:p>
        </w:tc>
        <w:tc>
          <w:tcPr>
            <w:tcW w:w="1028" w:type="dxa"/>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bdr w:val="none" w:color="auto" w:sz="0" w:space="0"/>
                <w:lang w:val="en-US" w:eastAsia="zh-CN" w:bidi="ar"/>
              </w:rPr>
              <w:t>160</w:t>
            </w:r>
          </w:p>
        </w:tc>
        <w:tc>
          <w:tcPr>
            <w:tcW w:w="775" w:type="dxa"/>
            <w:tcBorders>
              <w:tl2br w:val="nil"/>
              <w:tr2bl w:val="nil"/>
            </w:tcBorders>
            <w:shd w:val="clear" w:color="auto" w:fill="8DB4E2"/>
            <w:vAlign w:val="top"/>
          </w:tcPr>
          <w:p>
            <w:pPr>
              <w:spacing w:line="240" w:lineRule="auto"/>
              <w:jc w:val="center"/>
              <w:rPr>
                <w:rFonts w:hint="default" w:ascii="Tahoma" w:hAnsi="Tahoma" w:eastAsia="Tahoma" w:cs="Tahoma"/>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286" w:hRule="atLeast"/>
          <w:jc w:val="center"/>
        </w:trPr>
        <w:tc>
          <w:tcPr>
            <w:tcW w:w="957" w:type="dxa"/>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bdr w:val="none" w:color="auto" w:sz="0" w:space="0"/>
                <w:lang w:val="en-US" w:eastAsia="zh-CN" w:bidi="ar"/>
              </w:rPr>
              <w:t>4</w:t>
            </w:r>
          </w:p>
        </w:tc>
        <w:tc>
          <w:tcPr>
            <w:tcW w:w="958" w:type="dxa"/>
            <w:vMerge w:val="restart"/>
            <w:tcBorders>
              <w:tl2br w:val="nil"/>
              <w:tr2bl w:val="nil"/>
            </w:tcBorders>
            <w:shd w:val="clear" w:color="auto" w:fill="8DB4E2"/>
            <w:vAlign w:val="top"/>
          </w:tcPr>
          <w:p>
            <w:pPr>
              <w:keepNext w:val="0"/>
              <w:keepLines w:val="0"/>
              <w:widowControl/>
              <w:suppressLineNumbers w:val="0"/>
              <w:spacing w:line="240" w:lineRule="auto"/>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低压电缆</w:t>
            </w:r>
          </w:p>
        </w:tc>
        <w:tc>
          <w:tcPr>
            <w:tcW w:w="1762" w:type="dxa"/>
            <w:vMerge w:val="restart"/>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ZRC-YJV22-</w:t>
            </w:r>
            <w:r>
              <w:rPr>
                <w:rFonts w:hint="eastAsia" w:ascii="Arial" w:hAnsi="Arial" w:eastAsia="宋体" w:cs="Arial"/>
                <w:i w:val="0"/>
                <w:color w:val="000000"/>
                <w:kern w:val="0"/>
                <w:sz w:val="18"/>
                <w:szCs w:val="18"/>
                <w:u w:val="none"/>
                <w:lang w:val="en-US" w:eastAsia="zh-CN" w:bidi="ar"/>
              </w:rPr>
              <w:t>0.6/</w:t>
            </w:r>
            <w:r>
              <w:rPr>
                <w:rFonts w:hint="default" w:ascii="Arial" w:hAnsi="Arial" w:eastAsia="宋体" w:cs="Arial"/>
                <w:i w:val="0"/>
                <w:color w:val="000000"/>
                <w:kern w:val="0"/>
                <w:sz w:val="18"/>
                <w:szCs w:val="18"/>
                <w:u w:val="none"/>
                <w:lang w:val="en-US" w:eastAsia="zh-CN" w:bidi="ar"/>
              </w:rPr>
              <w:t>1kV</w:t>
            </w:r>
          </w:p>
        </w:tc>
        <w:tc>
          <w:tcPr>
            <w:tcW w:w="1855" w:type="dxa"/>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Tahoma" w:hAnsi="Tahoma" w:eastAsia="Tahoma" w:cs="Tahoma"/>
                <w:i w:val="0"/>
                <w:color w:val="000000"/>
                <w:sz w:val="18"/>
                <w:szCs w:val="18"/>
                <w:u w:val="none"/>
                <w:lang w:val="en-US"/>
              </w:rPr>
            </w:pPr>
            <w:r>
              <w:rPr>
                <w:rFonts w:hint="default" w:ascii="Tahoma" w:hAnsi="Tahoma" w:eastAsia="Tahoma" w:cs="Tahoma"/>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×185</w:t>
            </w:r>
            <w:r>
              <w:rPr>
                <w:rFonts w:hint="default" w:ascii="Arial" w:hAnsi="Arial" w:eastAsia="宋体" w:cs="Arial"/>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w:t>
            </w:r>
            <w:r>
              <w:rPr>
                <w:rFonts w:hint="eastAsia" w:ascii="Arial" w:hAnsi="Arial" w:eastAsia="宋体" w:cs="Arial"/>
                <w:i w:val="0"/>
                <w:color w:val="000000"/>
                <w:kern w:val="0"/>
                <w:sz w:val="18"/>
                <w:szCs w:val="18"/>
                <w:u w:val="none"/>
                <w:lang w:val="en-US" w:eastAsia="zh-CN" w:bidi="ar"/>
              </w:rPr>
              <w:t>95</w:t>
            </w:r>
            <w:r>
              <w:rPr>
                <w:rFonts w:hint="eastAsia" w:ascii="宋体" w:hAnsi="宋体" w:eastAsia="宋体" w:cs="宋体"/>
                <w:i w:val="0"/>
                <w:color w:val="000000"/>
                <w:kern w:val="0"/>
                <w:sz w:val="18"/>
                <w:szCs w:val="18"/>
                <w:u w:val="none"/>
                <w:lang w:val="en-US" w:eastAsia="zh-CN" w:bidi="ar"/>
              </w:rPr>
              <w:t>mm</w:t>
            </w:r>
            <w:r>
              <w:rPr>
                <w:rFonts w:hint="eastAsia" w:ascii="宋体" w:hAnsi="宋体" w:eastAsia="宋体" w:cs="宋体"/>
                <w:i w:val="0"/>
                <w:color w:val="000000"/>
                <w:kern w:val="0"/>
                <w:sz w:val="18"/>
                <w:szCs w:val="18"/>
                <w:u w:val="none"/>
                <w:vertAlign w:val="superscript"/>
                <w:lang w:val="en-US" w:eastAsia="zh-CN" w:bidi="ar"/>
              </w:rPr>
              <w:t>2</w:t>
            </w:r>
          </w:p>
        </w:tc>
        <w:tc>
          <w:tcPr>
            <w:tcW w:w="1028" w:type="dxa"/>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bdr w:val="none" w:color="auto" w:sz="0" w:space="0"/>
                <w:lang w:val="en-US" w:eastAsia="zh-CN" w:bidi="ar"/>
              </w:rPr>
              <w:t>290</w:t>
            </w:r>
          </w:p>
        </w:tc>
        <w:tc>
          <w:tcPr>
            <w:tcW w:w="775" w:type="dxa"/>
            <w:tcBorders>
              <w:tl2br w:val="nil"/>
              <w:tr2bl w:val="nil"/>
            </w:tcBorders>
            <w:shd w:val="clear" w:color="auto" w:fill="8DB4E2"/>
            <w:vAlign w:val="top"/>
          </w:tcPr>
          <w:p>
            <w:pPr>
              <w:spacing w:line="240" w:lineRule="auto"/>
              <w:jc w:val="both"/>
              <w:rPr>
                <w:rFonts w:hint="default" w:ascii="Tahoma" w:hAnsi="Tahoma" w:eastAsia="Tahoma" w:cs="Tahoma"/>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255" w:hRule="atLeast"/>
          <w:jc w:val="center"/>
        </w:trPr>
        <w:tc>
          <w:tcPr>
            <w:tcW w:w="957" w:type="dxa"/>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bdr w:val="none" w:color="auto" w:sz="0" w:space="0"/>
                <w:lang w:val="en-US" w:eastAsia="zh-CN" w:bidi="ar"/>
              </w:rPr>
              <w:t>5</w:t>
            </w:r>
            <w:bookmarkStart w:id="0" w:name="_GoBack"/>
            <w:bookmarkEnd w:id="0"/>
          </w:p>
        </w:tc>
        <w:tc>
          <w:tcPr>
            <w:tcW w:w="958" w:type="dxa"/>
            <w:vMerge w:val="continue"/>
            <w:tcBorders>
              <w:tl2br w:val="nil"/>
              <w:tr2bl w:val="nil"/>
            </w:tcBorders>
            <w:shd w:val="clear" w:color="auto" w:fill="8DB4E2"/>
            <w:vAlign w:val="top"/>
          </w:tcPr>
          <w:p>
            <w:pPr>
              <w:keepNext w:val="0"/>
              <w:keepLines w:val="0"/>
              <w:widowControl/>
              <w:suppressLineNumbers w:val="0"/>
              <w:spacing w:line="240" w:lineRule="auto"/>
              <w:jc w:val="both"/>
              <w:textAlignment w:val="top"/>
              <w:rPr>
                <w:rFonts w:hint="eastAsia" w:ascii="宋体" w:hAnsi="宋体" w:eastAsia="宋体" w:cs="宋体"/>
                <w:i w:val="0"/>
                <w:color w:val="000000"/>
                <w:sz w:val="20"/>
                <w:szCs w:val="20"/>
                <w:u w:val="none"/>
              </w:rPr>
            </w:pPr>
          </w:p>
        </w:tc>
        <w:tc>
          <w:tcPr>
            <w:tcW w:w="1762" w:type="dxa"/>
            <w:vMerge w:val="continue"/>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Arial" w:hAnsi="Arial" w:eastAsia="宋体" w:cs="Arial"/>
                <w:i w:val="0"/>
                <w:color w:val="000000"/>
                <w:sz w:val="18"/>
                <w:szCs w:val="18"/>
                <w:u w:val="none"/>
              </w:rPr>
            </w:pPr>
          </w:p>
        </w:tc>
        <w:tc>
          <w:tcPr>
            <w:tcW w:w="1855" w:type="dxa"/>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Arial" w:hAnsi="Arial" w:eastAsia="宋体" w:cs="Arial"/>
                <w:i w:val="0"/>
                <w:color w:val="000000"/>
                <w:kern w:val="0"/>
                <w:sz w:val="18"/>
                <w:szCs w:val="18"/>
                <w:u w:val="none"/>
                <w:bdr w:val="none" w:color="auto" w:sz="0" w:space="0"/>
                <w:lang w:val="en-US" w:eastAsia="zh-CN" w:bidi="ar"/>
              </w:rPr>
              <w:t>35+1</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Arial" w:hAnsi="Arial" w:eastAsia="宋体" w:cs="Arial"/>
                <w:i w:val="0"/>
                <w:color w:val="000000"/>
                <w:kern w:val="0"/>
                <w:sz w:val="18"/>
                <w:szCs w:val="18"/>
                <w:u w:val="none"/>
                <w:bdr w:val="none" w:color="auto" w:sz="0" w:space="0"/>
                <w:lang w:val="en-US" w:eastAsia="zh-CN" w:bidi="ar"/>
              </w:rPr>
              <w:t>16</w:t>
            </w:r>
            <w:r>
              <w:rPr>
                <w:rFonts w:hint="eastAsia" w:ascii="宋体" w:hAnsi="宋体" w:eastAsia="宋体" w:cs="宋体"/>
                <w:i w:val="0"/>
                <w:color w:val="000000"/>
                <w:kern w:val="0"/>
                <w:sz w:val="18"/>
                <w:szCs w:val="18"/>
                <w:u w:val="none"/>
                <w:lang w:val="en-US" w:eastAsia="zh-CN" w:bidi="ar"/>
              </w:rPr>
              <w:t>mm</w:t>
            </w:r>
            <w:r>
              <w:rPr>
                <w:rFonts w:hint="eastAsia" w:ascii="宋体" w:hAnsi="宋体" w:eastAsia="宋体" w:cs="宋体"/>
                <w:i w:val="0"/>
                <w:color w:val="000000"/>
                <w:kern w:val="0"/>
                <w:sz w:val="18"/>
                <w:szCs w:val="18"/>
                <w:u w:val="none"/>
                <w:vertAlign w:val="superscript"/>
                <w:lang w:val="en-US" w:eastAsia="zh-CN" w:bidi="ar"/>
              </w:rPr>
              <w:t>2</w:t>
            </w:r>
          </w:p>
        </w:tc>
        <w:tc>
          <w:tcPr>
            <w:tcW w:w="1028" w:type="dxa"/>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bdr w:val="none" w:color="auto" w:sz="0" w:space="0"/>
                <w:lang w:val="en-US" w:eastAsia="zh-CN" w:bidi="ar"/>
              </w:rPr>
              <w:t>900</w:t>
            </w:r>
          </w:p>
        </w:tc>
        <w:tc>
          <w:tcPr>
            <w:tcW w:w="775" w:type="dxa"/>
            <w:tcBorders>
              <w:tl2br w:val="nil"/>
              <w:tr2bl w:val="nil"/>
            </w:tcBorders>
            <w:shd w:val="clear" w:color="auto" w:fill="8DB4E2"/>
            <w:vAlign w:val="top"/>
          </w:tcPr>
          <w:p>
            <w:pPr>
              <w:spacing w:line="240" w:lineRule="auto"/>
              <w:jc w:val="both"/>
              <w:rPr>
                <w:rFonts w:hint="default" w:ascii="Tahoma" w:hAnsi="Tahoma" w:eastAsia="Tahoma" w:cs="Tahoma"/>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286" w:hRule="atLeast"/>
          <w:jc w:val="center"/>
        </w:trPr>
        <w:tc>
          <w:tcPr>
            <w:tcW w:w="957" w:type="dxa"/>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bdr w:val="none" w:color="auto" w:sz="0" w:space="0"/>
                <w:lang w:val="en-US" w:eastAsia="zh-CN" w:bidi="ar"/>
              </w:rPr>
              <w:t>6</w:t>
            </w:r>
          </w:p>
        </w:tc>
        <w:tc>
          <w:tcPr>
            <w:tcW w:w="958" w:type="dxa"/>
            <w:vMerge w:val="continue"/>
            <w:tcBorders>
              <w:tl2br w:val="nil"/>
              <w:tr2bl w:val="nil"/>
            </w:tcBorders>
            <w:shd w:val="clear" w:color="auto" w:fill="8DB4E2"/>
            <w:vAlign w:val="top"/>
          </w:tcPr>
          <w:p>
            <w:pPr>
              <w:spacing w:line="240" w:lineRule="auto"/>
              <w:rPr>
                <w:rFonts w:hint="eastAsia" w:ascii="宋体" w:hAnsi="宋体" w:eastAsia="宋体" w:cs="宋体"/>
                <w:i w:val="0"/>
                <w:color w:val="000000"/>
                <w:sz w:val="22"/>
                <w:szCs w:val="22"/>
                <w:u w:val="none"/>
              </w:rPr>
            </w:pPr>
          </w:p>
        </w:tc>
        <w:tc>
          <w:tcPr>
            <w:tcW w:w="1762" w:type="dxa"/>
            <w:vMerge w:val="continue"/>
            <w:tcBorders>
              <w:tl2br w:val="nil"/>
              <w:tr2bl w:val="nil"/>
            </w:tcBorders>
            <w:shd w:val="clear" w:color="auto" w:fill="8DB4E2"/>
            <w:vAlign w:val="top"/>
          </w:tcPr>
          <w:p>
            <w:pPr>
              <w:spacing w:line="240" w:lineRule="auto"/>
              <w:rPr>
                <w:rFonts w:hint="eastAsia" w:ascii="宋体" w:hAnsi="宋体" w:eastAsia="宋体" w:cs="宋体"/>
                <w:i w:val="0"/>
                <w:color w:val="000000"/>
                <w:sz w:val="22"/>
                <w:szCs w:val="22"/>
                <w:u w:val="none"/>
              </w:rPr>
            </w:pPr>
          </w:p>
        </w:tc>
        <w:tc>
          <w:tcPr>
            <w:tcW w:w="1855" w:type="dxa"/>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Arial" w:hAnsi="Arial" w:eastAsia="宋体" w:cs="Arial"/>
                <w:i w:val="0"/>
                <w:color w:val="000000"/>
                <w:kern w:val="0"/>
                <w:sz w:val="18"/>
                <w:szCs w:val="18"/>
                <w:u w:val="none"/>
                <w:bdr w:val="none" w:color="auto" w:sz="0" w:space="0"/>
                <w:lang w:val="en-US" w:eastAsia="zh-CN" w:bidi="ar"/>
              </w:rPr>
              <w:t>16+1</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Arial" w:hAnsi="Arial" w:eastAsia="宋体" w:cs="Arial"/>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lang w:val="en-US" w:eastAsia="zh-CN" w:bidi="ar"/>
              </w:rPr>
              <w:t>mm</w:t>
            </w:r>
            <w:r>
              <w:rPr>
                <w:rFonts w:hint="eastAsia" w:ascii="宋体" w:hAnsi="宋体" w:eastAsia="宋体" w:cs="宋体"/>
                <w:i w:val="0"/>
                <w:color w:val="000000"/>
                <w:kern w:val="0"/>
                <w:sz w:val="18"/>
                <w:szCs w:val="18"/>
                <w:u w:val="none"/>
                <w:vertAlign w:val="superscript"/>
                <w:lang w:val="en-US" w:eastAsia="zh-CN" w:bidi="ar"/>
              </w:rPr>
              <w:t>2</w:t>
            </w:r>
          </w:p>
        </w:tc>
        <w:tc>
          <w:tcPr>
            <w:tcW w:w="1028" w:type="dxa"/>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bdr w:val="none" w:color="auto" w:sz="0" w:space="0"/>
                <w:lang w:val="en-US" w:eastAsia="zh-CN" w:bidi="ar"/>
              </w:rPr>
              <w:t>650</w:t>
            </w:r>
          </w:p>
        </w:tc>
        <w:tc>
          <w:tcPr>
            <w:tcW w:w="775" w:type="dxa"/>
            <w:tcBorders>
              <w:tl2br w:val="nil"/>
              <w:tr2bl w:val="nil"/>
            </w:tcBorders>
            <w:shd w:val="clear" w:color="auto" w:fill="8DB4E2"/>
            <w:vAlign w:val="top"/>
          </w:tcPr>
          <w:p>
            <w:pPr>
              <w:spacing w:line="240" w:lineRule="auto"/>
              <w:jc w:val="both"/>
              <w:rPr>
                <w:rFonts w:hint="default" w:ascii="Tahoma" w:hAnsi="Tahoma" w:eastAsia="Tahoma" w:cs="Tahoma"/>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286" w:hRule="atLeast"/>
          <w:jc w:val="center"/>
        </w:trPr>
        <w:tc>
          <w:tcPr>
            <w:tcW w:w="957" w:type="dxa"/>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bdr w:val="none" w:color="auto" w:sz="0" w:space="0"/>
                <w:lang w:val="en-US" w:eastAsia="zh-CN" w:bidi="ar"/>
              </w:rPr>
              <w:t>7</w:t>
            </w:r>
          </w:p>
        </w:tc>
        <w:tc>
          <w:tcPr>
            <w:tcW w:w="958" w:type="dxa"/>
            <w:vMerge w:val="continue"/>
            <w:tcBorders>
              <w:tl2br w:val="nil"/>
              <w:tr2bl w:val="nil"/>
            </w:tcBorders>
            <w:shd w:val="clear" w:color="auto" w:fill="8DB4E2"/>
            <w:vAlign w:val="top"/>
          </w:tcPr>
          <w:p>
            <w:pPr>
              <w:spacing w:line="240" w:lineRule="auto"/>
              <w:rPr>
                <w:rFonts w:hint="eastAsia" w:ascii="宋体" w:hAnsi="宋体" w:eastAsia="宋体" w:cs="宋体"/>
                <w:i w:val="0"/>
                <w:color w:val="000000"/>
                <w:sz w:val="22"/>
                <w:szCs w:val="22"/>
                <w:u w:val="none"/>
              </w:rPr>
            </w:pPr>
          </w:p>
        </w:tc>
        <w:tc>
          <w:tcPr>
            <w:tcW w:w="1762" w:type="dxa"/>
            <w:vMerge w:val="continue"/>
            <w:tcBorders>
              <w:tl2br w:val="nil"/>
              <w:tr2bl w:val="nil"/>
            </w:tcBorders>
            <w:shd w:val="clear" w:color="auto" w:fill="8DB4E2"/>
            <w:vAlign w:val="top"/>
          </w:tcPr>
          <w:p>
            <w:pPr>
              <w:spacing w:line="240" w:lineRule="auto"/>
              <w:rPr>
                <w:rFonts w:hint="eastAsia" w:ascii="宋体" w:hAnsi="宋体" w:eastAsia="宋体" w:cs="宋体"/>
                <w:i w:val="0"/>
                <w:color w:val="000000"/>
                <w:sz w:val="22"/>
                <w:szCs w:val="22"/>
                <w:u w:val="none"/>
              </w:rPr>
            </w:pPr>
          </w:p>
        </w:tc>
        <w:tc>
          <w:tcPr>
            <w:tcW w:w="1855" w:type="dxa"/>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bdr w:val="none" w:color="auto" w:sz="0" w:space="0"/>
                <w:lang w:val="en-US" w:eastAsia="zh-CN" w:bidi="ar"/>
              </w:rPr>
              <w:t>3x6+1</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Arial" w:hAnsi="Arial" w:eastAsia="宋体" w:cs="Arial"/>
                <w:i w:val="0"/>
                <w:color w:val="000000"/>
                <w:kern w:val="0"/>
                <w:sz w:val="18"/>
                <w:szCs w:val="18"/>
                <w:u w:val="none"/>
                <w:bdr w:val="none" w:color="auto" w:sz="0" w:space="0"/>
                <w:lang w:val="en-US" w:eastAsia="zh-CN" w:bidi="ar"/>
              </w:rPr>
              <w:t>4</w:t>
            </w:r>
            <w:r>
              <w:rPr>
                <w:rFonts w:hint="eastAsia" w:ascii="宋体" w:hAnsi="宋体" w:eastAsia="宋体" w:cs="宋体"/>
                <w:i w:val="0"/>
                <w:color w:val="000000"/>
                <w:kern w:val="0"/>
                <w:sz w:val="18"/>
                <w:szCs w:val="18"/>
                <w:u w:val="none"/>
                <w:lang w:val="en-US" w:eastAsia="zh-CN" w:bidi="ar"/>
              </w:rPr>
              <w:t>mm</w:t>
            </w:r>
            <w:r>
              <w:rPr>
                <w:rFonts w:hint="eastAsia" w:ascii="宋体" w:hAnsi="宋体" w:eastAsia="宋体" w:cs="宋体"/>
                <w:i w:val="0"/>
                <w:color w:val="000000"/>
                <w:kern w:val="0"/>
                <w:sz w:val="18"/>
                <w:szCs w:val="18"/>
                <w:u w:val="none"/>
                <w:vertAlign w:val="superscript"/>
                <w:lang w:val="en-US" w:eastAsia="zh-CN" w:bidi="ar"/>
              </w:rPr>
              <w:t>2</w:t>
            </w:r>
          </w:p>
        </w:tc>
        <w:tc>
          <w:tcPr>
            <w:tcW w:w="1028" w:type="dxa"/>
            <w:tcBorders>
              <w:tl2br w:val="nil"/>
              <w:tr2bl w:val="nil"/>
            </w:tcBorders>
            <w:shd w:val="clear" w:color="auto" w:fill="8DB4E2"/>
            <w:vAlign w:val="top"/>
          </w:tcPr>
          <w:p>
            <w:pPr>
              <w:keepNext w:val="0"/>
              <w:keepLines w:val="0"/>
              <w:widowControl/>
              <w:suppressLineNumbers w:val="0"/>
              <w:spacing w:line="240" w:lineRule="auto"/>
              <w:jc w:val="center"/>
              <w:textAlignment w:val="top"/>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bdr w:val="none" w:color="auto" w:sz="0" w:space="0"/>
                <w:lang w:val="en-US" w:eastAsia="zh-CN" w:bidi="ar"/>
              </w:rPr>
              <w:t>700</w:t>
            </w:r>
          </w:p>
        </w:tc>
        <w:tc>
          <w:tcPr>
            <w:tcW w:w="775" w:type="dxa"/>
            <w:tcBorders>
              <w:tl2br w:val="nil"/>
              <w:tr2bl w:val="nil"/>
            </w:tcBorders>
            <w:shd w:val="clear" w:color="auto" w:fill="8DB4E2"/>
            <w:vAlign w:val="top"/>
          </w:tcPr>
          <w:p>
            <w:pPr>
              <w:spacing w:line="240" w:lineRule="auto"/>
              <w:jc w:val="both"/>
              <w:rPr>
                <w:rFonts w:hint="default" w:ascii="Tahoma" w:hAnsi="Tahoma" w:eastAsia="Tahoma" w:cs="Tahoma"/>
                <w:i w:val="0"/>
                <w:color w:val="000000"/>
                <w:sz w:val="20"/>
                <w:szCs w:val="20"/>
                <w:u w:val="none"/>
              </w:rPr>
            </w:pPr>
          </w:p>
        </w:tc>
      </w:tr>
    </w:tbl>
    <w:p>
      <w:pPr>
        <w:adjustRightInd w:val="0"/>
        <w:snapToGrid w:val="0"/>
        <w:spacing w:line="240" w:lineRule="auto"/>
        <w:ind w:firstLine="420" w:firstLineChars="200"/>
        <w:rPr>
          <w:rFonts w:hint="eastAsia" w:eastAsiaTheme="minorEastAsia"/>
          <w:lang w:val="en-US" w:eastAsia="zh-CN"/>
        </w:rPr>
      </w:pPr>
      <w:r>
        <w:rPr>
          <w:rFonts w:hint="eastAsia"/>
          <w:lang w:eastAsia="zh-CN"/>
        </w:rPr>
        <w:t>注：超过两千米的分两段，每段中间不能有接头，所供电缆满足国标要求。每段电缆必须有电缆盘，</w:t>
      </w:r>
      <w:r>
        <w:rPr>
          <w:rFonts w:hint="eastAsia" w:ascii="宋体" w:hAnsi="宋体"/>
          <w:szCs w:val="24"/>
        </w:rPr>
        <w:t>电缆盘应采用铁木结构，电缆盘应能承受在运输、现场搬运中可能遭受的外力作用。应能在任何气象条件下在户外至少储存5年期间可能遭受的外力作用。并且电缆盘应能承受在安装或处理电缆时所可能遭受的外力作用不会损伤电缆及盘体。电缆盘桶体最小直径应符合电缆最小弯曲半径。每盘电缆的端头应采用密封头密封。电缆装盘每盘必须是一根完整的电缆，配盘参照设计院最终电缆清册，由招标方、投标方在联络会确定。</w:t>
      </w:r>
      <w:r>
        <w:rPr>
          <w:rFonts w:hint="eastAsia"/>
        </w:rPr>
        <w:t>避免施工过程中出现过多电缆接头。</w:t>
      </w:r>
      <w:r>
        <w:rPr>
          <w:rFonts w:hint="eastAsia" w:ascii="宋体"/>
          <w:kern w:val="0"/>
          <w:szCs w:val="24"/>
        </w:rPr>
        <w:t>每盘电缆长度计量误差不超过±0.5％。电缆盘外侧各项标记如电缆型号、规格、各段长度等应准确清晰。芯线识别标记：动力电缆绝缘线芯识别标识采用相线为红、绿、黄色，零线为黑（浅蓝）色。电缆外护套表面每隔1米左右应有电缆生产厂家、电缆规格、型号、电压等级、长度等标识，且标识清晰、准确、不脱落。电缆端头应封堵严密。</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E7B9"/>
    <w:multiLevelType w:val="singleLevel"/>
    <w:tmpl w:val="21CEE7B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4701B"/>
    <w:rsid w:val="088D0EDB"/>
    <w:rsid w:val="09801057"/>
    <w:rsid w:val="0E3340CE"/>
    <w:rsid w:val="154E2D94"/>
    <w:rsid w:val="16D84D37"/>
    <w:rsid w:val="1C597337"/>
    <w:rsid w:val="30484BDA"/>
    <w:rsid w:val="343B7B79"/>
    <w:rsid w:val="56FB4B25"/>
    <w:rsid w:val="5CAA3E12"/>
    <w:rsid w:val="75330ACA"/>
    <w:rsid w:val="7E452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51"/>
    <w:basedOn w:val="2"/>
    <w:qFormat/>
    <w:uiPriority w:val="0"/>
    <w:rPr>
      <w:rFonts w:hint="eastAsia" w:ascii="宋体" w:hAnsi="宋体" w:eastAsia="宋体" w:cs="宋体"/>
      <w:b/>
      <w:color w:val="000000"/>
      <w:sz w:val="20"/>
      <w:szCs w:val="20"/>
      <w:u w:val="none"/>
    </w:rPr>
  </w:style>
  <w:style w:type="character" w:customStyle="1" w:styleId="5">
    <w:name w:val="font21"/>
    <w:basedOn w:val="2"/>
    <w:qFormat/>
    <w:uiPriority w:val="0"/>
    <w:rPr>
      <w:rFonts w:ascii="Tahoma" w:hAnsi="Tahoma" w:eastAsia="Tahoma" w:cs="Tahoma"/>
      <w:b/>
      <w:color w:val="000000"/>
      <w:sz w:val="20"/>
      <w:szCs w:val="20"/>
      <w:u w:val="none"/>
    </w:rPr>
  </w:style>
  <w:style w:type="character" w:customStyle="1" w:styleId="6">
    <w:name w:val="font81"/>
    <w:basedOn w:val="2"/>
    <w:qFormat/>
    <w:uiPriority w:val="0"/>
    <w:rPr>
      <w:rFonts w:hint="default" w:ascii="Tahoma" w:hAnsi="Tahoma" w:eastAsia="Tahoma" w:cs="Tahoma"/>
      <w:color w:val="000000"/>
      <w:sz w:val="18"/>
      <w:szCs w:val="18"/>
      <w:u w:val="none"/>
    </w:rPr>
  </w:style>
  <w:style w:type="character" w:customStyle="1" w:styleId="7">
    <w:name w:val="font31"/>
    <w:basedOn w:val="2"/>
    <w:qFormat/>
    <w:uiPriority w:val="0"/>
    <w:rPr>
      <w:rFonts w:hint="eastAsia" w:ascii="宋体" w:hAnsi="宋体" w:eastAsia="宋体" w:cs="宋体"/>
      <w:color w:val="000000"/>
      <w:sz w:val="18"/>
      <w:szCs w:val="18"/>
      <w:u w:val="none"/>
    </w:rPr>
  </w:style>
  <w:style w:type="character" w:customStyle="1" w:styleId="8">
    <w:name w:val="font11"/>
    <w:basedOn w:val="2"/>
    <w:qFormat/>
    <w:uiPriority w:val="0"/>
    <w:rPr>
      <w:rFonts w:hint="default" w:ascii="Arial" w:hAnsi="Arial" w:cs="Arial"/>
      <w:color w:val="000000"/>
      <w:sz w:val="18"/>
      <w:szCs w:val="18"/>
      <w:u w:val="none"/>
    </w:rPr>
  </w:style>
  <w:style w:type="character" w:customStyle="1" w:styleId="9">
    <w:name w:val="font61"/>
    <w:basedOn w:val="2"/>
    <w:qFormat/>
    <w:uiPriority w:val="0"/>
    <w:rPr>
      <w:rFonts w:hint="default" w:ascii="Tahoma" w:hAnsi="Tahoma" w:eastAsia="Tahoma" w:cs="Tahoma"/>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夏文晖/hnsd</cp:lastModifiedBy>
  <dcterms:modified xsi:type="dcterms:W3CDTF">2019-04-30T06:51:06Z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