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4"/>
        </w:rPr>
      </w:pPr>
      <w:bookmarkStart w:id="0" w:name="_Toc10731503"/>
      <w:r>
        <w:rPr>
          <w:rFonts w:hint="eastAsia" w:ascii="宋体" w:hAnsi="宋体"/>
          <w:b/>
          <w:sz w:val="24"/>
        </w:rPr>
        <w:t>附件一：招标物资包件清单</w:t>
      </w:r>
    </w:p>
    <w:p>
      <w:pPr>
        <w:jc w:val="center"/>
        <w:rPr>
          <w:rFonts w:ascii="宋体" w:hAnsi="宋体"/>
          <w:sz w:val="30"/>
          <w:szCs w:val="30"/>
        </w:rPr>
      </w:pPr>
      <w:r>
        <w:rPr>
          <w:rFonts w:hint="eastAsia" w:ascii="宋体" w:hAnsi="宋体"/>
          <w:sz w:val="24"/>
        </w:rPr>
        <w:t>（</w:t>
      </w:r>
      <w:r>
        <w:rPr>
          <w:rFonts w:hint="eastAsia"/>
          <w:sz w:val="24"/>
        </w:rPr>
        <w:t>以下数据仅作为初步依据，具体物资规格、数量以施工图为准。</w:t>
      </w:r>
      <w:r>
        <w:rPr>
          <w:rFonts w:hint="eastAsia" w:ascii="宋体" w:hAnsi="宋体"/>
          <w:sz w:val="24"/>
        </w:rPr>
        <w:t>）</w:t>
      </w:r>
    </w:p>
    <w:tbl>
      <w:tblPr>
        <w:tblStyle w:val="6"/>
        <w:tblW w:w="13988" w:type="dxa"/>
        <w:tblInd w:w="0" w:type="dxa"/>
        <w:tblLayout w:type="fixed"/>
        <w:tblCellMar>
          <w:top w:w="0" w:type="dxa"/>
          <w:left w:w="15" w:type="dxa"/>
          <w:bottom w:w="0" w:type="dxa"/>
          <w:right w:w="15" w:type="dxa"/>
        </w:tblCellMar>
      </w:tblPr>
      <w:tblGrid>
        <w:gridCol w:w="397"/>
        <w:gridCol w:w="578"/>
        <w:gridCol w:w="477"/>
        <w:gridCol w:w="950"/>
        <w:gridCol w:w="370"/>
        <w:gridCol w:w="659"/>
        <w:gridCol w:w="1320"/>
        <w:gridCol w:w="792"/>
        <w:gridCol w:w="660"/>
        <w:gridCol w:w="7785"/>
      </w:tblGrid>
      <w:tr>
        <w:tblPrEx>
          <w:tblLayout w:type="fixed"/>
          <w:tblCellMar>
            <w:top w:w="0" w:type="dxa"/>
            <w:left w:w="15" w:type="dxa"/>
            <w:bottom w:w="0" w:type="dxa"/>
            <w:right w:w="15" w:type="dxa"/>
          </w:tblCellMar>
        </w:tblPrEx>
        <w:trPr>
          <w:trHeight w:val="480" w:hRule="atLeast"/>
        </w:trPr>
        <w:tc>
          <w:tcPr>
            <w:tcW w:w="3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bookmarkStart w:id="2" w:name="_GoBack"/>
            <w:r>
              <w:rPr>
                <w:rFonts w:ascii="宋体" w:hAnsi="宋体"/>
                <w:b/>
                <w:sz w:val="15"/>
                <w:szCs w:val="15"/>
              </w:rPr>
              <w:t>序号</w:t>
            </w:r>
          </w:p>
        </w:tc>
        <w:tc>
          <w:tcPr>
            <w:tcW w:w="5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物资名称</w:t>
            </w:r>
          </w:p>
        </w:tc>
        <w:tc>
          <w:tcPr>
            <w:tcW w:w="4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规格</w:t>
            </w:r>
            <w:r>
              <w:rPr>
                <w:rFonts w:ascii="宋体" w:hAnsi="宋体"/>
                <w:b/>
                <w:sz w:val="15"/>
                <w:szCs w:val="15"/>
              </w:rPr>
              <w:br w:type="textWrapping"/>
            </w:r>
            <w:r>
              <w:rPr>
                <w:rFonts w:ascii="宋体" w:hAnsi="宋体"/>
                <w:b/>
                <w:sz w:val="15"/>
                <w:szCs w:val="15"/>
              </w:rPr>
              <w:t>型号</w:t>
            </w: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包件</w:t>
            </w:r>
            <w:r>
              <w:rPr>
                <w:rFonts w:hint="eastAsia" w:ascii="宋体" w:hAnsi="宋体"/>
                <w:b/>
                <w:sz w:val="15"/>
                <w:szCs w:val="15"/>
              </w:rPr>
              <w:t>号</w:t>
            </w:r>
          </w:p>
        </w:tc>
        <w:tc>
          <w:tcPr>
            <w:tcW w:w="3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计量单位</w:t>
            </w:r>
          </w:p>
        </w:tc>
        <w:tc>
          <w:tcPr>
            <w:tcW w:w="6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包件数量</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招标人名称</w:t>
            </w:r>
          </w:p>
        </w:tc>
        <w:tc>
          <w:tcPr>
            <w:tcW w:w="792"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b/>
                <w:sz w:val="15"/>
                <w:szCs w:val="15"/>
              </w:rPr>
            </w:pPr>
            <w:r>
              <w:rPr>
                <w:rFonts w:ascii="宋体" w:hAnsi="宋体"/>
                <w:b/>
                <w:sz w:val="15"/>
                <w:szCs w:val="15"/>
              </w:rPr>
              <w:t>包件售价（元）</w:t>
            </w:r>
          </w:p>
        </w:tc>
        <w:tc>
          <w:tcPr>
            <w:tcW w:w="6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5"/>
                <w:szCs w:val="15"/>
              </w:rPr>
              <w:t>投标保证金（万元）</w:t>
            </w:r>
          </w:p>
        </w:tc>
        <w:tc>
          <w:tcPr>
            <w:tcW w:w="77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0"/>
              </w:rPr>
            </w:pPr>
            <w:r>
              <w:rPr>
                <w:rFonts w:ascii="宋体" w:hAnsi="宋体"/>
                <w:b/>
                <w:sz w:val="20"/>
              </w:rPr>
              <w:t>投标人资格条件</w:t>
            </w:r>
          </w:p>
        </w:tc>
      </w:tr>
      <w:tr>
        <w:tblPrEx>
          <w:tblLayout w:type="fixed"/>
          <w:tblCellMar>
            <w:top w:w="0" w:type="dxa"/>
            <w:left w:w="15" w:type="dxa"/>
            <w:bottom w:w="0" w:type="dxa"/>
            <w:right w:w="15" w:type="dxa"/>
          </w:tblCellMar>
        </w:tblPrEx>
        <w:trPr>
          <w:trHeight w:val="7383" w:hRule="atLeast"/>
        </w:trPr>
        <w:tc>
          <w:tcPr>
            <w:tcW w:w="397"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1</w:t>
            </w:r>
          </w:p>
        </w:tc>
        <w:tc>
          <w:tcPr>
            <w:tcW w:w="578"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b/>
                <w:sz w:val="15"/>
                <w:szCs w:val="15"/>
              </w:rPr>
            </w:pPr>
            <w:r>
              <w:rPr>
                <w:rFonts w:hint="eastAsia" w:ascii="宋体" w:hAnsi="宋体"/>
                <w:b/>
                <w:sz w:val="15"/>
                <w:szCs w:val="15"/>
              </w:rPr>
              <w:t>电缆电线</w:t>
            </w:r>
          </w:p>
        </w:tc>
        <w:tc>
          <w:tcPr>
            <w:tcW w:w="477"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见</w:t>
            </w:r>
            <w:r>
              <w:rPr>
                <w:rFonts w:hint="eastAsia" w:ascii="宋体" w:hAnsi="宋体"/>
                <w:b/>
                <w:sz w:val="15"/>
                <w:szCs w:val="15"/>
              </w:rPr>
              <w:t>物资采购清单/</w:t>
            </w:r>
            <w:r>
              <w:rPr>
                <w:rFonts w:ascii="宋体" w:hAnsi="宋体"/>
                <w:b/>
                <w:sz w:val="15"/>
                <w:szCs w:val="15"/>
              </w:rPr>
              <w:t>技术规格书</w:t>
            </w:r>
          </w:p>
        </w:tc>
        <w:tc>
          <w:tcPr>
            <w:tcW w:w="95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8"/>
                <w:szCs w:val="18"/>
              </w:rPr>
            </w:pPr>
            <w:r>
              <w:rPr>
                <w:rFonts w:hint="eastAsia" w:ascii="宋体" w:hAnsi="宋体"/>
                <w:b/>
                <w:sz w:val="18"/>
                <w:szCs w:val="18"/>
              </w:rPr>
              <w:t xml:space="preserve"> SZDT4SD标-001</w:t>
            </w:r>
          </w:p>
        </w:tc>
        <w:tc>
          <w:tcPr>
            <w:tcW w:w="37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5"/>
                <w:szCs w:val="15"/>
              </w:rPr>
              <w:t>/</w:t>
            </w:r>
          </w:p>
        </w:tc>
        <w:tc>
          <w:tcPr>
            <w:tcW w:w="659"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8"/>
                <w:szCs w:val="18"/>
              </w:rPr>
              <w:t>1</w:t>
            </w:r>
          </w:p>
        </w:tc>
        <w:tc>
          <w:tcPr>
            <w:tcW w:w="1320" w:type="dxa"/>
            <w:tcBorders>
              <w:top w:val="single" w:color="000000" w:sz="4" w:space="0"/>
              <w:left w:val="single" w:color="000000" w:sz="4" w:space="0"/>
              <w:bottom w:val="single" w:color="auto" w:sz="4" w:space="0"/>
              <w:right w:val="single" w:color="000000"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中铁一局集团电务工程有限公司</w:t>
            </w:r>
          </w:p>
        </w:tc>
        <w:tc>
          <w:tcPr>
            <w:tcW w:w="792" w:type="dxa"/>
            <w:tcBorders>
              <w:top w:val="single" w:color="000000" w:sz="4" w:space="0"/>
              <w:left w:val="single" w:color="000000" w:sz="4" w:space="0"/>
              <w:bottom w:val="single" w:color="auto" w:sz="4" w:space="0"/>
              <w:right w:val="single" w:color="auto"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1000元/每包</w:t>
            </w:r>
          </w:p>
        </w:tc>
        <w:tc>
          <w:tcPr>
            <w:tcW w:w="660" w:type="dxa"/>
            <w:tcBorders>
              <w:top w:val="single" w:color="000000" w:sz="4" w:space="0"/>
              <w:left w:val="single" w:color="auto" w:sz="4" w:space="0"/>
              <w:bottom w:val="single" w:color="auto" w:sz="4" w:space="0"/>
              <w:right w:val="single" w:color="000000"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1.00万元/每包</w:t>
            </w:r>
          </w:p>
        </w:tc>
        <w:tc>
          <w:tcPr>
            <w:tcW w:w="7785" w:type="dxa"/>
            <w:tcBorders>
              <w:top w:val="single" w:color="000000" w:sz="4" w:space="0"/>
              <w:left w:val="single" w:color="000000" w:sz="4" w:space="0"/>
              <w:bottom w:val="single" w:color="auto" w:sz="4" w:space="0"/>
              <w:right w:val="single" w:color="000000" w:sz="4" w:space="0"/>
            </w:tcBorders>
          </w:tcPr>
          <w:p>
            <w:pPr>
              <w:rPr>
                <w:rFonts w:hint="eastAsia" w:ascii="宋体" w:hAnsi="宋体" w:eastAsia="宋体" w:cs="宋体"/>
                <w:kern w:val="0"/>
                <w:sz w:val="24"/>
              </w:rPr>
            </w:pPr>
            <w:r>
              <w:rPr>
                <w:sz w:val="18"/>
                <w:szCs w:val="21"/>
              </w:rPr>
              <w:t>投标人资格要求</w:t>
            </w:r>
            <w:r>
              <w:rPr>
                <w:sz w:val="18"/>
                <w:szCs w:val="21"/>
              </w:rPr>
              <w:br w:type="textWrapping"/>
            </w:r>
            <w:r>
              <w:rPr>
                <w:sz w:val="18"/>
                <w:szCs w:val="21"/>
              </w:rPr>
              <w:t>　　1.</w:t>
            </w:r>
            <w:r>
              <w:rPr>
                <w:rFonts w:hint="eastAsia"/>
                <w:sz w:val="18"/>
                <w:szCs w:val="21"/>
              </w:rPr>
              <w:t>营业范围要求：</w:t>
            </w:r>
            <w:r>
              <w:rPr>
                <w:rFonts w:hAnsi="宋体"/>
                <w:sz w:val="18"/>
              </w:rPr>
              <w:t>在中华人民共和国境内依法注册，具有独立法人资格、具有竞争性谈判物资生产或供应经验的生产厂商，并且具有合法、有效的营业执照。</w:t>
            </w:r>
            <w:r>
              <w:rPr>
                <w:sz w:val="18"/>
                <w:szCs w:val="21"/>
              </w:rPr>
              <w:br w:type="textWrapping"/>
            </w:r>
            <w:r>
              <w:rPr>
                <w:rFonts w:hint="eastAsia"/>
                <w:sz w:val="18"/>
                <w:szCs w:val="21"/>
              </w:rPr>
              <w:t>　　</w:t>
            </w:r>
            <w:r>
              <w:rPr>
                <w:sz w:val="18"/>
                <w:szCs w:val="21"/>
              </w:rPr>
              <w:t>2.</w:t>
            </w:r>
            <w:r>
              <w:rPr>
                <w:rFonts w:hint="eastAsia"/>
                <w:sz w:val="18"/>
                <w:szCs w:val="21"/>
              </w:rPr>
              <w:t>生产能力要求：</w:t>
            </w:r>
            <w:r>
              <w:rPr>
                <w:rFonts w:hAnsi="宋体"/>
                <w:sz w:val="18"/>
              </w:rPr>
              <w:t>生产商须具备投标物资的生产能力，生产工艺、装备必须符合国家的相关规定</w:t>
            </w:r>
            <w:r>
              <w:rPr>
                <w:rFonts w:hint="eastAsia" w:hAnsi="宋体"/>
                <w:sz w:val="18"/>
              </w:rPr>
              <w:t>，</w:t>
            </w:r>
            <w:r>
              <w:rPr>
                <w:rFonts w:hAnsi="宋体"/>
                <w:sz w:val="18"/>
              </w:rPr>
              <w:t>应提供全</w:t>
            </w:r>
            <w:r>
              <w:rPr>
                <w:sz w:val="18"/>
                <w:szCs w:val="21"/>
              </w:rPr>
              <w:t>国工业产品生产许可证</w:t>
            </w:r>
            <w:r>
              <w:rPr>
                <w:rFonts w:hint="eastAsia" w:ascii="宋体" w:hAnsi="宋体" w:eastAsia="宋体" w:cs="宋体"/>
                <w:kern w:val="0"/>
                <w:sz w:val="24"/>
              </w:rPr>
              <w:t>。</w:t>
            </w:r>
            <w:r>
              <w:rPr>
                <w:sz w:val="18"/>
                <w:szCs w:val="21"/>
              </w:rPr>
              <w:br w:type="textWrapping"/>
            </w:r>
            <w:r>
              <w:rPr>
                <w:rFonts w:hint="eastAsia"/>
                <w:sz w:val="18"/>
                <w:szCs w:val="21"/>
              </w:rPr>
              <w:t>　　</w:t>
            </w:r>
            <w:r>
              <w:rPr>
                <w:sz w:val="18"/>
                <w:szCs w:val="21"/>
              </w:rPr>
              <w:t>3</w:t>
            </w:r>
            <w:r>
              <w:rPr>
                <w:rFonts w:hint="eastAsia"/>
                <w:sz w:val="18"/>
                <w:szCs w:val="21"/>
              </w:rPr>
              <w:t>．财务能力要求：</w:t>
            </w:r>
            <w:r>
              <w:rPr>
                <w:rFonts w:hAnsi="宋体"/>
                <w:sz w:val="18"/>
              </w:rPr>
              <w:t>具有良好的资金财务状况；投标人须提供近两年经会计师事务所审计的财务报告及报表。</w:t>
            </w:r>
            <w:r>
              <w:rPr>
                <w:sz w:val="18"/>
                <w:szCs w:val="21"/>
              </w:rPr>
              <w:br w:type="textWrapping"/>
            </w:r>
            <w:r>
              <w:rPr>
                <w:rFonts w:hint="eastAsia"/>
                <w:sz w:val="18"/>
                <w:szCs w:val="21"/>
              </w:rPr>
              <w:t>　　</w:t>
            </w:r>
            <w:r>
              <w:rPr>
                <w:sz w:val="18"/>
                <w:szCs w:val="21"/>
              </w:rPr>
              <w:t>4</w:t>
            </w:r>
            <w:r>
              <w:rPr>
                <w:rFonts w:hint="eastAsia"/>
                <w:sz w:val="18"/>
                <w:szCs w:val="21"/>
              </w:rPr>
              <w:t>．质量保证能力要求：投标物资生产厂具有有效的</w:t>
            </w:r>
            <w:r>
              <w:rPr>
                <w:sz w:val="18"/>
                <w:szCs w:val="21"/>
              </w:rPr>
              <w:t>ISO9000</w:t>
            </w:r>
            <w:r>
              <w:rPr>
                <w:rFonts w:hint="eastAsia"/>
                <w:sz w:val="18"/>
                <w:szCs w:val="21"/>
              </w:rPr>
              <w:t>系列质量管理体系认证，产品符合国家现行标准；投标产品生产厂具有最新的专业检测机构出具的投标物资质量检验报告。</w:t>
            </w:r>
            <w:r>
              <w:rPr>
                <w:sz w:val="18"/>
                <w:szCs w:val="21"/>
              </w:rPr>
              <w:br w:type="textWrapping"/>
            </w:r>
            <w:r>
              <w:rPr>
                <w:rFonts w:hint="eastAsia"/>
                <w:sz w:val="18"/>
                <w:szCs w:val="21"/>
              </w:rPr>
              <w:t>　</w:t>
            </w:r>
            <w:r>
              <w:rPr>
                <w:sz w:val="18"/>
                <w:szCs w:val="21"/>
              </w:rPr>
              <w:t xml:space="preserve">  5</w:t>
            </w:r>
            <w:r>
              <w:rPr>
                <w:rFonts w:hint="eastAsia"/>
                <w:sz w:val="18"/>
                <w:szCs w:val="21"/>
              </w:rPr>
              <w:t>．供货业绩要求：</w:t>
            </w:r>
            <w:r>
              <w:rPr>
                <w:rFonts w:hAnsi="宋体"/>
                <w:sz w:val="18"/>
              </w:rPr>
              <w:t>生产厂具有近三年</w:t>
            </w:r>
            <w:r>
              <w:rPr>
                <w:rFonts w:hint="eastAsia" w:hAnsi="宋体"/>
                <w:sz w:val="18"/>
              </w:rPr>
              <w:t>，（两份以上）</w:t>
            </w:r>
            <w:r>
              <w:rPr>
                <w:rFonts w:hAnsi="宋体"/>
                <w:sz w:val="18"/>
              </w:rPr>
              <w:t>地铁工程建设项目供货业绩（须附供货合同复印件等）</w:t>
            </w:r>
            <w:r>
              <w:rPr>
                <w:rFonts w:hint="eastAsia"/>
                <w:sz w:val="18"/>
                <w:szCs w:val="21"/>
              </w:rPr>
              <w:t>。</w:t>
            </w:r>
            <w:r>
              <w:rPr>
                <w:sz w:val="18"/>
                <w:szCs w:val="21"/>
              </w:rPr>
              <w:br w:type="textWrapping"/>
            </w:r>
            <w:r>
              <w:rPr>
                <w:rFonts w:hint="eastAsia"/>
                <w:sz w:val="18"/>
                <w:szCs w:val="21"/>
              </w:rPr>
              <w:t>　　</w:t>
            </w:r>
            <w:r>
              <w:rPr>
                <w:sz w:val="18"/>
                <w:szCs w:val="21"/>
              </w:rPr>
              <w:t>6</w:t>
            </w:r>
            <w:r>
              <w:rPr>
                <w:rFonts w:hint="eastAsia"/>
                <w:sz w:val="18"/>
                <w:szCs w:val="21"/>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不接受在中国中铁股份有限公司限制名录内和处罚期内的投标单位。</w:t>
            </w:r>
          </w:p>
          <w:p>
            <w:pPr>
              <w:pStyle w:val="2"/>
              <w:spacing w:line="240" w:lineRule="auto"/>
              <w:ind w:firstLine="443" w:firstLineChars="245"/>
            </w:pPr>
            <w:r>
              <w:rPr>
                <w:rFonts w:hint="eastAsia" w:hAnsi="宋体"/>
                <w:sz w:val="18"/>
              </w:rPr>
              <w:t>7．</w:t>
            </w:r>
            <w:r>
              <w:rPr>
                <w:rFonts w:hint="eastAsia" w:ascii="Times New Roman" w:hAnsi="Times New Roman" w:eastAsiaTheme="minorEastAsia"/>
                <w:b w:val="0"/>
                <w:bCs w:val="0"/>
                <w:sz w:val="18"/>
                <w:szCs w:val="21"/>
              </w:rPr>
              <w:t>其他要求：生产厂具备提供延伸服务的能力，具备跨地域的供应、集散能力</w:t>
            </w:r>
            <w:r>
              <w:rPr>
                <w:rFonts w:ascii="Times New Roman" w:hAnsi="Times New Roman" w:eastAsiaTheme="minorEastAsia"/>
                <w:b w:val="0"/>
                <w:bCs w:val="0"/>
                <w:sz w:val="18"/>
                <w:szCs w:val="21"/>
              </w:rPr>
              <w:t>,投标人应按照</w:t>
            </w:r>
            <w:r>
              <w:rPr>
                <w:rFonts w:hint="eastAsia" w:ascii="Times New Roman" w:hAnsi="Times New Roman" w:eastAsiaTheme="minorEastAsia"/>
                <w:b w:val="0"/>
                <w:bCs w:val="0"/>
                <w:sz w:val="18"/>
                <w:szCs w:val="21"/>
              </w:rPr>
              <w:t>招标文件规定的格式内加盖公章。盖电子章的资料为无效资料。</w:t>
            </w:r>
          </w:p>
          <w:p>
            <w:pPr>
              <w:ind w:firstLine="360" w:firstLineChars="200"/>
              <w:jc w:val="left"/>
              <w:rPr>
                <w:rFonts w:hint="eastAsia"/>
                <w:sz w:val="18"/>
                <w:szCs w:val="21"/>
              </w:rPr>
            </w:pPr>
            <w:r>
              <w:rPr>
                <w:rFonts w:hint="eastAsia"/>
                <w:sz w:val="18"/>
                <w:szCs w:val="21"/>
              </w:rPr>
              <w:t>8．投标人具备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列入违法失信名单的投标人不被推荐为中标候选人。</w:t>
            </w:r>
          </w:p>
          <w:p>
            <w:pPr>
              <w:ind w:firstLine="270" w:firstLineChars="150"/>
              <w:jc w:val="left"/>
              <w:rPr>
                <w:rFonts w:hAnsi="宋体"/>
                <w:sz w:val="18"/>
              </w:rPr>
            </w:pPr>
            <w:r>
              <w:rPr>
                <w:rFonts w:hint="eastAsia" w:hAnsi="宋体"/>
                <w:sz w:val="18"/>
              </w:rPr>
              <w:t>9.电缆材料的供应商应在“股份传</w:t>
            </w:r>
            <w:r>
              <w:rPr>
                <w:rFonts w:hAnsi="宋体"/>
                <w:sz w:val="18"/>
              </w:rPr>
              <w:t>2017-402</w:t>
            </w:r>
            <w:r>
              <w:rPr>
                <w:rFonts w:hAnsi="宋体"/>
                <w:b/>
                <w:sz w:val="18"/>
              </w:rPr>
              <w:t xml:space="preserve"> / </w:t>
            </w:r>
            <w:r>
              <w:rPr>
                <w:rFonts w:hAnsi="宋体"/>
                <w:sz w:val="18"/>
              </w:rPr>
              <w:t>2018-378</w:t>
            </w:r>
            <w:r>
              <w:rPr>
                <w:rFonts w:hint="eastAsia" w:hAnsi="宋体"/>
                <w:sz w:val="18"/>
              </w:rPr>
              <w:t>中国中铁电线电缆供应商准入名录内的合格供方”。</w:t>
            </w:r>
          </w:p>
        </w:tc>
      </w:tr>
      <w:bookmarkEnd w:id="2"/>
    </w:tbl>
    <w:p>
      <w:pPr>
        <w:rPr>
          <w:rFonts w:ascii="仿宋_GB2312" w:hAnsi="宋体" w:eastAsia="仿宋_GB2312"/>
          <w:b/>
          <w:sz w:val="27"/>
          <w:szCs w:val="27"/>
        </w:rPr>
        <w:sectPr>
          <w:pgSz w:w="16838" w:h="11906" w:orient="landscape"/>
          <w:pgMar w:top="720" w:right="720" w:bottom="720" w:left="720" w:header="851" w:footer="992" w:gutter="0"/>
          <w:cols w:space="720" w:num="1"/>
          <w:docGrid w:type="lines" w:linePitch="312" w:charSpace="0"/>
        </w:sectPr>
      </w:pPr>
    </w:p>
    <w:p>
      <w:r>
        <w:rPr>
          <w:rFonts w:hint="eastAsia" w:ascii="仿宋_GB2312" w:hAnsi="宋体" w:eastAsia="仿宋_GB2312"/>
          <w:b/>
          <w:sz w:val="27"/>
          <w:szCs w:val="27"/>
        </w:rPr>
        <w:t>招标</w:t>
      </w:r>
      <w:r>
        <w:rPr>
          <w:rFonts w:ascii="仿宋_GB2312" w:hAnsi="宋体" w:eastAsia="仿宋_GB2312"/>
          <w:b/>
          <w:sz w:val="27"/>
          <w:szCs w:val="27"/>
        </w:rPr>
        <w:t>物资</w:t>
      </w:r>
      <w:r>
        <w:rPr>
          <w:rFonts w:hint="eastAsia" w:ascii="仿宋_GB2312" w:hAnsi="宋体" w:eastAsia="仿宋_GB2312"/>
          <w:b/>
          <w:sz w:val="27"/>
          <w:szCs w:val="27"/>
        </w:rPr>
        <w:t>包件</w:t>
      </w:r>
      <w:r>
        <w:rPr>
          <w:rFonts w:ascii="仿宋_GB2312" w:hAnsi="宋体" w:eastAsia="仿宋_GB2312"/>
          <w:b/>
          <w:sz w:val="27"/>
          <w:szCs w:val="27"/>
        </w:rPr>
        <w:t>清单</w:t>
      </w:r>
      <w:r>
        <w:rPr>
          <w:rFonts w:hint="eastAsia" w:ascii="仿宋_GB2312" w:hAnsi="宋体" w:eastAsia="仿宋_GB2312"/>
          <w:b/>
          <w:sz w:val="27"/>
          <w:szCs w:val="27"/>
        </w:rPr>
        <w:t>（电缆电线清单）</w:t>
      </w:r>
    </w:p>
    <w:tbl>
      <w:tblPr>
        <w:tblStyle w:val="6"/>
        <w:tblW w:w="14285" w:type="dxa"/>
        <w:tblInd w:w="0" w:type="dxa"/>
        <w:tblLayout w:type="fixed"/>
        <w:tblCellMar>
          <w:top w:w="15" w:type="dxa"/>
          <w:left w:w="15" w:type="dxa"/>
          <w:bottom w:w="15" w:type="dxa"/>
          <w:right w:w="15" w:type="dxa"/>
        </w:tblCellMar>
      </w:tblPr>
      <w:tblGrid>
        <w:gridCol w:w="664"/>
        <w:gridCol w:w="1832"/>
        <w:gridCol w:w="4648"/>
        <w:gridCol w:w="756"/>
        <w:gridCol w:w="775"/>
        <w:gridCol w:w="1152"/>
        <w:gridCol w:w="1452"/>
        <w:gridCol w:w="1212"/>
        <w:gridCol w:w="1794"/>
      </w:tblGrid>
      <w:tr>
        <w:tblPrEx>
          <w:tblLayout w:type="fixed"/>
          <w:tblCellMar>
            <w:top w:w="15" w:type="dxa"/>
            <w:left w:w="15" w:type="dxa"/>
            <w:bottom w:w="15" w:type="dxa"/>
            <w:right w:w="15" w:type="dxa"/>
          </w:tblCellMar>
        </w:tblPrEx>
        <w:trPr>
          <w:trHeight w:val="997" w:hRule="atLeast"/>
        </w:trPr>
        <w:tc>
          <w:tcPr>
            <w:tcW w:w="664" w:type="dxa"/>
            <w:tcBorders>
              <w:top w:val="single" w:color="000000" w:sz="4" w:space="0"/>
              <w:left w:val="single" w:color="auto" w:sz="4" w:space="0"/>
              <w:bottom w:val="single" w:color="000000" w:sz="4" w:space="0"/>
            </w:tcBorders>
            <w:shd w:val="clear" w:color="auto" w:fill="auto"/>
            <w:vAlign w:val="center"/>
          </w:tcPr>
          <w:p>
            <w:pPr>
              <w:widowControl/>
              <w:jc w:val="center"/>
              <w:textAlignment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包件</w:t>
            </w:r>
          </w:p>
          <w:p>
            <w:pPr>
              <w:widowControl/>
              <w:jc w:val="center"/>
              <w:textAlignment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名称</w:t>
            </w:r>
            <w:r>
              <w:rPr>
                <w:rFonts w:hint="eastAsia" w:ascii="仿宋" w:hAnsi="仿宋" w:eastAsia="仿宋" w:cs="仿宋"/>
                <w:b/>
                <w:color w:val="000000"/>
                <w:kern w:val="0"/>
                <w:sz w:val="20"/>
                <w:szCs w:val="20"/>
              </w:rPr>
              <w:br w:type="textWrapping"/>
            </w:r>
            <w:r>
              <w:rPr>
                <w:rFonts w:hint="eastAsia" w:ascii="仿宋" w:hAnsi="仿宋" w:eastAsia="仿宋" w:cs="仿宋"/>
                <w:b/>
                <w:color w:val="000000"/>
                <w:kern w:val="0"/>
                <w:sz w:val="20"/>
                <w:szCs w:val="20"/>
              </w:rPr>
              <w:t>及包</w:t>
            </w:r>
          </w:p>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件号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材料名称</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规格型号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数量</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招标文件售价（元）</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交货时间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到货地点</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备注</w:t>
            </w: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bottom w:val="nil"/>
              <w:right w:val="single" w:color="000000" w:sz="4" w:space="0"/>
              <w:tl2br w:val="nil"/>
              <w:tr2bl w:val="nil"/>
            </w:tcBorders>
            <w:vAlign w:val="center"/>
          </w:tcPr>
          <w:p>
            <w:pPr>
              <w:jc w:val="center"/>
              <w:rPr>
                <w:rFonts w:ascii="宋体" w:hAnsi="宋体"/>
                <w:color w:val="000000"/>
                <w:sz w:val="20"/>
              </w:rPr>
            </w:pPr>
            <w:r>
              <w:rPr>
                <w:rFonts w:hint="eastAsia" w:ascii="宋体" w:hAnsi="宋体"/>
                <w:b/>
                <w:sz w:val="20"/>
              </w:rPr>
              <w:t>电缆电线</w:t>
            </w:r>
            <w:r>
              <w:rPr>
                <w:rFonts w:hint="eastAsia" w:ascii="宋体" w:hAnsi="宋体"/>
                <w:b/>
                <w:sz w:val="18"/>
              </w:rPr>
              <w:t>SZDT4SD标-001</w:t>
            </w: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无卤低烟耐火B类阻燃电线</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WDZB-BYJ-450/750V -4mm2</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2046</w:t>
            </w:r>
          </w:p>
        </w:tc>
        <w:tc>
          <w:tcPr>
            <w:tcW w:w="1152" w:type="dxa"/>
            <w:vMerge w:val="restart"/>
            <w:tcBorders>
              <w:top w:val="single" w:color="000000" w:sz="4" w:space="0"/>
              <w:left w:val="single" w:color="000000" w:sz="4" w:space="0"/>
              <w:bottom w:val="nil"/>
              <w:right w:val="single" w:color="000000" w:sz="4" w:space="0"/>
              <w:tl2br w:val="nil"/>
              <w:tr2bl w:val="nil"/>
            </w:tcBorders>
            <w:vAlign w:val="center"/>
          </w:tcPr>
          <w:p>
            <w:pPr>
              <w:jc w:val="center"/>
              <w:rPr>
                <w:rFonts w:ascii="宋体" w:hAnsi="宋体"/>
                <w:color w:val="000000"/>
                <w:sz w:val="20"/>
              </w:rPr>
            </w:pPr>
            <w:r>
              <w:rPr>
                <w:rFonts w:hint="eastAsia" w:ascii="宋体" w:hAnsi="宋体"/>
                <w:color w:val="000000"/>
                <w:sz w:val="20"/>
              </w:rPr>
              <w:t>1000</w:t>
            </w: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widowControl/>
              <w:jc w:val="left"/>
              <w:textAlignment w:val="top"/>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无卤低烟耐火B类阻燃电线</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WDZB-BYJ-450/750V-6mm2</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1650</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无卤低烟耐火B类耐火电线</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WDZBN-BYJ-450/750V -4mm2</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198</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无卤低烟耐火B类阻燃电缆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WDZB-YJY-0.6/1kV 3*4</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2"/>
                <w:szCs w:val="22"/>
              </w:rPr>
              <w:t>682</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无卤低烟耐火B类阻燃电缆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WDZB-YJY-0.6/1kV 3*6</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550</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WDZBN-YJY-0.6/1kV 3*4</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66</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WDZBN-KYJY-0.6/1kV-10*1.5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66</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single" w:color="000000" w:sz="4" w:space="0"/>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WDZBN-KYJY-0.6/1kV-4*1.5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kern w:val="0"/>
                <w:sz w:val="22"/>
                <w:szCs w:val="22"/>
              </w:rPr>
              <w:t>1034</w:t>
            </w:r>
          </w:p>
        </w:tc>
        <w:tc>
          <w:tcPr>
            <w:tcW w:w="1152" w:type="dxa"/>
            <w:vMerge w:val="continue"/>
            <w:tcBorders>
              <w:top w:val="nil"/>
              <w:left w:val="single" w:color="000000" w:sz="4" w:space="0"/>
              <w:bottom w:val="single" w:color="000000" w:sz="4" w:space="0"/>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bottom w:val="nil"/>
              <w:right w:val="single" w:color="000000" w:sz="4" w:space="0"/>
              <w:tl2br w:val="nil"/>
              <w:tr2bl w:val="nil"/>
            </w:tcBorders>
            <w:vAlign w:val="center"/>
          </w:tcPr>
          <w:p>
            <w:pPr>
              <w:jc w:val="center"/>
              <w:rPr>
                <w:rFonts w:ascii="宋体" w:hAnsi="宋体"/>
                <w:color w:val="000000"/>
                <w:sz w:val="20"/>
              </w:rPr>
            </w:pPr>
            <w:r>
              <w:rPr>
                <w:rFonts w:hint="eastAsia" w:ascii="宋体" w:hAnsi="宋体"/>
                <w:b/>
                <w:sz w:val="20"/>
              </w:rPr>
              <w:t>电缆电线</w:t>
            </w:r>
            <w:r>
              <w:rPr>
                <w:rFonts w:hint="eastAsia" w:ascii="宋体" w:hAnsi="宋体"/>
                <w:b/>
                <w:sz w:val="18"/>
              </w:rPr>
              <w:t>SZDT4SD标-001</w:t>
            </w: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WDZBN-YJY23-0.6/1kV-3*25+1*16</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484</w:t>
            </w:r>
          </w:p>
        </w:tc>
        <w:tc>
          <w:tcPr>
            <w:tcW w:w="1152" w:type="dxa"/>
            <w:vMerge w:val="restart"/>
            <w:tcBorders>
              <w:top w:val="single" w:color="000000" w:sz="4" w:space="0"/>
              <w:left w:val="single" w:color="000000" w:sz="4" w:space="0"/>
              <w:bottom w:val="nil"/>
              <w:right w:val="single" w:color="000000" w:sz="4" w:space="0"/>
              <w:tl2br w:val="nil"/>
              <w:tr2bl w:val="nil"/>
            </w:tcBorders>
            <w:vAlign w:val="center"/>
          </w:tcPr>
          <w:p>
            <w:pPr>
              <w:jc w:val="center"/>
              <w:rPr>
                <w:rFonts w:ascii="宋体" w:hAnsi="宋体"/>
                <w:color w:val="000000"/>
                <w:sz w:val="20"/>
              </w:rPr>
            </w:pPr>
            <w:r>
              <w:rPr>
                <w:rFonts w:hint="eastAsia" w:ascii="宋体" w:hAnsi="宋体"/>
                <w:color w:val="000000"/>
                <w:sz w:val="20"/>
              </w:rPr>
              <w:t>1000</w:t>
            </w: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WDZBN-YJY23-0.6/1kV-3*35+1*16</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583</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WDZBN-YJY23-0.6/1kV-3*50+1*25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kern w:val="0"/>
                <w:sz w:val="20"/>
              </w:rPr>
            </w:pPr>
            <w:r>
              <w:rPr>
                <w:rFonts w:hint="eastAsia" w:ascii="宋体" w:hAnsi="宋体" w:eastAsia="宋体" w:cs="宋体"/>
                <w:kern w:val="0"/>
                <w:sz w:val="22"/>
                <w:szCs w:val="22"/>
              </w:rPr>
              <w:t>1848</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WDZBN-YJY23-0.6/1kV-3*50+2*35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kern w:val="0"/>
                <w:sz w:val="20"/>
              </w:rPr>
            </w:pPr>
            <w:r>
              <w:rPr>
                <w:rFonts w:hint="eastAsia" w:ascii="宋体" w:hAnsi="宋体" w:eastAsia="宋体" w:cs="宋体"/>
                <w:kern w:val="0"/>
                <w:sz w:val="22"/>
                <w:szCs w:val="22"/>
              </w:rPr>
              <w:t>2640</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WDZBN-YJY23-0.6/1kV-3*70+2*35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kern w:val="0"/>
                <w:sz w:val="20"/>
              </w:rPr>
            </w:pPr>
            <w:r>
              <w:rPr>
                <w:rFonts w:hint="eastAsia" w:ascii="宋体" w:hAnsi="宋体" w:eastAsia="宋体" w:cs="宋体"/>
                <w:kern w:val="0"/>
                <w:sz w:val="22"/>
                <w:szCs w:val="22"/>
              </w:rPr>
              <w:t>8360</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WDZBN-YJY23-0.6/1kV-4*25</w:t>
            </w:r>
          </w:p>
        </w:tc>
        <w:tc>
          <w:tcPr>
            <w:tcW w:w="7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kern w:val="0"/>
                <w:sz w:val="20"/>
              </w:rPr>
            </w:pPr>
            <w:r>
              <w:rPr>
                <w:rFonts w:hint="eastAsia" w:ascii="宋体" w:hAnsi="宋体" w:eastAsia="宋体" w:cs="宋体"/>
                <w:kern w:val="0"/>
                <w:sz w:val="22"/>
                <w:szCs w:val="22"/>
              </w:rPr>
              <w:t>2453</w:t>
            </w:r>
          </w:p>
        </w:tc>
        <w:tc>
          <w:tcPr>
            <w:tcW w:w="1152" w:type="dxa"/>
            <w:vMerge w:val="continue"/>
            <w:tcBorders>
              <w:top w:val="nil"/>
              <w:left w:val="single" w:color="000000" w:sz="4" w:space="0"/>
              <w:bottom w:val="nil"/>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nil"/>
              <w:left w:val="single" w:color="000000" w:sz="4" w:space="0"/>
              <w:bottom w:val="single" w:color="auto" w:sz="4" w:space="0"/>
              <w:right w:val="single" w:color="000000" w:sz="4" w:space="0"/>
              <w:tl2br w:val="nil"/>
              <w:tr2bl w:val="nil"/>
            </w:tcBorders>
            <w:vAlign w:val="center"/>
          </w:tcPr>
          <w:p>
            <w:pPr>
              <w:jc w:val="center"/>
              <w:rPr>
                <w:rFonts w:ascii="宋体" w:hAnsi="宋体"/>
                <w:color w:val="000000"/>
                <w:sz w:val="20"/>
              </w:rPr>
            </w:pPr>
          </w:p>
        </w:tc>
        <w:tc>
          <w:tcPr>
            <w:tcW w:w="1832"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无卤低烟耐火B类耐火电缆</w:t>
            </w:r>
          </w:p>
        </w:tc>
        <w:tc>
          <w:tcPr>
            <w:tcW w:w="4648"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WDZBN-YJY23-0.6/1kV-4*16</w:t>
            </w:r>
          </w:p>
        </w:tc>
        <w:tc>
          <w:tcPr>
            <w:tcW w:w="756"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2"/>
                <w:szCs w:val="22"/>
              </w:rPr>
              <w:t>米</w:t>
            </w:r>
          </w:p>
        </w:tc>
        <w:tc>
          <w:tcPr>
            <w:tcW w:w="775"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宋体" w:hAnsi="宋体"/>
                <w:kern w:val="0"/>
                <w:sz w:val="20"/>
              </w:rPr>
            </w:pPr>
            <w:r>
              <w:rPr>
                <w:rFonts w:hint="eastAsia" w:ascii="宋体" w:hAnsi="宋体" w:eastAsia="宋体" w:cs="宋体"/>
                <w:kern w:val="0"/>
                <w:sz w:val="22"/>
                <w:szCs w:val="22"/>
              </w:rPr>
              <w:t>2453</w:t>
            </w:r>
          </w:p>
        </w:tc>
        <w:tc>
          <w:tcPr>
            <w:tcW w:w="1152" w:type="dxa"/>
            <w:vMerge w:val="continue"/>
            <w:tcBorders>
              <w:top w:val="nil"/>
              <w:left w:val="single" w:color="000000" w:sz="4" w:space="0"/>
              <w:bottom w:val="single" w:color="auto" w:sz="4" w:space="0"/>
              <w:right w:val="single" w:color="000000" w:sz="4" w:space="0"/>
              <w:tl2br w:val="nil"/>
              <w:tr2bl w:val="nil"/>
            </w:tcBorders>
            <w:vAlign w:val="center"/>
          </w:tcPr>
          <w:p>
            <w:pPr>
              <w:jc w:val="center"/>
              <w:rPr>
                <w:rFonts w:ascii="宋体" w:hAnsi="宋体"/>
                <w:color w:val="000000"/>
                <w:sz w:val="20"/>
              </w:rPr>
            </w:pPr>
          </w:p>
        </w:tc>
        <w:tc>
          <w:tcPr>
            <w:tcW w:w="1452"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color w:val="000000"/>
                <w:kern w:val="0"/>
                <w:sz w:val="20"/>
              </w:rPr>
              <w:t>2019.9.10</w:t>
            </w:r>
          </w:p>
        </w:tc>
        <w:tc>
          <w:tcPr>
            <w:tcW w:w="121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olor w:val="000000"/>
                <w:kern w:val="0"/>
                <w:sz w:val="20"/>
              </w:rPr>
            </w:pPr>
            <w:r>
              <w:rPr>
                <w:rFonts w:hint="eastAsia" w:ascii="宋体" w:hAnsi="宋体" w:eastAsia="宋体" w:cs="宋体"/>
                <w:color w:val="000000"/>
                <w:kern w:val="0"/>
                <w:sz w:val="20"/>
                <w:szCs w:val="20"/>
              </w:rPr>
              <w:t>深圳市地铁4号线</w:t>
            </w:r>
          </w:p>
        </w:tc>
        <w:tc>
          <w:tcPr>
            <w:tcW w:w="1794" w:type="dxa"/>
            <w:tcBorders>
              <w:top w:val="single" w:color="000000" w:sz="4" w:space="0"/>
              <w:left w:val="single" w:color="000000" w:sz="4" w:space="0"/>
              <w:bottom w:val="single" w:color="000000" w:sz="4" w:space="0"/>
              <w:right w:val="single" w:color="000000" w:sz="4" w:space="0"/>
              <w:tl2br w:val="nil"/>
              <w:tr2bl w:val="nil"/>
            </w:tcBorders>
          </w:tcPr>
          <w:p>
            <w:pPr>
              <w:jc w:val="left"/>
              <w:rPr>
                <w:rFonts w:ascii="宋体" w:hAnsi="宋体"/>
                <w:color w:val="000000"/>
                <w:sz w:val="20"/>
              </w:rPr>
            </w:pPr>
          </w:p>
        </w:tc>
      </w:tr>
    </w:tbl>
    <w:p>
      <w:pPr>
        <w:spacing w:line="400" w:lineRule="exact"/>
        <w:rPr>
          <w:rFonts w:ascii="仿宋_GB2312" w:hAnsi="宋体" w:eastAsia="仿宋_GB2312"/>
          <w:b/>
          <w:sz w:val="27"/>
          <w:szCs w:val="27"/>
        </w:rPr>
      </w:pPr>
    </w:p>
    <w:p>
      <w:pPr>
        <w:pStyle w:val="2"/>
        <w:rPr>
          <w:rFonts w:ascii="仿宋_GB2312" w:hAnsi="宋体" w:eastAsia="仿宋_GB2312"/>
          <w:sz w:val="27"/>
          <w:szCs w:val="27"/>
        </w:rPr>
      </w:pPr>
    </w:p>
    <w:p>
      <w:pPr>
        <w:pStyle w:val="3"/>
        <w:ind w:firstLine="542"/>
        <w:rPr>
          <w:rFonts w:ascii="仿宋_GB2312" w:hAnsi="宋体" w:eastAsia="仿宋_GB2312"/>
          <w:b/>
          <w:sz w:val="27"/>
          <w:szCs w:val="27"/>
        </w:rPr>
      </w:pPr>
    </w:p>
    <w:p>
      <w:pPr>
        <w:pStyle w:val="3"/>
        <w:ind w:firstLine="542"/>
        <w:rPr>
          <w:rFonts w:ascii="仿宋_GB2312" w:hAnsi="宋体" w:eastAsia="仿宋_GB2312"/>
          <w:b/>
          <w:sz w:val="27"/>
          <w:szCs w:val="27"/>
        </w:rPr>
      </w:pPr>
    </w:p>
    <w:p>
      <w:pPr>
        <w:pStyle w:val="3"/>
        <w:ind w:firstLine="542"/>
        <w:rPr>
          <w:rFonts w:ascii="仿宋_GB2312" w:hAnsi="宋体" w:eastAsia="仿宋_GB2312"/>
          <w:b/>
          <w:sz w:val="27"/>
          <w:szCs w:val="27"/>
        </w:rPr>
      </w:pPr>
    </w:p>
    <w:p>
      <w:pPr>
        <w:pStyle w:val="3"/>
        <w:ind w:firstLine="0" w:firstLineChars="0"/>
        <w:rPr>
          <w:rFonts w:ascii="仿宋_GB2312" w:hAnsi="宋体" w:eastAsia="仿宋_GB2312"/>
          <w:b/>
          <w:sz w:val="27"/>
          <w:szCs w:val="27"/>
        </w:rPr>
        <w:sectPr>
          <w:pgSz w:w="16838" w:h="11906" w:orient="landscape"/>
          <w:pgMar w:top="1800" w:right="1440" w:bottom="1134" w:left="1440" w:header="851" w:footer="992" w:gutter="0"/>
          <w:cols w:space="720" w:num="1"/>
          <w:docGrid w:type="lines" w:linePitch="312" w:charSpace="0"/>
        </w:sectPr>
      </w:pPr>
    </w:p>
    <w:p>
      <w:pPr>
        <w:spacing w:line="360" w:lineRule="auto"/>
        <w:rPr>
          <w:b/>
        </w:rPr>
      </w:pPr>
    </w:p>
    <w:p>
      <w:pPr>
        <w:spacing w:line="360" w:lineRule="auto"/>
        <w:rPr>
          <w:b/>
        </w:rPr>
      </w:pPr>
      <w:r>
        <w:rPr>
          <w:rFonts w:hint="eastAsia"/>
          <w:b/>
        </w:rPr>
        <w:t>附件二</w:t>
      </w:r>
    </w:p>
    <w:p>
      <w:pPr>
        <w:spacing w:line="400" w:lineRule="exact"/>
        <w:jc w:val="center"/>
        <w:rPr>
          <w:rFonts w:ascii="宋体" w:hAnsi="宋体"/>
          <w:b/>
          <w:sz w:val="28"/>
          <w:szCs w:val="28"/>
        </w:rPr>
      </w:pPr>
      <w:bookmarkStart w:id="1" w:name="_Toc22357_WPSOffice_Level1"/>
      <w:r>
        <w:rPr>
          <w:rFonts w:hint="eastAsia" w:ascii="宋体" w:hAnsi="宋体"/>
          <w:b/>
          <w:sz w:val="28"/>
          <w:szCs w:val="28"/>
        </w:rPr>
        <w:t>投标申请表</w:t>
      </w:r>
      <w:bookmarkEnd w:id="1"/>
    </w:p>
    <w:p>
      <w:pPr>
        <w:spacing w:line="400" w:lineRule="exact"/>
        <w:rPr>
          <w:rFonts w:ascii="宋体" w:hAnsi="宋体"/>
          <w:b/>
          <w:sz w:val="28"/>
          <w:szCs w:val="28"/>
        </w:rPr>
      </w:pPr>
      <w:r>
        <w:rPr>
          <w:rFonts w:hint="eastAsia" w:ascii="新宋体" w:hAnsi="新宋体" w:eastAsia="新宋体" w:cs="宋体"/>
          <w:b/>
          <w:kern w:val="0"/>
          <w:szCs w:val="21"/>
        </w:rPr>
        <w:t>招标编号：</w:t>
      </w:r>
    </w:p>
    <w:tbl>
      <w:tblPr>
        <w:tblStyle w:val="6"/>
        <w:tblW w:w="922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09"/>
        <w:gridCol w:w="2277"/>
        <w:gridCol w:w="1665"/>
        <w:gridCol w:w="29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23" w:hRule="atLeast"/>
          <w:jc w:val="center"/>
        </w:trPr>
        <w:tc>
          <w:tcPr>
            <w:tcW w:w="2309" w:type="dxa"/>
            <w:tcBorders>
              <w:top w:val="single" w:color="auto" w:sz="8" w:space="0"/>
              <w:left w:val="single" w:color="auto" w:sz="8"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投标人</w:t>
            </w:r>
          </w:p>
        </w:tc>
        <w:tc>
          <w:tcPr>
            <w:tcW w:w="6914" w:type="dxa"/>
            <w:gridSpan w:val="3"/>
            <w:tcBorders>
              <w:top w:val="single" w:color="auto" w:sz="8"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法定代表人</w:t>
            </w:r>
          </w:p>
        </w:tc>
        <w:tc>
          <w:tcPr>
            <w:tcW w:w="2277"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p>
        </w:tc>
        <w:tc>
          <w:tcPr>
            <w:tcW w:w="1665"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委托代理人</w:t>
            </w:r>
          </w:p>
        </w:tc>
        <w:tc>
          <w:tcPr>
            <w:tcW w:w="2972" w:type="dxa"/>
            <w:tcBorders>
              <w:top w:val="single" w:color="auto" w:sz="6"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营业范围(投标</w:t>
            </w:r>
            <w:r>
              <w:rPr>
                <w:rFonts w:ascii="新宋体" w:hAnsi="新宋体" w:eastAsia="新宋体" w:cs="宋体"/>
                <w:kern w:val="0"/>
                <w:szCs w:val="21"/>
              </w:rPr>
              <w:t>相关</w:t>
            </w:r>
            <w:r>
              <w:rPr>
                <w:rFonts w:hint="eastAsia" w:ascii="新宋体" w:hAnsi="新宋体" w:eastAsia="新宋体" w:cs="宋体"/>
                <w:kern w:val="0"/>
                <w:szCs w:val="21"/>
              </w:rPr>
              <w:t>)</w:t>
            </w:r>
          </w:p>
        </w:tc>
        <w:tc>
          <w:tcPr>
            <w:tcW w:w="6914" w:type="dxa"/>
            <w:gridSpan w:val="3"/>
            <w:tcBorders>
              <w:top w:val="single" w:color="auto" w:sz="6" w:space="0"/>
              <w:left w:val="single" w:color="auto" w:sz="4"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5"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联系电话</w:t>
            </w:r>
          </w:p>
        </w:tc>
        <w:tc>
          <w:tcPr>
            <w:tcW w:w="2277"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p>
        </w:tc>
        <w:tc>
          <w:tcPr>
            <w:tcW w:w="1665"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电子邮箱</w:t>
            </w:r>
          </w:p>
        </w:tc>
        <w:tc>
          <w:tcPr>
            <w:tcW w:w="2972" w:type="dxa"/>
            <w:tcBorders>
              <w:top w:val="single" w:color="auto" w:sz="6"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10" w:hRule="atLeast"/>
          <w:jc w:val="center"/>
        </w:trPr>
        <w:tc>
          <w:tcPr>
            <w:tcW w:w="9223" w:type="dxa"/>
            <w:gridSpan w:val="4"/>
            <w:tcBorders>
              <w:top w:val="single" w:color="auto" w:sz="6" w:space="0"/>
              <w:left w:val="single" w:color="auto" w:sz="8" w:space="0"/>
              <w:bottom w:val="single" w:color="auto" w:sz="6" w:space="0"/>
              <w:right w:val="single" w:color="auto" w:sz="8" w:space="0"/>
            </w:tcBorders>
          </w:tcPr>
          <w:p>
            <w:pPr>
              <w:widowControl/>
              <w:spacing w:line="400" w:lineRule="exact"/>
              <w:rPr>
                <w:rFonts w:ascii="新宋体" w:hAnsi="新宋体" w:eastAsia="新宋体" w:cs="宋体"/>
                <w:kern w:val="0"/>
                <w:szCs w:val="21"/>
              </w:rPr>
            </w:pPr>
            <w:r>
              <w:rPr>
                <w:rFonts w:hint="eastAsia" w:ascii="新宋体" w:hAnsi="新宋体" w:eastAsia="新宋体" w:cs="宋体"/>
                <w:kern w:val="0"/>
                <w:szCs w:val="21"/>
              </w:rPr>
              <w:t>申请投标包件号及说明：</w:t>
            </w:r>
          </w:p>
          <w:p>
            <w:pPr>
              <w:widowControl/>
              <w:spacing w:line="400" w:lineRule="exact"/>
              <w:rPr>
                <w:rFonts w:ascii="新宋体" w:hAnsi="新宋体" w:eastAsia="新宋体" w:cs="宋体"/>
                <w:kern w:val="0"/>
                <w:szCs w:val="21"/>
              </w:rPr>
            </w:pPr>
          </w:p>
          <w:p>
            <w:pPr>
              <w:widowControl/>
              <w:spacing w:line="400" w:lineRule="exact"/>
              <w:rPr>
                <w:rFonts w:ascii="新宋体" w:hAnsi="新宋体" w:eastAsia="新宋体" w:cs="宋体"/>
                <w:kern w:val="0"/>
                <w:szCs w:val="21"/>
              </w:rPr>
            </w:pPr>
          </w:p>
          <w:p>
            <w:pPr>
              <w:widowControl/>
              <w:spacing w:line="400" w:lineRule="exact"/>
              <w:rPr>
                <w:rFonts w:ascii="宋体" w:hAnsi="宋体"/>
                <w:sz w:val="18"/>
                <w:szCs w:val="18"/>
              </w:rPr>
            </w:pPr>
            <w:r>
              <w:rPr>
                <w:rFonts w:hint="eastAsia" w:ascii="新宋体" w:hAnsi="新宋体" w:eastAsia="新宋体" w:cs="宋体"/>
                <w:kern w:val="0"/>
                <w:szCs w:val="21"/>
              </w:rPr>
              <w:t>投标保证金形式</w:t>
            </w:r>
            <w:r>
              <w:rPr>
                <w:rFonts w:ascii="新宋体" w:hAnsi="新宋体" w:eastAsia="新宋体" w:cs="宋体"/>
                <w:kern w:val="0"/>
                <w:szCs w:val="21"/>
              </w:rPr>
              <w:t>：</w:t>
            </w:r>
            <w:r>
              <w:rPr>
                <w:rFonts w:hint="eastAsia" w:ascii="新宋体" w:hAnsi="新宋体" w:eastAsia="新宋体" w:cs="宋体"/>
                <w:kern w:val="0"/>
                <w:szCs w:val="21"/>
              </w:rPr>
              <w:t>□</w:t>
            </w:r>
            <w:r>
              <w:rPr>
                <w:rFonts w:hint="eastAsia" w:ascii="宋体" w:hAnsi="宋体"/>
                <w:sz w:val="18"/>
                <w:szCs w:val="18"/>
              </w:rPr>
              <w:t xml:space="preserve">银行电汇 </w:t>
            </w:r>
            <w:r>
              <w:rPr>
                <w:rFonts w:hint="eastAsia" w:ascii="新宋体" w:hAnsi="新宋体" w:eastAsia="新宋体" w:cs="宋体"/>
                <w:kern w:val="0"/>
                <w:szCs w:val="21"/>
              </w:rPr>
              <w:t>□</w:t>
            </w:r>
            <w:r>
              <w:rPr>
                <w:rFonts w:hint="eastAsia" w:ascii="宋体" w:hAnsi="宋体"/>
                <w:sz w:val="18"/>
                <w:szCs w:val="18"/>
              </w:rPr>
              <w:t>银行保函</w:t>
            </w:r>
          </w:p>
          <w:p>
            <w:pPr>
              <w:widowControl/>
              <w:spacing w:line="400" w:lineRule="exact"/>
              <w:rPr>
                <w:rFonts w:ascii="新宋体" w:hAnsi="新宋体" w:eastAsia="新宋体" w:cs="宋体"/>
                <w:kern w:val="0"/>
                <w:szCs w:val="21"/>
              </w:rPr>
            </w:pPr>
            <w:r>
              <w:rPr>
                <w:rFonts w:hint="eastAsia" w:ascii="新宋体" w:hAnsi="新宋体" w:eastAsia="新宋体" w:cs="宋体"/>
                <w:kern w:val="0"/>
                <w:szCs w:val="21"/>
              </w:rPr>
              <w:t>基本户</w:t>
            </w:r>
            <w:r>
              <w:rPr>
                <w:rFonts w:ascii="新宋体" w:hAnsi="新宋体" w:eastAsia="新宋体" w:cs="宋体"/>
                <w:kern w:val="0"/>
                <w:szCs w:val="21"/>
              </w:rPr>
              <w:t>信息</w:t>
            </w:r>
            <w:r>
              <w:rPr>
                <w:rFonts w:hint="eastAsia" w:ascii="新宋体" w:hAnsi="新宋体" w:eastAsia="新宋体" w:cs="宋体"/>
                <w:kern w:val="0"/>
                <w:szCs w:val="21"/>
              </w:rPr>
              <w:t>（电汇</w:t>
            </w:r>
            <w:r>
              <w:rPr>
                <w:rFonts w:ascii="新宋体" w:hAnsi="新宋体" w:eastAsia="新宋体" w:cs="宋体"/>
                <w:kern w:val="0"/>
                <w:szCs w:val="21"/>
              </w:rPr>
              <w:t>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75" w:hRule="atLeast"/>
          <w:jc w:val="center"/>
        </w:trPr>
        <w:tc>
          <w:tcPr>
            <w:tcW w:w="9223" w:type="dxa"/>
            <w:gridSpan w:val="4"/>
            <w:tcBorders>
              <w:top w:val="single" w:color="auto" w:sz="6" w:space="0"/>
              <w:left w:val="single" w:color="auto" w:sz="8"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p>
            <w:pPr>
              <w:widowControl/>
              <w:spacing w:line="400" w:lineRule="exact"/>
              <w:jc w:val="left"/>
              <w:rPr>
                <w:rFonts w:ascii="新宋体" w:hAnsi="新宋体" w:eastAsia="新宋体"/>
              </w:rPr>
            </w:pPr>
            <w:r>
              <w:rPr>
                <w:rFonts w:hint="eastAsia" w:ascii="新宋体" w:hAnsi="新宋体" w:eastAsia="新宋体"/>
              </w:rPr>
              <w:t>（投标人全称）:</w:t>
            </w:r>
          </w:p>
          <w:p>
            <w:pPr>
              <w:widowControl/>
              <w:spacing w:line="400" w:lineRule="exact"/>
              <w:jc w:val="left"/>
              <w:rPr>
                <w:rFonts w:ascii="新宋体" w:hAnsi="新宋体" w:eastAsia="新宋体"/>
              </w:rPr>
            </w:pPr>
            <w:r>
              <w:rPr>
                <w:rFonts w:hint="eastAsia" w:ascii="新宋体" w:hAnsi="新宋体" w:eastAsia="新宋体"/>
              </w:rPr>
              <w:t xml:space="preserve">    在阅读和理解了本次投标邀请书后，认为我单位符合投标邀请书对投标人的基本要求，在此特向贵方提出参与招标编号的上述申请投标</w:t>
            </w:r>
            <w:r>
              <w:rPr>
                <w:rFonts w:hint="eastAsia" w:ascii="新宋体" w:hAnsi="新宋体" w:eastAsia="新宋体" w:cs="宋体"/>
                <w:bCs/>
                <w:kern w:val="0"/>
                <w:szCs w:val="21"/>
              </w:rPr>
              <w:t>包件号</w:t>
            </w:r>
            <w:r>
              <w:rPr>
                <w:rFonts w:hint="eastAsia" w:ascii="新宋体" w:hAnsi="新宋体" w:eastAsia="新宋体"/>
              </w:rPr>
              <w:t>的投标报名，特此申请。本投标单位有关信息如上。</w:t>
            </w:r>
          </w:p>
          <w:p>
            <w:pPr>
              <w:widowControl/>
              <w:spacing w:line="400" w:lineRule="exact"/>
              <w:jc w:val="left"/>
              <w:rPr>
                <w:rFonts w:ascii="新宋体" w:hAnsi="新宋体" w:eastAsia="新宋体"/>
              </w:rPr>
            </w:pP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xml:space="preserve">                                                         投标人（公章）：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xml:space="preserve">                                                         年    月    日 </w:t>
            </w:r>
          </w:p>
          <w:p>
            <w:pPr>
              <w:shd w:val="clear" w:color="auto" w:fill="FFFFFF"/>
              <w:spacing w:line="400" w:lineRule="exact"/>
              <w:jc w:val="center"/>
              <w:rPr>
                <w:rFonts w:ascii="新宋体" w:hAnsi="新宋体" w:eastAsia="新宋体"/>
                <w:b/>
                <w:sz w:val="18"/>
                <w:szCs w:val="18"/>
              </w:rPr>
            </w:pPr>
          </w:p>
          <w:p>
            <w:pPr>
              <w:widowControl/>
              <w:spacing w:line="400" w:lineRule="exact"/>
              <w:jc w:val="left"/>
              <w:rPr>
                <w:rFonts w:ascii="新宋体" w:hAnsi="新宋体" w:eastAsia="新宋体" w:cs="宋体"/>
                <w:kern w:val="0"/>
                <w:szCs w:val="21"/>
              </w:rPr>
            </w:pPr>
          </w:p>
        </w:tc>
      </w:tr>
    </w:tbl>
    <w:p>
      <w:pPr>
        <w:pStyle w:val="2"/>
        <w:spacing w:line="415" w:lineRule="auto"/>
        <w:rPr>
          <w:sz w:val="30"/>
          <w:szCs w:val="30"/>
        </w:rPr>
      </w:pPr>
      <w:r>
        <w:rPr>
          <w:rFonts w:hint="eastAsia"/>
          <w:sz w:val="30"/>
          <w:szCs w:val="30"/>
        </w:rPr>
        <w:t>投标人报名、响应流程</w:t>
      </w:r>
      <w:bookmarkEnd w:id="0"/>
    </w:p>
    <w:p/>
    <w:p>
      <w:pPr>
        <w:rPr>
          <w:sz w:val="28"/>
          <w:szCs w:val="28"/>
        </w:rPr>
      </w:pPr>
      <w:r>
        <w:rPr>
          <w:rFonts w:hint="eastAsia"/>
          <w:sz w:val="28"/>
          <w:szCs w:val="28"/>
        </w:rPr>
        <w:t>一、</w:t>
      </w:r>
      <w:r>
        <w:rPr>
          <w:rFonts w:hint="eastAsia" w:ascii="宋体" w:hAnsi="宋体"/>
          <w:b/>
          <w:bCs/>
          <w:sz w:val="28"/>
          <w:szCs w:val="28"/>
        </w:rPr>
        <w:t>中国中铁采购电子商务平台报名、响应流程</w:t>
      </w:r>
    </w:p>
    <w:p>
      <w:pPr>
        <w:spacing w:line="360" w:lineRule="auto"/>
        <w:ind w:firstLine="420" w:firstLineChars="200"/>
        <w:rPr>
          <w:rFonts w:ascii="微软雅黑" w:eastAsia="微软雅黑"/>
        </w:rPr>
      </w:pPr>
      <w:r>
        <w:rPr>
          <w:rFonts w:ascii="微软雅黑" w:eastAsia="微软雅黑"/>
        </w:rPr>
        <w:t xml:space="preserve">1. </w:t>
      </w:r>
      <w:r>
        <w:rPr>
          <w:rFonts w:hint="eastAsia" w:ascii="微软雅黑" w:eastAsia="微软雅黑"/>
        </w:rPr>
        <w:t>登录中国中铁采购电子商务平台（</w:t>
      </w:r>
      <w:r>
        <w:fldChar w:fldCharType="begin"/>
      </w:r>
      <w:r>
        <w:instrText xml:space="preserve">HYPERLINK "http://www.crecgec.com"</w:instrText>
      </w:r>
      <w:r>
        <w:fldChar w:fldCharType="separate"/>
      </w:r>
      <w:r>
        <w:rPr>
          <w:rStyle w:val="8"/>
          <w:rFonts w:hint="eastAsia" w:ascii="微软雅黑" w:eastAsia="微软雅黑"/>
        </w:rPr>
        <w:t>www.crecgec.com</w:t>
      </w:r>
      <w:r>
        <w:fldChar w:fldCharType="end"/>
      </w:r>
      <w:r>
        <w:rPr>
          <w:rFonts w:hint="eastAsia" w:ascii="微软雅黑" w:eastAsia="微软雅黑"/>
        </w:rPr>
        <w:t xml:space="preserve"> ），单击左上角【用户登录】按钮，进入系统登录页面。如下图：</w:t>
      </w:r>
    </w:p>
    <w:p>
      <w:pPr>
        <w:spacing w:line="360" w:lineRule="auto"/>
        <w:rPr>
          <w:rFonts w:ascii="微软雅黑" w:eastAsia="微软雅黑"/>
        </w:rPr>
      </w:pPr>
      <w:r>
        <w:rPr>
          <w:rFonts w:ascii="微软雅黑" w:eastAsia="微软雅黑"/>
        </w:rPr>
        <w:drawing>
          <wp:inline distT="0" distB="0" distL="0" distR="0">
            <wp:extent cx="5277485" cy="2412365"/>
            <wp:effectExtent l="0" t="0" r="10795" b="1079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4" cstate="print"/>
                    <a:srcRect/>
                    <a:stretch>
                      <a:fillRect/>
                    </a:stretch>
                  </pic:blipFill>
                  <pic:spPr>
                    <a:xfrm>
                      <a:off x="0" y="0"/>
                      <a:ext cx="5277485" cy="2412365"/>
                    </a:xfrm>
                    <a:prstGeom prst="rect">
                      <a:avLst/>
                    </a:prstGeom>
                    <a:noFill/>
                    <a:ln w="9525" cmpd="sng">
                      <a:noFill/>
                      <a:miter lim="800000"/>
                      <a:headEnd/>
                      <a:tailEnd/>
                    </a:ln>
                  </pic:spPr>
                </pic:pic>
              </a:graphicData>
            </a:graphic>
          </wp:inline>
        </w:drawing>
      </w:r>
    </w:p>
    <w:p>
      <w:pPr>
        <w:spacing w:line="360" w:lineRule="auto"/>
        <w:rPr>
          <w:rFonts w:ascii="微软雅黑" w:eastAsia="微软雅黑"/>
        </w:rPr>
      </w:pPr>
      <w:r>
        <w:rPr>
          <w:rFonts w:ascii="微软雅黑" w:eastAsia="微软雅黑"/>
        </w:rPr>
        <w:drawing>
          <wp:inline distT="0" distB="0" distL="0" distR="0">
            <wp:extent cx="5277485" cy="2447290"/>
            <wp:effectExtent l="0" t="0" r="10795" b="635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5" cstate="print"/>
                    <a:srcRect/>
                    <a:stretch>
                      <a:fillRect/>
                    </a:stretch>
                  </pic:blipFill>
                  <pic:spPr>
                    <a:xfrm>
                      <a:off x="0" y="0"/>
                      <a:ext cx="5277485" cy="2447290"/>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ascii="微软雅黑" w:eastAsia="微软雅黑"/>
        </w:rPr>
        <w:t>2. 输入供应商用户名</w:t>
      </w:r>
      <w:r>
        <w:rPr>
          <w:rFonts w:hint="eastAsia" w:ascii="微软雅黑" w:eastAsia="微软雅黑"/>
        </w:rPr>
        <w:t>、</w:t>
      </w:r>
      <w:r>
        <w:rPr>
          <w:rFonts w:ascii="微软雅黑" w:eastAsia="微软雅黑"/>
        </w:rPr>
        <w:t>密码</w:t>
      </w:r>
      <w:r>
        <w:rPr>
          <w:rFonts w:hint="eastAsia" w:ascii="微软雅黑" w:eastAsia="微软雅黑"/>
        </w:rPr>
        <w:t>、验证码，</w:t>
      </w:r>
      <w:r>
        <w:rPr>
          <w:rFonts w:ascii="微软雅黑" w:eastAsia="微软雅黑"/>
        </w:rPr>
        <w:t>点击</w:t>
      </w:r>
      <w:r>
        <w:rPr>
          <w:rFonts w:hint="eastAsia" w:ascii="微软雅黑" w:eastAsia="微软雅黑"/>
        </w:rPr>
        <w:t>【</w:t>
      </w:r>
      <w:r>
        <w:rPr>
          <w:rFonts w:ascii="微软雅黑" w:eastAsia="微软雅黑"/>
        </w:rPr>
        <w:t>登录</w:t>
      </w:r>
      <w:r>
        <w:rPr>
          <w:rFonts w:hint="eastAsia" w:ascii="微软雅黑" w:eastAsia="微软雅黑"/>
        </w:rPr>
        <w:t>】，</w:t>
      </w:r>
      <w:r>
        <w:rPr>
          <w:rFonts w:ascii="微软雅黑" w:eastAsia="微软雅黑"/>
        </w:rPr>
        <w:t>页面会自动跳转回</w:t>
      </w:r>
      <w:r>
        <w:rPr>
          <w:rFonts w:hint="eastAsia" w:ascii="微软雅黑" w:eastAsia="微软雅黑"/>
        </w:rPr>
        <w:t>中国中铁采购电子商务平台，可以查看用户身份、用户状态，将鼠标移动到上方的【供方交易系统】进入。</w:t>
      </w:r>
    </w:p>
    <w:p>
      <w:pPr>
        <w:spacing w:line="360" w:lineRule="auto"/>
        <w:ind w:firstLine="420" w:firstLineChars="200"/>
        <w:rPr>
          <w:rFonts w:ascii="微软雅黑" w:eastAsia="微软雅黑"/>
        </w:rPr>
      </w:pPr>
      <w:r>
        <w:rPr>
          <w:rFonts w:ascii="微软雅黑" w:eastAsia="微软雅黑"/>
        </w:rPr>
        <w:t>3. 在</w:t>
      </w:r>
      <w:r>
        <w:rPr>
          <w:rFonts w:hint="eastAsia" w:ascii="微软雅黑" w:eastAsia="微软雅黑"/>
        </w:rPr>
        <w:t>供应商</w:t>
      </w:r>
      <w:r>
        <w:rPr>
          <w:rFonts w:ascii="微软雅黑" w:eastAsia="微软雅黑"/>
        </w:rPr>
        <w:t>平台中</w:t>
      </w:r>
      <w:r>
        <w:rPr>
          <w:rFonts w:hint="eastAsia" w:ascii="微软雅黑" w:eastAsia="微软雅黑"/>
        </w:rPr>
        <w:t>，点击【电子采购】下方的【供应商门户】，进入供应商门户功能组，</w:t>
      </w:r>
      <w:r>
        <w:rPr>
          <w:rFonts w:ascii="微软雅黑" w:eastAsia="微软雅黑"/>
        </w:rPr>
        <w:t>可</w:t>
      </w:r>
      <w:r>
        <w:rPr>
          <w:rFonts w:hint="eastAsia" w:ascii="微软雅黑" w:eastAsia="微软雅黑"/>
        </w:rPr>
        <w:t>进行在线投标等操作。</w:t>
      </w:r>
    </w:p>
    <w:p>
      <w:pPr>
        <w:spacing w:line="360" w:lineRule="auto"/>
        <w:rPr>
          <w:rFonts w:ascii="微软雅黑" w:eastAsia="微软雅黑"/>
        </w:rPr>
      </w:pPr>
      <w:r>
        <w:rPr>
          <w:rFonts w:ascii="微软雅黑" w:eastAsia="微软雅黑"/>
        </w:rPr>
        <w:drawing>
          <wp:inline distT="0" distB="0" distL="0" distR="0">
            <wp:extent cx="5277485" cy="888365"/>
            <wp:effectExtent l="0" t="0" r="10795" b="1079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6" cstate="print"/>
                    <a:srcRect/>
                    <a:stretch>
                      <a:fillRect/>
                    </a:stretch>
                  </pic:blipFill>
                  <pic:spPr>
                    <a:xfrm>
                      <a:off x="0" y="0"/>
                      <a:ext cx="5277485" cy="888365"/>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4.点击【采购公告】功能点，可通过【模糊匹配】来查询想要参与的标件，点击【公告标题】查看公告内容，同时可以关注采购项目，关注后的项目可通过采购信息中【只看关注】按钮快速找到。</w:t>
      </w:r>
    </w:p>
    <w:p>
      <w:pPr>
        <w:spacing w:line="360" w:lineRule="auto"/>
        <w:rPr>
          <w:rFonts w:ascii="微软雅黑" w:eastAsia="微软雅黑"/>
        </w:rPr>
      </w:pPr>
      <w:r>
        <w:rPr>
          <w:rFonts w:ascii="微软雅黑" w:eastAsia="微软雅黑"/>
        </w:rPr>
        <w:drawing>
          <wp:inline distT="0" distB="0" distL="0" distR="0">
            <wp:extent cx="5277485" cy="818515"/>
            <wp:effectExtent l="0" t="0" r="10795" b="444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7" cstate="print"/>
                    <a:srcRect/>
                    <a:stretch>
                      <a:fillRect/>
                    </a:stretch>
                  </pic:blipFill>
                  <pic:spPr>
                    <a:xfrm>
                      <a:off x="0" y="0"/>
                      <a:ext cx="5277485" cy="818515"/>
                    </a:xfrm>
                    <a:prstGeom prst="rect">
                      <a:avLst/>
                    </a:prstGeom>
                    <a:noFill/>
                    <a:ln w="9525" cmpd="sng">
                      <a:noFill/>
                      <a:miter lim="800000"/>
                      <a:headEnd/>
                      <a:tailEnd/>
                    </a:ln>
                  </pic:spPr>
                </pic:pic>
              </a:graphicData>
            </a:graphic>
          </wp:inline>
        </w:drawing>
      </w:r>
    </w:p>
    <w:p>
      <w:pPr>
        <w:spacing w:line="360" w:lineRule="auto"/>
        <w:rPr>
          <w:rFonts w:ascii="微软雅黑" w:eastAsia="微软雅黑"/>
        </w:rPr>
      </w:pPr>
      <w:r>
        <w:rPr>
          <w:rFonts w:ascii="微软雅黑" w:eastAsia="微软雅黑"/>
        </w:rPr>
        <w:drawing>
          <wp:inline distT="0" distB="0" distL="0" distR="0">
            <wp:extent cx="5268595" cy="1358265"/>
            <wp:effectExtent l="0" t="0" r="4445" b="1333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8" cstate="print"/>
                    <a:srcRect/>
                    <a:stretch>
                      <a:fillRect/>
                    </a:stretch>
                  </pic:blipFill>
                  <pic:spPr>
                    <a:xfrm>
                      <a:off x="0" y="0"/>
                      <a:ext cx="5268595" cy="1358265"/>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5.点击【采购信息】功能点</w:t>
      </w:r>
      <w:r>
        <w:rPr>
          <w:rFonts w:ascii="微软雅黑" w:eastAsia="微软雅黑"/>
        </w:rPr>
        <w:t>，找到想要投标的标后</w:t>
      </w:r>
      <w:r>
        <w:rPr>
          <w:rFonts w:hint="eastAsia" w:ascii="微软雅黑" w:eastAsia="微软雅黑"/>
        </w:rPr>
        <w:t>（</w:t>
      </w:r>
      <w:r>
        <w:rPr>
          <w:rFonts w:ascii="微软雅黑" w:eastAsia="微软雅黑"/>
        </w:rPr>
        <w:t>对于在采购公告中关注过的项目可通过</w:t>
      </w:r>
      <w:r>
        <w:rPr>
          <w:rFonts w:hint="eastAsia" w:ascii="微软雅黑" w:eastAsia="微软雅黑"/>
        </w:rPr>
        <w:t>【只看关注】快速过滤），</w:t>
      </w:r>
      <w:r>
        <w:rPr>
          <w:rFonts w:ascii="微软雅黑" w:eastAsia="微软雅黑"/>
        </w:rPr>
        <w:t>单击</w:t>
      </w:r>
      <w:r>
        <w:rPr>
          <w:rFonts w:hint="eastAsia" w:ascii="微软雅黑" w:eastAsia="微软雅黑"/>
        </w:rPr>
        <w:t>【</w:t>
      </w:r>
      <w:r>
        <w:rPr>
          <w:rFonts w:ascii="微软雅黑" w:eastAsia="微软雅黑"/>
        </w:rPr>
        <w:t>采购名称</w:t>
      </w:r>
      <w:r>
        <w:rPr>
          <w:rFonts w:hint="eastAsia" w:ascii="微软雅黑" w:eastAsia="微软雅黑"/>
        </w:rPr>
        <w:t>】</w:t>
      </w:r>
      <w:r>
        <w:rPr>
          <w:rFonts w:ascii="微软雅黑" w:eastAsia="微软雅黑"/>
        </w:rPr>
        <w:t>或</w:t>
      </w:r>
      <w:r>
        <w:rPr>
          <w:rFonts w:hint="eastAsia" w:ascii="微软雅黑" w:eastAsia="微软雅黑"/>
        </w:rPr>
        <w:t>【采购</w:t>
      </w:r>
      <w:r>
        <w:rPr>
          <w:rFonts w:ascii="微软雅黑" w:eastAsia="微软雅黑"/>
        </w:rPr>
        <w:t>编号</w:t>
      </w:r>
      <w:r>
        <w:rPr>
          <w:rFonts w:hint="eastAsia" w:ascii="微软雅黑" w:eastAsia="微软雅黑"/>
        </w:rPr>
        <w:t>】，</w:t>
      </w:r>
      <w:r>
        <w:rPr>
          <w:rFonts w:ascii="微软雅黑" w:eastAsia="微软雅黑"/>
        </w:rPr>
        <w:t>进入标的信息</w:t>
      </w:r>
      <w:r>
        <w:rPr>
          <w:rFonts w:hint="eastAsia" w:ascii="微软雅黑" w:eastAsia="微软雅黑"/>
        </w:rPr>
        <w:t>，</w:t>
      </w:r>
      <w:r>
        <w:rPr>
          <w:rFonts w:ascii="微软雅黑" w:eastAsia="微软雅黑"/>
        </w:rPr>
        <w:t>选择具体的包件后</w:t>
      </w:r>
      <w:r>
        <w:rPr>
          <w:rFonts w:hint="eastAsia" w:ascii="微软雅黑" w:eastAsia="微软雅黑"/>
        </w:rPr>
        <w:t>，进入招标采购明细页面。首先进行响应和投标联系人的维护，</w:t>
      </w:r>
      <w:r>
        <w:rPr>
          <w:rFonts w:ascii="微软雅黑" w:eastAsia="微软雅黑"/>
        </w:rPr>
        <w:t>如线下已向招标人缴纳标书费用</w:t>
      </w:r>
      <w:r>
        <w:rPr>
          <w:rFonts w:hint="eastAsia" w:ascii="微软雅黑" w:eastAsia="微软雅黑"/>
        </w:rPr>
        <w:t>，需联系招标人修改供应商标书费用缴纳状态，修改后供应商即可进行标书文件下载、提问、查看下载补遗文件、报价编辑以及上传投标文件等操作。具体步骤如下：</w:t>
      </w:r>
    </w:p>
    <w:p>
      <w:pPr>
        <w:spacing w:line="360" w:lineRule="auto"/>
        <w:ind w:firstLine="420" w:firstLineChars="200"/>
        <w:rPr>
          <w:rFonts w:ascii="微软雅黑" w:eastAsia="微软雅黑"/>
        </w:rPr>
      </w:pPr>
      <w:r>
        <w:rPr>
          <w:rFonts w:hint="eastAsia" w:ascii="微软雅黑" w:eastAsia="微软雅黑"/>
        </w:rPr>
        <w:t>5.1 首先选择【采购编号】/【采购名称】，再选择【包件编号】/【包件名称】，进入招标采购明细界面，如图所示。</w:t>
      </w:r>
    </w:p>
    <w:p>
      <w:pPr>
        <w:spacing w:line="360" w:lineRule="auto"/>
        <w:rPr>
          <w:rFonts w:ascii="微软雅黑" w:eastAsia="微软雅黑"/>
        </w:rPr>
      </w:pPr>
      <w:r>
        <w:rPr>
          <w:rFonts w:ascii="微软雅黑" w:eastAsia="微软雅黑"/>
        </w:rPr>
        <w:drawing>
          <wp:inline distT="0" distB="0" distL="0" distR="0">
            <wp:extent cx="5277485" cy="879475"/>
            <wp:effectExtent l="0" t="0" r="10795" b="444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noChangeArrowheads="1"/>
                    </pic:cNvPicPr>
                  </pic:nvPicPr>
                  <pic:blipFill>
                    <a:blip r:embed="rId9" cstate="print"/>
                    <a:srcRect/>
                    <a:stretch>
                      <a:fillRect/>
                    </a:stretch>
                  </pic:blipFill>
                  <pic:spPr>
                    <a:xfrm>
                      <a:off x="0" y="0"/>
                      <a:ext cx="5277485" cy="879475"/>
                    </a:xfrm>
                    <a:prstGeom prst="rect">
                      <a:avLst/>
                    </a:prstGeom>
                    <a:noFill/>
                    <a:ln w="9525" cmpd="sng">
                      <a:noFill/>
                      <a:miter lim="800000"/>
                      <a:headEnd/>
                      <a:tailEnd/>
                    </a:ln>
                  </pic:spPr>
                </pic:pic>
              </a:graphicData>
            </a:graphic>
          </wp:inline>
        </w:drawing>
      </w:r>
      <w:r>
        <w:rPr>
          <w:rFonts w:ascii="微软雅黑" w:eastAsia="微软雅黑"/>
        </w:rPr>
        <w:drawing>
          <wp:inline distT="0" distB="0" distL="0" distR="0">
            <wp:extent cx="5268595" cy="1036320"/>
            <wp:effectExtent l="0" t="0" r="4445"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0" cstate="print"/>
                    <a:srcRect/>
                    <a:stretch>
                      <a:fillRect/>
                    </a:stretch>
                  </pic:blipFill>
                  <pic:spPr>
                    <a:xfrm>
                      <a:off x="0" y="0"/>
                      <a:ext cx="5268595" cy="1036320"/>
                    </a:xfrm>
                    <a:prstGeom prst="rect">
                      <a:avLst/>
                    </a:prstGeom>
                    <a:noFill/>
                    <a:ln w="9525" cmpd="sng">
                      <a:noFill/>
                      <a:miter lim="800000"/>
                      <a:headEnd/>
                      <a:tailEnd/>
                    </a:ln>
                  </pic:spPr>
                </pic:pic>
              </a:graphicData>
            </a:graphic>
          </wp:inline>
        </w:drawing>
      </w:r>
    </w:p>
    <w:p>
      <w:pPr>
        <w:spacing w:line="360" w:lineRule="auto"/>
        <w:rPr>
          <w:rFonts w:ascii="微软雅黑" w:eastAsia="微软雅黑"/>
        </w:rPr>
      </w:pPr>
      <w:r>
        <w:rPr>
          <w:rFonts w:ascii="微软雅黑" w:eastAsia="微软雅黑"/>
        </w:rPr>
        <w:drawing>
          <wp:inline distT="0" distB="0" distL="0" distR="0">
            <wp:extent cx="5277485" cy="2229485"/>
            <wp:effectExtent l="0" t="0" r="10795" b="10795"/>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1" cstate="print"/>
                    <a:srcRect/>
                    <a:stretch>
                      <a:fillRect/>
                    </a:stretch>
                  </pic:blipFill>
                  <pic:spPr>
                    <a:xfrm>
                      <a:off x="0" y="0"/>
                      <a:ext cx="5277485" cy="2229485"/>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5.2 响应与投标联系人信息：维护联系人姓名、联系方式、密码（该密码用于保障供应商报价信息及投标文件保密，且开标后需供应商解锁后，招标人才能看到报价以及查看与下载投标文件）。提交联系人信息后，点击响应按钮进行响应（供应商响应后，招标方才能在“查看供应商”中查看到该供应商状态）。</w:t>
      </w:r>
    </w:p>
    <w:p>
      <w:pPr>
        <w:spacing w:line="360" w:lineRule="auto"/>
        <w:ind w:left="420" w:hanging="420" w:hangingChars="200"/>
        <w:rPr>
          <w:rFonts w:ascii="微软雅黑" w:eastAsia="微软雅黑"/>
        </w:rPr>
      </w:pPr>
      <w:r>
        <w:rPr>
          <w:rFonts w:ascii="微软雅黑" w:eastAsia="微软雅黑"/>
        </w:rPr>
        <w:drawing>
          <wp:inline distT="0" distB="0" distL="0" distR="0">
            <wp:extent cx="5277485" cy="2185670"/>
            <wp:effectExtent l="0" t="0" r="10795" b="889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noChangeArrowheads="1"/>
                    </pic:cNvPicPr>
                  </pic:nvPicPr>
                  <pic:blipFill>
                    <a:blip r:embed="rId12" cstate="print"/>
                    <a:srcRect/>
                    <a:stretch>
                      <a:fillRect/>
                    </a:stretch>
                  </pic:blipFill>
                  <pic:spPr>
                    <a:xfrm>
                      <a:off x="0" y="0"/>
                      <a:ext cx="5277485" cy="2185670"/>
                    </a:xfrm>
                    <a:prstGeom prst="rect">
                      <a:avLst/>
                    </a:prstGeom>
                    <a:noFill/>
                    <a:ln w="9525" cmpd="sng">
                      <a:noFill/>
                      <a:miter lim="800000"/>
                      <a:headEnd/>
                      <a:tailEnd/>
                    </a:ln>
                  </pic:spPr>
                </pic:pic>
              </a:graphicData>
            </a:graphic>
          </wp:inline>
        </w:drawing>
      </w:r>
      <w:r>
        <w:rPr>
          <w:rFonts w:hint="eastAsia" w:ascii="微软雅黑" w:eastAsia="微软雅黑"/>
        </w:rPr>
        <w:t>5.3 供应商响应后，如已缴纳过标书费用，需联系招标人在“标书费用”页面修改该供应商标书费用状态，以允许其下载招标文件，标书费用状态变为“已缴纳”后，供应商可点击招标文件名称进行下载。</w:t>
      </w:r>
    </w:p>
    <w:p>
      <w:pPr>
        <w:spacing w:line="360" w:lineRule="auto"/>
        <w:rPr>
          <w:rFonts w:ascii="微软雅黑" w:eastAsia="微软雅黑"/>
        </w:rPr>
      </w:pPr>
      <w:r>
        <w:rPr>
          <w:rFonts w:ascii="微软雅黑" w:eastAsia="微软雅黑"/>
        </w:rPr>
        <w:drawing>
          <wp:inline distT="0" distB="0" distL="0" distR="0">
            <wp:extent cx="5277485" cy="1350010"/>
            <wp:effectExtent l="0" t="0" r="10795" b="635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noChangeArrowheads="1"/>
                    </pic:cNvPicPr>
                  </pic:nvPicPr>
                  <pic:blipFill>
                    <a:blip r:embed="rId13" cstate="print"/>
                    <a:srcRect/>
                    <a:stretch>
                      <a:fillRect/>
                    </a:stretch>
                  </pic:blipFill>
                  <pic:spPr>
                    <a:xfrm>
                      <a:off x="0" y="0"/>
                      <a:ext cx="5277485" cy="1350010"/>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5.4 供应商可通过【澄清提问与补遗】功能点对招标人提问。</w:t>
      </w:r>
    </w:p>
    <w:p>
      <w:pPr>
        <w:spacing w:line="360" w:lineRule="auto"/>
        <w:rPr>
          <w:rFonts w:ascii="微软雅黑" w:eastAsia="微软雅黑"/>
        </w:rPr>
      </w:pPr>
      <w:r>
        <w:rPr>
          <w:rFonts w:ascii="微软雅黑" w:eastAsia="微软雅黑"/>
        </w:rPr>
        <w:drawing>
          <wp:inline distT="0" distB="0" distL="0" distR="0">
            <wp:extent cx="5277485" cy="2290445"/>
            <wp:effectExtent l="0" t="0" r="10795" b="10795"/>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noChangeArrowheads="1"/>
                    </pic:cNvPicPr>
                  </pic:nvPicPr>
                  <pic:blipFill>
                    <a:blip r:embed="rId14" cstate="print"/>
                    <a:srcRect/>
                    <a:stretch>
                      <a:fillRect/>
                    </a:stretch>
                  </pic:blipFill>
                  <pic:spPr>
                    <a:xfrm>
                      <a:off x="0" y="0"/>
                      <a:ext cx="5277485" cy="2290445"/>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5.5 澄清提问与补遗界面中，对于招标人发布的补遗文件，供应商需先下载，然后进行补遗确认。</w:t>
      </w:r>
    </w:p>
    <w:p>
      <w:pPr>
        <w:spacing w:line="360" w:lineRule="auto"/>
        <w:rPr>
          <w:rFonts w:ascii="微软雅黑" w:eastAsia="微软雅黑"/>
        </w:rPr>
      </w:pPr>
      <w:r>
        <w:rPr>
          <w:rFonts w:ascii="微软雅黑" w:eastAsia="微软雅黑"/>
        </w:rPr>
        <w:drawing>
          <wp:inline distT="0" distB="0" distL="0" distR="0">
            <wp:extent cx="5277485" cy="2002790"/>
            <wp:effectExtent l="0" t="0" r="10795" b="889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noChangeArrowheads="1"/>
                    </pic:cNvPicPr>
                  </pic:nvPicPr>
                  <pic:blipFill>
                    <a:blip r:embed="rId15" cstate="print"/>
                    <a:srcRect/>
                    <a:stretch>
                      <a:fillRect/>
                    </a:stretch>
                  </pic:blipFill>
                  <pic:spPr>
                    <a:xfrm>
                      <a:off x="0" y="0"/>
                      <a:ext cx="5277485" cy="2002790"/>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5.6</w:t>
      </w:r>
      <w:r>
        <w:rPr>
          <w:rFonts w:ascii="微软雅黑" w:eastAsia="微软雅黑"/>
        </w:rPr>
        <w:t>报价</w:t>
      </w:r>
      <w:r>
        <w:rPr>
          <w:rFonts w:hint="eastAsia" w:ascii="微软雅黑" w:eastAsia="微软雅黑"/>
        </w:rPr>
        <w:t>：供应商点击【编辑报价】，输入出厂单价和运杂费单价，系统会自动计算到站单价和到站合价；输入发站地。输入完成后，需点击【保存报价】才算有效报价。保存时，应核对系统自动合价金额是否与实际一致。</w:t>
      </w:r>
    </w:p>
    <w:p>
      <w:pPr>
        <w:spacing w:line="360" w:lineRule="auto"/>
        <w:rPr>
          <w:rFonts w:ascii="微软雅黑" w:eastAsia="微软雅黑"/>
        </w:rPr>
      </w:pPr>
      <w:r>
        <w:rPr>
          <w:rFonts w:ascii="微软雅黑" w:eastAsia="微软雅黑"/>
        </w:rPr>
        <w:drawing>
          <wp:inline distT="0" distB="0" distL="0" distR="0">
            <wp:extent cx="5277485" cy="1950720"/>
            <wp:effectExtent l="0" t="0" r="10795" b="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16" cstate="print"/>
                    <a:srcRect/>
                    <a:stretch>
                      <a:fillRect/>
                    </a:stretch>
                  </pic:blipFill>
                  <pic:spPr>
                    <a:xfrm>
                      <a:off x="0" y="0"/>
                      <a:ext cx="5277485" cy="1950720"/>
                    </a:xfrm>
                    <a:prstGeom prst="rect">
                      <a:avLst/>
                    </a:prstGeom>
                    <a:noFill/>
                    <a:ln w="9525" cmpd="sng">
                      <a:noFill/>
                      <a:miter lim="800000"/>
                      <a:headEnd/>
                      <a:tailEnd/>
                    </a:ln>
                  </pic:spPr>
                </pic:pic>
              </a:graphicData>
            </a:graphic>
          </wp:inline>
        </w:drawing>
      </w:r>
    </w:p>
    <w:p>
      <w:pPr>
        <w:spacing w:line="360" w:lineRule="auto"/>
        <w:ind w:firstLine="420" w:firstLineChars="200"/>
        <w:rPr>
          <w:rFonts w:ascii="微软雅黑" w:eastAsia="微软雅黑"/>
        </w:rPr>
      </w:pPr>
      <w:r>
        <w:rPr>
          <w:rFonts w:hint="eastAsia" w:ascii="微软雅黑" w:eastAsia="微软雅黑"/>
        </w:rPr>
        <w:t>5.7 投标文件：供应商上传投标文件。投标文件支持格式：doc、</w:t>
      </w:r>
      <w:r>
        <w:rPr>
          <w:rFonts w:ascii="微软雅黑" w:eastAsia="微软雅黑"/>
        </w:rPr>
        <w:t>docs</w:t>
      </w:r>
      <w:r>
        <w:rPr>
          <w:rFonts w:hint="eastAsia" w:ascii="微软雅黑" w:eastAsia="微软雅黑"/>
        </w:rPr>
        <w:t>、jpg、</w:t>
      </w:r>
      <w:r>
        <w:rPr>
          <w:rFonts w:ascii="微软雅黑" w:eastAsia="微软雅黑"/>
        </w:rPr>
        <w:t>pgeg</w:t>
      </w:r>
      <w:r>
        <w:rPr>
          <w:rFonts w:hint="eastAsia" w:ascii="微软雅黑" w:eastAsia="微软雅黑"/>
        </w:rPr>
        <w:t>、png，bmp，gif，pdf，ppt，pptx，rar，txt，xls，xlsx，zip，建议每个投标文件不大于50M。标书上传完成时，系统会提示上传文件大小，供应商需确定此文件大小是否与本地文件一致，以确保文件上传无误。</w:t>
      </w:r>
    </w:p>
    <w:p>
      <w:pPr>
        <w:spacing w:line="360" w:lineRule="auto"/>
        <w:ind w:left="420" w:hanging="420" w:hangingChars="200"/>
        <w:rPr>
          <w:rFonts w:ascii="微软雅黑" w:eastAsia="微软雅黑"/>
        </w:rPr>
      </w:pPr>
      <w:r>
        <w:rPr>
          <w:rFonts w:ascii="微软雅黑" w:eastAsia="微软雅黑"/>
        </w:rPr>
        <w:drawing>
          <wp:inline distT="0" distB="0" distL="0" distR="0">
            <wp:extent cx="5268595" cy="1976755"/>
            <wp:effectExtent l="0" t="0" r="4445" b="4445"/>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noChangeArrowheads="1"/>
                    </pic:cNvPicPr>
                  </pic:nvPicPr>
                  <pic:blipFill>
                    <a:blip r:embed="rId17" cstate="print"/>
                    <a:srcRect/>
                    <a:stretch>
                      <a:fillRect/>
                    </a:stretch>
                  </pic:blipFill>
                  <pic:spPr>
                    <a:xfrm>
                      <a:off x="0" y="0"/>
                      <a:ext cx="5268595" cy="1976755"/>
                    </a:xfrm>
                    <a:prstGeom prst="rect">
                      <a:avLst/>
                    </a:prstGeom>
                    <a:noFill/>
                    <a:ln w="9525" cmpd="sng">
                      <a:noFill/>
                      <a:miter lim="800000"/>
                      <a:headEnd/>
                      <a:tailEnd/>
                    </a:ln>
                  </pic:spPr>
                </pic:pic>
              </a:graphicData>
            </a:graphic>
          </wp:inline>
        </w:drawing>
      </w:r>
      <w:r>
        <w:rPr>
          <w:rFonts w:hint="eastAsia" w:ascii="微软雅黑" w:eastAsia="微软雅黑"/>
        </w:rPr>
        <w:t>5.8 线上开标后，供应商应在招标方规定的时间内进行解锁。解锁后，招标方才能看到报价和投标文件。</w:t>
      </w:r>
    </w:p>
    <w:p>
      <w:r>
        <w:drawing>
          <wp:inline distT="0" distB="0" distL="0" distR="0">
            <wp:extent cx="5181600" cy="1880870"/>
            <wp:effectExtent l="0" t="0" r="0" b="889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noChangeArrowheads="1"/>
                    </pic:cNvPicPr>
                  </pic:nvPicPr>
                  <pic:blipFill>
                    <a:blip r:embed="rId18" cstate="print"/>
                    <a:srcRect/>
                    <a:stretch>
                      <a:fillRect/>
                    </a:stretch>
                  </pic:blipFill>
                  <pic:spPr>
                    <a:xfrm>
                      <a:off x="0" y="0"/>
                      <a:ext cx="5181600" cy="1880870"/>
                    </a:xfrm>
                    <a:prstGeom prst="rect">
                      <a:avLst/>
                    </a:prstGeom>
                    <a:noFill/>
                    <a:ln w="9525" cmpd="sng">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B2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semiHidden/>
    <w:unhideWhenUsed/>
    <w:uiPriority w:val="99"/>
    <w:pPr>
      <w:spacing w:after="120"/>
    </w:pPr>
  </w:style>
  <w:style w:type="paragraph" w:styleId="5">
    <w:name w:val="Body Text First Indent"/>
    <w:basedOn w:val="4"/>
    <w:unhideWhenUsed/>
    <w:uiPriority w:val="0"/>
    <w:pPr>
      <w:ind w:firstLine="420"/>
    </w:pPr>
    <w:rPr>
      <w:sz w:val="24"/>
    </w:rPr>
  </w:style>
  <w:style w:type="character" w:styleId="8">
    <w:name w:val="Hyperlink"/>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zhulinghuan</dc:creator>
  <cp:lastModifiedBy>再遇见</cp:lastModifiedBy>
  <dcterms:modified xsi:type="dcterms:W3CDTF">2019-06-21T07:42:13Z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