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中建股份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eastAsia="zh-CN"/>
        </w:rPr>
        <w:t>中建一局三公司青岛万达东方影都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A-4-3住宅项目一期电线电缆采购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招标公告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招标条件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根据中国建筑股份有限公司（以下简称：中建股份公司）采购管理方针，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中建一局集团第三建筑有限公司青岛万达东方影都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A-4-3住宅项目一期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（单位/区域）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（物资品种）已具备招标条件，招标人为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eastAsia="zh-CN"/>
        </w:rPr>
        <w:t>顾云广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，现进行公开招标。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项目概况与招标内容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2.1项目概况：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工程建设地点为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（青岛市西海岸新区万达星光岛万达一路以西、万达三路以东、滨海三路以南、滨海二路以北）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， 建筑面积暂估为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24.7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万平米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，为住宅共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6栋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地上最高37层，地下2层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（说明本次招标项目的建设地点、规模等）。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2.2招标内容：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（物资品种、质量标准、数量、包件划分、计划交货期等）。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2.3招标结果适用范围：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青岛万达东方影都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A-4-3住宅项目一期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（项目/城市/区域/时间区间等信息）。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投标人资格要求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3.1本次招标要求投标人须具备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生产许可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上道许可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/CRCC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认证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其他，具备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业绩，并在人员、设备、资金等方面具备相应的能力。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3.2本次招标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不接受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（接受或不接受）联合体投标。联合体投标的，应满足下列要求：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3.3可以开具专用增值税发票。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3.4 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需开具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专用增值税发票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。（合作业绩/考核等级/注册资金/产能/仓库/办公场所/开具发票等招标人认可的标准）。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投标报名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4.1报名时间：截止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 xml:space="preserve"> 2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18:00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"\\\\"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4605" b="1460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QZe8/QAAAAAwEA&#10;AA8AAAAAAAAAAQAgAAAAIgAAAGRycy9kb3ducmV2LnhtbFBLAQIUABQAAAAIAIdO4kAEoIb56QEA&#10;ANIDAAAOAAAAAAAAAAEAIAAAAB8BAABkcnMvZTJvRG9jLnhtbFBLBQYAAAAABgAGAFkBAAB6BQAA&#10;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资格审查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5.1资格免审：有以下情形的投标人可以免去现场资格审查环节。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（3）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5.2资格审查资料清单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（3）在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（5）投标单位资信等级证书，质量、环境、职业健康安全管理体系认证证书原件。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（6）招标公告中投标人资格要求中所列必须条件的证明资料原件。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00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（1）资格审查时间：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18时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（法定公休、节假日除外）。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（2）资格审查地点：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青岛万达东方影都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A-4-3住宅项目一期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项目部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招标文件的发放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6.1发放时间：暂定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6.2发放形式：招标文件发布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电子版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（电子版/书面版）。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（1）电子版招标文件：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招标人通过“中国建筑电子商务平台”（网址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240" w:right="0" w:hanging="240" w:hangingChars="1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（2）书面版招标文件：通过资格审查的投标人，请于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日（法定公休日、法定节假日除外），每日上午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时，下午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时（北京时间，下同），在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（详细地址）持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（单位介绍信、相关证明材料等）领取招标文件。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6.5招标文件收费：本次招标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不需要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（需要/不需要）收费，每位投标人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元，费用主要用于本次招标会务组织需要，无论投标人中标与否均不予退还。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投标保证金及费用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7.1投标保证金额度：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7.2投标保证金收款账户信息：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投标文件的递交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8.1投标文件递交的时间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分至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分，递交投标文件的截止时间（投标截止时间，下同）为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分，地点为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青岛万达东方影都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A-4-3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住宅项目一期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发布公告的媒介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21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本次招标公告同时在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云筑网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招 标 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顾云广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地  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青岛万达东方影都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A-4-3住宅项目一期项目部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邮  编：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联 系 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13910432788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电  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传  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网  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开户银行：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账  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</w:rPr>
        <w:t>年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10A7"/>
    <w:rsid w:val="01846721"/>
    <w:rsid w:val="126439FA"/>
    <w:rsid w:val="18DC690E"/>
    <w:rsid w:val="1B92198F"/>
    <w:rsid w:val="2374311E"/>
    <w:rsid w:val="259B7542"/>
    <w:rsid w:val="29506771"/>
    <w:rsid w:val="29DD2036"/>
    <w:rsid w:val="2C8C5BE0"/>
    <w:rsid w:val="2E4E5EC1"/>
    <w:rsid w:val="3162255F"/>
    <w:rsid w:val="31E72AF0"/>
    <w:rsid w:val="32E91154"/>
    <w:rsid w:val="375A51E6"/>
    <w:rsid w:val="40FF735F"/>
    <w:rsid w:val="47390F13"/>
    <w:rsid w:val="4EE32BBF"/>
    <w:rsid w:val="535B39A7"/>
    <w:rsid w:val="545C0CA1"/>
    <w:rsid w:val="59F634D1"/>
    <w:rsid w:val="5F2D41C3"/>
    <w:rsid w:val="62F94E38"/>
    <w:rsid w:val="74C51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2019-06-29T07:45:59Z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