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ind w:firstLine="480"/>
        <w:jc w:val="left"/>
        <w:rPr>
          <w:rFonts w:ascii="Arial" w:hAnsi="Arial" w:cs="Arial"/>
          <w:bCs/>
          <w:sz w:val="28"/>
          <w:szCs w:val="28"/>
        </w:rPr>
      </w:pPr>
      <w: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40230" cy="396875"/>
            <wp:effectExtent l="19050" t="0" r="7620" b="0"/>
            <wp:wrapSquare wrapText="bothSides"/>
            <wp:docPr id="2"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未标题-1副本"/>
                    <pic:cNvPicPr>
                      <a:picLocks noChangeAspect="1" noChangeArrowheads="1"/>
                    </pic:cNvPicPr>
                  </pic:nvPicPr>
                  <pic:blipFill>
                    <a:blip r:embed="rId13" cstate="print"/>
                    <a:srcRect/>
                    <a:stretch>
                      <a:fillRect/>
                    </a:stretch>
                  </pic:blipFill>
                  <pic:spPr>
                    <a:xfrm>
                      <a:off x="0" y="0"/>
                      <a:ext cx="1840230" cy="396875"/>
                    </a:xfrm>
                    <a:prstGeom prst="rect">
                      <a:avLst/>
                    </a:prstGeom>
                    <a:noFill/>
                    <a:ln w="9525" cmpd="sng">
                      <a:noFill/>
                      <a:miter lim="800000"/>
                      <a:headEnd/>
                      <a:tailEnd/>
                    </a:ln>
                  </pic:spPr>
                </pic:pic>
              </a:graphicData>
            </a:graphic>
          </wp:anchor>
        </w:drawing>
      </w:r>
      <w:r>
        <w:rPr>
          <w:rFonts w:ascii="Arial" w:hAnsi="Arial" w:cs="Arial"/>
        </w:rPr>
        <w:t xml:space="preserve">              </w:t>
      </w:r>
      <w:r>
        <w:rPr>
          <w:rFonts w:hint="eastAsia" w:ascii="Arial" w:hAnsi="Arial" w:cs="Arial"/>
        </w:rPr>
        <w:t xml:space="preserve">     </w:t>
      </w:r>
      <w:r>
        <w:rPr>
          <w:rFonts w:ascii="Arial" w:hAnsi="Arial" w:cs="Arial"/>
        </w:rPr>
        <w:t xml:space="preserve">       </w:t>
      </w:r>
    </w:p>
    <w:p>
      <w:pPr>
        <w:spacing w:line="760" w:lineRule="exact"/>
        <w:ind w:firstLine="880"/>
        <w:rPr>
          <w:color w:val="000000"/>
          <w:sz w:val="44"/>
        </w:rPr>
      </w:pPr>
    </w:p>
    <w:p>
      <w:pPr>
        <w:spacing w:line="400" w:lineRule="exact"/>
        <w:ind w:firstLine="480"/>
        <w:jc w:val="center"/>
        <w:rPr>
          <w:color w:val="000000"/>
        </w:rPr>
      </w:pPr>
    </w:p>
    <w:p>
      <w:pPr>
        <w:spacing w:line="400" w:lineRule="exact"/>
        <w:ind w:firstLine="480"/>
        <w:jc w:val="center"/>
        <w:rPr>
          <w:color w:val="000000"/>
        </w:rPr>
      </w:pPr>
    </w:p>
    <w:p>
      <w:pPr>
        <w:spacing w:line="400" w:lineRule="exact"/>
        <w:ind w:firstLine="480"/>
        <w:jc w:val="center"/>
        <w:rPr>
          <w:color w:val="FF0000"/>
        </w:rPr>
      </w:pPr>
    </w:p>
    <w:p>
      <w:pPr>
        <w:spacing w:line="360" w:lineRule="auto"/>
        <w:ind w:firstLine="960"/>
        <w:jc w:val="center"/>
        <w:rPr>
          <w:rFonts w:ascii="黑体" w:eastAsia="黑体"/>
          <w:sz w:val="48"/>
        </w:rPr>
      </w:pPr>
    </w:p>
    <w:p>
      <w:pPr>
        <w:spacing w:line="360" w:lineRule="auto"/>
        <w:ind w:firstLine="0" w:firstLineChars="0"/>
        <w:jc w:val="center"/>
        <w:rPr>
          <w:rFonts w:ascii="黑体" w:hAnsi="黑体" w:eastAsia="黑体"/>
          <w:sz w:val="44"/>
        </w:rPr>
      </w:pPr>
      <w:r>
        <w:rPr>
          <w:rFonts w:hint="eastAsia" w:ascii="黑体" w:hAnsi="黑体" w:eastAsia="黑体"/>
          <w:sz w:val="44"/>
        </w:rPr>
        <w:t>华能置业有限公司</w:t>
      </w:r>
    </w:p>
    <w:p>
      <w:pPr>
        <w:spacing w:line="360" w:lineRule="auto"/>
        <w:ind w:firstLine="0" w:firstLineChars="0"/>
        <w:jc w:val="center"/>
        <w:rPr>
          <w:sz w:val="7"/>
        </w:rPr>
      </w:pPr>
    </w:p>
    <w:p>
      <w:pPr>
        <w:spacing w:line="360" w:lineRule="auto"/>
        <w:ind w:firstLine="0" w:firstLineChars="0"/>
        <w:jc w:val="center"/>
        <w:rPr>
          <w:rFonts w:ascii="方正小标宋简体" w:eastAsia="方正小标宋简体"/>
          <w:sz w:val="5"/>
        </w:rPr>
      </w:pPr>
    </w:p>
    <w:p>
      <w:pPr>
        <w:spacing w:line="360" w:lineRule="auto"/>
        <w:ind w:firstLine="0" w:firstLineChars="0"/>
        <w:jc w:val="center"/>
        <w:rPr>
          <w:rFonts w:ascii="黑体" w:hAnsi="黑体" w:eastAsia="黑体"/>
          <w:sz w:val="56"/>
        </w:rPr>
      </w:pPr>
      <w:r>
        <w:rPr>
          <w:rFonts w:hint="eastAsia" w:ascii="黑体" w:hAnsi="黑体" w:eastAsia="黑体"/>
          <w:sz w:val="56"/>
        </w:rPr>
        <w:t>简明标准竞争性谈判采购文件</w:t>
      </w:r>
    </w:p>
    <w:p>
      <w:pPr>
        <w:spacing w:line="360" w:lineRule="auto"/>
        <w:ind w:firstLine="560"/>
        <w:jc w:val="center"/>
        <w:rPr>
          <w:rFonts w:ascii="黑体" w:eastAsia="黑体"/>
          <w:sz w:val="28"/>
          <w:szCs w:val="28"/>
        </w:rPr>
      </w:pPr>
    </w:p>
    <w:p>
      <w:pPr>
        <w:spacing w:line="360" w:lineRule="auto"/>
        <w:ind w:firstLine="0" w:firstLineChars="0"/>
        <w:jc w:val="center"/>
        <w:rPr>
          <w:rFonts w:ascii="黑体" w:eastAsia="黑体"/>
          <w:sz w:val="28"/>
          <w:szCs w:val="28"/>
        </w:rPr>
      </w:pPr>
      <w:r>
        <w:rPr>
          <w:rFonts w:hint="eastAsia" w:ascii="黑体" w:eastAsia="黑体"/>
          <w:sz w:val="28"/>
          <w:szCs w:val="28"/>
        </w:rPr>
        <w:t>项目名称：</w:t>
      </w:r>
      <w:r>
        <w:rPr>
          <w:rFonts w:hint="eastAsia" w:ascii="黑体" w:eastAsia="黑体"/>
          <w:sz w:val="28"/>
          <w:szCs w:val="28"/>
          <w:u w:val="single"/>
        </w:rPr>
        <w:t>华能大厦柴油发电机房至副配电室电缆更换项目</w:t>
      </w:r>
    </w:p>
    <w:p>
      <w:pPr>
        <w:spacing w:line="360" w:lineRule="auto"/>
        <w:ind w:firstLine="480"/>
        <w:jc w:val="center"/>
        <w:rPr>
          <w:color w:val="000000"/>
        </w:rPr>
      </w:pPr>
    </w:p>
    <w:p>
      <w:pPr>
        <w:spacing w:line="360" w:lineRule="auto"/>
        <w:ind w:firstLine="480"/>
        <w:jc w:val="center"/>
        <w:rPr>
          <w:color w:val="000000"/>
        </w:rPr>
      </w:pPr>
    </w:p>
    <w:p>
      <w:pPr>
        <w:spacing w:line="400" w:lineRule="exact"/>
        <w:ind w:firstLine="480"/>
        <w:rPr>
          <w:color w:val="000000"/>
        </w:rPr>
      </w:pPr>
    </w:p>
    <w:p>
      <w:pPr>
        <w:spacing w:line="400" w:lineRule="exact"/>
        <w:ind w:firstLine="480"/>
        <w:rPr>
          <w:color w:val="000000"/>
        </w:rPr>
      </w:pPr>
    </w:p>
    <w:p>
      <w:pPr>
        <w:spacing w:line="400" w:lineRule="exact"/>
        <w:ind w:firstLine="480"/>
        <w:rPr>
          <w:color w:val="000000"/>
        </w:rPr>
      </w:pPr>
    </w:p>
    <w:p>
      <w:pPr>
        <w:spacing w:line="400" w:lineRule="exact"/>
        <w:ind w:firstLine="480"/>
        <w:rPr>
          <w:color w:val="000000"/>
        </w:rPr>
      </w:pPr>
    </w:p>
    <w:p>
      <w:pPr>
        <w:spacing w:line="400" w:lineRule="exact"/>
        <w:ind w:firstLine="480"/>
        <w:rPr>
          <w:color w:val="000000"/>
        </w:rPr>
      </w:pPr>
    </w:p>
    <w:p>
      <w:pPr>
        <w:spacing w:line="400" w:lineRule="exact"/>
        <w:ind w:firstLine="480"/>
        <w:rPr>
          <w:color w:val="000000"/>
        </w:rPr>
      </w:pPr>
    </w:p>
    <w:p>
      <w:pPr>
        <w:spacing w:line="400" w:lineRule="exact"/>
        <w:ind w:firstLine="480"/>
        <w:rPr>
          <w:rFonts w:ascii="黑体" w:hAnsi="黑体" w:eastAsia="黑体"/>
          <w:color w:val="000000"/>
        </w:rPr>
      </w:pPr>
    </w:p>
    <w:tbl>
      <w:tblPr>
        <w:tblStyle w:val="35"/>
        <w:tblW w:w="7685" w:type="dxa"/>
        <w:jc w:val="center"/>
        <w:tblInd w:w="0" w:type="dxa"/>
        <w:tblLayout w:type="fixed"/>
        <w:tblCellMar>
          <w:top w:w="0" w:type="dxa"/>
          <w:left w:w="108" w:type="dxa"/>
          <w:bottom w:w="0" w:type="dxa"/>
          <w:right w:w="108" w:type="dxa"/>
        </w:tblCellMar>
      </w:tblPr>
      <w:tblGrid>
        <w:gridCol w:w="2307"/>
        <w:gridCol w:w="567"/>
        <w:gridCol w:w="4811"/>
      </w:tblGrid>
      <w:tr>
        <w:tblPrEx>
          <w:tblLayout w:type="fixed"/>
          <w:tblCellMar>
            <w:top w:w="0" w:type="dxa"/>
            <w:left w:w="108" w:type="dxa"/>
            <w:bottom w:w="0" w:type="dxa"/>
            <w:right w:w="108" w:type="dxa"/>
          </w:tblCellMar>
        </w:tblPrEx>
        <w:trPr>
          <w:trHeight w:val="603" w:hRule="atLeast"/>
          <w:jc w:val="center"/>
        </w:trPr>
        <w:tc>
          <w:tcPr>
            <w:tcW w:w="2307" w:type="dxa"/>
            <w:vAlign w:val="center"/>
          </w:tcPr>
          <w:p>
            <w:pPr>
              <w:spacing w:line="0" w:lineRule="atLeast"/>
              <w:ind w:firstLine="0" w:firstLineChars="0"/>
              <w:jc w:val="distribute"/>
              <w:rPr>
                <w:rFonts w:ascii="黑体" w:hAnsi="黑体" w:eastAsia="黑体" w:cs="楷体_GB2312"/>
                <w:sz w:val="32"/>
                <w:szCs w:val="32"/>
              </w:rPr>
            </w:pPr>
            <w:r>
              <w:rPr>
                <w:rFonts w:hint="eastAsia" w:ascii="黑体" w:hAnsi="黑体" w:eastAsia="黑体" w:cs="楷体_GB2312"/>
                <w:sz w:val="32"/>
                <w:szCs w:val="32"/>
              </w:rPr>
              <w:t>采购人</w:t>
            </w:r>
          </w:p>
        </w:tc>
        <w:tc>
          <w:tcPr>
            <w:tcW w:w="567" w:type="dxa"/>
            <w:vAlign w:val="center"/>
          </w:tcPr>
          <w:p>
            <w:pPr>
              <w:spacing w:line="0" w:lineRule="atLeast"/>
              <w:ind w:firstLine="0" w:firstLineChars="0"/>
              <w:jc w:val="distribute"/>
              <w:rPr>
                <w:rFonts w:ascii="黑体" w:hAnsi="黑体" w:eastAsia="黑体" w:cs="楷体_GB2312"/>
                <w:sz w:val="32"/>
                <w:szCs w:val="32"/>
              </w:rPr>
            </w:pPr>
            <w:r>
              <w:rPr>
                <w:rFonts w:hint="eastAsia" w:ascii="黑体" w:hAnsi="黑体" w:eastAsia="黑体" w:cs="楷体_GB2312"/>
                <w:sz w:val="32"/>
                <w:szCs w:val="32"/>
              </w:rPr>
              <w:t>：</w:t>
            </w:r>
          </w:p>
        </w:tc>
        <w:tc>
          <w:tcPr>
            <w:tcW w:w="4811" w:type="dxa"/>
            <w:vAlign w:val="center"/>
          </w:tcPr>
          <w:p>
            <w:pPr>
              <w:spacing w:line="0" w:lineRule="atLeast"/>
              <w:ind w:firstLine="0" w:firstLineChars="0"/>
              <w:jc w:val="left"/>
              <w:rPr>
                <w:rFonts w:ascii="黑体" w:hAnsi="黑体" w:eastAsia="黑体" w:cs="楷体_GB2312"/>
                <w:sz w:val="32"/>
                <w:szCs w:val="32"/>
                <w:u w:val="single"/>
              </w:rPr>
            </w:pPr>
            <w:r>
              <w:rPr>
                <w:rFonts w:hint="eastAsia" w:ascii="黑体" w:hAnsi="黑体" w:eastAsia="黑体" w:cs="楷体_GB2312"/>
                <w:sz w:val="32"/>
                <w:szCs w:val="32"/>
              </w:rPr>
              <w:t xml:space="preserve"> </w:t>
            </w:r>
            <w:r>
              <w:rPr>
                <w:rFonts w:ascii="黑体" w:hAnsi="黑体" w:eastAsia="黑体" w:cs="楷体_GB2312"/>
                <w:sz w:val="32"/>
                <w:szCs w:val="32"/>
                <w:u w:val="single"/>
              </w:rPr>
              <w:t xml:space="preserve">     </w:t>
            </w:r>
            <w:r>
              <w:rPr>
                <w:rFonts w:hint="eastAsia" w:ascii="黑体" w:hAnsi="黑体" w:eastAsia="黑体" w:cs="楷体_GB2312"/>
                <w:sz w:val="32"/>
                <w:szCs w:val="32"/>
                <w:u w:val="single"/>
              </w:rPr>
              <w:t>华能置业有限公司</w:t>
            </w:r>
            <w:r>
              <w:rPr>
                <w:rFonts w:ascii="黑体" w:hAnsi="黑体" w:eastAsia="黑体" w:cs="楷体_GB2312"/>
                <w:sz w:val="32"/>
                <w:szCs w:val="32"/>
                <w:u w:val="single"/>
              </w:rPr>
              <w:t xml:space="preserve">                           </w:t>
            </w:r>
          </w:p>
        </w:tc>
      </w:tr>
      <w:tr>
        <w:tblPrEx>
          <w:tblLayout w:type="fixed"/>
          <w:tblCellMar>
            <w:top w:w="0" w:type="dxa"/>
            <w:left w:w="108" w:type="dxa"/>
            <w:bottom w:w="0" w:type="dxa"/>
            <w:right w:w="108" w:type="dxa"/>
          </w:tblCellMar>
        </w:tblPrEx>
        <w:trPr>
          <w:trHeight w:val="603" w:hRule="atLeast"/>
          <w:jc w:val="center"/>
        </w:trPr>
        <w:tc>
          <w:tcPr>
            <w:tcW w:w="2307" w:type="dxa"/>
            <w:vAlign w:val="center"/>
          </w:tcPr>
          <w:p>
            <w:pPr>
              <w:ind w:firstLine="0" w:firstLineChars="0"/>
              <w:jc w:val="distribute"/>
              <w:rPr>
                <w:rFonts w:ascii="黑体" w:hAnsi="黑体" w:eastAsia="黑体"/>
                <w:spacing w:val="-20"/>
                <w:sz w:val="32"/>
                <w:szCs w:val="32"/>
              </w:rPr>
            </w:pPr>
            <w:r>
              <w:rPr>
                <w:rFonts w:hint="eastAsia" w:ascii="黑体" w:hAnsi="黑体" w:eastAsia="黑体"/>
                <w:sz w:val="28"/>
              </w:rPr>
              <w:t>日      期</w:t>
            </w:r>
          </w:p>
        </w:tc>
        <w:tc>
          <w:tcPr>
            <w:tcW w:w="567" w:type="dxa"/>
            <w:vAlign w:val="center"/>
          </w:tcPr>
          <w:p>
            <w:pPr>
              <w:ind w:firstLine="0" w:firstLineChars="0"/>
              <w:jc w:val="distribute"/>
              <w:rPr>
                <w:rFonts w:ascii="黑体" w:hAnsi="黑体" w:eastAsia="黑体"/>
                <w:sz w:val="32"/>
                <w:szCs w:val="32"/>
              </w:rPr>
            </w:pPr>
            <w:r>
              <w:rPr>
                <w:rFonts w:hint="eastAsia" w:ascii="黑体" w:hAnsi="黑体" w:eastAsia="黑体"/>
                <w:sz w:val="28"/>
              </w:rPr>
              <w:t>：</w:t>
            </w:r>
          </w:p>
        </w:tc>
        <w:tc>
          <w:tcPr>
            <w:tcW w:w="4811" w:type="dxa"/>
            <w:vAlign w:val="center"/>
          </w:tcPr>
          <w:p>
            <w:pPr>
              <w:spacing w:line="0" w:lineRule="atLeast"/>
              <w:ind w:firstLine="0" w:firstLineChars="0"/>
              <w:jc w:val="left"/>
              <w:rPr>
                <w:rFonts w:ascii="楷体" w:hAnsi="楷体" w:eastAsia="楷体"/>
                <w:sz w:val="28"/>
                <w:szCs w:val="28"/>
                <w:u w:val="single"/>
              </w:rPr>
            </w:pPr>
            <w:r>
              <w:rPr>
                <w:rFonts w:hint="eastAsia" w:ascii="黑体" w:hAnsi="黑体" w:eastAsia="黑体" w:cs="楷体_GB2312"/>
                <w:sz w:val="32"/>
                <w:szCs w:val="32"/>
              </w:rPr>
              <w:t xml:space="preserve"> </w:t>
            </w:r>
            <w:r>
              <w:rPr>
                <w:rFonts w:ascii="黑体" w:hAnsi="黑体" w:eastAsia="黑体" w:cs="楷体_GB2312"/>
                <w:sz w:val="32"/>
                <w:szCs w:val="32"/>
                <w:u w:val="single"/>
              </w:rPr>
              <w:t xml:space="preserve">      二○一</w:t>
            </w:r>
            <w:r>
              <w:rPr>
                <w:rFonts w:hint="eastAsia" w:ascii="黑体" w:hAnsi="黑体" w:eastAsia="黑体" w:cs="楷体_GB2312"/>
                <w:sz w:val="32"/>
                <w:szCs w:val="32"/>
                <w:u w:val="single"/>
              </w:rPr>
              <w:t>九</w:t>
            </w:r>
            <w:r>
              <w:rPr>
                <w:rFonts w:ascii="黑体" w:hAnsi="黑体" w:eastAsia="黑体" w:cs="楷体_GB2312"/>
                <w:sz w:val="32"/>
                <w:szCs w:val="32"/>
                <w:u w:val="single"/>
              </w:rPr>
              <w:t>年</w:t>
            </w:r>
            <w:r>
              <w:rPr>
                <w:rFonts w:hint="eastAsia" w:ascii="黑体" w:hAnsi="黑体" w:eastAsia="黑体" w:cs="楷体_GB2312"/>
                <w:sz w:val="32"/>
                <w:szCs w:val="32"/>
                <w:u w:val="single"/>
              </w:rPr>
              <w:t>三</w:t>
            </w:r>
            <w:r>
              <w:rPr>
                <w:rFonts w:ascii="黑体" w:hAnsi="黑体" w:eastAsia="黑体" w:cs="楷体_GB2312"/>
                <w:sz w:val="32"/>
                <w:szCs w:val="32"/>
                <w:u w:val="single"/>
              </w:rPr>
              <w:t xml:space="preserve">月                          </w:t>
            </w:r>
          </w:p>
        </w:tc>
      </w:tr>
    </w:tbl>
    <w:p>
      <w:pPr>
        <w:pStyle w:val="2"/>
        <w:ind w:firstLine="643"/>
        <w:jc w:val="center"/>
        <w:rPr>
          <w:rFonts w:ascii="黑体" w:eastAsia="黑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797" w:bottom="1418" w:left="1797" w:header="851" w:footer="992" w:gutter="0"/>
          <w:pgNumType w:start="1"/>
          <w:cols w:space="720" w:num="1"/>
          <w:titlePg/>
          <w:docGrid w:type="lines" w:linePitch="326" w:charSpace="0"/>
        </w:sectPr>
      </w:pPr>
      <w:bookmarkStart w:id="0" w:name="_Toc525134786"/>
    </w:p>
    <w:p>
      <w:pPr>
        <w:spacing w:line="360" w:lineRule="auto"/>
        <w:ind w:firstLine="0" w:firstLineChars="0"/>
        <w:jc w:val="center"/>
        <w:rPr>
          <w:rFonts w:ascii="黑体" w:hAnsi="黑体" w:eastAsia="黑体"/>
          <w:sz w:val="36"/>
          <w:szCs w:val="36"/>
        </w:rPr>
      </w:pPr>
      <w:r>
        <w:rPr>
          <w:rFonts w:hint="eastAsia" w:ascii="黑体" w:hAnsi="黑体" w:eastAsia="黑体"/>
          <w:sz w:val="36"/>
          <w:szCs w:val="36"/>
        </w:rPr>
        <w:t>使 用 说 明</w:t>
      </w:r>
      <w:bookmarkEnd w:id="0"/>
    </w:p>
    <w:p>
      <w:pPr>
        <w:ind w:firstLine="480"/>
        <w:jc w:val="left"/>
        <w:rPr>
          <w:rFonts w:ascii="宋体" w:hAnsi="宋体"/>
          <w:szCs w:val="24"/>
        </w:rPr>
      </w:pPr>
      <w:r>
        <w:rPr>
          <w:rFonts w:hint="eastAsia" w:ascii="宋体" w:hAnsi="宋体"/>
          <w:szCs w:val="24"/>
        </w:rPr>
        <w:t>一、《简明标准竞争性谈判采购文件》适用于《</w:t>
      </w:r>
      <w:bookmarkStart w:id="1" w:name="_Toc482880538"/>
      <w:r>
        <w:rPr>
          <w:rFonts w:hint="eastAsia" w:ascii="宋体" w:hAnsi="宋体"/>
          <w:szCs w:val="24"/>
        </w:rPr>
        <w:t>中国华能集团有限公司非招标采购管理</w:t>
      </w:r>
      <w:bookmarkStart w:id="2" w:name="_Toc426664836"/>
      <w:r>
        <w:rPr>
          <w:rFonts w:hint="eastAsia" w:ascii="宋体" w:hAnsi="宋体"/>
          <w:szCs w:val="24"/>
        </w:rPr>
        <w:t>办法</w:t>
      </w:r>
      <w:bookmarkEnd w:id="1"/>
      <w:bookmarkEnd w:id="2"/>
      <w:r>
        <w:rPr>
          <w:rFonts w:hint="eastAsia" w:ascii="宋体" w:hAnsi="宋体"/>
          <w:szCs w:val="24"/>
        </w:rPr>
        <w:t>》第十六条规定的下列条件之一的且经采购承办部门批准的情况：</w:t>
      </w:r>
    </w:p>
    <w:p>
      <w:pPr>
        <w:ind w:firstLine="480"/>
        <w:rPr>
          <w:rFonts w:ascii="宋体" w:hAnsi="宋体"/>
          <w:szCs w:val="24"/>
        </w:rPr>
      </w:pPr>
      <w:r>
        <w:rPr>
          <w:rFonts w:hint="eastAsia" w:ascii="宋体" w:hAnsi="宋体"/>
          <w:szCs w:val="24"/>
        </w:rPr>
        <w:t>（一）第一次招标失败，采购人在分析招标失败的原因并采取相应措施后，经第二次招标仍失败的；</w:t>
      </w:r>
    </w:p>
    <w:p>
      <w:pPr>
        <w:ind w:firstLine="480"/>
        <w:rPr>
          <w:rFonts w:ascii="宋体" w:hAnsi="宋体"/>
          <w:szCs w:val="24"/>
        </w:rPr>
      </w:pPr>
      <w:r>
        <w:rPr>
          <w:rFonts w:hint="eastAsia" w:ascii="宋体" w:hAnsi="宋体"/>
          <w:szCs w:val="24"/>
        </w:rPr>
        <w:t>（二）技术复杂或性质特殊，不能确定详细规格、量化标准或者具体要求的；</w:t>
      </w:r>
    </w:p>
    <w:p>
      <w:pPr>
        <w:ind w:firstLine="480"/>
        <w:rPr>
          <w:rFonts w:ascii="宋体" w:hAnsi="宋体"/>
          <w:szCs w:val="24"/>
        </w:rPr>
      </w:pPr>
      <w:r>
        <w:rPr>
          <w:rFonts w:hint="eastAsia" w:ascii="宋体" w:hAnsi="宋体"/>
          <w:szCs w:val="24"/>
        </w:rPr>
        <w:t>（三）非采购人所能预见的原因造成采用招标所需时间不能满足紧急需要的；</w:t>
      </w:r>
    </w:p>
    <w:p>
      <w:pPr>
        <w:ind w:firstLine="480"/>
        <w:rPr>
          <w:rFonts w:ascii="宋体" w:hAnsi="宋体"/>
          <w:szCs w:val="24"/>
        </w:rPr>
      </w:pPr>
      <w:r>
        <w:rPr>
          <w:rFonts w:hint="eastAsia" w:ascii="宋体" w:hAnsi="宋体"/>
          <w:szCs w:val="24"/>
        </w:rPr>
        <w:t>（四）不能事先计算出价格总额的。</w:t>
      </w:r>
    </w:p>
    <w:p>
      <w:pPr>
        <w:tabs>
          <w:tab w:val="left" w:pos="1418"/>
        </w:tabs>
        <w:ind w:firstLine="480"/>
        <w:jc w:val="left"/>
        <w:rPr>
          <w:rFonts w:ascii="宋体" w:hAnsi="宋体"/>
          <w:szCs w:val="24"/>
        </w:rPr>
      </w:pPr>
      <w:r>
        <w:rPr>
          <w:rFonts w:hint="eastAsia" w:ascii="宋体" w:hAnsi="宋体"/>
          <w:szCs w:val="24"/>
        </w:rPr>
        <w:t>注：对于两次招标失败的后采取竞争性谈判方式的，应只选取参加投标的供应商参加谈判。采用邀请方式的，应履行相关决策程序。</w:t>
      </w:r>
    </w:p>
    <w:p>
      <w:pPr>
        <w:ind w:firstLine="480"/>
        <w:jc w:val="left"/>
        <w:rPr>
          <w:rFonts w:ascii="宋体" w:hAnsi="宋体"/>
          <w:szCs w:val="24"/>
        </w:rPr>
      </w:pPr>
      <w:r>
        <w:rPr>
          <w:rFonts w:hint="eastAsia" w:ascii="宋体" w:hAnsi="宋体"/>
          <w:szCs w:val="24"/>
        </w:rPr>
        <w:t>二、采购人编制具体采购项目的采购文件只须对采购文件中采购公告、供应商须知前附表、合同条款、采购需求</w:t>
      </w:r>
      <w:r>
        <w:rPr>
          <w:rFonts w:ascii="宋体" w:hAnsi="宋体"/>
          <w:szCs w:val="24"/>
        </w:rPr>
        <w:t>文件</w:t>
      </w:r>
      <w:r>
        <w:rPr>
          <w:rFonts w:hint="eastAsia" w:ascii="宋体" w:hAnsi="宋体"/>
          <w:szCs w:val="24"/>
        </w:rPr>
        <w:t>等部分进行填写和补充，确实没有需要填写的，在空格中用“/”标示。</w:t>
      </w:r>
    </w:p>
    <w:p>
      <w:pPr>
        <w:ind w:firstLine="480"/>
        <w:jc w:val="left"/>
        <w:rPr>
          <w:rFonts w:ascii="宋体" w:hAnsi="宋体"/>
          <w:szCs w:val="24"/>
        </w:rPr>
      </w:pPr>
      <w:r>
        <w:rPr>
          <w:rFonts w:hint="eastAsia" w:ascii="宋体" w:hAnsi="宋体"/>
          <w:szCs w:val="24"/>
        </w:rPr>
        <w:t>三、采购人将在中国华能集团有限公司电子商务平台上发布采购公告/，发布的采购公告作为采购文件的一部分。如后续发布变更公告或第二次采购公告，也将作为采购文件的一部分。</w:t>
      </w:r>
    </w:p>
    <w:p>
      <w:pPr>
        <w:ind w:firstLine="480"/>
        <w:jc w:val="left"/>
        <w:rPr>
          <w:rFonts w:ascii="宋体" w:hAnsi="宋体"/>
          <w:szCs w:val="24"/>
        </w:rPr>
      </w:pPr>
      <w:r>
        <w:rPr>
          <w:rFonts w:hint="eastAsia" w:ascii="宋体" w:hAnsi="宋体"/>
          <w:szCs w:val="24"/>
        </w:rPr>
        <w:t>四、供应商须知前附表、供应商须知正文、响应文件格式附件中对于同一表述的内容、使用了相同的条款号，便于条款前后对应，避免条款前后不一致。</w:t>
      </w:r>
    </w:p>
    <w:p>
      <w:pPr>
        <w:ind w:firstLine="480"/>
        <w:jc w:val="left"/>
        <w:rPr>
          <w:rFonts w:ascii="仿宋_GB2312" w:hAnsi="宋体" w:eastAsia="仿宋_GB2312"/>
          <w:szCs w:val="24"/>
        </w:rPr>
      </w:pPr>
      <w:r>
        <w:rPr>
          <w:rFonts w:hint="eastAsia" w:ascii="宋体" w:hAnsi="宋体"/>
          <w:szCs w:val="24"/>
        </w:rPr>
        <w:t>五、《简明标准竞争性谈判采购文件》中第四章合同草案、第五章采购需求由采购人根据采购项目具体特点和实际情况编制，应尽量简化。</w:t>
      </w:r>
    </w:p>
    <w:p>
      <w:pPr>
        <w:spacing w:line="360" w:lineRule="auto"/>
        <w:ind w:firstLine="640"/>
        <w:jc w:val="left"/>
        <w:rPr>
          <w:rFonts w:ascii="黑体" w:hAnsi="黑体" w:eastAsia="黑体"/>
          <w:sz w:val="32"/>
          <w:szCs w:val="32"/>
        </w:rPr>
      </w:pPr>
    </w:p>
    <w:p>
      <w:pPr>
        <w:spacing w:line="360" w:lineRule="auto"/>
        <w:ind w:firstLine="480"/>
        <w:jc w:val="center"/>
        <w:rPr>
          <w:rFonts w:ascii="黑体" w:hAnsi="黑体" w:eastAsia="黑体"/>
          <w:lang w:val="zh-CN"/>
        </w:rPr>
      </w:pPr>
      <w:r>
        <w:rPr>
          <w:lang w:val="zh-CN"/>
        </w:rPr>
        <w:br w:type="page"/>
      </w:r>
      <w:r>
        <w:rPr>
          <w:rFonts w:ascii="黑体" w:hAnsi="黑体" w:eastAsia="黑体"/>
          <w:sz w:val="36"/>
          <w:lang w:val="zh-CN"/>
        </w:rPr>
        <w:t>目  录</w:t>
      </w:r>
    </w:p>
    <w:p>
      <w:pPr>
        <w:pStyle w:val="24"/>
        <w:tabs>
          <w:tab w:val="right" w:leader="dot" w:pos="8302"/>
        </w:tabs>
        <w:ind w:firstLine="442"/>
        <w:rPr>
          <w:rFonts w:asciiTheme="minorHAnsi" w:hAnsiTheme="minorHAnsi" w:eastAsiaTheme="minorEastAsia" w:cstheme="minorBidi"/>
          <w:sz w:val="22"/>
          <w:szCs w:val="22"/>
        </w:rPr>
      </w:pPr>
      <w:r>
        <w:rPr>
          <w:rFonts w:ascii="宋体" w:hAnsi="宋体" w:cs="Arial"/>
          <w:b/>
          <w:sz w:val="22"/>
          <w:szCs w:val="22"/>
        </w:rPr>
        <w:fldChar w:fldCharType="begin"/>
      </w:r>
      <w:r>
        <w:rPr>
          <w:rFonts w:ascii="宋体" w:hAnsi="宋体" w:cs="Arial"/>
          <w:sz w:val="22"/>
          <w:szCs w:val="22"/>
        </w:rPr>
        <w:instrText xml:space="preserve"> TOC \o "1-3" \h \z </w:instrText>
      </w:r>
      <w:r>
        <w:rPr>
          <w:rFonts w:ascii="宋体" w:hAnsi="宋体" w:cs="Arial"/>
          <w:b/>
          <w:sz w:val="22"/>
          <w:szCs w:val="22"/>
        </w:rPr>
        <w:fldChar w:fldCharType="separate"/>
      </w:r>
      <w:r>
        <w:fldChar w:fldCharType="begin"/>
      </w:r>
      <w:r>
        <w:instrText xml:space="preserve"> HYPERLINK \l "_Toc4155308" </w:instrText>
      </w:r>
      <w:r>
        <w:fldChar w:fldCharType="separate"/>
      </w:r>
      <w:r>
        <w:rPr>
          <w:rStyle w:val="33"/>
          <w:rFonts w:hint="eastAsia"/>
          <w:sz w:val="22"/>
          <w:szCs w:val="22"/>
        </w:rPr>
        <w:t>第一章</w:t>
      </w:r>
      <w:r>
        <w:rPr>
          <w:rStyle w:val="33"/>
          <w:sz w:val="22"/>
          <w:szCs w:val="22"/>
        </w:rPr>
        <w:t xml:space="preserve"> </w:t>
      </w:r>
      <w:r>
        <w:rPr>
          <w:rStyle w:val="33"/>
          <w:rFonts w:hint="eastAsia"/>
          <w:sz w:val="22"/>
          <w:szCs w:val="22"/>
        </w:rPr>
        <w:t>采购公告</w:t>
      </w:r>
      <w:r>
        <w:rPr>
          <w:sz w:val="22"/>
          <w:szCs w:val="22"/>
        </w:rPr>
        <w:tab/>
      </w:r>
      <w:r>
        <w:rPr>
          <w:sz w:val="22"/>
          <w:szCs w:val="22"/>
        </w:rPr>
        <w:fldChar w:fldCharType="begin"/>
      </w:r>
      <w:r>
        <w:rPr>
          <w:sz w:val="22"/>
          <w:szCs w:val="22"/>
        </w:rPr>
        <w:instrText xml:space="preserve"> PAGEREF _Toc4155308 \h </w:instrText>
      </w:r>
      <w:r>
        <w:rPr>
          <w:sz w:val="22"/>
          <w:szCs w:val="22"/>
        </w:rPr>
        <w:fldChar w:fldCharType="separate"/>
      </w:r>
      <w:r>
        <w:rPr>
          <w:sz w:val="22"/>
          <w:szCs w:val="22"/>
        </w:rPr>
        <w:t>1</w:t>
      </w:r>
      <w:r>
        <w:rPr>
          <w:sz w:val="22"/>
          <w:szCs w:val="22"/>
        </w:rPr>
        <w:fldChar w:fldCharType="end"/>
      </w:r>
      <w:r>
        <w:rPr>
          <w:sz w:val="22"/>
          <w:szCs w:val="22"/>
        </w:rPr>
        <w:fldChar w:fldCharType="end"/>
      </w:r>
    </w:p>
    <w:p>
      <w:pPr>
        <w:pStyle w:val="24"/>
        <w:tabs>
          <w:tab w:val="right" w:leader="dot" w:pos="8302"/>
        </w:tabs>
        <w:ind w:firstLine="480"/>
        <w:rPr>
          <w:rFonts w:asciiTheme="minorHAnsi" w:hAnsiTheme="minorHAnsi" w:eastAsiaTheme="minorEastAsia" w:cstheme="minorBidi"/>
          <w:sz w:val="22"/>
          <w:szCs w:val="22"/>
        </w:rPr>
      </w:pPr>
      <w:r>
        <w:fldChar w:fldCharType="begin"/>
      </w:r>
      <w:r>
        <w:instrText xml:space="preserve"> HYPERLINK \l "_Toc4155309" </w:instrText>
      </w:r>
      <w:r>
        <w:fldChar w:fldCharType="separate"/>
      </w:r>
      <w:r>
        <w:rPr>
          <w:rStyle w:val="33"/>
          <w:rFonts w:hint="eastAsia"/>
          <w:sz w:val="22"/>
          <w:szCs w:val="22"/>
        </w:rPr>
        <w:t>第一章</w:t>
      </w:r>
      <w:r>
        <w:rPr>
          <w:rStyle w:val="33"/>
          <w:sz w:val="22"/>
          <w:szCs w:val="22"/>
        </w:rPr>
        <w:t xml:space="preserve"> </w:t>
      </w:r>
      <w:r>
        <w:rPr>
          <w:rStyle w:val="33"/>
          <w:rFonts w:hint="eastAsia"/>
          <w:sz w:val="22"/>
          <w:szCs w:val="22"/>
        </w:rPr>
        <w:t>采购公告（合格供应商公开）</w:t>
      </w:r>
      <w:r>
        <w:rPr>
          <w:sz w:val="22"/>
          <w:szCs w:val="22"/>
        </w:rPr>
        <w:tab/>
      </w:r>
      <w:r>
        <w:rPr>
          <w:sz w:val="22"/>
          <w:szCs w:val="22"/>
        </w:rPr>
        <w:fldChar w:fldCharType="begin"/>
      </w:r>
      <w:r>
        <w:rPr>
          <w:sz w:val="22"/>
          <w:szCs w:val="22"/>
        </w:rPr>
        <w:instrText xml:space="preserve"> PAGEREF _Toc4155309 \h </w:instrText>
      </w:r>
      <w:r>
        <w:rPr>
          <w:sz w:val="22"/>
          <w:szCs w:val="22"/>
        </w:rPr>
        <w:fldChar w:fldCharType="separate"/>
      </w:r>
      <w:r>
        <w:rPr>
          <w:sz w:val="22"/>
          <w:szCs w:val="22"/>
        </w:rPr>
        <w:t>2</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"_Toc4155310" </w:instrText>
      </w:r>
      <w:r>
        <w:fldChar w:fldCharType="separate"/>
      </w:r>
      <w:r>
        <w:rPr>
          <w:rStyle w:val="33"/>
          <w:sz w:val="22"/>
          <w:szCs w:val="22"/>
        </w:rPr>
        <w:t xml:space="preserve">1. </w:t>
      </w:r>
      <w:r>
        <w:rPr>
          <w:rStyle w:val="33"/>
          <w:rFonts w:hint="eastAsia"/>
          <w:sz w:val="22"/>
          <w:szCs w:val="22"/>
        </w:rPr>
        <w:t>采购条件</w:t>
      </w:r>
      <w:r>
        <w:rPr>
          <w:sz w:val="22"/>
          <w:szCs w:val="22"/>
        </w:rPr>
        <w:tab/>
      </w:r>
      <w:r>
        <w:rPr>
          <w:sz w:val="22"/>
          <w:szCs w:val="22"/>
        </w:rPr>
        <w:fldChar w:fldCharType="begin"/>
      </w:r>
      <w:r>
        <w:rPr>
          <w:sz w:val="22"/>
          <w:szCs w:val="22"/>
        </w:rPr>
        <w:instrText xml:space="preserve"> PAGEREF _Toc4155310 \h </w:instrText>
      </w:r>
      <w:r>
        <w:rPr>
          <w:sz w:val="22"/>
          <w:szCs w:val="22"/>
        </w:rPr>
        <w:fldChar w:fldCharType="separate"/>
      </w:r>
      <w:r>
        <w:rPr>
          <w:sz w:val="22"/>
          <w:szCs w:val="22"/>
        </w:rPr>
        <w:t>2</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"_Toc4155311" </w:instrText>
      </w:r>
      <w:r>
        <w:fldChar w:fldCharType="separate"/>
      </w:r>
      <w:r>
        <w:rPr>
          <w:rStyle w:val="33"/>
          <w:sz w:val="22"/>
          <w:szCs w:val="22"/>
        </w:rPr>
        <w:t xml:space="preserve">2. </w:t>
      </w:r>
      <w:r>
        <w:rPr>
          <w:rStyle w:val="33"/>
          <w:rFonts w:hint="eastAsia"/>
          <w:sz w:val="22"/>
          <w:szCs w:val="22"/>
        </w:rPr>
        <w:t>项目概况与采购范围</w:t>
      </w:r>
      <w:r>
        <w:rPr>
          <w:sz w:val="22"/>
          <w:szCs w:val="22"/>
        </w:rPr>
        <w:tab/>
      </w:r>
      <w:r>
        <w:rPr>
          <w:sz w:val="22"/>
          <w:szCs w:val="22"/>
        </w:rPr>
        <w:fldChar w:fldCharType="begin"/>
      </w:r>
      <w:r>
        <w:rPr>
          <w:sz w:val="22"/>
          <w:szCs w:val="22"/>
        </w:rPr>
        <w:instrText xml:space="preserve"> PAGEREF _Toc4155311 \h </w:instrText>
      </w:r>
      <w:r>
        <w:rPr>
          <w:sz w:val="22"/>
          <w:szCs w:val="22"/>
        </w:rPr>
        <w:fldChar w:fldCharType="separate"/>
      </w:r>
      <w:r>
        <w:rPr>
          <w:sz w:val="22"/>
          <w:szCs w:val="22"/>
        </w:rPr>
        <w:t>2</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"_Toc4155312" </w:instrText>
      </w:r>
      <w:r>
        <w:fldChar w:fldCharType="separate"/>
      </w:r>
      <w:r>
        <w:rPr>
          <w:rStyle w:val="33"/>
          <w:sz w:val="22"/>
          <w:szCs w:val="22"/>
        </w:rPr>
        <w:t xml:space="preserve">3. </w:t>
      </w:r>
      <w:r>
        <w:rPr>
          <w:rStyle w:val="33"/>
          <w:rFonts w:hint="eastAsia"/>
          <w:sz w:val="22"/>
          <w:szCs w:val="22"/>
        </w:rPr>
        <w:t>供应商资格要求</w:t>
      </w:r>
      <w:r>
        <w:rPr>
          <w:sz w:val="22"/>
          <w:szCs w:val="22"/>
        </w:rPr>
        <w:tab/>
      </w:r>
      <w:r>
        <w:rPr>
          <w:sz w:val="22"/>
          <w:szCs w:val="22"/>
        </w:rPr>
        <w:fldChar w:fldCharType="begin"/>
      </w:r>
      <w:r>
        <w:rPr>
          <w:sz w:val="22"/>
          <w:szCs w:val="22"/>
        </w:rPr>
        <w:instrText xml:space="preserve"> PAGEREF _Toc4155312 \h </w:instrText>
      </w:r>
      <w:r>
        <w:rPr>
          <w:sz w:val="22"/>
          <w:szCs w:val="22"/>
        </w:rPr>
        <w:fldChar w:fldCharType="separate"/>
      </w:r>
      <w:r>
        <w:rPr>
          <w:sz w:val="22"/>
          <w:szCs w:val="22"/>
        </w:rPr>
        <w:t>2</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"_Toc4155313" </w:instrText>
      </w:r>
      <w:r>
        <w:fldChar w:fldCharType="separate"/>
      </w:r>
      <w:r>
        <w:rPr>
          <w:rStyle w:val="33"/>
          <w:sz w:val="22"/>
          <w:szCs w:val="22"/>
        </w:rPr>
        <w:t xml:space="preserve">4. </w:t>
      </w:r>
      <w:r>
        <w:rPr>
          <w:rStyle w:val="33"/>
          <w:rFonts w:hint="eastAsia"/>
          <w:sz w:val="22"/>
          <w:szCs w:val="22"/>
        </w:rPr>
        <w:t>采购文件的获取</w:t>
      </w:r>
      <w:r>
        <w:rPr>
          <w:sz w:val="22"/>
          <w:szCs w:val="22"/>
        </w:rPr>
        <w:tab/>
      </w:r>
      <w:r>
        <w:rPr>
          <w:sz w:val="22"/>
          <w:szCs w:val="22"/>
        </w:rPr>
        <w:fldChar w:fldCharType="begin"/>
      </w:r>
      <w:r>
        <w:rPr>
          <w:sz w:val="22"/>
          <w:szCs w:val="22"/>
        </w:rPr>
        <w:instrText xml:space="preserve"> PAGEREF _Toc4155313 \h </w:instrText>
      </w:r>
      <w:r>
        <w:rPr>
          <w:sz w:val="22"/>
          <w:szCs w:val="22"/>
        </w:rPr>
        <w:fldChar w:fldCharType="separate"/>
      </w:r>
      <w:r>
        <w:rPr>
          <w:sz w:val="22"/>
          <w:szCs w:val="22"/>
        </w:rPr>
        <w:t>3</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"_Toc4155314" </w:instrText>
      </w:r>
      <w:r>
        <w:fldChar w:fldCharType="separate"/>
      </w:r>
      <w:r>
        <w:rPr>
          <w:rStyle w:val="33"/>
          <w:sz w:val="22"/>
          <w:szCs w:val="22"/>
        </w:rPr>
        <w:t xml:space="preserve">5. </w:t>
      </w:r>
      <w:r>
        <w:rPr>
          <w:rStyle w:val="33"/>
          <w:rFonts w:hint="eastAsia"/>
          <w:sz w:val="22"/>
          <w:szCs w:val="22"/>
        </w:rPr>
        <w:t>响应文件的递交</w:t>
      </w:r>
      <w:r>
        <w:rPr>
          <w:sz w:val="22"/>
          <w:szCs w:val="22"/>
        </w:rPr>
        <w:tab/>
      </w:r>
      <w:r>
        <w:rPr>
          <w:sz w:val="22"/>
          <w:szCs w:val="22"/>
        </w:rPr>
        <w:fldChar w:fldCharType="begin"/>
      </w:r>
      <w:r>
        <w:rPr>
          <w:sz w:val="22"/>
          <w:szCs w:val="22"/>
        </w:rPr>
        <w:instrText xml:space="preserve"> PAGEREF _Toc4155314 \h </w:instrText>
      </w:r>
      <w:r>
        <w:rPr>
          <w:sz w:val="22"/>
          <w:szCs w:val="22"/>
        </w:rPr>
        <w:fldChar w:fldCharType="separate"/>
      </w:r>
      <w:r>
        <w:rPr>
          <w:sz w:val="22"/>
          <w:szCs w:val="22"/>
        </w:rPr>
        <w:t>3</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"_Toc4155315" </w:instrText>
      </w:r>
      <w:r>
        <w:fldChar w:fldCharType="separate"/>
      </w:r>
      <w:r>
        <w:rPr>
          <w:rStyle w:val="33"/>
          <w:sz w:val="22"/>
          <w:szCs w:val="22"/>
        </w:rPr>
        <w:t xml:space="preserve">6. </w:t>
      </w:r>
      <w:r>
        <w:rPr>
          <w:rStyle w:val="33"/>
          <w:rFonts w:hint="eastAsia"/>
          <w:sz w:val="22"/>
          <w:szCs w:val="22"/>
        </w:rPr>
        <w:t>发布公告的媒介</w:t>
      </w:r>
      <w:r>
        <w:rPr>
          <w:sz w:val="22"/>
          <w:szCs w:val="22"/>
        </w:rPr>
        <w:tab/>
      </w:r>
      <w:r>
        <w:rPr>
          <w:sz w:val="22"/>
          <w:szCs w:val="22"/>
        </w:rPr>
        <w:fldChar w:fldCharType="begin"/>
      </w:r>
      <w:r>
        <w:rPr>
          <w:sz w:val="22"/>
          <w:szCs w:val="22"/>
        </w:rPr>
        <w:instrText xml:space="preserve"> PAGEREF _Toc4155315 \h </w:instrText>
      </w:r>
      <w:r>
        <w:rPr>
          <w:sz w:val="22"/>
          <w:szCs w:val="22"/>
        </w:rPr>
        <w:fldChar w:fldCharType="separate"/>
      </w:r>
      <w:r>
        <w:rPr>
          <w:sz w:val="22"/>
          <w:szCs w:val="22"/>
        </w:rPr>
        <w:t>3</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"_Toc4155316" </w:instrText>
      </w:r>
      <w:r>
        <w:fldChar w:fldCharType="separate"/>
      </w:r>
      <w:r>
        <w:rPr>
          <w:rStyle w:val="33"/>
          <w:sz w:val="22"/>
          <w:szCs w:val="22"/>
        </w:rPr>
        <w:t xml:space="preserve">7. </w:t>
      </w:r>
      <w:r>
        <w:rPr>
          <w:rStyle w:val="33"/>
          <w:rFonts w:hint="eastAsia"/>
          <w:sz w:val="22"/>
          <w:szCs w:val="22"/>
        </w:rPr>
        <w:t>联系方式</w:t>
      </w:r>
      <w:r>
        <w:rPr>
          <w:sz w:val="22"/>
          <w:szCs w:val="22"/>
        </w:rPr>
        <w:tab/>
      </w:r>
      <w:r>
        <w:rPr>
          <w:sz w:val="22"/>
          <w:szCs w:val="22"/>
        </w:rPr>
        <w:fldChar w:fldCharType="begin"/>
      </w:r>
      <w:r>
        <w:rPr>
          <w:sz w:val="22"/>
          <w:szCs w:val="22"/>
        </w:rPr>
        <w:instrText xml:space="preserve"> PAGEREF _Toc4155316 \h </w:instrText>
      </w:r>
      <w:r>
        <w:rPr>
          <w:sz w:val="22"/>
          <w:szCs w:val="22"/>
        </w:rPr>
        <w:fldChar w:fldCharType="separate"/>
      </w:r>
      <w:r>
        <w:rPr>
          <w:sz w:val="22"/>
          <w:szCs w:val="22"/>
        </w:rPr>
        <w:t>4</w:t>
      </w:r>
      <w:r>
        <w:rPr>
          <w:sz w:val="22"/>
          <w:szCs w:val="22"/>
        </w:rPr>
        <w:fldChar w:fldCharType="end"/>
      </w:r>
      <w:r>
        <w:rPr>
          <w:sz w:val="22"/>
          <w:szCs w:val="22"/>
        </w:rPr>
        <w:fldChar w:fldCharType="end"/>
      </w:r>
    </w:p>
    <w:p>
      <w:pPr>
        <w:pStyle w:val="24"/>
        <w:tabs>
          <w:tab w:val="right" w:leader="dot" w:pos="8302"/>
        </w:tabs>
        <w:ind w:firstLine="480"/>
        <w:rPr>
          <w:rFonts w:asciiTheme="minorHAnsi" w:hAnsiTheme="minorHAnsi" w:eastAsiaTheme="minorEastAsia" w:cstheme="minorBidi"/>
          <w:sz w:val="22"/>
          <w:szCs w:val="22"/>
        </w:rPr>
      </w:pPr>
      <w:r>
        <w:fldChar w:fldCharType="begin"/>
      </w:r>
      <w:r>
        <w:instrText xml:space="preserve"> HYPERLINK \l "_Toc4155317" </w:instrText>
      </w:r>
      <w:r>
        <w:fldChar w:fldCharType="separate"/>
      </w:r>
      <w:r>
        <w:rPr>
          <w:rStyle w:val="33"/>
          <w:rFonts w:hint="eastAsia"/>
          <w:sz w:val="22"/>
          <w:szCs w:val="22"/>
        </w:rPr>
        <w:t>第二章</w:t>
      </w:r>
      <w:r>
        <w:rPr>
          <w:rStyle w:val="33"/>
          <w:sz w:val="22"/>
          <w:szCs w:val="22"/>
        </w:rPr>
        <w:t xml:space="preserve"> </w:t>
      </w:r>
      <w:r>
        <w:rPr>
          <w:rStyle w:val="33"/>
          <w:rFonts w:hint="eastAsia"/>
          <w:sz w:val="22"/>
          <w:szCs w:val="22"/>
        </w:rPr>
        <w:t>供应商须知及前附表</w:t>
      </w:r>
      <w:r>
        <w:rPr>
          <w:sz w:val="22"/>
          <w:szCs w:val="22"/>
        </w:rPr>
        <w:tab/>
      </w:r>
      <w:r>
        <w:rPr>
          <w:sz w:val="22"/>
          <w:szCs w:val="22"/>
        </w:rPr>
        <w:fldChar w:fldCharType="begin"/>
      </w:r>
      <w:r>
        <w:rPr>
          <w:sz w:val="22"/>
          <w:szCs w:val="22"/>
        </w:rPr>
        <w:instrText xml:space="preserve"> PAGEREF _Toc4155317 \h </w:instrText>
      </w:r>
      <w:r>
        <w:rPr>
          <w:sz w:val="22"/>
          <w:szCs w:val="22"/>
        </w:rPr>
        <w:fldChar w:fldCharType="separate"/>
      </w:r>
      <w:r>
        <w:rPr>
          <w:sz w:val="22"/>
          <w:szCs w:val="22"/>
        </w:rPr>
        <w:t>5</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"_Toc4155318" </w:instrText>
      </w:r>
      <w:r>
        <w:fldChar w:fldCharType="separate"/>
      </w:r>
      <w:r>
        <w:rPr>
          <w:rStyle w:val="33"/>
          <w:rFonts w:hint="eastAsia"/>
          <w:sz w:val="22"/>
          <w:szCs w:val="22"/>
        </w:rPr>
        <w:t>供应商须知前附表</w:t>
      </w:r>
      <w:r>
        <w:rPr>
          <w:sz w:val="22"/>
          <w:szCs w:val="22"/>
        </w:rPr>
        <w:tab/>
      </w:r>
      <w:r>
        <w:rPr>
          <w:sz w:val="22"/>
          <w:szCs w:val="22"/>
        </w:rPr>
        <w:fldChar w:fldCharType="begin"/>
      </w:r>
      <w:r>
        <w:rPr>
          <w:sz w:val="22"/>
          <w:szCs w:val="22"/>
        </w:rPr>
        <w:instrText xml:space="preserve"> PAGEREF _Toc4155318 \h </w:instrText>
      </w:r>
      <w:r>
        <w:rPr>
          <w:sz w:val="22"/>
          <w:szCs w:val="22"/>
        </w:rPr>
        <w:fldChar w:fldCharType="separate"/>
      </w:r>
      <w:r>
        <w:rPr>
          <w:sz w:val="22"/>
          <w:szCs w:val="22"/>
        </w:rPr>
        <w:t>6</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"_Toc4155319" </w:instrText>
      </w:r>
      <w:r>
        <w:fldChar w:fldCharType="separate"/>
      </w:r>
      <w:r>
        <w:rPr>
          <w:rStyle w:val="33"/>
          <w:sz w:val="22"/>
          <w:szCs w:val="22"/>
        </w:rPr>
        <w:t>1</w:t>
      </w:r>
      <w:r>
        <w:rPr>
          <w:rStyle w:val="33"/>
          <w:rFonts w:hint="eastAsia"/>
          <w:sz w:val="22"/>
          <w:szCs w:val="22"/>
        </w:rPr>
        <w:t>．适用范围</w:t>
      </w:r>
      <w:r>
        <w:rPr>
          <w:sz w:val="22"/>
          <w:szCs w:val="22"/>
        </w:rPr>
        <w:tab/>
      </w:r>
      <w:r>
        <w:rPr>
          <w:sz w:val="22"/>
          <w:szCs w:val="22"/>
        </w:rPr>
        <w:fldChar w:fldCharType="begin"/>
      </w:r>
      <w:r>
        <w:rPr>
          <w:sz w:val="22"/>
          <w:szCs w:val="22"/>
        </w:rPr>
        <w:instrText xml:space="preserve"> PAGEREF _Toc4155319 \h </w:instrText>
      </w:r>
      <w:r>
        <w:rPr>
          <w:sz w:val="22"/>
          <w:szCs w:val="22"/>
        </w:rPr>
        <w:fldChar w:fldCharType="separate"/>
      </w:r>
      <w:r>
        <w:rPr>
          <w:sz w:val="22"/>
          <w:szCs w:val="22"/>
        </w:rPr>
        <w:t>7</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"_Toc4155320" </w:instrText>
      </w:r>
      <w:r>
        <w:fldChar w:fldCharType="separate"/>
      </w:r>
      <w:r>
        <w:rPr>
          <w:rStyle w:val="33"/>
          <w:sz w:val="22"/>
          <w:szCs w:val="22"/>
        </w:rPr>
        <w:t xml:space="preserve">2. </w:t>
      </w:r>
      <w:r>
        <w:rPr>
          <w:rStyle w:val="33"/>
          <w:rFonts w:hint="eastAsia"/>
          <w:sz w:val="22"/>
          <w:szCs w:val="22"/>
        </w:rPr>
        <w:t>定义</w:t>
      </w:r>
      <w:r>
        <w:rPr>
          <w:sz w:val="22"/>
          <w:szCs w:val="22"/>
        </w:rPr>
        <w:tab/>
      </w:r>
      <w:r>
        <w:rPr>
          <w:sz w:val="22"/>
          <w:szCs w:val="22"/>
        </w:rPr>
        <w:fldChar w:fldCharType="begin"/>
      </w:r>
      <w:r>
        <w:rPr>
          <w:sz w:val="22"/>
          <w:szCs w:val="22"/>
        </w:rPr>
        <w:instrText xml:space="preserve"> PAGEREF _Toc4155320 \h </w:instrText>
      </w:r>
      <w:r>
        <w:rPr>
          <w:sz w:val="22"/>
          <w:szCs w:val="22"/>
        </w:rPr>
        <w:fldChar w:fldCharType="separate"/>
      </w:r>
      <w:r>
        <w:rPr>
          <w:sz w:val="22"/>
          <w:szCs w:val="22"/>
        </w:rPr>
        <w:t>7</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"_Toc4155321" </w:instrText>
      </w:r>
      <w:r>
        <w:fldChar w:fldCharType="separate"/>
      </w:r>
      <w:r>
        <w:rPr>
          <w:rStyle w:val="33"/>
          <w:sz w:val="22"/>
          <w:szCs w:val="22"/>
        </w:rPr>
        <w:t xml:space="preserve">3. </w:t>
      </w:r>
      <w:r>
        <w:rPr>
          <w:rStyle w:val="33"/>
          <w:rFonts w:hint="eastAsia"/>
          <w:sz w:val="22"/>
          <w:szCs w:val="22"/>
        </w:rPr>
        <w:t>谈判费用</w:t>
      </w:r>
      <w:r>
        <w:rPr>
          <w:sz w:val="22"/>
          <w:szCs w:val="22"/>
        </w:rPr>
        <w:tab/>
      </w:r>
      <w:r>
        <w:rPr>
          <w:sz w:val="22"/>
          <w:szCs w:val="22"/>
        </w:rPr>
        <w:fldChar w:fldCharType="begin"/>
      </w:r>
      <w:r>
        <w:rPr>
          <w:sz w:val="22"/>
          <w:szCs w:val="22"/>
        </w:rPr>
        <w:instrText xml:space="preserve"> PAGEREF _Toc4155321 \h </w:instrText>
      </w:r>
      <w:r>
        <w:rPr>
          <w:sz w:val="22"/>
          <w:szCs w:val="22"/>
        </w:rPr>
        <w:fldChar w:fldCharType="separate"/>
      </w:r>
      <w:r>
        <w:rPr>
          <w:sz w:val="22"/>
          <w:szCs w:val="22"/>
        </w:rPr>
        <w:t>7</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"_Toc4155322" </w:instrText>
      </w:r>
      <w:r>
        <w:fldChar w:fldCharType="separate"/>
      </w:r>
      <w:r>
        <w:rPr>
          <w:rStyle w:val="33"/>
          <w:sz w:val="22"/>
          <w:szCs w:val="22"/>
        </w:rPr>
        <w:t xml:space="preserve">4. </w:t>
      </w:r>
      <w:r>
        <w:rPr>
          <w:rStyle w:val="33"/>
          <w:rFonts w:hint="eastAsia"/>
          <w:sz w:val="22"/>
          <w:szCs w:val="22"/>
        </w:rPr>
        <w:t>现场踏勘</w:t>
      </w:r>
      <w:r>
        <w:rPr>
          <w:sz w:val="22"/>
          <w:szCs w:val="22"/>
        </w:rPr>
        <w:tab/>
      </w:r>
      <w:r>
        <w:rPr>
          <w:sz w:val="22"/>
          <w:szCs w:val="22"/>
        </w:rPr>
        <w:fldChar w:fldCharType="begin"/>
      </w:r>
      <w:r>
        <w:rPr>
          <w:sz w:val="22"/>
          <w:szCs w:val="22"/>
        </w:rPr>
        <w:instrText xml:space="preserve"> PAGEREF _Toc4155322 \h </w:instrText>
      </w:r>
      <w:r>
        <w:rPr>
          <w:sz w:val="22"/>
          <w:szCs w:val="22"/>
        </w:rPr>
        <w:fldChar w:fldCharType="separate"/>
      </w:r>
      <w:r>
        <w:rPr>
          <w:sz w:val="22"/>
          <w:szCs w:val="22"/>
        </w:rPr>
        <w:t>7</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"_Toc4155323" </w:instrText>
      </w:r>
      <w:r>
        <w:fldChar w:fldCharType="separate"/>
      </w:r>
      <w:r>
        <w:rPr>
          <w:rStyle w:val="33"/>
          <w:sz w:val="22"/>
          <w:szCs w:val="22"/>
        </w:rPr>
        <w:t xml:space="preserve">5. </w:t>
      </w:r>
      <w:r>
        <w:rPr>
          <w:rStyle w:val="33"/>
          <w:rFonts w:hint="eastAsia"/>
          <w:sz w:val="22"/>
          <w:szCs w:val="22"/>
        </w:rPr>
        <w:t>采购文件的构成</w:t>
      </w:r>
      <w:r>
        <w:rPr>
          <w:sz w:val="22"/>
          <w:szCs w:val="22"/>
        </w:rPr>
        <w:tab/>
      </w:r>
      <w:r>
        <w:rPr>
          <w:sz w:val="22"/>
          <w:szCs w:val="22"/>
        </w:rPr>
        <w:fldChar w:fldCharType="begin"/>
      </w:r>
      <w:r>
        <w:rPr>
          <w:sz w:val="22"/>
          <w:szCs w:val="22"/>
        </w:rPr>
        <w:instrText xml:space="preserve"> PAGEREF _Toc4155323 \h </w:instrText>
      </w:r>
      <w:r>
        <w:rPr>
          <w:sz w:val="22"/>
          <w:szCs w:val="22"/>
        </w:rPr>
        <w:fldChar w:fldCharType="separate"/>
      </w:r>
      <w:r>
        <w:rPr>
          <w:sz w:val="22"/>
          <w:szCs w:val="22"/>
        </w:rPr>
        <w:t>7</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"_Toc4155324" </w:instrText>
      </w:r>
      <w:r>
        <w:fldChar w:fldCharType="separate"/>
      </w:r>
      <w:r>
        <w:rPr>
          <w:rStyle w:val="33"/>
          <w:sz w:val="22"/>
          <w:szCs w:val="22"/>
        </w:rPr>
        <w:t xml:space="preserve">6. </w:t>
      </w:r>
      <w:r>
        <w:rPr>
          <w:rStyle w:val="33"/>
          <w:rFonts w:hint="eastAsia"/>
          <w:sz w:val="22"/>
          <w:szCs w:val="22"/>
        </w:rPr>
        <w:t>采购文件的澄清、修改、补充</w:t>
      </w:r>
      <w:r>
        <w:rPr>
          <w:sz w:val="22"/>
          <w:szCs w:val="22"/>
        </w:rPr>
        <w:tab/>
      </w:r>
      <w:r>
        <w:rPr>
          <w:sz w:val="22"/>
          <w:szCs w:val="22"/>
        </w:rPr>
        <w:fldChar w:fldCharType="begin"/>
      </w:r>
      <w:r>
        <w:rPr>
          <w:sz w:val="22"/>
          <w:szCs w:val="22"/>
        </w:rPr>
        <w:instrText xml:space="preserve"> PAGEREF _Toc4155324 \h </w:instrText>
      </w:r>
      <w:r>
        <w:rPr>
          <w:sz w:val="22"/>
          <w:szCs w:val="22"/>
        </w:rPr>
        <w:fldChar w:fldCharType="separate"/>
      </w:r>
      <w:r>
        <w:rPr>
          <w:sz w:val="22"/>
          <w:szCs w:val="22"/>
        </w:rPr>
        <w:t>8</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"_Toc4155325" </w:instrText>
      </w:r>
      <w:r>
        <w:fldChar w:fldCharType="separate"/>
      </w:r>
      <w:r>
        <w:rPr>
          <w:rStyle w:val="33"/>
          <w:sz w:val="22"/>
          <w:szCs w:val="22"/>
        </w:rPr>
        <w:t xml:space="preserve">7. </w:t>
      </w:r>
      <w:r>
        <w:rPr>
          <w:rStyle w:val="33"/>
          <w:rFonts w:hint="eastAsia"/>
          <w:sz w:val="22"/>
          <w:szCs w:val="22"/>
        </w:rPr>
        <w:t>编制基本要求</w:t>
      </w:r>
      <w:r>
        <w:rPr>
          <w:sz w:val="22"/>
          <w:szCs w:val="22"/>
        </w:rPr>
        <w:tab/>
      </w:r>
      <w:r>
        <w:rPr>
          <w:sz w:val="22"/>
          <w:szCs w:val="22"/>
        </w:rPr>
        <w:fldChar w:fldCharType="begin"/>
      </w:r>
      <w:r>
        <w:rPr>
          <w:sz w:val="22"/>
          <w:szCs w:val="22"/>
        </w:rPr>
        <w:instrText xml:space="preserve"> PAGEREF _Toc4155325 \h </w:instrText>
      </w:r>
      <w:r>
        <w:rPr>
          <w:sz w:val="22"/>
          <w:szCs w:val="22"/>
        </w:rPr>
        <w:fldChar w:fldCharType="separate"/>
      </w:r>
      <w:r>
        <w:rPr>
          <w:sz w:val="22"/>
          <w:szCs w:val="22"/>
        </w:rPr>
        <w:t>8</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"_Toc4155326" </w:instrText>
      </w:r>
      <w:r>
        <w:fldChar w:fldCharType="separate"/>
      </w:r>
      <w:r>
        <w:rPr>
          <w:rStyle w:val="33"/>
          <w:sz w:val="22"/>
          <w:szCs w:val="22"/>
        </w:rPr>
        <w:t xml:space="preserve">8. </w:t>
      </w:r>
      <w:r>
        <w:rPr>
          <w:rStyle w:val="33"/>
          <w:rFonts w:hint="eastAsia"/>
          <w:sz w:val="22"/>
          <w:szCs w:val="22"/>
        </w:rPr>
        <w:t>语言和计量单位</w:t>
      </w:r>
      <w:r>
        <w:rPr>
          <w:sz w:val="22"/>
          <w:szCs w:val="22"/>
        </w:rPr>
        <w:tab/>
      </w:r>
      <w:r>
        <w:rPr>
          <w:sz w:val="22"/>
          <w:szCs w:val="22"/>
        </w:rPr>
        <w:fldChar w:fldCharType="begin"/>
      </w:r>
      <w:r>
        <w:rPr>
          <w:sz w:val="22"/>
          <w:szCs w:val="22"/>
        </w:rPr>
        <w:instrText xml:space="preserve"> PAGEREF _Toc4155326 \h </w:instrText>
      </w:r>
      <w:r>
        <w:rPr>
          <w:sz w:val="22"/>
          <w:szCs w:val="22"/>
        </w:rPr>
        <w:fldChar w:fldCharType="separate"/>
      </w:r>
      <w:r>
        <w:rPr>
          <w:sz w:val="22"/>
          <w:szCs w:val="22"/>
        </w:rPr>
        <w:t>9</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"_Toc4155327" </w:instrText>
      </w:r>
      <w:r>
        <w:fldChar w:fldCharType="separate"/>
      </w:r>
      <w:r>
        <w:rPr>
          <w:rStyle w:val="33"/>
          <w:sz w:val="22"/>
          <w:szCs w:val="22"/>
        </w:rPr>
        <w:t xml:space="preserve">9. </w:t>
      </w:r>
      <w:r>
        <w:rPr>
          <w:rStyle w:val="33"/>
          <w:rFonts w:hint="eastAsia"/>
          <w:sz w:val="22"/>
          <w:szCs w:val="22"/>
        </w:rPr>
        <w:t>报价</w:t>
      </w:r>
      <w:r>
        <w:rPr>
          <w:sz w:val="22"/>
          <w:szCs w:val="22"/>
        </w:rPr>
        <w:tab/>
      </w:r>
      <w:r>
        <w:rPr>
          <w:sz w:val="22"/>
          <w:szCs w:val="22"/>
        </w:rPr>
        <w:fldChar w:fldCharType="begin"/>
      </w:r>
      <w:r>
        <w:rPr>
          <w:sz w:val="22"/>
          <w:szCs w:val="22"/>
        </w:rPr>
        <w:instrText xml:space="preserve"> PAGEREF _Toc4155327 \h </w:instrText>
      </w:r>
      <w:r>
        <w:rPr>
          <w:sz w:val="22"/>
          <w:szCs w:val="22"/>
        </w:rPr>
        <w:fldChar w:fldCharType="separate"/>
      </w:r>
      <w:r>
        <w:rPr>
          <w:sz w:val="22"/>
          <w:szCs w:val="22"/>
        </w:rPr>
        <w:t>9</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"_Toc4155328" </w:instrText>
      </w:r>
      <w:r>
        <w:fldChar w:fldCharType="separate"/>
      </w:r>
      <w:r>
        <w:rPr>
          <w:rStyle w:val="33"/>
          <w:sz w:val="22"/>
          <w:szCs w:val="22"/>
        </w:rPr>
        <w:t xml:space="preserve">10. </w:t>
      </w:r>
      <w:r>
        <w:rPr>
          <w:rStyle w:val="33"/>
          <w:rFonts w:hint="eastAsia"/>
          <w:sz w:val="22"/>
          <w:szCs w:val="22"/>
        </w:rPr>
        <w:t>报价货币</w:t>
      </w:r>
      <w:r>
        <w:rPr>
          <w:sz w:val="22"/>
          <w:szCs w:val="22"/>
        </w:rPr>
        <w:tab/>
      </w:r>
      <w:r>
        <w:rPr>
          <w:sz w:val="22"/>
          <w:szCs w:val="22"/>
        </w:rPr>
        <w:fldChar w:fldCharType="begin"/>
      </w:r>
      <w:r>
        <w:rPr>
          <w:sz w:val="22"/>
          <w:szCs w:val="22"/>
        </w:rPr>
        <w:instrText xml:space="preserve"> PAGEREF _Toc4155328 \h </w:instrText>
      </w:r>
      <w:r>
        <w:rPr>
          <w:sz w:val="22"/>
          <w:szCs w:val="22"/>
        </w:rPr>
        <w:fldChar w:fldCharType="separate"/>
      </w:r>
      <w:r>
        <w:rPr>
          <w:sz w:val="22"/>
          <w:szCs w:val="22"/>
        </w:rPr>
        <w:t>9</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"_Toc4155329" </w:instrText>
      </w:r>
      <w:r>
        <w:fldChar w:fldCharType="separate"/>
      </w:r>
      <w:r>
        <w:rPr>
          <w:rStyle w:val="33"/>
          <w:rFonts w:cs="Arial"/>
          <w:sz w:val="22"/>
          <w:szCs w:val="22"/>
        </w:rPr>
        <w:t xml:space="preserve">11. </w:t>
      </w:r>
      <w:r>
        <w:rPr>
          <w:rStyle w:val="33"/>
          <w:rFonts w:hint="eastAsia"/>
          <w:sz w:val="22"/>
          <w:szCs w:val="22"/>
        </w:rPr>
        <w:t>响应保证金</w:t>
      </w:r>
      <w:r>
        <w:rPr>
          <w:sz w:val="22"/>
          <w:szCs w:val="22"/>
        </w:rPr>
        <w:tab/>
      </w:r>
      <w:r>
        <w:rPr>
          <w:sz w:val="22"/>
          <w:szCs w:val="22"/>
        </w:rPr>
        <w:fldChar w:fldCharType="begin"/>
      </w:r>
      <w:r>
        <w:rPr>
          <w:sz w:val="22"/>
          <w:szCs w:val="22"/>
        </w:rPr>
        <w:instrText xml:space="preserve"> PAGEREF _Toc4155329 \h </w:instrText>
      </w:r>
      <w:r>
        <w:rPr>
          <w:sz w:val="22"/>
          <w:szCs w:val="22"/>
        </w:rPr>
        <w:fldChar w:fldCharType="separate"/>
      </w:r>
      <w:r>
        <w:rPr>
          <w:sz w:val="22"/>
          <w:szCs w:val="22"/>
        </w:rPr>
        <w:t>9</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"_Toc4155330" </w:instrText>
      </w:r>
      <w:r>
        <w:fldChar w:fldCharType="separate"/>
      </w:r>
      <w:r>
        <w:rPr>
          <w:rStyle w:val="33"/>
          <w:sz w:val="22"/>
          <w:szCs w:val="22"/>
        </w:rPr>
        <w:t xml:space="preserve">12. </w:t>
      </w:r>
      <w:r>
        <w:rPr>
          <w:rStyle w:val="33"/>
          <w:rFonts w:hint="eastAsia"/>
          <w:sz w:val="22"/>
          <w:szCs w:val="22"/>
        </w:rPr>
        <w:t>采购有效期</w:t>
      </w:r>
      <w:r>
        <w:rPr>
          <w:sz w:val="22"/>
          <w:szCs w:val="22"/>
        </w:rPr>
        <w:tab/>
      </w:r>
      <w:r>
        <w:rPr>
          <w:sz w:val="22"/>
          <w:szCs w:val="22"/>
        </w:rPr>
        <w:fldChar w:fldCharType="begin"/>
      </w:r>
      <w:r>
        <w:rPr>
          <w:sz w:val="22"/>
          <w:szCs w:val="22"/>
        </w:rPr>
        <w:instrText xml:space="preserve"> PAGEREF _Toc4155330 \h </w:instrText>
      </w:r>
      <w:r>
        <w:rPr>
          <w:sz w:val="22"/>
          <w:szCs w:val="22"/>
        </w:rPr>
        <w:fldChar w:fldCharType="separate"/>
      </w:r>
      <w:r>
        <w:rPr>
          <w:sz w:val="22"/>
          <w:szCs w:val="22"/>
        </w:rPr>
        <w:t>10</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"_Toc4155331" </w:instrText>
      </w:r>
      <w:r>
        <w:fldChar w:fldCharType="separate"/>
      </w:r>
      <w:r>
        <w:rPr>
          <w:rStyle w:val="33"/>
          <w:sz w:val="22"/>
          <w:szCs w:val="22"/>
        </w:rPr>
        <w:t xml:space="preserve">13. </w:t>
      </w:r>
      <w:r>
        <w:rPr>
          <w:rStyle w:val="33"/>
          <w:rFonts w:hint="eastAsia"/>
          <w:sz w:val="22"/>
          <w:szCs w:val="22"/>
        </w:rPr>
        <w:t>响应文件递交截止时间及地址</w:t>
      </w:r>
      <w:r>
        <w:rPr>
          <w:sz w:val="22"/>
          <w:szCs w:val="22"/>
        </w:rPr>
        <w:tab/>
      </w:r>
      <w:r>
        <w:rPr>
          <w:sz w:val="22"/>
          <w:szCs w:val="22"/>
        </w:rPr>
        <w:fldChar w:fldCharType="begin"/>
      </w:r>
      <w:r>
        <w:rPr>
          <w:sz w:val="22"/>
          <w:szCs w:val="22"/>
        </w:rPr>
        <w:instrText xml:space="preserve"> PAGEREF _Toc4155331 \h </w:instrText>
      </w:r>
      <w:r>
        <w:rPr>
          <w:sz w:val="22"/>
          <w:szCs w:val="22"/>
        </w:rPr>
        <w:fldChar w:fldCharType="separate"/>
      </w:r>
      <w:r>
        <w:rPr>
          <w:sz w:val="22"/>
          <w:szCs w:val="22"/>
        </w:rPr>
        <w:t>10</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"_Toc4155332" </w:instrText>
      </w:r>
      <w:r>
        <w:fldChar w:fldCharType="separate"/>
      </w:r>
      <w:r>
        <w:rPr>
          <w:rStyle w:val="33"/>
          <w:sz w:val="22"/>
          <w:szCs w:val="22"/>
        </w:rPr>
        <w:t xml:space="preserve">14. </w:t>
      </w:r>
      <w:r>
        <w:rPr>
          <w:rStyle w:val="33"/>
          <w:rFonts w:hint="eastAsia"/>
          <w:sz w:val="22"/>
          <w:szCs w:val="22"/>
        </w:rPr>
        <w:t>响应文件的修改和撤销</w:t>
      </w:r>
      <w:r>
        <w:rPr>
          <w:sz w:val="22"/>
          <w:szCs w:val="22"/>
        </w:rPr>
        <w:tab/>
      </w:r>
      <w:r>
        <w:rPr>
          <w:sz w:val="22"/>
          <w:szCs w:val="22"/>
        </w:rPr>
        <w:fldChar w:fldCharType="begin"/>
      </w:r>
      <w:r>
        <w:rPr>
          <w:sz w:val="22"/>
          <w:szCs w:val="22"/>
        </w:rPr>
        <w:instrText xml:space="preserve"> PAGEREF _Toc4155332 \h </w:instrText>
      </w:r>
      <w:r>
        <w:rPr>
          <w:sz w:val="22"/>
          <w:szCs w:val="22"/>
        </w:rPr>
        <w:fldChar w:fldCharType="separate"/>
      </w:r>
      <w:r>
        <w:rPr>
          <w:sz w:val="22"/>
          <w:szCs w:val="22"/>
        </w:rPr>
        <w:t>10</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"_Toc4155333" </w:instrText>
      </w:r>
      <w:r>
        <w:fldChar w:fldCharType="separate"/>
      </w:r>
      <w:r>
        <w:rPr>
          <w:rStyle w:val="33"/>
          <w:sz w:val="22"/>
          <w:szCs w:val="22"/>
        </w:rPr>
        <w:t xml:space="preserve">15. </w:t>
      </w:r>
      <w:r>
        <w:rPr>
          <w:rStyle w:val="33"/>
          <w:rFonts w:hint="eastAsia"/>
          <w:sz w:val="22"/>
          <w:szCs w:val="22"/>
        </w:rPr>
        <w:t>谈判小组</w:t>
      </w:r>
      <w:r>
        <w:rPr>
          <w:sz w:val="22"/>
          <w:szCs w:val="22"/>
        </w:rPr>
        <w:tab/>
      </w:r>
      <w:r>
        <w:rPr>
          <w:sz w:val="22"/>
          <w:szCs w:val="22"/>
        </w:rPr>
        <w:fldChar w:fldCharType="begin"/>
      </w:r>
      <w:r>
        <w:rPr>
          <w:sz w:val="22"/>
          <w:szCs w:val="22"/>
        </w:rPr>
        <w:instrText xml:space="preserve"> PAGEREF _Toc4155333 \h </w:instrText>
      </w:r>
      <w:r>
        <w:rPr>
          <w:sz w:val="22"/>
          <w:szCs w:val="22"/>
        </w:rPr>
        <w:fldChar w:fldCharType="separate"/>
      </w:r>
      <w:r>
        <w:rPr>
          <w:sz w:val="22"/>
          <w:szCs w:val="22"/>
        </w:rPr>
        <w:t>11</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"_Toc4155334" </w:instrText>
      </w:r>
      <w:r>
        <w:fldChar w:fldCharType="separate"/>
      </w:r>
      <w:r>
        <w:rPr>
          <w:rStyle w:val="33"/>
          <w:sz w:val="22"/>
          <w:szCs w:val="22"/>
        </w:rPr>
        <w:t xml:space="preserve">16. </w:t>
      </w:r>
      <w:r>
        <w:rPr>
          <w:rStyle w:val="33"/>
          <w:rFonts w:hint="eastAsia"/>
          <w:sz w:val="22"/>
          <w:szCs w:val="22"/>
        </w:rPr>
        <w:t>开启响应文件</w:t>
      </w:r>
      <w:r>
        <w:rPr>
          <w:sz w:val="22"/>
          <w:szCs w:val="22"/>
        </w:rPr>
        <w:tab/>
      </w:r>
      <w:r>
        <w:rPr>
          <w:sz w:val="22"/>
          <w:szCs w:val="22"/>
        </w:rPr>
        <w:fldChar w:fldCharType="begin"/>
      </w:r>
      <w:r>
        <w:rPr>
          <w:sz w:val="22"/>
          <w:szCs w:val="22"/>
        </w:rPr>
        <w:instrText xml:space="preserve"> PAGEREF _Toc4155334 \h </w:instrText>
      </w:r>
      <w:r>
        <w:rPr>
          <w:sz w:val="22"/>
          <w:szCs w:val="22"/>
        </w:rPr>
        <w:fldChar w:fldCharType="separate"/>
      </w:r>
      <w:r>
        <w:rPr>
          <w:sz w:val="22"/>
          <w:szCs w:val="22"/>
        </w:rPr>
        <w:t>11</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"_Toc4155335" </w:instrText>
      </w:r>
      <w:r>
        <w:fldChar w:fldCharType="separate"/>
      </w:r>
      <w:r>
        <w:rPr>
          <w:rStyle w:val="33"/>
          <w:sz w:val="22"/>
          <w:szCs w:val="22"/>
        </w:rPr>
        <w:t xml:space="preserve">17. </w:t>
      </w:r>
      <w:r>
        <w:rPr>
          <w:rStyle w:val="33"/>
          <w:rFonts w:hint="eastAsia"/>
          <w:sz w:val="22"/>
          <w:szCs w:val="22"/>
        </w:rPr>
        <w:t>评审方法</w:t>
      </w:r>
      <w:r>
        <w:rPr>
          <w:sz w:val="22"/>
          <w:szCs w:val="22"/>
        </w:rPr>
        <w:tab/>
      </w:r>
      <w:r>
        <w:rPr>
          <w:sz w:val="22"/>
          <w:szCs w:val="22"/>
        </w:rPr>
        <w:fldChar w:fldCharType="begin"/>
      </w:r>
      <w:r>
        <w:rPr>
          <w:sz w:val="22"/>
          <w:szCs w:val="22"/>
        </w:rPr>
        <w:instrText xml:space="preserve"> PAGEREF _Toc4155335 \h </w:instrText>
      </w:r>
      <w:r>
        <w:rPr>
          <w:sz w:val="22"/>
          <w:szCs w:val="22"/>
        </w:rPr>
        <w:fldChar w:fldCharType="separate"/>
      </w:r>
      <w:r>
        <w:rPr>
          <w:sz w:val="22"/>
          <w:szCs w:val="22"/>
        </w:rPr>
        <w:t>11</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"_Toc4155336" </w:instrText>
      </w:r>
      <w:r>
        <w:fldChar w:fldCharType="separate"/>
      </w:r>
      <w:r>
        <w:rPr>
          <w:rStyle w:val="33"/>
          <w:sz w:val="22"/>
          <w:szCs w:val="22"/>
        </w:rPr>
        <w:t xml:space="preserve">18. </w:t>
      </w:r>
      <w:r>
        <w:rPr>
          <w:rStyle w:val="33"/>
          <w:rFonts w:hint="eastAsia"/>
          <w:sz w:val="22"/>
          <w:szCs w:val="22"/>
        </w:rPr>
        <w:t>确定成交人</w:t>
      </w:r>
      <w:r>
        <w:rPr>
          <w:sz w:val="22"/>
          <w:szCs w:val="22"/>
        </w:rPr>
        <w:tab/>
      </w:r>
      <w:r>
        <w:rPr>
          <w:sz w:val="22"/>
          <w:szCs w:val="22"/>
        </w:rPr>
        <w:fldChar w:fldCharType="begin"/>
      </w:r>
      <w:r>
        <w:rPr>
          <w:sz w:val="22"/>
          <w:szCs w:val="22"/>
        </w:rPr>
        <w:instrText xml:space="preserve"> PAGEREF _Toc4155336 \h </w:instrText>
      </w:r>
      <w:r>
        <w:rPr>
          <w:sz w:val="22"/>
          <w:szCs w:val="22"/>
        </w:rPr>
        <w:fldChar w:fldCharType="separate"/>
      </w:r>
      <w:r>
        <w:rPr>
          <w:sz w:val="22"/>
          <w:szCs w:val="22"/>
        </w:rPr>
        <w:t>11</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"_Toc4155337" </w:instrText>
      </w:r>
      <w:r>
        <w:fldChar w:fldCharType="separate"/>
      </w:r>
      <w:r>
        <w:rPr>
          <w:rStyle w:val="33"/>
          <w:sz w:val="22"/>
          <w:szCs w:val="22"/>
        </w:rPr>
        <w:t xml:space="preserve">19. </w:t>
      </w:r>
      <w:r>
        <w:rPr>
          <w:rStyle w:val="33"/>
          <w:rFonts w:hint="eastAsia"/>
          <w:sz w:val="22"/>
          <w:szCs w:val="22"/>
        </w:rPr>
        <w:t>谈判结果公告</w:t>
      </w:r>
      <w:r>
        <w:rPr>
          <w:sz w:val="22"/>
          <w:szCs w:val="22"/>
        </w:rPr>
        <w:tab/>
      </w:r>
      <w:r>
        <w:rPr>
          <w:sz w:val="22"/>
          <w:szCs w:val="22"/>
        </w:rPr>
        <w:fldChar w:fldCharType="begin"/>
      </w:r>
      <w:r>
        <w:rPr>
          <w:sz w:val="22"/>
          <w:szCs w:val="22"/>
        </w:rPr>
        <w:instrText xml:space="preserve"> PAGEREF _Toc4155337 \h </w:instrText>
      </w:r>
      <w:r>
        <w:rPr>
          <w:sz w:val="22"/>
          <w:szCs w:val="22"/>
        </w:rPr>
        <w:fldChar w:fldCharType="separate"/>
      </w:r>
      <w:r>
        <w:rPr>
          <w:sz w:val="22"/>
          <w:szCs w:val="22"/>
        </w:rPr>
        <w:t>11</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"_Toc4155338" </w:instrText>
      </w:r>
      <w:r>
        <w:fldChar w:fldCharType="separate"/>
      </w:r>
      <w:r>
        <w:rPr>
          <w:rStyle w:val="33"/>
          <w:sz w:val="22"/>
          <w:szCs w:val="22"/>
        </w:rPr>
        <w:t xml:space="preserve">20. </w:t>
      </w:r>
      <w:r>
        <w:rPr>
          <w:rStyle w:val="33"/>
          <w:rFonts w:hint="eastAsia"/>
          <w:sz w:val="22"/>
          <w:szCs w:val="22"/>
        </w:rPr>
        <w:t>成交通知</w:t>
      </w:r>
      <w:r>
        <w:rPr>
          <w:sz w:val="22"/>
          <w:szCs w:val="22"/>
        </w:rPr>
        <w:tab/>
      </w:r>
      <w:r>
        <w:rPr>
          <w:sz w:val="22"/>
          <w:szCs w:val="22"/>
        </w:rPr>
        <w:fldChar w:fldCharType="begin"/>
      </w:r>
      <w:r>
        <w:rPr>
          <w:sz w:val="22"/>
          <w:szCs w:val="22"/>
        </w:rPr>
        <w:instrText xml:space="preserve"> PAGEREF _Toc4155338 \h </w:instrText>
      </w:r>
      <w:r>
        <w:rPr>
          <w:sz w:val="22"/>
          <w:szCs w:val="22"/>
        </w:rPr>
        <w:fldChar w:fldCharType="separate"/>
      </w:r>
      <w:r>
        <w:rPr>
          <w:sz w:val="22"/>
          <w:szCs w:val="22"/>
        </w:rPr>
        <w:t>11</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"_Toc4155339" </w:instrText>
      </w:r>
      <w:r>
        <w:fldChar w:fldCharType="separate"/>
      </w:r>
      <w:r>
        <w:rPr>
          <w:rStyle w:val="33"/>
          <w:sz w:val="22"/>
          <w:szCs w:val="22"/>
        </w:rPr>
        <w:t xml:space="preserve">21. </w:t>
      </w:r>
      <w:r>
        <w:rPr>
          <w:rStyle w:val="33"/>
          <w:rFonts w:hint="eastAsia"/>
          <w:sz w:val="22"/>
          <w:szCs w:val="22"/>
        </w:rPr>
        <w:t>签订合同</w:t>
      </w:r>
      <w:r>
        <w:rPr>
          <w:sz w:val="22"/>
          <w:szCs w:val="22"/>
        </w:rPr>
        <w:tab/>
      </w:r>
      <w:r>
        <w:rPr>
          <w:sz w:val="22"/>
          <w:szCs w:val="22"/>
        </w:rPr>
        <w:fldChar w:fldCharType="begin"/>
      </w:r>
      <w:r>
        <w:rPr>
          <w:sz w:val="22"/>
          <w:szCs w:val="22"/>
        </w:rPr>
        <w:instrText xml:space="preserve"> PAGEREF _Toc4155339 \h </w:instrText>
      </w:r>
      <w:r>
        <w:rPr>
          <w:sz w:val="22"/>
          <w:szCs w:val="22"/>
        </w:rPr>
        <w:fldChar w:fldCharType="separate"/>
      </w:r>
      <w:r>
        <w:rPr>
          <w:sz w:val="22"/>
          <w:szCs w:val="22"/>
        </w:rPr>
        <w:t>11</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"_Toc4155340" </w:instrText>
      </w:r>
      <w:r>
        <w:fldChar w:fldCharType="separate"/>
      </w:r>
      <w:r>
        <w:rPr>
          <w:rStyle w:val="33"/>
          <w:sz w:val="22"/>
          <w:szCs w:val="22"/>
        </w:rPr>
        <w:t xml:space="preserve">22. </w:t>
      </w:r>
      <w:r>
        <w:rPr>
          <w:rStyle w:val="33"/>
          <w:rFonts w:hint="eastAsia"/>
          <w:sz w:val="22"/>
          <w:szCs w:val="22"/>
        </w:rPr>
        <w:t>其他需要补充的内容</w:t>
      </w:r>
      <w:r>
        <w:rPr>
          <w:sz w:val="22"/>
          <w:szCs w:val="22"/>
        </w:rPr>
        <w:tab/>
      </w:r>
      <w:r>
        <w:rPr>
          <w:sz w:val="22"/>
          <w:szCs w:val="22"/>
        </w:rPr>
        <w:fldChar w:fldCharType="begin"/>
      </w:r>
      <w:r>
        <w:rPr>
          <w:sz w:val="22"/>
          <w:szCs w:val="22"/>
        </w:rPr>
        <w:instrText xml:space="preserve"> PAGEREF _Toc4155340 \h </w:instrText>
      </w:r>
      <w:r>
        <w:rPr>
          <w:sz w:val="22"/>
          <w:szCs w:val="22"/>
        </w:rPr>
        <w:fldChar w:fldCharType="separate"/>
      </w:r>
      <w:r>
        <w:rPr>
          <w:sz w:val="22"/>
          <w:szCs w:val="22"/>
        </w:rPr>
        <w:t>12</w:t>
      </w:r>
      <w:r>
        <w:rPr>
          <w:sz w:val="22"/>
          <w:szCs w:val="22"/>
        </w:rPr>
        <w:fldChar w:fldCharType="end"/>
      </w:r>
      <w:r>
        <w:rPr>
          <w:sz w:val="22"/>
          <w:szCs w:val="22"/>
        </w:rPr>
        <w:fldChar w:fldCharType="end"/>
      </w:r>
    </w:p>
    <w:p>
      <w:pPr>
        <w:pStyle w:val="24"/>
        <w:tabs>
          <w:tab w:val="right" w:leader="dot" w:pos="8302"/>
        </w:tabs>
        <w:ind w:firstLine="480"/>
        <w:rPr>
          <w:rFonts w:asciiTheme="minorHAnsi" w:hAnsiTheme="minorHAnsi" w:eastAsiaTheme="minorEastAsia" w:cstheme="minorBidi"/>
          <w:sz w:val="22"/>
          <w:szCs w:val="22"/>
        </w:rPr>
      </w:pPr>
      <w:r>
        <w:fldChar w:fldCharType="begin"/>
      </w:r>
      <w:r>
        <w:instrText xml:space="preserve"> HYPERLINK \l "_Toc4155341" </w:instrText>
      </w:r>
      <w:r>
        <w:fldChar w:fldCharType="separate"/>
      </w:r>
      <w:r>
        <w:rPr>
          <w:rStyle w:val="33"/>
          <w:rFonts w:hint="eastAsia"/>
          <w:sz w:val="22"/>
          <w:szCs w:val="22"/>
        </w:rPr>
        <w:t>第三章</w:t>
      </w:r>
      <w:r>
        <w:rPr>
          <w:rStyle w:val="33"/>
          <w:sz w:val="22"/>
          <w:szCs w:val="22"/>
        </w:rPr>
        <w:t xml:space="preserve"> </w:t>
      </w:r>
      <w:r>
        <w:rPr>
          <w:rStyle w:val="33"/>
          <w:rFonts w:hint="eastAsia"/>
          <w:sz w:val="22"/>
          <w:szCs w:val="22"/>
        </w:rPr>
        <w:t>评审办法</w:t>
      </w:r>
      <w:r>
        <w:rPr>
          <w:sz w:val="22"/>
          <w:szCs w:val="22"/>
        </w:rPr>
        <w:tab/>
      </w:r>
      <w:r>
        <w:rPr>
          <w:sz w:val="22"/>
          <w:szCs w:val="22"/>
        </w:rPr>
        <w:fldChar w:fldCharType="begin"/>
      </w:r>
      <w:r>
        <w:rPr>
          <w:sz w:val="22"/>
          <w:szCs w:val="22"/>
        </w:rPr>
        <w:instrText xml:space="preserve"> PAGEREF _Toc4155341 \h </w:instrText>
      </w:r>
      <w:r>
        <w:rPr>
          <w:sz w:val="22"/>
          <w:szCs w:val="22"/>
        </w:rPr>
        <w:fldChar w:fldCharType="separate"/>
      </w:r>
      <w:r>
        <w:rPr>
          <w:sz w:val="22"/>
          <w:szCs w:val="22"/>
        </w:rPr>
        <w:t>13</w:t>
      </w:r>
      <w:r>
        <w:rPr>
          <w:sz w:val="22"/>
          <w:szCs w:val="22"/>
        </w:rPr>
        <w:fldChar w:fldCharType="end"/>
      </w:r>
      <w:r>
        <w:rPr>
          <w:sz w:val="22"/>
          <w:szCs w:val="22"/>
        </w:rPr>
        <w:fldChar w:fldCharType="end"/>
      </w:r>
    </w:p>
    <w:p>
      <w:pPr>
        <w:pStyle w:val="24"/>
        <w:tabs>
          <w:tab w:val="right" w:leader="dot" w:pos="8302"/>
        </w:tabs>
        <w:ind w:firstLine="480"/>
        <w:rPr>
          <w:rFonts w:asciiTheme="minorHAnsi" w:hAnsiTheme="minorHAnsi" w:eastAsiaTheme="minorEastAsia" w:cstheme="minorBidi"/>
          <w:sz w:val="22"/>
          <w:szCs w:val="22"/>
        </w:rPr>
      </w:pPr>
      <w:r>
        <w:fldChar w:fldCharType="begin"/>
      </w:r>
      <w:r>
        <w:instrText xml:space="preserve"> HYPERLINK \l "_Toc4155342" </w:instrText>
      </w:r>
      <w:r>
        <w:fldChar w:fldCharType="separate"/>
      </w:r>
      <w:r>
        <w:rPr>
          <w:rStyle w:val="33"/>
          <w:rFonts w:hint="eastAsia"/>
          <w:sz w:val="22"/>
          <w:szCs w:val="22"/>
        </w:rPr>
        <w:t>第三章</w:t>
      </w:r>
      <w:r>
        <w:rPr>
          <w:rStyle w:val="33"/>
          <w:sz w:val="22"/>
          <w:szCs w:val="22"/>
        </w:rPr>
        <w:t xml:space="preserve"> </w:t>
      </w:r>
      <w:r>
        <w:rPr>
          <w:rStyle w:val="33"/>
          <w:rFonts w:hint="eastAsia"/>
          <w:sz w:val="22"/>
          <w:szCs w:val="22"/>
        </w:rPr>
        <w:t>评审办法（经评审的最低价法）</w:t>
      </w:r>
      <w:r>
        <w:rPr>
          <w:sz w:val="22"/>
          <w:szCs w:val="22"/>
        </w:rPr>
        <w:tab/>
      </w:r>
      <w:r>
        <w:rPr>
          <w:sz w:val="22"/>
          <w:szCs w:val="22"/>
        </w:rPr>
        <w:fldChar w:fldCharType="begin"/>
      </w:r>
      <w:r>
        <w:rPr>
          <w:sz w:val="22"/>
          <w:szCs w:val="22"/>
        </w:rPr>
        <w:instrText xml:space="preserve"> PAGEREF _Toc4155342 \h </w:instrText>
      </w:r>
      <w:r>
        <w:rPr>
          <w:sz w:val="22"/>
          <w:szCs w:val="22"/>
        </w:rPr>
        <w:fldChar w:fldCharType="separate"/>
      </w:r>
      <w:r>
        <w:rPr>
          <w:sz w:val="22"/>
          <w:szCs w:val="22"/>
        </w:rPr>
        <w:t>14</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"_Toc4155343" </w:instrText>
      </w:r>
      <w:r>
        <w:fldChar w:fldCharType="separate"/>
      </w:r>
      <w:r>
        <w:rPr>
          <w:rStyle w:val="33"/>
          <w:rFonts w:hint="eastAsia"/>
          <w:sz w:val="22"/>
          <w:szCs w:val="22"/>
        </w:rPr>
        <w:t>一、总则</w:t>
      </w:r>
      <w:r>
        <w:rPr>
          <w:sz w:val="22"/>
          <w:szCs w:val="22"/>
        </w:rPr>
        <w:tab/>
      </w:r>
      <w:r>
        <w:rPr>
          <w:sz w:val="22"/>
          <w:szCs w:val="22"/>
        </w:rPr>
        <w:fldChar w:fldCharType="begin"/>
      </w:r>
      <w:r>
        <w:rPr>
          <w:sz w:val="22"/>
          <w:szCs w:val="22"/>
        </w:rPr>
        <w:instrText xml:space="preserve"> PAGEREF _Toc4155343 \h </w:instrText>
      </w:r>
      <w:r>
        <w:rPr>
          <w:sz w:val="22"/>
          <w:szCs w:val="22"/>
        </w:rPr>
        <w:fldChar w:fldCharType="separate"/>
      </w:r>
      <w:r>
        <w:rPr>
          <w:sz w:val="22"/>
          <w:szCs w:val="22"/>
        </w:rPr>
        <w:t>14</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"_Toc4155344" </w:instrText>
      </w:r>
      <w:r>
        <w:fldChar w:fldCharType="separate"/>
      </w:r>
      <w:r>
        <w:rPr>
          <w:rStyle w:val="33"/>
          <w:rFonts w:hint="eastAsia"/>
          <w:sz w:val="22"/>
          <w:szCs w:val="22"/>
        </w:rPr>
        <w:t>二、评审方法</w:t>
      </w:r>
      <w:r>
        <w:rPr>
          <w:sz w:val="22"/>
          <w:szCs w:val="22"/>
        </w:rPr>
        <w:tab/>
      </w:r>
      <w:r>
        <w:rPr>
          <w:sz w:val="22"/>
          <w:szCs w:val="22"/>
        </w:rPr>
        <w:fldChar w:fldCharType="begin"/>
      </w:r>
      <w:r>
        <w:rPr>
          <w:sz w:val="22"/>
          <w:szCs w:val="22"/>
        </w:rPr>
        <w:instrText xml:space="preserve"> PAGEREF _Toc4155344 \h </w:instrText>
      </w:r>
      <w:r>
        <w:rPr>
          <w:sz w:val="22"/>
          <w:szCs w:val="22"/>
        </w:rPr>
        <w:fldChar w:fldCharType="separate"/>
      </w:r>
      <w:r>
        <w:rPr>
          <w:sz w:val="22"/>
          <w:szCs w:val="22"/>
        </w:rPr>
        <w:t>14</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"_Toc4155345" </w:instrText>
      </w:r>
      <w:r>
        <w:fldChar w:fldCharType="separate"/>
      </w:r>
      <w:r>
        <w:rPr>
          <w:rStyle w:val="33"/>
          <w:rFonts w:hint="eastAsia"/>
          <w:sz w:val="22"/>
          <w:szCs w:val="22"/>
        </w:rPr>
        <w:t>三、谈判程序</w:t>
      </w:r>
      <w:r>
        <w:rPr>
          <w:sz w:val="22"/>
          <w:szCs w:val="22"/>
        </w:rPr>
        <w:tab/>
      </w:r>
      <w:r>
        <w:rPr>
          <w:sz w:val="22"/>
          <w:szCs w:val="22"/>
        </w:rPr>
        <w:fldChar w:fldCharType="begin"/>
      </w:r>
      <w:r>
        <w:rPr>
          <w:sz w:val="22"/>
          <w:szCs w:val="22"/>
        </w:rPr>
        <w:instrText xml:space="preserve"> PAGEREF _Toc4155345 \h </w:instrText>
      </w:r>
      <w:r>
        <w:rPr>
          <w:sz w:val="22"/>
          <w:szCs w:val="22"/>
        </w:rPr>
        <w:fldChar w:fldCharType="separate"/>
      </w:r>
      <w:r>
        <w:rPr>
          <w:sz w:val="22"/>
          <w:szCs w:val="22"/>
        </w:rPr>
        <w:t>14</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"_Toc4155346" </w:instrText>
      </w:r>
      <w:r>
        <w:fldChar w:fldCharType="separate"/>
      </w:r>
      <w:r>
        <w:rPr>
          <w:rStyle w:val="33"/>
          <w:rFonts w:hint="eastAsia"/>
          <w:sz w:val="22"/>
          <w:szCs w:val="22"/>
        </w:rPr>
        <w:t>四、推荐成交供应商</w:t>
      </w:r>
      <w:r>
        <w:rPr>
          <w:sz w:val="22"/>
          <w:szCs w:val="22"/>
        </w:rPr>
        <w:tab/>
      </w:r>
      <w:r>
        <w:rPr>
          <w:sz w:val="22"/>
          <w:szCs w:val="22"/>
        </w:rPr>
        <w:fldChar w:fldCharType="begin"/>
      </w:r>
      <w:r>
        <w:rPr>
          <w:sz w:val="22"/>
          <w:szCs w:val="22"/>
        </w:rPr>
        <w:instrText xml:space="preserve"> PAGEREF _Toc4155346 \h </w:instrText>
      </w:r>
      <w:r>
        <w:rPr>
          <w:sz w:val="22"/>
          <w:szCs w:val="22"/>
        </w:rPr>
        <w:fldChar w:fldCharType="separate"/>
      </w:r>
      <w:r>
        <w:rPr>
          <w:sz w:val="22"/>
          <w:szCs w:val="22"/>
        </w:rPr>
        <w:t>15</w:t>
      </w:r>
      <w:r>
        <w:rPr>
          <w:sz w:val="22"/>
          <w:szCs w:val="22"/>
        </w:rPr>
        <w:fldChar w:fldCharType="end"/>
      </w:r>
      <w:r>
        <w:rPr>
          <w:sz w:val="22"/>
          <w:szCs w:val="22"/>
        </w:rPr>
        <w:fldChar w:fldCharType="end"/>
      </w:r>
    </w:p>
    <w:p>
      <w:pPr>
        <w:pStyle w:val="24"/>
        <w:tabs>
          <w:tab w:val="right" w:leader="dot" w:pos="8302"/>
        </w:tabs>
        <w:ind w:firstLine="480"/>
        <w:rPr>
          <w:rFonts w:asciiTheme="minorHAnsi" w:hAnsiTheme="minorHAnsi" w:eastAsiaTheme="minorEastAsia" w:cstheme="minorBidi"/>
          <w:sz w:val="22"/>
          <w:szCs w:val="22"/>
        </w:rPr>
      </w:pPr>
      <w:r>
        <w:fldChar w:fldCharType="begin"/>
      </w:r>
      <w:r>
        <w:instrText xml:space="preserve"> HYPERLINK \l "_Toc4155347" </w:instrText>
      </w:r>
      <w:r>
        <w:fldChar w:fldCharType="separate"/>
      </w:r>
      <w:r>
        <w:rPr>
          <w:rStyle w:val="33"/>
          <w:rFonts w:hint="eastAsia"/>
          <w:sz w:val="22"/>
          <w:szCs w:val="22"/>
        </w:rPr>
        <w:t>第四章</w:t>
      </w:r>
      <w:r>
        <w:rPr>
          <w:rStyle w:val="33"/>
          <w:sz w:val="22"/>
          <w:szCs w:val="22"/>
        </w:rPr>
        <w:t xml:space="preserve"> </w:t>
      </w:r>
      <w:r>
        <w:rPr>
          <w:rStyle w:val="33"/>
          <w:rFonts w:hint="eastAsia"/>
          <w:sz w:val="22"/>
          <w:szCs w:val="22"/>
        </w:rPr>
        <w:t>合同草案</w:t>
      </w:r>
      <w:r>
        <w:rPr>
          <w:sz w:val="22"/>
          <w:szCs w:val="22"/>
        </w:rPr>
        <w:tab/>
      </w:r>
      <w:r>
        <w:rPr>
          <w:sz w:val="22"/>
          <w:szCs w:val="22"/>
        </w:rPr>
        <w:fldChar w:fldCharType="begin"/>
      </w:r>
      <w:r>
        <w:rPr>
          <w:sz w:val="22"/>
          <w:szCs w:val="22"/>
        </w:rPr>
        <w:instrText xml:space="preserve"> PAGEREF _Toc4155347 \h </w:instrText>
      </w:r>
      <w:r>
        <w:rPr>
          <w:sz w:val="22"/>
          <w:szCs w:val="22"/>
        </w:rPr>
        <w:fldChar w:fldCharType="separate"/>
      </w:r>
      <w:r>
        <w:rPr>
          <w:sz w:val="22"/>
          <w:szCs w:val="22"/>
        </w:rPr>
        <w:t>16</w:t>
      </w:r>
      <w:r>
        <w:rPr>
          <w:sz w:val="22"/>
          <w:szCs w:val="22"/>
        </w:rPr>
        <w:fldChar w:fldCharType="end"/>
      </w:r>
      <w:r>
        <w:rPr>
          <w:sz w:val="22"/>
          <w:szCs w:val="22"/>
        </w:rPr>
        <w:fldChar w:fldCharType="end"/>
      </w:r>
    </w:p>
    <w:p>
      <w:pPr>
        <w:pStyle w:val="24"/>
        <w:tabs>
          <w:tab w:val="right" w:leader="dot" w:pos="8302"/>
        </w:tabs>
        <w:ind w:firstLine="480"/>
        <w:rPr>
          <w:rFonts w:asciiTheme="minorHAnsi" w:hAnsiTheme="minorHAnsi" w:eastAsiaTheme="minorEastAsia" w:cstheme="minorBidi"/>
          <w:sz w:val="22"/>
          <w:szCs w:val="22"/>
        </w:rPr>
      </w:pPr>
      <w:r>
        <w:fldChar w:fldCharType="begin"/>
      </w:r>
      <w:r>
        <w:instrText xml:space="preserve"> HYPERLINK \l "_Toc4155348" </w:instrText>
      </w:r>
      <w:r>
        <w:fldChar w:fldCharType="separate"/>
      </w:r>
      <w:r>
        <w:rPr>
          <w:rStyle w:val="33"/>
          <w:rFonts w:hint="eastAsia"/>
          <w:sz w:val="22"/>
          <w:szCs w:val="22"/>
        </w:rPr>
        <w:t>第五章</w:t>
      </w:r>
      <w:r>
        <w:rPr>
          <w:rStyle w:val="33"/>
          <w:sz w:val="22"/>
          <w:szCs w:val="22"/>
        </w:rPr>
        <w:t xml:space="preserve"> </w:t>
      </w:r>
      <w:r>
        <w:rPr>
          <w:rStyle w:val="33"/>
          <w:rFonts w:hint="eastAsia"/>
          <w:sz w:val="22"/>
          <w:szCs w:val="22"/>
        </w:rPr>
        <w:t>采购需求</w:t>
      </w:r>
      <w:r>
        <w:rPr>
          <w:sz w:val="22"/>
          <w:szCs w:val="22"/>
        </w:rPr>
        <w:tab/>
      </w:r>
      <w:r>
        <w:rPr>
          <w:sz w:val="22"/>
          <w:szCs w:val="22"/>
        </w:rPr>
        <w:fldChar w:fldCharType="begin"/>
      </w:r>
      <w:r>
        <w:rPr>
          <w:sz w:val="22"/>
          <w:szCs w:val="22"/>
        </w:rPr>
        <w:instrText xml:space="preserve"> PAGEREF _Toc4155348 \h </w:instrText>
      </w:r>
      <w:r>
        <w:rPr>
          <w:sz w:val="22"/>
          <w:szCs w:val="22"/>
        </w:rPr>
        <w:fldChar w:fldCharType="separate"/>
      </w:r>
      <w:r>
        <w:rPr>
          <w:sz w:val="22"/>
          <w:szCs w:val="22"/>
        </w:rPr>
        <w:t>35</w:t>
      </w:r>
      <w:r>
        <w:rPr>
          <w:sz w:val="22"/>
          <w:szCs w:val="22"/>
        </w:rPr>
        <w:fldChar w:fldCharType="end"/>
      </w:r>
      <w:r>
        <w:rPr>
          <w:sz w:val="22"/>
          <w:szCs w:val="22"/>
        </w:rPr>
        <w:fldChar w:fldCharType="end"/>
      </w:r>
    </w:p>
    <w:p>
      <w:pPr>
        <w:pStyle w:val="24"/>
        <w:tabs>
          <w:tab w:val="right" w:leader="dot" w:pos="8302"/>
        </w:tabs>
        <w:ind w:firstLine="480"/>
        <w:rPr>
          <w:rFonts w:asciiTheme="minorHAnsi" w:hAnsiTheme="minorHAnsi" w:eastAsiaTheme="minorEastAsia" w:cstheme="minorBidi"/>
          <w:sz w:val="22"/>
          <w:szCs w:val="22"/>
        </w:rPr>
      </w:pPr>
      <w:r>
        <w:fldChar w:fldCharType="begin"/>
      </w:r>
      <w:r>
        <w:instrText xml:space="preserve"> HYPERLINK \l "_Toc4155349" </w:instrText>
      </w:r>
      <w:r>
        <w:fldChar w:fldCharType="separate"/>
      </w:r>
      <w:r>
        <w:rPr>
          <w:rStyle w:val="33"/>
          <w:rFonts w:hint="eastAsia"/>
          <w:sz w:val="22"/>
          <w:szCs w:val="22"/>
        </w:rPr>
        <w:t>第六章</w:t>
      </w:r>
      <w:r>
        <w:rPr>
          <w:rStyle w:val="33"/>
          <w:sz w:val="22"/>
          <w:szCs w:val="22"/>
        </w:rPr>
        <w:t xml:space="preserve"> </w:t>
      </w:r>
      <w:r>
        <w:rPr>
          <w:rStyle w:val="33"/>
          <w:rFonts w:hint="eastAsia"/>
          <w:sz w:val="22"/>
          <w:szCs w:val="22"/>
        </w:rPr>
        <w:t>响应文件格式</w:t>
      </w:r>
      <w:r>
        <w:rPr>
          <w:sz w:val="22"/>
          <w:szCs w:val="22"/>
        </w:rPr>
        <w:tab/>
      </w:r>
      <w:r>
        <w:rPr>
          <w:sz w:val="22"/>
          <w:szCs w:val="22"/>
        </w:rPr>
        <w:fldChar w:fldCharType="begin"/>
      </w:r>
      <w:r>
        <w:rPr>
          <w:sz w:val="22"/>
          <w:szCs w:val="22"/>
        </w:rPr>
        <w:instrText xml:space="preserve"> PAGEREF _Toc4155349 \h </w:instrText>
      </w:r>
      <w:r>
        <w:rPr>
          <w:sz w:val="22"/>
          <w:szCs w:val="22"/>
        </w:rPr>
        <w:fldChar w:fldCharType="separate"/>
      </w:r>
      <w:r>
        <w:rPr>
          <w:sz w:val="22"/>
          <w:szCs w:val="22"/>
        </w:rPr>
        <w:t>41</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"_Toc4155350" </w:instrText>
      </w:r>
      <w:r>
        <w:fldChar w:fldCharType="separate"/>
      </w:r>
      <w:r>
        <w:rPr>
          <w:rStyle w:val="33"/>
          <w:rFonts w:hint="eastAsia"/>
          <w:sz w:val="22"/>
          <w:szCs w:val="22"/>
        </w:rPr>
        <w:t>一、授权委托书</w:t>
      </w:r>
      <w:r>
        <w:rPr>
          <w:sz w:val="22"/>
          <w:szCs w:val="22"/>
        </w:rPr>
        <w:tab/>
      </w:r>
      <w:r>
        <w:rPr>
          <w:sz w:val="22"/>
          <w:szCs w:val="22"/>
        </w:rPr>
        <w:fldChar w:fldCharType="begin"/>
      </w:r>
      <w:r>
        <w:rPr>
          <w:sz w:val="22"/>
          <w:szCs w:val="22"/>
        </w:rPr>
        <w:instrText xml:space="preserve"> PAGEREF _Toc4155350 \h </w:instrText>
      </w:r>
      <w:r>
        <w:rPr>
          <w:sz w:val="22"/>
          <w:szCs w:val="22"/>
        </w:rPr>
        <w:fldChar w:fldCharType="separate"/>
      </w:r>
      <w:r>
        <w:rPr>
          <w:sz w:val="22"/>
          <w:szCs w:val="22"/>
        </w:rPr>
        <w:t>44</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"_Toc4155351" </w:instrText>
      </w:r>
      <w:r>
        <w:fldChar w:fldCharType="separate"/>
      </w:r>
      <w:r>
        <w:rPr>
          <w:rStyle w:val="33"/>
          <w:rFonts w:hint="eastAsia"/>
          <w:sz w:val="22"/>
          <w:szCs w:val="22"/>
        </w:rPr>
        <w:t>二、报价部分</w:t>
      </w:r>
      <w:r>
        <w:rPr>
          <w:sz w:val="22"/>
          <w:szCs w:val="22"/>
        </w:rPr>
        <w:tab/>
      </w:r>
      <w:r>
        <w:rPr>
          <w:sz w:val="22"/>
          <w:szCs w:val="22"/>
        </w:rPr>
        <w:fldChar w:fldCharType="begin"/>
      </w:r>
      <w:r>
        <w:rPr>
          <w:sz w:val="22"/>
          <w:szCs w:val="22"/>
        </w:rPr>
        <w:instrText xml:space="preserve"> PAGEREF _Toc4155351 \h </w:instrText>
      </w:r>
      <w:r>
        <w:rPr>
          <w:sz w:val="22"/>
          <w:szCs w:val="22"/>
        </w:rPr>
        <w:fldChar w:fldCharType="separate"/>
      </w:r>
      <w:r>
        <w:rPr>
          <w:sz w:val="22"/>
          <w:szCs w:val="22"/>
        </w:rPr>
        <w:t>45</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"_Toc4155352" </w:instrText>
      </w:r>
      <w:r>
        <w:fldChar w:fldCharType="separate"/>
      </w:r>
      <w:r>
        <w:rPr>
          <w:rStyle w:val="33"/>
          <w:rFonts w:hint="eastAsia"/>
          <w:sz w:val="22"/>
          <w:szCs w:val="22"/>
        </w:rPr>
        <w:t>三、商务部分</w:t>
      </w:r>
      <w:r>
        <w:rPr>
          <w:sz w:val="22"/>
          <w:szCs w:val="22"/>
        </w:rPr>
        <w:tab/>
      </w:r>
      <w:r>
        <w:rPr>
          <w:sz w:val="22"/>
          <w:szCs w:val="22"/>
        </w:rPr>
        <w:fldChar w:fldCharType="begin"/>
      </w:r>
      <w:r>
        <w:rPr>
          <w:sz w:val="22"/>
          <w:szCs w:val="22"/>
        </w:rPr>
        <w:instrText xml:space="preserve"> PAGEREF _Toc4155352 \h </w:instrText>
      </w:r>
      <w:r>
        <w:rPr>
          <w:sz w:val="22"/>
          <w:szCs w:val="22"/>
        </w:rPr>
        <w:fldChar w:fldCharType="separate"/>
      </w:r>
      <w:r>
        <w:rPr>
          <w:sz w:val="22"/>
          <w:szCs w:val="22"/>
        </w:rPr>
        <w:t>46</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2"/>
          <w:szCs w:val="22"/>
        </w:rPr>
      </w:pPr>
      <w:r>
        <w:fldChar w:fldCharType="begin"/>
      </w:r>
      <w:r>
        <w:instrText xml:space="preserve"> HYPERLINK \l "_Toc4155353" </w:instrText>
      </w:r>
      <w:r>
        <w:fldChar w:fldCharType="separate"/>
      </w:r>
      <w:r>
        <w:rPr>
          <w:rStyle w:val="33"/>
          <w:rFonts w:hint="eastAsia"/>
          <w:sz w:val="22"/>
          <w:szCs w:val="22"/>
        </w:rPr>
        <w:t>四、技术部分</w:t>
      </w:r>
      <w:r>
        <w:rPr>
          <w:sz w:val="22"/>
          <w:szCs w:val="22"/>
        </w:rPr>
        <w:tab/>
      </w:r>
      <w:r>
        <w:rPr>
          <w:sz w:val="22"/>
          <w:szCs w:val="22"/>
        </w:rPr>
        <w:fldChar w:fldCharType="begin"/>
      </w:r>
      <w:r>
        <w:rPr>
          <w:sz w:val="22"/>
          <w:szCs w:val="22"/>
        </w:rPr>
        <w:instrText xml:space="preserve"> PAGEREF _Toc4155353 \h </w:instrText>
      </w:r>
      <w:r>
        <w:rPr>
          <w:sz w:val="22"/>
          <w:szCs w:val="22"/>
        </w:rPr>
        <w:fldChar w:fldCharType="separate"/>
      </w:r>
      <w:r>
        <w:rPr>
          <w:sz w:val="22"/>
          <w:szCs w:val="22"/>
        </w:rPr>
        <w:t>48</w:t>
      </w:r>
      <w:r>
        <w:rPr>
          <w:sz w:val="22"/>
          <w:szCs w:val="22"/>
        </w:rPr>
        <w:fldChar w:fldCharType="end"/>
      </w:r>
      <w:r>
        <w:rPr>
          <w:sz w:val="22"/>
          <w:szCs w:val="22"/>
        </w:rPr>
        <w:fldChar w:fldCharType="end"/>
      </w:r>
    </w:p>
    <w:p>
      <w:pPr>
        <w:pStyle w:val="26"/>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"_Toc4155354" </w:instrText>
      </w:r>
      <w:r>
        <w:fldChar w:fldCharType="separate"/>
      </w:r>
      <w:r>
        <w:rPr>
          <w:rStyle w:val="33"/>
          <w:rFonts w:hint="eastAsia"/>
          <w:sz w:val="22"/>
          <w:szCs w:val="22"/>
        </w:rPr>
        <w:t>五、偏差表</w:t>
      </w:r>
      <w:r>
        <w:rPr>
          <w:sz w:val="22"/>
          <w:szCs w:val="22"/>
        </w:rPr>
        <w:tab/>
      </w:r>
      <w:r>
        <w:rPr>
          <w:sz w:val="22"/>
          <w:szCs w:val="22"/>
        </w:rPr>
        <w:fldChar w:fldCharType="begin"/>
      </w:r>
      <w:r>
        <w:rPr>
          <w:sz w:val="22"/>
          <w:szCs w:val="22"/>
        </w:rPr>
        <w:instrText xml:space="preserve"> PAGEREF _Toc4155354 \h </w:instrText>
      </w:r>
      <w:r>
        <w:rPr>
          <w:sz w:val="22"/>
          <w:szCs w:val="22"/>
        </w:rPr>
        <w:fldChar w:fldCharType="separate"/>
      </w:r>
      <w:r>
        <w:rPr>
          <w:sz w:val="22"/>
          <w:szCs w:val="22"/>
        </w:rPr>
        <w:t>49</w:t>
      </w:r>
      <w:r>
        <w:rPr>
          <w:sz w:val="22"/>
          <w:szCs w:val="22"/>
        </w:rPr>
        <w:fldChar w:fldCharType="end"/>
      </w:r>
      <w:r>
        <w:rPr>
          <w:sz w:val="22"/>
          <w:szCs w:val="22"/>
        </w:rPr>
        <w:fldChar w:fldCharType="end"/>
      </w:r>
    </w:p>
    <w:p>
      <w:pPr>
        <w:spacing w:line="276" w:lineRule="auto"/>
        <w:ind w:left="284" w:firstLine="440"/>
        <w:jc w:val="left"/>
        <w:rPr>
          <w:rFonts w:ascii="宋体" w:hAnsi="宋体" w:cs="Arial"/>
          <w:szCs w:val="24"/>
        </w:rPr>
        <w:sectPr>
          <w:footerReference r:id="rId9" w:type="default"/>
          <w:pgSz w:w="11906" w:h="16838"/>
          <w:pgMar w:top="1418" w:right="1797" w:bottom="1418" w:left="1797" w:header="851" w:footer="992" w:gutter="0"/>
          <w:pgNumType w:fmt="upperRoman"/>
          <w:cols w:space="720" w:num="1"/>
          <w:docGrid w:type="lines" w:linePitch="326" w:charSpace="0"/>
        </w:sectPr>
      </w:pPr>
      <w:r>
        <w:rPr>
          <w:rFonts w:ascii="宋体" w:hAnsi="宋体" w:cs="Arial"/>
          <w:bCs/>
          <w:caps/>
          <w:sz w:val="22"/>
          <w:szCs w:val="22"/>
        </w:rPr>
        <w:fldChar w:fldCharType="end"/>
      </w:r>
    </w:p>
    <w:p>
      <w:pPr>
        <w:spacing w:line="360" w:lineRule="auto"/>
        <w:ind w:firstLine="482"/>
        <w:rPr>
          <w:rFonts w:ascii="Arial" w:hAnsi="Arial" w:cs="Arial"/>
          <w:b/>
          <w:szCs w:val="21"/>
        </w:rPr>
      </w:pPr>
    </w:p>
    <w:p>
      <w:pPr>
        <w:spacing w:line="360" w:lineRule="auto"/>
        <w:ind w:firstLine="482"/>
        <w:rPr>
          <w:rFonts w:ascii="Arial" w:hAnsi="Arial" w:cs="Arial"/>
          <w:b/>
          <w:szCs w:val="21"/>
        </w:rPr>
      </w:pPr>
    </w:p>
    <w:p>
      <w:pPr>
        <w:spacing w:line="360" w:lineRule="auto"/>
        <w:ind w:firstLine="482"/>
        <w:rPr>
          <w:rFonts w:ascii="Arial" w:hAnsi="Arial" w:cs="Arial"/>
          <w:b/>
          <w:szCs w:val="21"/>
        </w:rPr>
      </w:pPr>
    </w:p>
    <w:p>
      <w:pPr>
        <w:spacing w:line="360" w:lineRule="auto"/>
        <w:ind w:firstLine="482"/>
        <w:rPr>
          <w:rFonts w:ascii="Arial" w:hAnsi="Arial" w:cs="Arial"/>
          <w:b/>
          <w:szCs w:val="21"/>
        </w:rPr>
      </w:pPr>
    </w:p>
    <w:p>
      <w:pPr>
        <w:spacing w:line="360" w:lineRule="auto"/>
        <w:ind w:firstLine="482"/>
        <w:rPr>
          <w:rFonts w:ascii="Arial" w:hAnsi="Arial" w:cs="Arial"/>
          <w:b/>
          <w:szCs w:val="21"/>
        </w:rPr>
      </w:pPr>
    </w:p>
    <w:p>
      <w:pPr>
        <w:spacing w:line="360" w:lineRule="auto"/>
        <w:ind w:firstLine="482"/>
        <w:rPr>
          <w:rFonts w:ascii="Arial" w:hAnsi="Arial" w:cs="Arial"/>
          <w:b/>
          <w:szCs w:val="21"/>
        </w:rPr>
      </w:pPr>
    </w:p>
    <w:p>
      <w:pPr>
        <w:spacing w:line="360" w:lineRule="auto"/>
        <w:ind w:firstLine="482"/>
        <w:rPr>
          <w:rFonts w:ascii="Arial" w:hAnsi="Arial" w:cs="Arial"/>
          <w:b/>
          <w:szCs w:val="21"/>
        </w:rPr>
      </w:pPr>
    </w:p>
    <w:p>
      <w:pPr>
        <w:spacing w:line="360" w:lineRule="auto"/>
        <w:ind w:firstLine="482"/>
        <w:rPr>
          <w:rFonts w:ascii="Arial" w:hAnsi="Arial" w:cs="Arial"/>
          <w:b/>
          <w:szCs w:val="21"/>
        </w:rPr>
      </w:pPr>
    </w:p>
    <w:p>
      <w:pPr>
        <w:spacing w:line="360" w:lineRule="auto"/>
        <w:ind w:firstLine="482"/>
        <w:rPr>
          <w:rFonts w:ascii="Arial" w:hAnsi="Arial" w:cs="Arial"/>
          <w:b/>
          <w:szCs w:val="21"/>
        </w:rPr>
      </w:pPr>
    </w:p>
    <w:p>
      <w:pPr>
        <w:pStyle w:val="28"/>
        <w:spacing w:before="156"/>
      </w:pPr>
      <w:bookmarkStart w:id="3" w:name="_Toc47261669"/>
      <w:bookmarkStart w:id="4" w:name="_Toc47262048"/>
      <w:bookmarkStart w:id="5" w:name="_Toc47261049"/>
      <w:bookmarkStart w:id="6" w:name="_Toc47418234"/>
      <w:bookmarkStart w:id="7" w:name="_Toc47418917"/>
      <w:bookmarkStart w:id="8" w:name="_Toc48791214"/>
      <w:bookmarkStart w:id="9" w:name="_Toc47418710"/>
      <w:bookmarkStart w:id="10" w:name="_Toc48995830"/>
      <w:bookmarkStart w:id="11" w:name="_Toc47261864"/>
      <w:bookmarkStart w:id="12" w:name="_Toc49019215"/>
      <w:bookmarkStart w:id="13" w:name="_Toc527615855"/>
      <w:bookmarkStart w:id="14" w:name="_Toc4155308"/>
      <w:r>
        <w:t>第一章</w:t>
      </w:r>
      <w:bookmarkEnd w:id="3"/>
      <w:bookmarkEnd w:id="4"/>
      <w:bookmarkEnd w:id="5"/>
      <w:bookmarkEnd w:id="6"/>
      <w:bookmarkEnd w:id="7"/>
      <w:bookmarkEnd w:id="8"/>
      <w:bookmarkEnd w:id="9"/>
      <w:bookmarkEnd w:id="10"/>
      <w:bookmarkEnd w:id="11"/>
      <w:bookmarkEnd w:id="12"/>
      <w:r>
        <w:t xml:space="preserve"> </w:t>
      </w:r>
      <w:r>
        <w:rPr>
          <w:rFonts w:hint="eastAsia"/>
        </w:rPr>
        <w:t>采购公告</w:t>
      </w:r>
      <w:bookmarkEnd w:id="13"/>
      <w:bookmarkEnd w:id="14"/>
    </w:p>
    <w:p>
      <w:pPr>
        <w:pStyle w:val="28"/>
        <w:spacing w:before="156"/>
      </w:pPr>
      <w:r>
        <w:br w:type="page"/>
      </w:r>
      <w:bookmarkStart w:id="15" w:name="_Toc4155309"/>
      <w:bookmarkStart w:id="16" w:name="_Toc527120204"/>
      <w:r>
        <w:t xml:space="preserve">第一章 </w:t>
      </w:r>
      <w:r>
        <w:rPr>
          <w:rFonts w:hint="eastAsia"/>
        </w:rPr>
        <w:t>采购公告（合格供应商公开）</w:t>
      </w:r>
      <w:bookmarkEnd w:id="15"/>
      <w:bookmarkEnd w:id="16"/>
    </w:p>
    <w:p>
      <w:pPr>
        <w:spacing w:line="360" w:lineRule="auto"/>
        <w:ind w:firstLine="480"/>
        <w:jc w:val="center"/>
        <w:rPr>
          <w:rFonts w:eastAsia="黑体"/>
          <w:color w:val="000000"/>
          <w:sz w:val="28"/>
        </w:rPr>
      </w:pPr>
      <w:r>
        <w:rPr>
          <w:rFonts w:hint="eastAsia" w:ascii="楷体" w:hAnsi="楷体" w:eastAsia="楷体"/>
          <w:szCs w:val="24"/>
          <w:u w:val="single"/>
        </w:rPr>
        <w:t xml:space="preserve">  </w:t>
      </w:r>
      <w:r>
        <w:rPr>
          <w:rFonts w:hint="eastAsia" w:eastAsia="黑体"/>
          <w:sz w:val="28"/>
          <w:u w:val="single"/>
        </w:rPr>
        <w:t>华能大厦柴油发电机房至副配电室电缆更换项目</w:t>
      </w:r>
      <w:r>
        <w:rPr>
          <w:rFonts w:hint="eastAsia" w:ascii="楷体" w:hAnsi="楷体" w:eastAsia="楷体"/>
          <w:szCs w:val="24"/>
          <w:u w:val="single"/>
        </w:rPr>
        <w:t xml:space="preserve">  </w:t>
      </w:r>
      <w:r>
        <w:rPr>
          <w:rFonts w:hint="eastAsia" w:eastAsia="黑体"/>
          <w:sz w:val="28"/>
        </w:rPr>
        <w:t>采购</w:t>
      </w:r>
      <w:r>
        <w:rPr>
          <w:rFonts w:eastAsia="黑体"/>
          <w:sz w:val="28"/>
        </w:rPr>
        <w:t>公</w:t>
      </w:r>
      <w:r>
        <w:rPr>
          <w:rFonts w:eastAsia="黑体"/>
          <w:color w:val="000000"/>
          <w:sz w:val="28"/>
        </w:rPr>
        <w:t>告</w:t>
      </w:r>
    </w:p>
    <w:p>
      <w:pPr>
        <w:ind w:firstLine="480"/>
      </w:pPr>
    </w:p>
    <w:p>
      <w:pPr>
        <w:pStyle w:val="3"/>
        <w:spacing w:before="156"/>
      </w:pPr>
      <w:bookmarkStart w:id="17" w:name="_Toc4155310"/>
      <w:r>
        <w:t>1. 采购条件</w:t>
      </w:r>
      <w:bookmarkEnd w:id="17"/>
    </w:p>
    <w:p>
      <w:pPr>
        <w:ind w:firstLine="480"/>
      </w:pPr>
      <w:r>
        <w:t>本采购项目</w:t>
      </w:r>
      <w:r>
        <w:rPr>
          <w:rFonts w:hint="eastAsia" w:ascii="楷体" w:hAnsi="楷体" w:eastAsia="楷体"/>
          <w:u w:val="single"/>
        </w:rPr>
        <w:t xml:space="preserve"> </w:t>
      </w:r>
      <w:r>
        <w:rPr>
          <w:rFonts w:ascii="楷体" w:hAnsi="楷体" w:eastAsia="楷体"/>
          <w:u w:val="single"/>
        </w:rPr>
        <w:t xml:space="preserve">  </w:t>
      </w:r>
      <w:r>
        <w:rPr>
          <w:rFonts w:hint="eastAsia"/>
          <w:u w:val="single"/>
        </w:rPr>
        <w:t>华能大厦柴油发电机房至副配电室电缆更换项目</w:t>
      </w:r>
      <w:r>
        <w:rPr>
          <w:rFonts w:hint="eastAsia" w:ascii="楷体" w:hAnsi="楷体" w:eastAsia="楷体"/>
          <w:u w:val="single"/>
        </w:rPr>
        <w:t xml:space="preserve"> </w:t>
      </w:r>
      <w:r>
        <w:rPr>
          <w:rFonts w:ascii="楷体" w:hAnsi="楷体" w:eastAsia="楷体"/>
          <w:u w:val="single"/>
        </w:rPr>
        <w:t xml:space="preserve">   </w:t>
      </w:r>
      <w:r>
        <w:t>采购人为</w:t>
      </w:r>
      <w:r>
        <w:rPr>
          <w:rFonts w:hint="eastAsia" w:ascii="楷体" w:hAnsi="楷体" w:eastAsia="楷体"/>
          <w:u w:val="single"/>
        </w:rPr>
        <w:t xml:space="preserve"> </w:t>
      </w:r>
      <w:r>
        <w:rPr>
          <w:rFonts w:ascii="楷体" w:hAnsi="楷体" w:eastAsia="楷体"/>
          <w:u w:val="single"/>
        </w:rPr>
        <w:t xml:space="preserve">  </w:t>
      </w:r>
      <w:r>
        <w:rPr>
          <w:rFonts w:hint="eastAsia"/>
          <w:u w:val="single"/>
        </w:rPr>
        <w:t>华能置业有限公司</w:t>
      </w:r>
      <w:r>
        <w:rPr>
          <w:rFonts w:ascii="楷体" w:hAnsi="楷体" w:eastAsia="楷体"/>
          <w:u w:val="single"/>
        </w:rPr>
        <w:t xml:space="preserve">    </w:t>
      </w:r>
      <w:r>
        <w:rPr>
          <w:rFonts w:hint="eastAsia"/>
        </w:rPr>
        <w:t>，资金来源</w:t>
      </w:r>
      <w:r>
        <w:t>为</w:t>
      </w:r>
      <w:r>
        <w:rPr>
          <w:rFonts w:hint="eastAsia" w:ascii="楷体" w:hAnsi="楷体" w:eastAsia="楷体"/>
          <w:u w:val="single"/>
        </w:rPr>
        <w:t xml:space="preserve"> </w:t>
      </w:r>
      <w:r>
        <w:rPr>
          <w:rFonts w:ascii="楷体" w:hAnsi="楷体" w:eastAsia="楷体"/>
          <w:u w:val="single"/>
        </w:rPr>
        <w:t xml:space="preserve">  </w:t>
      </w:r>
      <w:r>
        <w:rPr>
          <w:rFonts w:hint="eastAsia"/>
          <w:u w:val="single"/>
        </w:rPr>
        <w:t>自筹</w:t>
      </w:r>
      <w:r>
        <w:rPr>
          <w:u w:val="single"/>
        </w:rPr>
        <w:t xml:space="preserve">  </w:t>
      </w:r>
      <w:r>
        <w:rPr>
          <w:rFonts w:ascii="楷体" w:hAnsi="楷体" w:eastAsia="楷体"/>
          <w:u w:val="single"/>
        </w:rPr>
        <w:t xml:space="preserve">  </w:t>
      </w:r>
      <w:r>
        <w:t>，</w:t>
      </w:r>
      <w:r>
        <w:rPr>
          <w:rFonts w:hint="eastAsia"/>
        </w:rPr>
        <w:t>该</w:t>
      </w:r>
      <w:r>
        <w:t>项目已具备采购条件，现对</w:t>
      </w:r>
      <w:r>
        <w:rPr>
          <w:rFonts w:hint="eastAsia"/>
          <w:u w:val="single"/>
        </w:rPr>
        <w:t xml:space="preserve">   华能大厦柴油发电机房至副配电室电缆更换项目      </w:t>
      </w:r>
      <w:r>
        <w:t>进行</w:t>
      </w:r>
      <w:r>
        <w:rPr>
          <w:rFonts w:hint="eastAsia"/>
        </w:rPr>
        <w:t>合格供应商公开竞争性谈判</w:t>
      </w:r>
      <w:r>
        <w:t>。</w:t>
      </w:r>
    </w:p>
    <w:p>
      <w:pPr>
        <w:pStyle w:val="3"/>
        <w:spacing w:before="156"/>
      </w:pPr>
      <w:bookmarkStart w:id="18" w:name="_Toc4155311"/>
      <w:r>
        <w:t xml:space="preserve">2. </w:t>
      </w:r>
      <w:r>
        <w:rPr>
          <w:rFonts w:hint="eastAsia"/>
        </w:rPr>
        <w:t>项目概况与</w:t>
      </w:r>
      <w:r>
        <w:t>采购</w:t>
      </w:r>
      <w:r>
        <w:rPr>
          <w:rFonts w:hint="eastAsia"/>
        </w:rPr>
        <w:t>范围</w:t>
      </w:r>
      <w:bookmarkEnd w:id="18"/>
    </w:p>
    <w:p>
      <w:pPr>
        <w:ind w:firstLine="480"/>
        <w:outlineLvl w:val="0"/>
        <w:rPr>
          <w:rFonts w:ascii="宋体" w:hAnsi="宋体"/>
          <w:color w:val="000000"/>
          <w:u w:val="single"/>
        </w:rPr>
      </w:pPr>
      <w:r>
        <w:rPr>
          <w:rFonts w:hint="eastAsia" w:ascii="宋体" w:hAnsi="宋体"/>
          <w:color w:val="000000"/>
        </w:rPr>
        <w:t>项目名称：</w:t>
      </w:r>
      <w:r>
        <w:rPr>
          <w:rFonts w:hint="eastAsia" w:ascii="宋体" w:hAnsi="宋体"/>
          <w:bCs/>
          <w:spacing w:val="8"/>
          <w:u w:val="single"/>
        </w:rPr>
        <w:t>华能大厦柴油发电机房至副配电室电缆更换项目</w:t>
      </w:r>
    </w:p>
    <w:p>
      <w:pPr>
        <w:ind w:firstLine="480"/>
        <w:outlineLvl w:val="0"/>
        <w:rPr>
          <w:rFonts w:ascii="宋体" w:hAnsi="宋体"/>
          <w:u w:val="single"/>
        </w:rPr>
      </w:pPr>
      <w:r>
        <w:rPr>
          <w:rFonts w:hint="eastAsia" w:ascii="宋体" w:hAnsi="宋体"/>
          <w:color w:val="000000"/>
        </w:rPr>
        <w:t>项目地址：</w:t>
      </w:r>
      <w:r>
        <w:rPr>
          <w:rFonts w:hint="eastAsia" w:ascii="宋体" w:hAnsi="宋体"/>
          <w:u w:val="single"/>
        </w:rPr>
        <w:t>北京市西城区复兴门内大街6号</w:t>
      </w:r>
    </w:p>
    <w:p>
      <w:pPr>
        <w:ind w:firstLine="480"/>
        <w:outlineLvl w:val="0"/>
        <w:rPr>
          <w:rFonts w:ascii="宋体" w:hAnsi="宋体"/>
          <w:color w:val="000000"/>
          <w:u w:val="single"/>
        </w:rPr>
      </w:pPr>
      <w:r>
        <w:rPr>
          <w:rFonts w:hint="eastAsia" w:ascii="宋体" w:hAnsi="宋体"/>
        </w:rPr>
        <w:t>建设规模：</w:t>
      </w:r>
      <w:r>
        <w:rPr>
          <w:rFonts w:hAnsi="宋体"/>
        </w:rPr>
        <w:t>工程占地面积</w:t>
      </w:r>
      <w:r>
        <w:t>17644</w:t>
      </w:r>
      <w:r>
        <w:rPr>
          <w:rFonts w:hAnsi="宋体"/>
        </w:rPr>
        <w:t>平方米，总建筑面积</w:t>
      </w:r>
      <w:r>
        <w:t>128580</w:t>
      </w:r>
      <w:r>
        <w:rPr>
          <w:rFonts w:hAnsi="宋体"/>
        </w:rPr>
        <w:t>平方米，建筑高度为</w:t>
      </w:r>
      <w:r>
        <w:t>55</w:t>
      </w:r>
      <w:r>
        <w:rPr>
          <w:rFonts w:hAnsi="宋体"/>
        </w:rPr>
        <w:t>米，地上建筑</w:t>
      </w:r>
      <w:r>
        <w:t>11</w:t>
      </w:r>
      <w:r>
        <w:rPr>
          <w:rFonts w:hAnsi="宋体"/>
        </w:rPr>
        <w:t>层、地下</w:t>
      </w:r>
      <w:r>
        <w:t>3-5</w:t>
      </w:r>
      <w:r>
        <w:rPr>
          <w:rFonts w:hAnsi="宋体"/>
        </w:rPr>
        <w:t>层。</w:t>
      </w:r>
    </w:p>
    <w:p>
      <w:pPr>
        <w:ind w:firstLine="480"/>
        <w:outlineLvl w:val="0"/>
        <w:rPr>
          <w:rFonts w:ascii="宋体" w:hAnsi="宋体"/>
        </w:rPr>
      </w:pPr>
      <w:r>
        <w:rPr>
          <w:rFonts w:hint="eastAsia" w:ascii="宋体" w:hAnsi="宋体"/>
        </w:rPr>
        <w:t>采购范围：</w:t>
      </w:r>
    </w:p>
    <w:p>
      <w:pPr>
        <w:ind w:firstLine="480"/>
      </w:pPr>
      <w:r>
        <w:rPr>
          <w:rFonts w:hint="eastAsia"/>
        </w:rPr>
        <w:t>1. 将原氧化镁电缆更换为低烟无卤阻燃耐火电力电缆，长度约2198米，安装耐火线槽、电缆终端头。</w:t>
      </w:r>
    </w:p>
    <w:p>
      <w:pPr>
        <w:ind w:firstLine="480"/>
      </w:pPr>
      <w:r>
        <w:rPr>
          <w:rFonts w:hint="eastAsia"/>
        </w:rPr>
        <w:t>2.电缆敷设区域的部分吊顶拆除和恢复工作，对现有部分灯具和吊顶支架的调整。</w:t>
      </w:r>
    </w:p>
    <w:p>
      <w:pPr>
        <w:ind w:firstLine="480"/>
      </w:pPr>
      <w:r>
        <w:rPr>
          <w:rFonts w:hint="eastAsia"/>
        </w:rPr>
        <w:t>3.供应商负责供货、制定更换方案、现场施工管理、文档编制等工作。</w:t>
      </w:r>
    </w:p>
    <w:p>
      <w:pPr>
        <w:ind w:firstLine="480"/>
      </w:pPr>
      <w:r>
        <w:rPr>
          <w:rFonts w:hint="eastAsia"/>
        </w:rPr>
        <w:t>4. 拆卸下来的旧氧化镁电缆由供应商按照采购人要求运输至指定地点存放。</w:t>
      </w:r>
    </w:p>
    <w:p>
      <w:pPr>
        <w:ind w:firstLine="480"/>
      </w:pPr>
      <w:r>
        <w:rPr>
          <w:rFonts w:hint="eastAsia"/>
        </w:rPr>
        <w:t>5.编制带载测试方案，工程竣工验收时供应商配合进行柴油发电机带载测试，测试要求见合同附件1。</w:t>
      </w:r>
    </w:p>
    <w:p>
      <w:pPr>
        <w:pStyle w:val="3"/>
        <w:spacing w:before="156"/>
      </w:pPr>
      <w:bookmarkStart w:id="19" w:name="_Toc4155312"/>
      <w:r>
        <w:t xml:space="preserve">3. </w:t>
      </w:r>
      <w:r>
        <w:rPr>
          <w:rFonts w:hint="eastAsia"/>
        </w:rPr>
        <w:t>供应商</w:t>
      </w:r>
      <w:r>
        <w:t>资格要求</w:t>
      </w:r>
      <w:bookmarkEnd w:id="19"/>
    </w:p>
    <w:p>
      <w:pPr>
        <w:ind w:firstLine="480"/>
      </w:pPr>
      <w:r>
        <w:rPr>
          <w:rFonts w:hint="eastAsia"/>
        </w:rPr>
        <w:t>3.1通用条件：</w:t>
      </w:r>
    </w:p>
    <w:p>
      <w:pPr>
        <w:ind w:firstLine="480"/>
      </w:pPr>
      <w:r>
        <w:rPr>
          <w:rFonts w:hint="eastAsia"/>
        </w:rPr>
        <w:t>供应商须为集团公司级、采购人所属的二级单位或采购人供应商库内的合格供应商，且不处于供应商暂停采购活动的期限内。</w:t>
      </w:r>
    </w:p>
    <w:p>
      <w:pPr>
        <w:ind w:firstLine="480"/>
      </w:pPr>
      <w:r>
        <w:rPr>
          <w:rFonts w:hint="eastAsia"/>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pPr>
        <w:ind w:firstLine="480"/>
      </w:pPr>
      <w:r>
        <w:rPr>
          <w:rFonts w:hint="eastAsia"/>
        </w:rPr>
        <w:t>3.2专项条件：</w:t>
      </w:r>
    </w:p>
    <w:p>
      <w:pPr>
        <w:ind w:firstLine="480"/>
      </w:pPr>
      <w:r>
        <w:rPr>
          <w:rFonts w:hint="eastAsia"/>
        </w:rPr>
        <w:t>3.2.1资质要求：</w:t>
      </w:r>
      <w:r>
        <w:rPr>
          <w:rFonts w:hint="eastAsia"/>
          <w:u w:val="single"/>
        </w:rPr>
        <w:t xml:space="preserve">  </w:t>
      </w:r>
      <w:r>
        <w:rPr>
          <w:rFonts w:hint="eastAsia" w:ascii="仿宋_GB2312" w:hAnsi="仿宋"/>
          <w:szCs w:val="30"/>
          <w:u w:val="single"/>
        </w:rPr>
        <w:t>具备建筑机电安装工程专业一级资质</w:t>
      </w:r>
      <w:r>
        <w:rPr>
          <w:rFonts w:hint="eastAsia"/>
          <w:u w:val="single"/>
        </w:rPr>
        <w:t xml:space="preserve">  </w:t>
      </w:r>
      <w:r>
        <w:rPr>
          <w:rFonts w:hint="eastAsia"/>
        </w:rPr>
        <w:t>。</w:t>
      </w:r>
    </w:p>
    <w:p>
      <w:pPr>
        <w:ind w:firstLine="480"/>
      </w:pPr>
      <w:r>
        <w:t>3.</w:t>
      </w:r>
      <w:r>
        <w:rPr>
          <w:rFonts w:hint="eastAsia"/>
        </w:rPr>
        <w:t>2.2</w:t>
      </w:r>
      <w:r>
        <w:t>业绩</w:t>
      </w:r>
      <w:r>
        <w:rPr>
          <w:rFonts w:hint="eastAsia"/>
        </w:rPr>
        <w:t>要求：</w:t>
      </w:r>
      <w:r>
        <w:rPr>
          <w:rFonts w:hint="eastAsia"/>
          <w:u w:val="single"/>
        </w:rPr>
        <w:t xml:space="preserve">                /             </w:t>
      </w:r>
      <w:r>
        <w:rPr>
          <w:rFonts w:hint="eastAsia"/>
        </w:rPr>
        <w:t>。</w:t>
      </w:r>
    </w:p>
    <w:p>
      <w:pPr>
        <w:ind w:firstLine="480"/>
      </w:pPr>
      <w:r>
        <w:rPr>
          <w:rFonts w:hint="eastAsia"/>
        </w:rPr>
        <w:t>3.2.3是否接受代理商：</w:t>
      </w:r>
      <w:r>
        <w:rPr>
          <w:rFonts w:hint="eastAsia"/>
          <w:u w:val="single"/>
        </w:rPr>
        <w:t xml:space="preserve">             /          </w:t>
      </w:r>
      <w:r>
        <w:rPr>
          <w:rFonts w:hint="eastAsia"/>
        </w:rPr>
        <w:t>。</w:t>
      </w:r>
    </w:p>
    <w:p>
      <w:pPr>
        <w:ind w:firstLine="480"/>
      </w:pPr>
      <w:r>
        <w:rPr>
          <w:rFonts w:hint="eastAsia"/>
        </w:rPr>
        <w:t>3.2.4应具备的其他要求：</w:t>
      </w:r>
      <w:r>
        <w:rPr>
          <w:rFonts w:hint="eastAsia"/>
          <w:u w:val="single"/>
        </w:rPr>
        <w:t xml:space="preserve">           /          </w:t>
      </w:r>
      <w:r>
        <w:rPr>
          <w:rFonts w:hint="eastAsia"/>
        </w:rPr>
        <w:t>。</w:t>
      </w:r>
    </w:p>
    <w:p>
      <w:pPr>
        <w:pStyle w:val="3"/>
        <w:spacing w:before="156"/>
      </w:pPr>
      <w:bookmarkStart w:id="20" w:name="_Toc4155313"/>
      <w:r>
        <w:rPr>
          <w:rFonts w:hint="eastAsia"/>
        </w:rPr>
        <w:t>4.</w:t>
      </w:r>
      <w:r>
        <w:t xml:space="preserve"> </w:t>
      </w:r>
      <w:r>
        <w:rPr>
          <w:rFonts w:hint="eastAsia"/>
        </w:rPr>
        <w:t>采购</w:t>
      </w:r>
      <w:r>
        <w:t>文件的获取</w:t>
      </w:r>
      <w:bookmarkEnd w:id="20"/>
    </w:p>
    <w:p>
      <w:pPr>
        <w:ind w:firstLine="480"/>
      </w:pPr>
      <w:r>
        <w:rPr>
          <w:rFonts w:hint="eastAsia"/>
        </w:rPr>
        <w:t>4.</w:t>
      </w:r>
      <w:r>
        <w:t>1</w:t>
      </w:r>
      <w:r>
        <w:rPr>
          <w:rFonts w:hint="eastAsia"/>
        </w:rPr>
        <w:t>有意向的供应商可从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时起至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时止（北京时间，下同</w:t>
      </w:r>
      <w:r>
        <w:rPr>
          <w:rFonts w:hint="eastAsia"/>
          <w:lang w:eastAsia="zh-CN"/>
        </w:rPr>
        <w:t>，详见电子商务平台</w:t>
      </w:r>
      <w:r>
        <w:rPr>
          <w:rFonts w:hint="eastAsia"/>
        </w:rPr>
        <w:t>），登陆电子商务平台进行报名。</w:t>
      </w:r>
    </w:p>
    <w:p>
      <w:pPr>
        <w:ind w:firstLine="480"/>
      </w:pPr>
      <w:r>
        <w:rPr>
          <w:rFonts w:hint="eastAsia"/>
        </w:rPr>
        <w:t>4.2采购文件下载：通过电子商务平台下载采购文件，采购文件费：</w:t>
      </w:r>
      <w:r>
        <w:rPr>
          <w:rFonts w:hint="eastAsia"/>
          <w:u w:val="single"/>
        </w:rPr>
        <w:t xml:space="preserve">       </w:t>
      </w:r>
      <w:r>
        <w:rPr>
          <w:rFonts w:hint="eastAsia"/>
        </w:rPr>
        <w:t>元。</w:t>
      </w:r>
    </w:p>
    <w:p>
      <w:pPr>
        <w:ind w:firstLine="0" w:firstLineChars="0"/>
        <w:rPr>
          <w:b/>
          <w:bCs/>
        </w:rPr>
      </w:pPr>
      <w:r>
        <w:rPr>
          <w:rFonts w:hint="eastAsia" w:ascii="宋体" w:hAnsi="宋体" w:cs="宋体"/>
          <w:b/>
          <w:bCs/>
          <w:color w:val="333333"/>
          <w:szCs w:val="24"/>
          <w:shd w:val="clear" w:color="auto" w:fill="FFFFFF"/>
        </w:rPr>
        <w:t>（1. 参与金额在20万以内的非招标业务免费，不限次数；2. 参与金额超过20 万(含20万)的非招标业务，按照1000元/年的标准缴费，自缴费之日起一年内有效，不限次数。）</w:t>
      </w:r>
    </w:p>
    <w:p>
      <w:pPr>
        <w:pStyle w:val="3"/>
        <w:spacing w:before="156"/>
      </w:pPr>
      <w:bookmarkStart w:id="21" w:name="_Toc4155314"/>
      <w:r>
        <w:rPr>
          <w:rFonts w:hint="eastAsia"/>
        </w:rPr>
        <w:t>5</w:t>
      </w:r>
      <w:r>
        <w:t>. 响应文件的递交</w:t>
      </w:r>
      <w:bookmarkEnd w:id="21"/>
    </w:p>
    <w:p>
      <w:pPr>
        <w:ind w:firstLine="480"/>
      </w:pPr>
      <w:r>
        <w:rPr>
          <w:rFonts w:hint="eastAsia"/>
        </w:rPr>
        <w:t>5.1供应商应按采购文件规定的递交截止时间前登陆电子商务平台，完成响应文件的传输递交, 递交截止时间前未完成响应文件递交的视为放弃谈判资格。</w:t>
      </w:r>
    </w:p>
    <w:p>
      <w:pPr>
        <w:ind w:firstLine="480"/>
      </w:pPr>
      <w:r>
        <w:rPr>
          <w:rFonts w:hint="eastAsia"/>
        </w:rPr>
        <w:t>5.2递交时间截止后，在电子商务平台开启响应文件。</w:t>
      </w:r>
    </w:p>
    <w:p>
      <w:pPr>
        <w:ind w:firstLine="480"/>
      </w:pPr>
      <w:r>
        <w:rPr>
          <w:rFonts w:hint="eastAsia"/>
        </w:rPr>
        <w:t>5.3响应文件的递交截止时间：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w:t>
      </w:r>
      <w:r>
        <w:rPr>
          <w:rFonts w:hint="eastAsia"/>
          <w:u w:val="single"/>
        </w:rPr>
        <w:t xml:space="preserve">   </w:t>
      </w:r>
      <w:r>
        <w:rPr>
          <w:rFonts w:hint="eastAsia"/>
        </w:rPr>
        <w:t xml:space="preserve"> 分</w:t>
      </w:r>
      <w:r>
        <w:rPr>
          <w:rFonts w:hint="eastAsia"/>
          <w:lang w:eastAsia="zh-CN"/>
        </w:rPr>
        <w:t>（详见电子商务平台）</w:t>
      </w:r>
      <w:r>
        <w:rPr>
          <w:rFonts w:hint="eastAsia"/>
        </w:rPr>
        <w:t>；响应文件解密开始时间：同递交截止时间。</w:t>
      </w:r>
    </w:p>
    <w:p>
      <w:pPr>
        <w:pStyle w:val="3"/>
        <w:spacing w:before="156"/>
      </w:pPr>
      <w:bookmarkStart w:id="22" w:name="_Toc4155315"/>
      <w:bookmarkStart w:id="23" w:name="_Toc504312947"/>
      <w:bookmarkStart w:id="24" w:name="_Toc527120209"/>
      <w:r>
        <w:rPr>
          <w:rFonts w:hint="eastAsia"/>
        </w:rPr>
        <w:t>6. 发布公告的媒介</w:t>
      </w:r>
      <w:bookmarkEnd w:id="22"/>
      <w:bookmarkEnd w:id="23"/>
      <w:bookmarkEnd w:id="24"/>
    </w:p>
    <w:p>
      <w:pPr>
        <w:ind w:firstLine="480"/>
      </w:pPr>
      <w:r>
        <w:rPr>
          <w:rFonts w:hint="eastAsia"/>
        </w:rPr>
        <w:t>本次采购公告在电子商务平台（http://ec.chng.com.cn/）发布。因轻信其他组织、个人或媒介提供的信息而造成的损失，采购人、采购代理机构概不负责。</w:t>
      </w:r>
    </w:p>
    <w:p>
      <w:pPr>
        <w:pStyle w:val="3"/>
        <w:spacing w:before="156"/>
      </w:pPr>
      <w:bookmarkStart w:id="25" w:name="_Toc4155316"/>
      <w:r>
        <w:rPr>
          <w:rFonts w:hint="eastAsia"/>
        </w:rPr>
        <w:t>7</w:t>
      </w:r>
      <w:r>
        <w:t>. 联系方式</w:t>
      </w:r>
      <w:bookmarkEnd w:id="25"/>
    </w:p>
    <w:tbl>
      <w:tblPr>
        <w:tblStyle w:val="35"/>
        <w:tblW w:w="5724" w:type="dxa"/>
        <w:tblInd w:w="171" w:type="dxa"/>
        <w:shd w:val="clear" w:color="auto" w:fill="FFFFFF"/>
        <w:tblLayout w:type="fixed"/>
        <w:tblCellMar>
          <w:top w:w="0" w:type="dxa"/>
          <w:left w:w="108" w:type="dxa"/>
          <w:bottom w:w="0" w:type="dxa"/>
          <w:right w:w="108" w:type="dxa"/>
        </w:tblCellMar>
      </w:tblPr>
      <w:tblGrid>
        <w:gridCol w:w="1548"/>
        <w:gridCol w:w="4176"/>
      </w:tblGrid>
      <w:tr>
        <w:tblPrEx>
          <w:shd w:val="clear" w:color="auto" w:fill="FFFFFF"/>
          <w:tblLayout w:type="fixed"/>
          <w:tblCellMar>
            <w:top w:w="0" w:type="dxa"/>
            <w:left w:w="108" w:type="dxa"/>
            <w:bottom w:w="0" w:type="dxa"/>
            <w:right w:w="108" w:type="dxa"/>
          </w:tblCellMar>
        </w:tblPrEx>
        <w:trPr>
          <w:trHeight w:val="567" w:hRule="atLeast"/>
        </w:trPr>
        <w:tc>
          <w:tcPr>
            <w:tcW w:w="1548" w:type="dxa"/>
            <w:shd w:val="clear" w:color="auto" w:fill="FFFFFF"/>
            <w:vAlign w:val="center"/>
          </w:tcPr>
          <w:p>
            <w:pPr>
              <w:ind w:firstLine="0" w:firstLineChars="0"/>
              <w:jc w:val="left"/>
              <w:rPr>
                <w:rFonts w:ascii="宋体" w:hAnsi="宋体"/>
              </w:rPr>
            </w:pPr>
            <w:r>
              <w:rPr>
                <w:rFonts w:hint="eastAsia" w:ascii="宋体" w:hAnsi="宋体"/>
              </w:rPr>
              <w:t>采 购 人：</w:t>
            </w:r>
          </w:p>
        </w:tc>
        <w:tc>
          <w:tcPr>
            <w:tcW w:w="4176" w:type="dxa"/>
            <w:shd w:val="clear" w:color="auto" w:fill="FFFFFF"/>
            <w:vAlign w:val="center"/>
          </w:tcPr>
          <w:p>
            <w:pPr>
              <w:ind w:firstLine="0" w:firstLineChars="0"/>
              <w:rPr>
                <w:rFonts w:ascii="宋体" w:hAnsi="宋体"/>
                <w:u w:val="single"/>
              </w:rPr>
            </w:pPr>
            <w:r>
              <w:rPr>
                <w:rFonts w:hint="eastAsia" w:ascii="宋体" w:hAnsi="宋体"/>
                <w:u w:val="single"/>
              </w:rPr>
              <w:t xml:space="preserve">     华能置业有限公司               </w:t>
            </w:r>
          </w:p>
        </w:tc>
      </w:tr>
      <w:tr>
        <w:tblPrEx>
          <w:tblLayout w:type="fixed"/>
          <w:tblCellMar>
            <w:top w:w="0" w:type="dxa"/>
            <w:left w:w="108" w:type="dxa"/>
            <w:bottom w:w="0" w:type="dxa"/>
            <w:right w:w="108" w:type="dxa"/>
          </w:tblCellMar>
        </w:tblPrEx>
        <w:trPr>
          <w:trHeight w:val="567" w:hRule="atLeast"/>
        </w:trPr>
        <w:tc>
          <w:tcPr>
            <w:tcW w:w="1548" w:type="dxa"/>
            <w:shd w:val="clear" w:color="auto" w:fill="FFFFFF"/>
            <w:vAlign w:val="center"/>
          </w:tcPr>
          <w:p>
            <w:pPr>
              <w:ind w:firstLine="0" w:firstLineChars="0"/>
              <w:jc w:val="left"/>
              <w:rPr>
                <w:rFonts w:ascii="宋体" w:hAnsi="宋体"/>
              </w:rPr>
            </w:pPr>
            <w:r>
              <w:rPr>
                <w:rFonts w:hint="eastAsia" w:ascii="宋体" w:hAnsi="宋体"/>
              </w:rPr>
              <w:t xml:space="preserve">地 </w:t>
            </w:r>
            <w:r>
              <w:rPr>
                <w:rFonts w:ascii="宋体" w:hAnsi="宋体"/>
              </w:rPr>
              <w:t xml:space="preserve">   </w:t>
            </w:r>
            <w:r>
              <w:rPr>
                <w:rFonts w:hint="eastAsia" w:ascii="宋体" w:hAnsi="宋体"/>
              </w:rPr>
              <w:t>址：</w:t>
            </w:r>
          </w:p>
        </w:tc>
        <w:tc>
          <w:tcPr>
            <w:tcW w:w="4176" w:type="dxa"/>
            <w:shd w:val="clear" w:color="auto" w:fill="FFFFFF"/>
            <w:vAlign w:val="center"/>
          </w:tcPr>
          <w:p>
            <w:pPr>
              <w:ind w:firstLine="0" w:firstLineChars="0"/>
              <w:rPr>
                <w:rFonts w:ascii="宋体" w:hAnsi="宋体"/>
              </w:rPr>
            </w:pPr>
            <w:r>
              <w:rPr>
                <w:rFonts w:hint="eastAsia" w:ascii="宋体" w:hAnsi="宋体"/>
                <w:u w:val="single"/>
              </w:rPr>
              <w:t xml:space="preserve"> 北京市海淀区学院南路40号                       </w:t>
            </w:r>
          </w:p>
        </w:tc>
      </w:tr>
      <w:tr>
        <w:tblPrEx>
          <w:tblLayout w:type="fixed"/>
          <w:tblCellMar>
            <w:top w:w="0" w:type="dxa"/>
            <w:left w:w="108" w:type="dxa"/>
            <w:bottom w:w="0" w:type="dxa"/>
            <w:right w:w="108" w:type="dxa"/>
          </w:tblCellMar>
        </w:tblPrEx>
        <w:trPr>
          <w:trHeight w:val="567" w:hRule="atLeast"/>
        </w:trPr>
        <w:tc>
          <w:tcPr>
            <w:tcW w:w="1548" w:type="dxa"/>
            <w:shd w:val="clear" w:color="auto" w:fill="FFFFFF"/>
            <w:vAlign w:val="center"/>
          </w:tcPr>
          <w:p>
            <w:pPr>
              <w:ind w:firstLine="0" w:firstLineChars="0"/>
              <w:jc w:val="left"/>
              <w:rPr>
                <w:rFonts w:ascii="宋体" w:hAnsi="宋体"/>
              </w:rPr>
            </w:pPr>
            <w:r>
              <w:rPr>
                <w:rFonts w:hint="eastAsia" w:ascii="宋体" w:hAnsi="宋体"/>
              </w:rPr>
              <w:t xml:space="preserve">邮 </w:t>
            </w:r>
            <w:r>
              <w:rPr>
                <w:rFonts w:ascii="宋体" w:hAnsi="宋体"/>
              </w:rPr>
              <w:t xml:space="preserve">   </w:t>
            </w:r>
            <w:r>
              <w:rPr>
                <w:rFonts w:hint="eastAsia" w:ascii="宋体" w:hAnsi="宋体"/>
              </w:rPr>
              <w:t>编：</w:t>
            </w:r>
          </w:p>
        </w:tc>
        <w:tc>
          <w:tcPr>
            <w:tcW w:w="4176" w:type="dxa"/>
            <w:shd w:val="clear" w:color="auto" w:fill="FFFFFF"/>
            <w:vAlign w:val="center"/>
          </w:tcPr>
          <w:p>
            <w:pPr>
              <w:ind w:firstLine="0" w:firstLineChars="0"/>
              <w:rPr>
                <w:rFonts w:ascii="宋体" w:hAnsi="宋体"/>
              </w:rPr>
            </w:pPr>
            <w:r>
              <w:rPr>
                <w:rFonts w:hint="eastAsia" w:ascii="宋体" w:hAnsi="宋体"/>
                <w:u w:val="single"/>
              </w:rPr>
              <w:t xml:space="preserve">           100082                      </w:t>
            </w:r>
          </w:p>
        </w:tc>
      </w:tr>
      <w:tr>
        <w:tblPrEx>
          <w:tblLayout w:type="fixed"/>
          <w:tblCellMar>
            <w:top w:w="0" w:type="dxa"/>
            <w:left w:w="108" w:type="dxa"/>
            <w:bottom w:w="0" w:type="dxa"/>
            <w:right w:w="108" w:type="dxa"/>
          </w:tblCellMar>
        </w:tblPrEx>
        <w:trPr>
          <w:trHeight w:val="567" w:hRule="atLeast"/>
        </w:trPr>
        <w:tc>
          <w:tcPr>
            <w:tcW w:w="1548" w:type="dxa"/>
            <w:shd w:val="clear" w:color="auto" w:fill="FFFFFF"/>
            <w:vAlign w:val="center"/>
          </w:tcPr>
          <w:p>
            <w:pPr>
              <w:ind w:firstLine="0" w:firstLineChars="0"/>
              <w:jc w:val="left"/>
              <w:rPr>
                <w:rFonts w:ascii="宋体" w:hAnsi="宋体"/>
              </w:rPr>
            </w:pPr>
            <w:r>
              <w:rPr>
                <w:rFonts w:hint="eastAsia" w:ascii="宋体" w:hAnsi="宋体"/>
              </w:rPr>
              <w:t xml:space="preserve">电 </w:t>
            </w:r>
            <w:r>
              <w:rPr>
                <w:rFonts w:ascii="宋体" w:hAnsi="宋体"/>
              </w:rPr>
              <w:t xml:space="preserve">   </w:t>
            </w:r>
            <w:r>
              <w:rPr>
                <w:rFonts w:hint="eastAsia" w:ascii="宋体" w:hAnsi="宋体"/>
              </w:rPr>
              <w:t>话：</w:t>
            </w:r>
          </w:p>
        </w:tc>
        <w:tc>
          <w:tcPr>
            <w:tcW w:w="4176" w:type="dxa"/>
            <w:shd w:val="clear" w:color="auto" w:fill="FFFFFF"/>
            <w:vAlign w:val="center"/>
          </w:tcPr>
          <w:p>
            <w:pPr>
              <w:ind w:firstLine="0" w:firstLineChars="0"/>
              <w:rPr>
                <w:rFonts w:ascii="宋体" w:hAnsi="宋体"/>
              </w:rPr>
            </w:pPr>
            <w:r>
              <w:rPr>
                <w:rFonts w:hint="eastAsia" w:ascii="宋体" w:hAnsi="宋体"/>
                <w:u w:val="single"/>
              </w:rPr>
              <w:t xml:space="preserve">       </w:t>
            </w:r>
            <w:r>
              <w:rPr>
                <w:rFonts w:hint="eastAsia" w:ascii="宋体" w:hAnsi="宋体"/>
                <w:u w:val="single"/>
                <w:lang w:val="en-US" w:eastAsia="zh-CN"/>
              </w:rPr>
              <w:t>010-63226003</w:t>
            </w:r>
            <w:r>
              <w:rPr>
                <w:rFonts w:hint="eastAsia" w:ascii="宋体" w:hAnsi="宋体"/>
                <w:u w:val="single"/>
              </w:rPr>
              <w:t xml:space="preserve">                          </w:t>
            </w:r>
          </w:p>
        </w:tc>
      </w:tr>
      <w:tr>
        <w:tblPrEx>
          <w:tblLayout w:type="fixed"/>
          <w:tblCellMar>
            <w:top w:w="0" w:type="dxa"/>
            <w:left w:w="108" w:type="dxa"/>
            <w:bottom w:w="0" w:type="dxa"/>
            <w:right w:w="108" w:type="dxa"/>
          </w:tblCellMar>
        </w:tblPrEx>
        <w:trPr>
          <w:trHeight w:val="567" w:hRule="atLeast"/>
        </w:trPr>
        <w:tc>
          <w:tcPr>
            <w:tcW w:w="1548" w:type="dxa"/>
            <w:shd w:val="clear" w:color="auto" w:fill="FFFFFF"/>
            <w:vAlign w:val="center"/>
          </w:tcPr>
          <w:p>
            <w:pPr>
              <w:ind w:firstLine="0" w:firstLineChars="0"/>
              <w:jc w:val="left"/>
              <w:rPr>
                <w:rFonts w:ascii="宋体" w:hAnsi="宋体"/>
              </w:rPr>
            </w:pPr>
            <w:r>
              <w:rPr>
                <w:rFonts w:hint="eastAsia" w:ascii="宋体" w:hAnsi="宋体"/>
              </w:rPr>
              <w:t>电子邮箱：</w:t>
            </w:r>
          </w:p>
        </w:tc>
        <w:tc>
          <w:tcPr>
            <w:tcW w:w="4176" w:type="dxa"/>
            <w:shd w:val="clear" w:color="auto" w:fill="FFFFFF"/>
            <w:vAlign w:val="center"/>
          </w:tcPr>
          <w:p>
            <w:pPr>
              <w:ind w:firstLine="0" w:firstLineChars="0"/>
              <w:rPr>
                <w:rFonts w:ascii="宋体" w:hAnsi="宋体"/>
                <w:u w:val="single"/>
              </w:rPr>
            </w:pPr>
            <w:r>
              <w:rPr>
                <w:rFonts w:hint="eastAsia" w:ascii="宋体" w:hAnsi="宋体"/>
                <w:u w:val="single"/>
              </w:rPr>
              <w:t xml:space="preserve">                                 </w:t>
            </w:r>
          </w:p>
        </w:tc>
      </w:tr>
      <w:tr>
        <w:tblPrEx>
          <w:tblLayout w:type="fixed"/>
          <w:tblCellMar>
            <w:top w:w="0" w:type="dxa"/>
            <w:left w:w="108" w:type="dxa"/>
            <w:bottom w:w="0" w:type="dxa"/>
            <w:right w:w="108" w:type="dxa"/>
          </w:tblCellMar>
        </w:tblPrEx>
        <w:trPr>
          <w:trHeight w:val="567" w:hRule="atLeast"/>
        </w:trPr>
        <w:tc>
          <w:tcPr>
            <w:tcW w:w="1548" w:type="dxa"/>
            <w:shd w:val="clear" w:color="auto" w:fill="FFFFFF"/>
            <w:vAlign w:val="center"/>
          </w:tcPr>
          <w:p>
            <w:pPr>
              <w:ind w:firstLine="0" w:firstLineChars="0"/>
              <w:jc w:val="left"/>
              <w:rPr>
                <w:rFonts w:ascii="宋体" w:hAnsi="宋体"/>
              </w:rPr>
            </w:pPr>
            <w:r>
              <w:rPr>
                <w:rFonts w:hint="eastAsia" w:ascii="宋体" w:hAnsi="宋体"/>
              </w:rPr>
              <w:t>联 系 人：</w:t>
            </w:r>
          </w:p>
        </w:tc>
        <w:tc>
          <w:tcPr>
            <w:tcW w:w="4176" w:type="dxa"/>
            <w:shd w:val="clear" w:color="auto" w:fill="FFFFFF"/>
            <w:vAlign w:val="center"/>
          </w:tcPr>
          <w:p>
            <w:pPr>
              <w:ind w:firstLine="0" w:firstLineChars="0"/>
              <w:rPr>
                <w:rFonts w:ascii="宋体" w:hAnsi="宋体"/>
              </w:rPr>
            </w:pPr>
            <w:r>
              <w:rPr>
                <w:rFonts w:hint="eastAsia" w:ascii="宋体" w:hAnsi="宋体"/>
                <w:u w:val="single"/>
              </w:rPr>
              <w:t xml:space="preserve">           </w:t>
            </w:r>
            <w:r>
              <w:rPr>
                <w:rFonts w:hint="eastAsia" w:ascii="宋体" w:hAnsi="宋体"/>
                <w:u w:val="single"/>
                <w:lang w:eastAsia="zh-CN"/>
              </w:rPr>
              <w:t>李磊</w:t>
            </w:r>
            <w:r>
              <w:rPr>
                <w:rFonts w:hint="eastAsia" w:ascii="宋体" w:hAnsi="宋体"/>
                <w:u w:val="single"/>
              </w:rPr>
              <w:t xml:space="preserve">                      </w:t>
            </w:r>
          </w:p>
        </w:tc>
      </w:tr>
    </w:tbl>
    <w:p>
      <w:pPr>
        <w:spacing w:line="360" w:lineRule="auto"/>
        <w:ind w:firstLine="480"/>
        <w:rPr>
          <w:szCs w:val="24"/>
        </w:rPr>
      </w:pPr>
      <w:r>
        <w:rPr>
          <w:szCs w:val="24"/>
        </w:rPr>
        <w:t>　　　　　　　　　　　　　　　　　　　　　　</w:t>
      </w:r>
    </w:p>
    <w:p>
      <w:pPr>
        <w:wordWrap w:val="0"/>
        <w:spacing w:line="360" w:lineRule="auto"/>
        <w:ind w:firstLine="480"/>
        <w:jc w:val="right"/>
        <w:rPr>
          <w:szCs w:val="24"/>
        </w:rPr>
      </w:pPr>
      <w:r>
        <w:rPr>
          <w:szCs w:val="24"/>
        </w:rPr>
        <w:t>　</w:t>
      </w:r>
      <w:r>
        <w:rPr>
          <w:rFonts w:hint="eastAsia"/>
          <w:szCs w:val="24"/>
          <w:u w:val="single"/>
        </w:rPr>
        <w:t xml:space="preserve">    </w:t>
      </w:r>
      <w:r>
        <w:rPr>
          <w:szCs w:val="24"/>
        </w:rPr>
        <w:t>年</w:t>
      </w:r>
      <w:r>
        <w:rPr>
          <w:rFonts w:hint="eastAsia"/>
          <w:szCs w:val="24"/>
          <w:u w:val="single"/>
        </w:rPr>
        <w:t xml:space="preserve">   </w:t>
      </w:r>
      <w:r>
        <w:rPr>
          <w:szCs w:val="24"/>
        </w:rPr>
        <w:t>月</w:t>
      </w:r>
      <w:r>
        <w:rPr>
          <w:rFonts w:hint="eastAsia"/>
          <w:szCs w:val="24"/>
          <w:u w:val="single"/>
        </w:rPr>
        <w:t xml:space="preserve">   </w:t>
      </w:r>
      <w:r>
        <w:rPr>
          <w:szCs w:val="24"/>
        </w:rPr>
        <w:t>日</w:t>
      </w:r>
      <w:r>
        <w:rPr>
          <w:rFonts w:hint="eastAsia"/>
          <w:szCs w:val="24"/>
        </w:rPr>
        <w:t xml:space="preserve"> </w:t>
      </w:r>
      <w:r>
        <w:rPr>
          <w:szCs w:val="24"/>
        </w:rPr>
        <w:t xml:space="preserve">   </w:t>
      </w:r>
    </w:p>
    <w:p>
      <w:pPr>
        <w:spacing w:line="400" w:lineRule="exact"/>
        <w:ind w:firstLine="480"/>
      </w:pPr>
    </w:p>
    <w:p>
      <w:pPr>
        <w:wordWrap w:val="0"/>
        <w:spacing w:line="360" w:lineRule="auto"/>
        <w:ind w:firstLine="0" w:firstLineChars="0"/>
      </w:pPr>
      <w:r>
        <w:rPr>
          <w:szCs w:val="24"/>
        </w:rPr>
        <w:t xml:space="preserve">   </w:t>
      </w:r>
      <w:bookmarkStart w:id="26" w:name="_Toc361508574"/>
      <w:bookmarkEnd w:id="26"/>
      <w:bookmarkStart w:id="27" w:name="_Toc369531507"/>
      <w:bookmarkEnd w:id="27"/>
      <w:bookmarkStart w:id="28" w:name="_Toc18885"/>
      <w:bookmarkEnd w:id="28"/>
      <w:bookmarkStart w:id="29" w:name="_Toc352691465"/>
      <w:bookmarkEnd w:id="29"/>
      <w:bookmarkStart w:id="30" w:name="_Toc384308199"/>
      <w:bookmarkEnd w:id="30"/>
      <w:r>
        <w:br w:type="page"/>
      </w:r>
      <w:bookmarkStart w:id="31" w:name="_Toc47415923"/>
      <w:bookmarkStart w:id="32" w:name="_Toc49019216"/>
      <w:bookmarkStart w:id="33" w:name="_Toc47416177"/>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8"/>
        <w:spacing w:before="156"/>
      </w:pPr>
      <w:bookmarkStart w:id="34" w:name="_Toc4155317"/>
      <w:r>
        <w:rPr>
          <w:rFonts w:hint="eastAsia"/>
        </w:rPr>
        <w:t>第二章</w:t>
      </w:r>
      <w:r>
        <w:t xml:space="preserve"> </w:t>
      </w:r>
      <w:r>
        <w:rPr>
          <w:rFonts w:hint="eastAsia"/>
        </w:rPr>
        <w:t>供应商须知</w:t>
      </w:r>
      <w:bookmarkEnd w:id="31"/>
      <w:bookmarkEnd w:id="32"/>
      <w:bookmarkEnd w:id="33"/>
      <w:r>
        <w:rPr>
          <w:rFonts w:hint="eastAsia"/>
        </w:rPr>
        <w:t>及前附表</w:t>
      </w:r>
      <w:bookmarkEnd w:id="34"/>
    </w:p>
    <w:p>
      <w:pPr>
        <w:pStyle w:val="3"/>
        <w:spacing w:before="156"/>
        <w:jc w:val="center"/>
      </w:pPr>
      <w:r>
        <w:rPr>
          <w:rFonts w:hint="eastAsia"/>
        </w:rPr>
        <w:br w:type="page"/>
      </w:r>
      <w:bookmarkStart w:id="35" w:name="_Toc4155318"/>
      <w:r>
        <w:rPr>
          <w:rFonts w:hint="eastAsia"/>
        </w:rPr>
        <w:t>供应商须知前附表</w:t>
      </w:r>
      <w:bookmarkEnd w:id="35"/>
    </w:p>
    <w:tbl>
      <w:tblPr>
        <w:tblStyle w:val="35"/>
        <w:tblW w:w="9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7"/>
        <w:gridCol w:w="1842"/>
        <w:gridCol w:w="6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48"/>
              <w:jc w:val="center"/>
            </w:pPr>
            <w:r>
              <w:rPr>
                <w:rFonts w:hint="eastAsia"/>
              </w:rPr>
              <w:t>条款号</w:t>
            </w:r>
          </w:p>
        </w:tc>
        <w:tc>
          <w:tcPr>
            <w:tcW w:w="1842" w:type="dxa"/>
            <w:tcBorders>
              <w:top w:val="single" w:color="auto" w:sz="4" w:space="0"/>
              <w:left w:val="single" w:color="auto" w:sz="4" w:space="0"/>
              <w:bottom w:val="single" w:color="auto" w:sz="4" w:space="0"/>
              <w:right w:val="single" w:color="auto" w:sz="4" w:space="0"/>
            </w:tcBorders>
            <w:vAlign w:val="center"/>
          </w:tcPr>
          <w:p>
            <w:pPr>
              <w:pStyle w:val="48"/>
              <w:jc w:val="center"/>
            </w:pPr>
            <w:r>
              <w:rPr>
                <w:rFonts w:hint="eastAsia"/>
              </w:rPr>
              <w:t>条款名称</w:t>
            </w:r>
          </w:p>
        </w:tc>
        <w:tc>
          <w:tcPr>
            <w:tcW w:w="6620" w:type="dxa"/>
            <w:tcBorders>
              <w:top w:val="single" w:color="auto" w:sz="4" w:space="0"/>
              <w:left w:val="single" w:color="auto" w:sz="4" w:space="0"/>
              <w:bottom w:val="single" w:color="auto" w:sz="4" w:space="0"/>
              <w:right w:val="single" w:color="auto" w:sz="4" w:space="0"/>
            </w:tcBorders>
            <w:vAlign w:val="center"/>
          </w:tcPr>
          <w:p>
            <w:pPr>
              <w:pStyle w:val="48"/>
              <w:jc w:val="center"/>
            </w:pPr>
            <w:r>
              <w:rPr>
                <w:rFonts w:hint="eastAsi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48"/>
              <w:jc w:val="center"/>
            </w:pPr>
            <w:r>
              <w:rPr>
                <w:rFonts w:hint="eastAsia"/>
              </w:rPr>
              <w:t>2.1</w:t>
            </w:r>
          </w:p>
        </w:tc>
        <w:tc>
          <w:tcPr>
            <w:tcW w:w="1842" w:type="dxa"/>
            <w:tcBorders>
              <w:top w:val="single" w:color="auto" w:sz="4" w:space="0"/>
              <w:left w:val="single" w:color="auto" w:sz="4" w:space="0"/>
              <w:bottom w:val="single" w:color="auto" w:sz="4" w:space="0"/>
              <w:right w:val="single" w:color="auto" w:sz="4" w:space="0"/>
            </w:tcBorders>
            <w:vAlign w:val="center"/>
          </w:tcPr>
          <w:p>
            <w:pPr>
              <w:pStyle w:val="48"/>
              <w:rPr>
                <w:rFonts w:cs="Arial"/>
              </w:rPr>
            </w:pPr>
            <w:r>
              <w:rPr>
                <w:rFonts w:hint="eastAsia" w:cs="Arial"/>
              </w:rPr>
              <w:t>采购人</w:t>
            </w:r>
          </w:p>
        </w:tc>
        <w:tc>
          <w:tcPr>
            <w:tcW w:w="6620" w:type="dxa"/>
            <w:tcBorders>
              <w:top w:val="single" w:color="auto" w:sz="4" w:space="0"/>
              <w:left w:val="single" w:color="auto" w:sz="4" w:space="0"/>
              <w:bottom w:val="single" w:color="auto" w:sz="4" w:space="0"/>
              <w:right w:val="single" w:color="auto" w:sz="4" w:space="0"/>
            </w:tcBorders>
            <w:vAlign w:val="center"/>
          </w:tcPr>
          <w:p>
            <w:pPr>
              <w:pStyle w:val="48"/>
              <w:rPr>
                <w:rFonts w:cs="Arial"/>
              </w:rPr>
            </w:pPr>
            <w:r>
              <w:rPr>
                <w:rFonts w:hint="eastAsia" w:cs="Arial"/>
              </w:rPr>
              <w:t>详见第一章采购公告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48"/>
              <w:jc w:val="center"/>
            </w:pPr>
            <w:r>
              <w:rPr>
                <w:rFonts w:hint="eastAsia"/>
              </w:rPr>
              <w:t>4.1</w:t>
            </w:r>
          </w:p>
        </w:tc>
        <w:tc>
          <w:tcPr>
            <w:tcW w:w="1842" w:type="dxa"/>
            <w:tcBorders>
              <w:top w:val="single" w:color="auto" w:sz="4" w:space="0"/>
              <w:left w:val="single" w:color="auto" w:sz="4" w:space="0"/>
              <w:bottom w:val="single" w:color="auto" w:sz="4" w:space="0"/>
              <w:right w:val="single" w:color="auto" w:sz="4" w:space="0"/>
            </w:tcBorders>
            <w:vAlign w:val="center"/>
          </w:tcPr>
          <w:p>
            <w:pPr>
              <w:pStyle w:val="48"/>
              <w:rPr>
                <w:rFonts w:cs="宋体"/>
                <w:color w:val="000000"/>
              </w:rPr>
            </w:pPr>
            <w:r>
              <w:rPr>
                <w:rFonts w:hint="eastAsia" w:cs="宋体"/>
                <w:color w:val="000000"/>
              </w:rPr>
              <w:t>踏勘现场</w:t>
            </w:r>
          </w:p>
        </w:tc>
        <w:tc>
          <w:tcPr>
            <w:tcW w:w="6620" w:type="dxa"/>
            <w:tcBorders>
              <w:top w:val="single" w:color="auto" w:sz="4" w:space="0"/>
              <w:left w:val="single" w:color="auto" w:sz="4" w:space="0"/>
              <w:bottom w:val="single" w:color="auto" w:sz="4" w:space="0"/>
              <w:right w:val="single" w:color="auto" w:sz="4" w:space="0"/>
            </w:tcBorders>
            <w:vAlign w:val="center"/>
          </w:tcPr>
          <w:p>
            <w:pPr>
              <w:pStyle w:val="48"/>
              <w:rPr>
                <w:rFonts w:cs="宋体"/>
                <w:color w:val="000000"/>
              </w:rPr>
            </w:pPr>
            <w:r>
              <w:rPr>
                <w:rFonts w:hint="eastAsia" w:cs="宋体"/>
                <w:color w:val="000000"/>
              </w:rPr>
              <w:t>□不组织</w:t>
            </w:r>
          </w:p>
          <w:p>
            <w:pPr>
              <w:pStyle w:val="48"/>
              <w:numPr>
                <w:ilvl w:val="0"/>
                <w:numId w:val="1"/>
              </w:numPr>
              <w:rPr>
                <w:rFonts w:cs="宋体"/>
                <w:color w:val="000000"/>
              </w:rPr>
            </w:pPr>
            <w:r>
              <w:rPr>
                <w:rFonts w:hint="eastAsia" w:cs="宋体"/>
                <w:color w:val="000000"/>
              </w:rPr>
              <w:t>组织，踏勘时间：</w:t>
            </w:r>
            <w:r>
              <w:rPr>
                <w:rFonts w:hint="eastAsia"/>
                <w:u w:val="single"/>
              </w:rPr>
              <w:t xml:space="preserve">    2019.4.24      </w:t>
            </w:r>
          </w:p>
          <w:p>
            <w:pPr>
              <w:pStyle w:val="48"/>
              <w:rPr>
                <w:rFonts w:cs="宋体"/>
                <w:color w:val="000000"/>
              </w:rPr>
            </w:pPr>
            <w:r>
              <w:rPr>
                <w:rFonts w:hint="eastAsia" w:cs="宋体"/>
                <w:color w:val="000000"/>
              </w:rPr>
              <w:t>踏勘集中地点：</w:t>
            </w:r>
            <w:r>
              <w:rPr>
                <w:rFonts w:hint="eastAsia"/>
                <w:u w:val="single"/>
              </w:rPr>
              <w:t xml:space="preserve">     西单华能大厦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2"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48"/>
              <w:jc w:val="center"/>
            </w:pPr>
            <w:r>
              <w:rPr>
                <w:rFonts w:hint="eastAsia"/>
              </w:rPr>
              <w:t>6.1</w:t>
            </w:r>
          </w:p>
        </w:tc>
        <w:tc>
          <w:tcPr>
            <w:tcW w:w="1842" w:type="dxa"/>
            <w:tcBorders>
              <w:top w:val="single" w:color="auto" w:sz="4" w:space="0"/>
              <w:left w:val="single" w:color="auto" w:sz="4" w:space="0"/>
              <w:bottom w:val="single" w:color="auto" w:sz="4" w:space="0"/>
              <w:right w:val="single" w:color="auto" w:sz="4" w:space="0"/>
            </w:tcBorders>
            <w:vAlign w:val="center"/>
          </w:tcPr>
          <w:p>
            <w:pPr>
              <w:pStyle w:val="48"/>
            </w:pPr>
            <w:r>
              <w:rPr>
                <w:rFonts w:hint="eastAsia"/>
              </w:rPr>
              <w:t>采购文件的澄清、修改、补充</w:t>
            </w:r>
          </w:p>
        </w:tc>
        <w:tc>
          <w:tcPr>
            <w:tcW w:w="6620" w:type="dxa"/>
            <w:tcBorders>
              <w:top w:val="single" w:color="auto" w:sz="4" w:space="0"/>
              <w:left w:val="single" w:color="auto" w:sz="4" w:space="0"/>
              <w:bottom w:val="single" w:color="auto" w:sz="4" w:space="0"/>
              <w:right w:val="single" w:color="auto" w:sz="4" w:space="0"/>
            </w:tcBorders>
            <w:vAlign w:val="center"/>
          </w:tcPr>
          <w:p>
            <w:pPr>
              <w:pStyle w:val="48"/>
              <w:rPr>
                <w:rFonts w:cs="Arial"/>
              </w:rPr>
            </w:pPr>
            <w:r>
              <w:rPr>
                <w:rFonts w:hint="eastAsia" w:cs="Arial"/>
              </w:rPr>
              <w:t>供应商需在</w:t>
            </w:r>
            <w:r>
              <w:rPr>
                <w:rFonts w:hint="eastAsia"/>
                <w:u w:val="single"/>
              </w:rPr>
              <w:t>____</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日前</w:t>
            </w:r>
            <w:r>
              <w:rPr>
                <w:rFonts w:hint="eastAsia" w:cs="Arial"/>
              </w:rPr>
              <w:t>发出澄清问题;</w:t>
            </w:r>
          </w:p>
          <w:p>
            <w:pPr>
              <w:pStyle w:val="48"/>
            </w:pPr>
            <w:r>
              <w:rPr>
                <w:rFonts w:hint="eastAsia" w:cs="Arial"/>
              </w:rPr>
              <w:t>采购人将在收到澄清后24小时内回复。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48"/>
              <w:jc w:val="center"/>
            </w:pPr>
            <w:r>
              <w:rPr>
                <w:rFonts w:hint="eastAsia"/>
              </w:rPr>
              <w:t>10</w:t>
            </w:r>
          </w:p>
        </w:tc>
        <w:tc>
          <w:tcPr>
            <w:tcW w:w="1842" w:type="dxa"/>
            <w:tcBorders>
              <w:top w:val="single" w:color="auto" w:sz="4" w:space="0"/>
              <w:left w:val="single" w:color="auto" w:sz="4" w:space="0"/>
              <w:bottom w:val="single" w:color="auto" w:sz="4" w:space="0"/>
              <w:right w:val="single" w:color="auto" w:sz="4" w:space="0"/>
            </w:tcBorders>
            <w:vAlign w:val="center"/>
          </w:tcPr>
          <w:p>
            <w:pPr>
              <w:pStyle w:val="48"/>
            </w:pPr>
            <w:r>
              <w:rPr>
                <w:rFonts w:hint="eastAsia"/>
              </w:rPr>
              <w:t>报价货币</w:t>
            </w:r>
          </w:p>
        </w:tc>
        <w:tc>
          <w:tcPr>
            <w:tcW w:w="6620" w:type="dxa"/>
            <w:tcBorders>
              <w:top w:val="single" w:color="auto" w:sz="4" w:space="0"/>
              <w:left w:val="single" w:color="auto" w:sz="4" w:space="0"/>
              <w:bottom w:val="single" w:color="auto" w:sz="4" w:space="0"/>
              <w:right w:val="single" w:color="auto" w:sz="4" w:space="0"/>
            </w:tcBorders>
            <w:vAlign w:val="center"/>
          </w:tcPr>
          <w:p>
            <w:pPr>
              <w:pStyle w:val="48"/>
            </w:pPr>
            <w:r>
              <w:rPr>
                <w:rFonts w:hint="default" w:ascii="Arial" w:hAnsi="Arial" w:cs="Arial"/>
              </w:rPr>
              <w:t>√</w:t>
            </w:r>
            <w:r>
              <w:rPr>
                <w:rFonts w:hint="eastAsia"/>
              </w:rPr>
              <w:t>人民币</w:t>
            </w:r>
          </w:p>
          <w:p>
            <w:pPr>
              <w:pStyle w:val="48"/>
            </w:pPr>
            <w:r>
              <w:t>□</w:t>
            </w:r>
            <w:r>
              <w:rPr>
                <w:rFonts w:hint="eastAsia"/>
              </w:rPr>
              <w:t>其他</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3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48"/>
              <w:jc w:val="center"/>
            </w:pPr>
            <w:r>
              <w:rPr>
                <w:rFonts w:hint="eastAsia"/>
              </w:rPr>
              <w:t>9.6</w:t>
            </w:r>
          </w:p>
        </w:tc>
        <w:tc>
          <w:tcPr>
            <w:tcW w:w="1842" w:type="dxa"/>
            <w:tcBorders>
              <w:top w:val="single" w:color="auto" w:sz="4" w:space="0"/>
              <w:left w:val="single" w:color="auto" w:sz="4" w:space="0"/>
              <w:bottom w:val="single" w:color="auto" w:sz="4" w:space="0"/>
              <w:right w:val="single" w:color="auto" w:sz="4" w:space="0"/>
            </w:tcBorders>
            <w:vAlign w:val="center"/>
          </w:tcPr>
          <w:p>
            <w:pPr>
              <w:pStyle w:val="48"/>
            </w:pPr>
            <w:r>
              <w:rPr>
                <w:rFonts w:hint="eastAsia"/>
              </w:rPr>
              <w:t>最高限价</w:t>
            </w:r>
          </w:p>
        </w:tc>
        <w:tc>
          <w:tcPr>
            <w:tcW w:w="6620" w:type="dxa"/>
            <w:tcBorders>
              <w:top w:val="single" w:color="auto" w:sz="4" w:space="0"/>
              <w:left w:val="single" w:color="auto" w:sz="4" w:space="0"/>
              <w:bottom w:val="single" w:color="auto" w:sz="4" w:space="0"/>
              <w:right w:val="single" w:color="auto" w:sz="4" w:space="0"/>
            </w:tcBorders>
            <w:vAlign w:val="center"/>
          </w:tcPr>
          <w:p>
            <w:pPr>
              <w:pStyle w:val="48"/>
            </w:pPr>
            <w:r>
              <w:rPr>
                <w:rFonts w:hint="default" w:ascii="Arial" w:hAnsi="Arial" w:cs="Arial"/>
              </w:rPr>
              <w:t>√</w:t>
            </w:r>
            <w:r>
              <w:t>无</w:t>
            </w:r>
          </w:p>
          <w:p>
            <w:pPr>
              <w:pStyle w:val="48"/>
              <w:rPr>
                <w:u w:val="single"/>
              </w:rPr>
            </w:pPr>
            <w:r>
              <w:t>□有，最高限价：</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48"/>
              <w:jc w:val="center"/>
            </w:pPr>
            <w:r>
              <w:rPr>
                <w:rFonts w:hint="eastAsia"/>
              </w:rPr>
              <w:t>11.1</w:t>
            </w:r>
          </w:p>
        </w:tc>
        <w:tc>
          <w:tcPr>
            <w:tcW w:w="1842" w:type="dxa"/>
            <w:tcBorders>
              <w:top w:val="single" w:color="auto" w:sz="4" w:space="0"/>
              <w:left w:val="single" w:color="auto" w:sz="4" w:space="0"/>
              <w:bottom w:val="single" w:color="auto" w:sz="4" w:space="0"/>
              <w:right w:val="single" w:color="auto" w:sz="4" w:space="0"/>
            </w:tcBorders>
            <w:vAlign w:val="center"/>
          </w:tcPr>
          <w:p>
            <w:pPr>
              <w:pStyle w:val="48"/>
              <w:rPr>
                <w:rFonts w:cs="Arial"/>
              </w:rPr>
            </w:pPr>
            <w:r>
              <w:rPr>
                <w:rFonts w:hint="eastAsia" w:cs="Arial"/>
              </w:rPr>
              <w:t>响应保证金</w:t>
            </w:r>
          </w:p>
        </w:tc>
        <w:tc>
          <w:tcPr>
            <w:tcW w:w="6620" w:type="dxa"/>
            <w:tcBorders>
              <w:top w:val="single" w:color="auto" w:sz="4" w:space="0"/>
              <w:left w:val="single" w:color="auto" w:sz="4" w:space="0"/>
              <w:bottom w:val="single" w:color="auto" w:sz="4" w:space="0"/>
              <w:right w:val="single" w:color="auto" w:sz="4" w:space="0"/>
            </w:tcBorders>
            <w:vAlign w:val="center"/>
          </w:tcPr>
          <w:p>
            <w:pPr>
              <w:pStyle w:val="48"/>
            </w:pPr>
            <w:r>
              <w:rPr>
                <w:rFonts w:hint="default" w:ascii="Arial" w:hAnsi="Arial" w:cs="Arial"/>
              </w:rPr>
              <w:t>√</w:t>
            </w:r>
            <w:r>
              <w:t>无</w:t>
            </w:r>
          </w:p>
          <w:p>
            <w:pPr>
              <w:pStyle w:val="48"/>
            </w:pPr>
            <w:r>
              <w:t>□有，</w:t>
            </w:r>
            <w:r>
              <w:rPr>
                <w:rFonts w:hint="eastAsia"/>
              </w:rPr>
              <w:t>按照以下</w:t>
            </w:r>
            <w:r>
              <w:t>方式：</w:t>
            </w:r>
          </w:p>
          <w:p>
            <w:pPr>
              <w:pStyle w:val="48"/>
              <w:rPr>
                <w:u w:val="single"/>
              </w:rPr>
            </w:pPr>
            <w:r>
              <w:rPr>
                <w:rFonts w:hint="eastAsia"/>
              </w:rPr>
              <w:t>响应保证金的金额：</w:t>
            </w:r>
            <w:r>
              <w:rPr>
                <w:rFonts w:hint="eastAsia"/>
                <w:u w:val="single"/>
              </w:rPr>
              <w:t xml:space="preserve">          </w:t>
            </w:r>
          </w:p>
          <w:p>
            <w:pPr>
              <w:pStyle w:val="48"/>
              <w:rPr>
                <w:u w:val="single"/>
              </w:rPr>
            </w:pPr>
            <w:r>
              <w:rPr>
                <w:rFonts w:hint="eastAsia"/>
              </w:rPr>
              <w:t>响应保证金的形式：</w:t>
            </w:r>
            <w:r>
              <w:rPr>
                <w:rFonts w:hint="eastAsia"/>
                <w:u w:val="single"/>
              </w:rPr>
              <w:t xml:space="preserve">          </w:t>
            </w:r>
          </w:p>
          <w:p>
            <w:pPr>
              <w:pStyle w:val="48"/>
            </w:pPr>
            <w:r>
              <w:rPr>
                <w:rFonts w:hint="eastAsia"/>
              </w:rPr>
              <w:t>响应保证金的递交截止时间为：</w:t>
            </w:r>
            <w:r>
              <w:rPr>
                <w:rFonts w:hint="eastAsia"/>
                <w:u w:val="single"/>
              </w:rPr>
              <w:t>____</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时之前</w:t>
            </w:r>
          </w:p>
          <w:p>
            <w:pPr>
              <w:pStyle w:val="48"/>
            </w:pPr>
            <w:r>
              <w:rPr>
                <w:rFonts w:hint="eastAsia"/>
              </w:rPr>
              <w:t>开户银行及账号如下：</w:t>
            </w:r>
          </w:p>
          <w:p>
            <w:pPr>
              <w:pStyle w:val="48"/>
              <w:rPr>
                <w:u w:val="single"/>
              </w:rPr>
            </w:pPr>
            <w:r>
              <w:rPr>
                <w:rFonts w:hint="eastAsia"/>
              </w:rPr>
              <w:t>账户名称：</w:t>
            </w:r>
            <w:r>
              <w:rPr>
                <w:rFonts w:hint="eastAsia"/>
                <w:u w:val="single"/>
              </w:rPr>
              <w:t xml:space="preserve">          </w:t>
            </w:r>
          </w:p>
          <w:p>
            <w:pPr>
              <w:pStyle w:val="48"/>
              <w:rPr>
                <w:u w:val="single"/>
              </w:rPr>
            </w:pPr>
            <w:r>
              <w:rPr>
                <w:rFonts w:hint="eastAsia"/>
              </w:rPr>
              <w:t>开户银行：</w:t>
            </w:r>
            <w:r>
              <w:rPr>
                <w:rFonts w:hint="eastAsia"/>
                <w:u w:val="single"/>
              </w:rPr>
              <w:t xml:space="preserve">          </w:t>
            </w:r>
          </w:p>
          <w:p>
            <w:pPr>
              <w:pStyle w:val="48"/>
              <w:rPr>
                <w:color w:val="000000"/>
              </w:rPr>
            </w:pPr>
            <w:r>
              <w:rPr>
                <w:rFonts w:hint="eastAsia"/>
              </w:rPr>
              <w:t>账</w:t>
            </w:r>
            <w:r>
              <w:t xml:space="preserve">  </w:t>
            </w:r>
            <w:r>
              <w:rPr>
                <w:rFonts w:hint="eastAsia"/>
              </w:rPr>
              <w:t xml:space="preserve">  号：</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48"/>
              <w:jc w:val="center"/>
            </w:pPr>
            <w:r>
              <w:rPr>
                <w:rFonts w:hint="eastAsia"/>
              </w:rPr>
              <w:t>12.1</w:t>
            </w:r>
          </w:p>
        </w:tc>
        <w:tc>
          <w:tcPr>
            <w:tcW w:w="1842" w:type="dxa"/>
            <w:tcBorders>
              <w:top w:val="single" w:color="auto" w:sz="4" w:space="0"/>
              <w:left w:val="single" w:color="auto" w:sz="4" w:space="0"/>
              <w:bottom w:val="single" w:color="auto" w:sz="4" w:space="0"/>
              <w:right w:val="single" w:color="auto" w:sz="4" w:space="0"/>
            </w:tcBorders>
            <w:vAlign w:val="center"/>
          </w:tcPr>
          <w:p>
            <w:pPr>
              <w:pStyle w:val="48"/>
            </w:pPr>
            <w:r>
              <w:rPr>
                <w:rFonts w:hint="eastAsia"/>
              </w:rPr>
              <w:t>采购有效期</w:t>
            </w:r>
          </w:p>
        </w:tc>
        <w:tc>
          <w:tcPr>
            <w:tcW w:w="6620" w:type="dxa"/>
            <w:tcBorders>
              <w:top w:val="single" w:color="auto" w:sz="4" w:space="0"/>
              <w:left w:val="single" w:color="auto" w:sz="4" w:space="0"/>
              <w:bottom w:val="single" w:color="auto" w:sz="4" w:space="0"/>
              <w:right w:val="single" w:color="auto" w:sz="4" w:space="0"/>
            </w:tcBorders>
            <w:vAlign w:val="center"/>
          </w:tcPr>
          <w:p>
            <w:pPr>
              <w:pStyle w:val="48"/>
            </w:pPr>
            <w:r>
              <w:rPr>
                <w:rFonts w:hint="eastAsia"/>
              </w:rPr>
              <w:t>自响应文件递交截止时间起</w:t>
            </w:r>
            <w:r>
              <w:rPr>
                <w:u w:val="single"/>
              </w:rPr>
              <w:t>120</w:t>
            </w:r>
            <w:r>
              <w:rPr>
                <w:rFonts w:hint="eastAsia"/>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48"/>
              <w:jc w:val="center"/>
            </w:pPr>
            <w:r>
              <w:rPr>
                <w:rFonts w:hint="eastAsia" w:cs="Arial"/>
              </w:rPr>
              <w:t>13</w:t>
            </w:r>
          </w:p>
        </w:tc>
        <w:tc>
          <w:tcPr>
            <w:tcW w:w="1842" w:type="dxa"/>
            <w:tcBorders>
              <w:top w:val="single" w:color="auto" w:sz="4" w:space="0"/>
              <w:left w:val="single" w:color="auto" w:sz="4" w:space="0"/>
              <w:bottom w:val="single" w:color="auto" w:sz="4" w:space="0"/>
              <w:right w:val="single" w:color="auto" w:sz="4" w:space="0"/>
            </w:tcBorders>
            <w:vAlign w:val="center"/>
          </w:tcPr>
          <w:p>
            <w:pPr>
              <w:pStyle w:val="48"/>
            </w:pPr>
            <w:r>
              <w:rPr>
                <w:rFonts w:hint="eastAsia"/>
              </w:rPr>
              <w:t>响应文件递交截止时间及地址</w:t>
            </w:r>
          </w:p>
        </w:tc>
        <w:tc>
          <w:tcPr>
            <w:tcW w:w="6620" w:type="dxa"/>
            <w:tcBorders>
              <w:top w:val="single" w:color="auto" w:sz="4" w:space="0"/>
              <w:left w:val="single" w:color="auto" w:sz="4" w:space="0"/>
              <w:bottom w:val="single" w:color="auto" w:sz="4" w:space="0"/>
              <w:right w:val="single" w:color="auto" w:sz="4" w:space="0"/>
            </w:tcBorders>
            <w:vAlign w:val="center"/>
          </w:tcPr>
          <w:p>
            <w:pPr>
              <w:pStyle w:val="48"/>
            </w:pPr>
            <w:r>
              <w:rPr>
                <w:rFonts w:hint="eastAsia"/>
              </w:rPr>
              <w:t>响应文件递交截止时间：</w:t>
            </w:r>
            <w:r>
              <w:rPr>
                <w:rFonts w:hint="eastAsia"/>
                <w:u w:val="single"/>
              </w:rPr>
              <w:t>____</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w:t>
            </w:r>
            <w:r>
              <w:rPr>
                <w:rFonts w:hint="eastAsia"/>
                <w:u w:val="single"/>
              </w:rPr>
              <w:t xml:space="preserve">   </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1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48"/>
              <w:jc w:val="center"/>
            </w:pPr>
            <w:r>
              <w:rPr>
                <w:rFonts w:hint="eastAsia"/>
              </w:rPr>
              <w:t>16.1</w:t>
            </w:r>
          </w:p>
        </w:tc>
        <w:tc>
          <w:tcPr>
            <w:tcW w:w="1842" w:type="dxa"/>
            <w:tcBorders>
              <w:top w:val="single" w:color="auto" w:sz="4" w:space="0"/>
              <w:left w:val="single" w:color="auto" w:sz="4" w:space="0"/>
              <w:bottom w:val="single" w:color="auto" w:sz="4" w:space="0"/>
              <w:right w:val="single" w:color="auto" w:sz="4" w:space="0"/>
            </w:tcBorders>
            <w:vAlign w:val="center"/>
          </w:tcPr>
          <w:p>
            <w:pPr>
              <w:pStyle w:val="48"/>
            </w:pPr>
            <w:r>
              <w:rPr>
                <w:rFonts w:hint="eastAsia"/>
              </w:rPr>
              <w:t>开启响应文件</w:t>
            </w:r>
          </w:p>
        </w:tc>
        <w:tc>
          <w:tcPr>
            <w:tcW w:w="6620" w:type="dxa"/>
            <w:tcBorders>
              <w:top w:val="single" w:color="auto" w:sz="4" w:space="0"/>
              <w:left w:val="single" w:color="auto" w:sz="4" w:space="0"/>
              <w:bottom w:val="single" w:color="auto" w:sz="4" w:space="0"/>
              <w:right w:val="single" w:color="auto" w:sz="4" w:space="0"/>
            </w:tcBorders>
            <w:vAlign w:val="center"/>
          </w:tcPr>
          <w:p>
            <w:pPr>
              <w:pStyle w:val="48"/>
            </w:pPr>
            <w:r>
              <w:rPr>
                <w:rFonts w:hint="eastAsia"/>
              </w:rPr>
              <w:t>开启响应文件开始时间：</w:t>
            </w:r>
            <w:r>
              <w:rPr>
                <w:rFonts w:hint="eastAsia"/>
                <w:u w:val="single"/>
              </w:rPr>
              <w:t>____</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w:t>
            </w:r>
            <w:r>
              <w:rPr>
                <w:rFonts w:hint="eastAsia"/>
                <w:u w:val="single"/>
              </w:rPr>
              <w:t xml:space="preserve">   </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1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48"/>
              <w:jc w:val="center"/>
            </w:pPr>
            <w:r>
              <w:rPr>
                <w:rFonts w:hint="eastAsia"/>
              </w:rPr>
              <w:t>17.1</w:t>
            </w:r>
          </w:p>
        </w:tc>
        <w:tc>
          <w:tcPr>
            <w:tcW w:w="1842" w:type="dxa"/>
            <w:tcBorders>
              <w:top w:val="single" w:color="auto" w:sz="4" w:space="0"/>
              <w:left w:val="single" w:color="auto" w:sz="4" w:space="0"/>
              <w:bottom w:val="single" w:color="auto" w:sz="4" w:space="0"/>
              <w:right w:val="single" w:color="auto" w:sz="4" w:space="0"/>
            </w:tcBorders>
            <w:vAlign w:val="center"/>
          </w:tcPr>
          <w:p>
            <w:pPr>
              <w:pStyle w:val="48"/>
              <w:rPr>
                <w:rFonts w:cs="Arial"/>
                <w:szCs w:val="24"/>
              </w:rPr>
            </w:pPr>
            <w:r>
              <w:rPr>
                <w:rFonts w:hint="eastAsia" w:cs="Arial"/>
                <w:szCs w:val="24"/>
              </w:rPr>
              <w:t>评审办法</w:t>
            </w:r>
          </w:p>
        </w:tc>
        <w:tc>
          <w:tcPr>
            <w:tcW w:w="6620" w:type="dxa"/>
            <w:tcBorders>
              <w:top w:val="single" w:color="auto" w:sz="4" w:space="0"/>
              <w:left w:val="single" w:color="auto" w:sz="4" w:space="0"/>
              <w:bottom w:val="single" w:color="auto" w:sz="4" w:space="0"/>
              <w:right w:val="single" w:color="auto" w:sz="4" w:space="0"/>
            </w:tcBorders>
            <w:vAlign w:val="center"/>
          </w:tcPr>
          <w:p>
            <w:pPr>
              <w:pStyle w:val="48"/>
              <w:rPr>
                <w:rFonts w:cs="宋体"/>
                <w:color w:val="000000"/>
              </w:rPr>
            </w:pPr>
            <w:r>
              <w:rPr>
                <w:rFonts w:hint="default" w:ascii="Arial" w:hAnsi="Arial" w:cs="Arial"/>
              </w:rPr>
              <w:t>√</w:t>
            </w:r>
            <w:r>
              <w:rPr>
                <w:rFonts w:hint="eastAsia"/>
              </w:rPr>
              <w:t>经评审的最低价法</w:t>
            </w:r>
          </w:p>
          <w:p>
            <w:pPr>
              <w:pStyle w:val="48"/>
            </w:pPr>
            <w:r>
              <w:rPr>
                <w:rFonts w:hint="eastAsia" w:cs="宋体"/>
                <w:color w:val="000000"/>
              </w:rPr>
              <w:t>□</w:t>
            </w:r>
            <w:r>
              <w:rPr>
                <w:rFonts w:hint="eastAsia"/>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1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48"/>
              <w:jc w:val="center"/>
            </w:pPr>
            <w:r>
              <w:rPr>
                <w:rFonts w:hint="eastAsia"/>
              </w:rPr>
              <w:t>16.2</w:t>
            </w:r>
          </w:p>
        </w:tc>
        <w:tc>
          <w:tcPr>
            <w:tcW w:w="1842" w:type="dxa"/>
            <w:tcBorders>
              <w:top w:val="single" w:color="auto" w:sz="4" w:space="0"/>
              <w:left w:val="single" w:color="auto" w:sz="4" w:space="0"/>
              <w:bottom w:val="single" w:color="auto" w:sz="4" w:space="0"/>
              <w:right w:val="single" w:color="auto" w:sz="4" w:space="0"/>
            </w:tcBorders>
            <w:vAlign w:val="center"/>
          </w:tcPr>
          <w:p>
            <w:pPr>
              <w:pStyle w:val="48"/>
            </w:pPr>
            <w:r>
              <w:rPr>
                <w:rFonts w:hint="eastAsia" w:cs="Arial"/>
              </w:rPr>
              <w:t>谈判时间及地点</w:t>
            </w:r>
          </w:p>
        </w:tc>
        <w:tc>
          <w:tcPr>
            <w:tcW w:w="6620" w:type="dxa"/>
            <w:tcBorders>
              <w:top w:val="single" w:color="auto" w:sz="4" w:space="0"/>
              <w:left w:val="single" w:color="auto" w:sz="4" w:space="0"/>
              <w:bottom w:val="single" w:color="auto" w:sz="4" w:space="0"/>
              <w:right w:val="single" w:color="auto" w:sz="4" w:space="0"/>
            </w:tcBorders>
            <w:vAlign w:val="center"/>
          </w:tcPr>
          <w:p>
            <w:pPr>
              <w:pStyle w:val="48"/>
            </w:pPr>
            <w:r>
              <w:rPr>
                <w:rFonts w:hint="eastAsia"/>
              </w:rPr>
              <w:t>谈判开始时间：</w:t>
            </w:r>
            <w:r>
              <w:rPr>
                <w:rFonts w:hint="eastAsia"/>
                <w:u w:val="single"/>
              </w:rPr>
              <w:t>____</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w:t>
            </w:r>
            <w:r>
              <w:rPr>
                <w:rFonts w:hint="eastAsia"/>
                <w:u w:val="single"/>
              </w:rPr>
              <w:t xml:space="preserve">   </w:t>
            </w:r>
            <w:r>
              <w:rPr>
                <w:rFonts w:hint="eastAsia"/>
              </w:rPr>
              <w:t>分</w:t>
            </w:r>
            <w:r>
              <w:rPr>
                <w:rFonts w:hint="eastAsia"/>
                <w:lang w:eastAsia="zh-CN"/>
              </w:rPr>
              <w:t>（另行通知）</w:t>
            </w:r>
          </w:p>
          <w:p>
            <w:pPr>
              <w:pStyle w:val="48"/>
            </w:pPr>
            <w:r>
              <w:rPr>
                <w:rFonts w:hint="eastAsia"/>
              </w:rPr>
              <w:t>谈判地点：</w:t>
            </w:r>
            <w:r>
              <w:rPr>
                <w:rFonts w:hint="eastAsia"/>
                <w:u w:val="single"/>
              </w:rPr>
              <w:t xml:space="preserve"> </w:t>
            </w:r>
            <w:r>
              <w:rPr>
                <w:rFonts w:hint="eastAsia"/>
                <w:u w:val="single"/>
                <w:lang w:eastAsia="zh-CN"/>
              </w:rPr>
              <w:t>北京市海淀区学院南路</w:t>
            </w:r>
            <w:r>
              <w:rPr>
                <w:rFonts w:hint="eastAsia"/>
                <w:u w:val="single"/>
                <w:lang w:val="en-US" w:eastAsia="zh-CN"/>
              </w:rPr>
              <w:t>40号</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1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48"/>
              <w:jc w:val="center"/>
            </w:pPr>
            <w:r>
              <w:rPr>
                <w:rFonts w:hint="eastAsia"/>
              </w:rPr>
              <w:t>21.3</w:t>
            </w:r>
          </w:p>
        </w:tc>
        <w:tc>
          <w:tcPr>
            <w:tcW w:w="1842" w:type="dxa"/>
            <w:tcBorders>
              <w:top w:val="single" w:color="auto" w:sz="4" w:space="0"/>
              <w:left w:val="single" w:color="auto" w:sz="4" w:space="0"/>
              <w:bottom w:val="single" w:color="auto" w:sz="4" w:space="0"/>
              <w:right w:val="single" w:color="auto" w:sz="4" w:space="0"/>
            </w:tcBorders>
            <w:vAlign w:val="center"/>
          </w:tcPr>
          <w:p>
            <w:pPr>
              <w:pStyle w:val="48"/>
            </w:pPr>
            <w:r>
              <w:rPr>
                <w:rFonts w:hint="eastAsia"/>
              </w:rPr>
              <w:t>履约担保</w:t>
            </w:r>
          </w:p>
        </w:tc>
        <w:tc>
          <w:tcPr>
            <w:tcW w:w="6620" w:type="dxa"/>
            <w:tcBorders>
              <w:top w:val="single" w:color="auto" w:sz="4" w:space="0"/>
              <w:left w:val="single" w:color="auto" w:sz="4" w:space="0"/>
              <w:bottom w:val="single" w:color="auto" w:sz="4" w:space="0"/>
              <w:right w:val="single" w:color="auto" w:sz="4" w:space="0"/>
            </w:tcBorders>
            <w:vAlign w:val="center"/>
          </w:tcPr>
          <w:p>
            <w:pPr>
              <w:pStyle w:val="48"/>
              <w:rPr>
                <w:rFonts w:cs="宋体"/>
                <w:color w:val="000000"/>
              </w:rPr>
            </w:pPr>
            <w:r>
              <w:rPr>
                <w:rFonts w:hint="default" w:ascii="Arial" w:hAnsi="Arial" w:cs="Arial"/>
              </w:rPr>
              <w:t>√</w:t>
            </w:r>
            <w:r>
              <w:rPr>
                <w:rFonts w:hint="eastAsia" w:cs="宋体"/>
                <w:color w:val="000000"/>
              </w:rPr>
              <w:t>不提供</w:t>
            </w:r>
          </w:p>
          <w:p>
            <w:pPr>
              <w:pStyle w:val="48"/>
              <w:rPr>
                <w:rFonts w:cs="宋体"/>
                <w:color w:val="000000"/>
              </w:rPr>
            </w:pPr>
            <w:r>
              <w:rPr>
                <w:rFonts w:hint="eastAsia" w:cs="宋体"/>
                <w:color w:val="000000"/>
              </w:rPr>
              <w:t>□提供</w:t>
            </w:r>
          </w:p>
          <w:p>
            <w:pPr>
              <w:pStyle w:val="48"/>
              <w:rPr>
                <w:rFonts w:cs="宋体"/>
                <w:color w:val="000000"/>
              </w:rPr>
            </w:pPr>
            <w:r>
              <w:rPr>
                <w:rFonts w:hint="eastAsia" w:cs="宋体"/>
                <w:color w:val="000000"/>
              </w:rPr>
              <w:t>履约担保金额：</w:t>
            </w:r>
          </w:p>
          <w:p>
            <w:pPr>
              <w:pStyle w:val="48"/>
            </w:pPr>
            <w:r>
              <w:rPr>
                <w:rFonts w:hint="eastAsia" w:cs="宋体"/>
                <w:color w:val="000000"/>
              </w:rPr>
              <w:t>履约担保形式：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2"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pStyle w:val="48"/>
              <w:jc w:val="center"/>
            </w:pPr>
            <w:r>
              <w:rPr>
                <w:rFonts w:hint="eastAsia"/>
              </w:rPr>
              <w:t>22</w:t>
            </w:r>
          </w:p>
        </w:tc>
        <w:tc>
          <w:tcPr>
            <w:tcW w:w="1842" w:type="dxa"/>
            <w:tcBorders>
              <w:top w:val="single" w:color="auto" w:sz="4" w:space="0"/>
              <w:left w:val="single" w:color="auto" w:sz="4" w:space="0"/>
              <w:bottom w:val="single" w:color="auto" w:sz="4" w:space="0"/>
              <w:right w:val="single" w:color="auto" w:sz="4" w:space="0"/>
            </w:tcBorders>
            <w:vAlign w:val="center"/>
          </w:tcPr>
          <w:p>
            <w:pPr>
              <w:pStyle w:val="48"/>
            </w:pPr>
            <w:r>
              <w:rPr>
                <w:rFonts w:hint="eastAsia"/>
              </w:rPr>
              <w:t>其他需要补充的内容</w:t>
            </w:r>
          </w:p>
        </w:tc>
        <w:tc>
          <w:tcPr>
            <w:tcW w:w="6620" w:type="dxa"/>
            <w:tcBorders>
              <w:top w:val="single" w:color="auto" w:sz="4" w:space="0"/>
              <w:left w:val="single" w:color="auto" w:sz="4" w:space="0"/>
              <w:bottom w:val="single" w:color="auto" w:sz="4" w:space="0"/>
              <w:right w:val="single" w:color="auto" w:sz="4" w:space="0"/>
            </w:tcBorders>
            <w:vAlign w:val="center"/>
          </w:tcPr>
          <w:p>
            <w:pPr>
              <w:pStyle w:val="48"/>
              <w:rPr>
                <w:rFonts w:cs="宋体"/>
                <w:color w:val="000000"/>
              </w:rPr>
            </w:pPr>
          </w:p>
        </w:tc>
      </w:tr>
    </w:tbl>
    <w:p>
      <w:pPr>
        <w:spacing w:line="360" w:lineRule="auto"/>
        <w:ind w:firstLine="482"/>
        <w:rPr>
          <w:rFonts w:ascii="宋体" w:hAnsi="宋体" w:cs="Arial"/>
          <w:szCs w:val="24"/>
        </w:rPr>
        <w:sectPr>
          <w:footerReference r:id="rId10" w:type="default"/>
          <w:pgSz w:w="11906" w:h="16838"/>
          <w:pgMar w:top="1418" w:right="1418" w:bottom="1418" w:left="1418" w:header="851" w:footer="992" w:gutter="0"/>
          <w:pgNumType w:start="1"/>
          <w:cols w:space="720" w:num="1"/>
          <w:docGrid w:type="linesAndChars" w:linePitch="312" w:charSpace="0"/>
        </w:sectPr>
      </w:pPr>
      <w:r>
        <w:rPr>
          <w:rFonts w:hint="eastAsia" w:ascii="宋体" w:hAnsi="宋体" w:cs="Arial"/>
          <w:b/>
          <w:kern w:val="0"/>
          <w:szCs w:val="24"/>
        </w:rPr>
        <w:t>备注：供应商须知前附表是对</w:t>
      </w:r>
      <w:r>
        <w:rPr>
          <w:rFonts w:hint="eastAsia" w:ascii="宋体" w:hAnsi="宋体" w:cs="Arial"/>
          <w:b/>
          <w:szCs w:val="24"/>
        </w:rPr>
        <w:t>供应商须知的具体补充和修改，如有矛盾，应以本表为准</w:t>
      </w:r>
      <w:r>
        <w:rPr>
          <w:rFonts w:hint="eastAsia" w:ascii="宋体" w:hAnsi="宋体" w:cs="Arial"/>
          <w:szCs w:val="24"/>
        </w:rPr>
        <w:t>。</w:t>
      </w:r>
    </w:p>
    <w:p>
      <w:pPr>
        <w:ind w:firstLine="480"/>
        <w:rPr>
          <w:rFonts w:ascii="宋体" w:hAnsi="宋体"/>
          <w:szCs w:val="24"/>
        </w:rPr>
      </w:pPr>
    </w:p>
    <w:p>
      <w:pPr>
        <w:pStyle w:val="3"/>
        <w:spacing w:before="120"/>
      </w:pPr>
      <w:bookmarkStart w:id="36" w:name="_Toc4155319"/>
      <w:r>
        <w:rPr>
          <w:rFonts w:hint="eastAsia"/>
        </w:rPr>
        <w:t>1．适用范围</w:t>
      </w:r>
      <w:bookmarkEnd w:id="36"/>
    </w:p>
    <w:p>
      <w:pPr>
        <w:ind w:firstLine="480"/>
        <w:rPr>
          <w:rFonts w:ascii="宋体" w:hAnsi="宋体" w:cs="Arial"/>
          <w:szCs w:val="24"/>
        </w:rPr>
      </w:pPr>
      <w:r>
        <w:rPr>
          <w:rFonts w:hint="eastAsia"/>
        </w:rPr>
        <w:t>本采购文件仅适用于本项目公告中所述项目。</w:t>
      </w:r>
    </w:p>
    <w:p>
      <w:pPr>
        <w:pStyle w:val="3"/>
        <w:spacing w:before="120"/>
      </w:pPr>
      <w:bookmarkStart w:id="37" w:name="_Toc4155320"/>
      <w:r>
        <w:rPr>
          <w:rFonts w:hint="eastAsia"/>
        </w:rPr>
        <w:t>2. 定义</w:t>
      </w:r>
      <w:bookmarkEnd w:id="37"/>
    </w:p>
    <w:p>
      <w:pPr>
        <w:ind w:firstLine="480"/>
        <w:rPr>
          <w:rFonts w:ascii="宋体" w:hAnsi="宋体"/>
          <w:color w:val="000000"/>
          <w:szCs w:val="24"/>
        </w:rPr>
      </w:pPr>
      <w:r>
        <w:rPr>
          <w:rFonts w:hint="eastAsia" w:ascii="宋体" w:hAnsi="宋体" w:cs="Arial"/>
          <w:szCs w:val="24"/>
        </w:rPr>
        <w:t>2.1</w:t>
      </w:r>
      <w:r>
        <w:rPr>
          <w:rFonts w:ascii="宋体" w:hAnsi="宋体" w:cs="Arial"/>
          <w:szCs w:val="24"/>
        </w:rPr>
        <w:t xml:space="preserve"> </w:t>
      </w:r>
      <w:r>
        <w:rPr>
          <w:rFonts w:hint="eastAsia" w:ascii="宋体" w:hAnsi="宋体" w:cs="Arial"/>
          <w:szCs w:val="24"/>
        </w:rPr>
        <w:t>采购人：</w:t>
      </w:r>
      <w:r>
        <w:rPr>
          <w:rFonts w:hint="eastAsia"/>
        </w:rPr>
        <w:t>指依法提出采购项目进行采购的法人或其他组织，采购人及联系方式见供应商须知前附表。</w:t>
      </w:r>
    </w:p>
    <w:p>
      <w:pPr>
        <w:ind w:firstLine="480"/>
        <w:rPr>
          <w:rFonts w:ascii="宋体" w:hAnsi="宋体" w:cs="Arial"/>
          <w:szCs w:val="24"/>
        </w:rPr>
      </w:pPr>
      <w:r>
        <w:rPr>
          <w:rFonts w:hint="eastAsia" w:ascii="宋体" w:hAnsi="宋体" w:cs="Arial"/>
          <w:szCs w:val="24"/>
        </w:rPr>
        <w:t>2.2</w:t>
      </w:r>
      <w:r>
        <w:rPr>
          <w:rFonts w:ascii="宋体" w:hAnsi="宋体" w:cs="Arial"/>
          <w:szCs w:val="24"/>
        </w:rPr>
        <w:t xml:space="preserve"> </w:t>
      </w:r>
      <w:r>
        <w:rPr>
          <w:rFonts w:hint="eastAsia" w:ascii="宋体" w:hAnsi="宋体" w:cs="Arial"/>
          <w:szCs w:val="24"/>
        </w:rPr>
        <w:t>供应商：指响应竞争性谈判采购，参与竞争性谈判的法人或其他组织。</w:t>
      </w:r>
    </w:p>
    <w:p>
      <w:pPr>
        <w:ind w:firstLine="480"/>
        <w:rPr>
          <w:rFonts w:ascii="宋体" w:hAnsi="宋体" w:cs="Arial"/>
          <w:szCs w:val="24"/>
        </w:rPr>
      </w:pPr>
      <w:r>
        <w:rPr>
          <w:rFonts w:hint="eastAsia" w:ascii="宋体" w:hAnsi="宋体" w:cs="Arial"/>
          <w:szCs w:val="24"/>
        </w:rPr>
        <w:t>2.3</w:t>
      </w:r>
      <w:r>
        <w:rPr>
          <w:rFonts w:ascii="宋体" w:hAnsi="宋体" w:cs="Arial"/>
          <w:szCs w:val="24"/>
        </w:rPr>
        <w:t xml:space="preserve"> </w:t>
      </w:r>
      <w:r>
        <w:rPr>
          <w:rFonts w:hint="eastAsia" w:ascii="宋体" w:hAnsi="宋体" w:cs="Arial"/>
          <w:szCs w:val="24"/>
        </w:rPr>
        <w:t>成交人：指最终被授予合同的供应商。</w:t>
      </w:r>
    </w:p>
    <w:p>
      <w:pPr>
        <w:pStyle w:val="3"/>
        <w:spacing w:before="120"/>
      </w:pPr>
      <w:bookmarkStart w:id="38" w:name="_Toc4155321"/>
      <w:r>
        <w:rPr>
          <w:rFonts w:hint="eastAsia"/>
        </w:rPr>
        <w:t>3. 谈判费用</w:t>
      </w:r>
      <w:bookmarkEnd w:id="38"/>
    </w:p>
    <w:p>
      <w:pPr>
        <w:ind w:firstLine="480"/>
      </w:pPr>
      <w:r>
        <w:rPr>
          <w:rFonts w:hint="eastAsia"/>
        </w:rPr>
        <w:t>供应商应承担与其参加竞争性谈判有关的所有费用。不论谈判过程和结果如何，供应商应自行承担所有与参加竞争性谈判有关的费用，采购人在任何情况下均无义务和责任承担这些费用。</w:t>
      </w:r>
    </w:p>
    <w:p>
      <w:pPr>
        <w:pStyle w:val="3"/>
        <w:spacing w:before="120"/>
      </w:pPr>
      <w:bookmarkStart w:id="39" w:name="_Toc4155322"/>
      <w:r>
        <w:rPr>
          <w:rFonts w:hint="eastAsia"/>
        </w:rPr>
        <w:t>4. 现场踏勘</w:t>
      </w:r>
      <w:bookmarkEnd w:id="39"/>
    </w:p>
    <w:p>
      <w:pPr>
        <w:ind w:firstLine="480"/>
      </w:pPr>
      <w:r>
        <w:rPr>
          <w:rFonts w:hint="eastAsia"/>
        </w:rPr>
        <w:t>4.1</w:t>
      </w:r>
      <w:r>
        <w:t xml:space="preserve"> </w:t>
      </w:r>
      <w:r>
        <w:rPr>
          <w:rFonts w:hint="eastAsia"/>
        </w:rPr>
        <w:t xml:space="preserve">供应商须知前附表规定组织踏勘现场的，采购人按供应商须知前附表规定的时间、地点组织供应商踏勘项目现场。 </w:t>
      </w:r>
    </w:p>
    <w:p>
      <w:pPr>
        <w:ind w:firstLine="480"/>
      </w:pPr>
      <w:r>
        <w:rPr>
          <w:rFonts w:hint="eastAsia"/>
        </w:rPr>
        <w:t>4.2</w:t>
      </w:r>
      <w:r>
        <w:t xml:space="preserve"> </w:t>
      </w:r>
      <w:r>
        <w:rPr>
          <w:rFonts w:hint="eastAsia"/>
        </w:rPr>
        <w:t>供应商自行负责在踏勘现场中所发生的人员伤亡和财产损失。</w:t>
      </w:r>
    </w:p>
    <w:p>
      <w:pPr>
        <w:ind w:firstLine="480"/>
      </w:pPr>
      <w:r>
        <w:rPr>
          <w:rFonts w:hint="eastAsia"/>
        </w:rPr>
        <w:t>4.3</w:t>
      </w:r>
      <w:r>
        <w:t xml:space="preserve"> </w:t>
      </w:r>
      <w:r>
        <w:rPr>
          <w:rFonts w:hint="eastAsia"/>
        </w:rPr>
        <w:t>采购人在踏勘现场中介绍的项目场地和相关的周边环境情况，仅供供应商在编制响应文件时参考，采购人不对供应商据此作出的判断和决策负责。</w:t>
      </w:r>
    </w:p>
    <w:p>
      <w:pPr>
        <w:pStyle w:val="3"/>
        <w:spacing w:before="120"/>
      </w:pPr>
      <w:bookmarkStart w:id="40" w:name="_Toc4155323"/>
      <w:r>
        <w:rPr>
          <w:rFonts w:hint="eastAsia"/>
        </w:rPr>
        <w:t>5.</w:t>
      </w:r>
      <w:r>
        <w:t xml:space="preserve"> </w:t>
      </w:r>
      <w:r>
        <w:rPr>
          <w:rFonts w:hint="eastAsia"/>
        </w:rPr>
        <w:t>采购文件的构成</w:t>
      </w:r>
      <w:bookmarkEnd w:id="40"/>
    </w:p>
    <w:p>
      <w:pPr>
        <w:ind w:firstLine="480"/>
      </w:pPr>
      <w:r>
        <w:rPr>
          <w:rFonts w:hint="eastAsia"/>
          <w:kern w:val="0"/>
        </w:rPr>
        <w:t>5.1</w:t>
      </w:r>
      <w:r>
        <w:rPr>
          <w:rFonts w:hint="eastAsia"/>
        </w:rPr>
        <w:t>采购文件由下列文件以及在竞争性谈判采购过程中发出的修正和补充文件组成：</w:t>
      </w:r>
    </w:p>
    <w:p>
      <w:pPr>
        <w:ind w:firstLine="480"/>
        <w:rPr>
          <w:kern w:val="0"/>
        </w:rPr>
      </w:pPr>
      <w:r>
        <w:rPr>
          <w:rFonts w:hint="eastAsia"/>
          <w:kern w:val="0"/>
        </w:rPr>
        <w:t>第一章</w:t>
      </w:r>
      <w:r>
        <w:rPr>
          <w:rFonts w:hint="eastAsia"/>
          <w:kern w:val="0"/>
        </w:rPr>
        <w:tab/>
      </w:r>
      <w:r>
        <w:rPr>
          <w:rFonts w:hint="eastAsia"/>
          <w:kern w:val="0"/>
        </w:rPr>
        <w:t xml:space="preserve">  采购公告</w:t>
      </w:r>
    </w:p>
    <w:p>
      <w:pPr>
        <w:ind w:firstLine="480"/>
        <w:rPr>
          <w:kern w:val="0"/>
        </w:rPr>
      </w:pPr>
      <w:r>
        <w:rPr>
          <w:rFonts w:hint="eastAsia"/>
          <w:kern w:val="0"/>
        </w:rPr>
        <w:t>第二章</w:t>
      </w:r>
      <w:r>
        <w:rPr>
          <w:rFonts w:hint="eastAsia"/>
          <w:kern w:val="0"/>
        </w:rPr>
        <w:tab/>
      </w:r>
      <w:r>
        <w:rPr>
          <w:rFonts w:hint="eastAsia"/>
          <w:kern w:val="0"/>
        </w:rPr>
        <w:t xml:space="preserve">  供应商须知及前附表</w:t>
      </w:r>
    </w:p>
    <w:p>
      <w:pPr>
        <w:ind w:firstLine="480"/>
        <w:rPr>
          <w:kern w:val="0"/>
        </w:rPr>
      </w:pPr>
      <w:r>
        <w:rPr>
          <w:rFonts w:hint="eastAsia"/>
          <w:kern w:val="0"/>
        </w:rPr>
        <w:t>第三章</w:t>
      </w:r>
      <w:r>
        <w:rPr>
          <w:rFonts w:hint="eastAsia"/>
          <w:kern w:val="0"/>
        </w:rPr>
        <w:tab/>
      </w:r>
      <w:r>
        <w:rPr>
          <w:rFonts w:hint="eastAsia"/>
          <w:kern w:val="0"/>
        </w:rPr>
        <w:t xml:space="preserve">  评审办法</w:t>
      </w:r>
    </w:p>
    <w:p>
      <w:pPr>
        <w:ind w:firstLine="480"/>
        <w:rPr>
          <w:kern w:val="0"/>
        </w:rPr>
      </w:pPr>
      <w:r>
        <w:rPr>
          <w:rFonts w:hint="eastAsia"/>
          <w:kern w:val="0"/>
        </w:rPr>
        <w:t>第四章</w:t>
      </w:r>
      <w:r>
        <w:rPr>
          <w:rFonts w:hint="eastAsia"/>
          <w:kern w:val="0"/>
        </w:rPr>
        <w:tab/>
      </w:r>
      <w:r>
        <w:rPr>
          <w:rFonts w:hint="eastAsia"/>
          <w:kern w:val="0"/>
        </w:rPr>
        <w:t xml:space="preserve">  合同草案</w:t>
      </w:r>
    </w:p>
    <w:p>
      <w:pPr>
        <w:ind w:firstLine="480"/>
        <w:rPr>
          <w:kern w:val="0"/>
        </w:rPr>
      </w:pPr>
      <w:r>
        <w:rPr>
          <w:rFonts w:hint="eastAsia"/>
          <w:kern w:val="0"/>
        </w:rPr>
        <w:t>第五章</w:t>
      </w:r>
      <w:r>
        <w:rPr>
          <w:rFonts w:hint="eastAsia"/>
          <w:kern w:val="0"/>
        </w:rPr>
        <w:tab/>
      </w:r>
      <w:r>
        <w:rPr>
          <w:rFonts w:hint="eastAsia"/>
          <w:kern w:val="0"/>
        </w:rPr>
        <w:t xml:space="preserve">  采购需求</w:t>
      </w:r>
    </w:p>
    <w:p>
      <w:pPr>
        <w:ind w:firstLine="480"/>
        <w:rPr>
          <w:kern w:val="0"/>
        </w:rPr>
      </w:pPr>
      <w:r>
        <w:rPr>
          <w:rFonts w:hint="eastAsia"/>
          <w:kern w:val="0"/>
        </w:rPr>
        <w:t>第六章</w:t>
      </w:r>
      <w:r>
        <w:rPr>
          <w:rFonts w:hint="eastAsia"/>
          <w:kern w:val="0"/>
        </w:rPr>
        <w:tab/>
      </w:r>
      <w:r>
        <w:rPr>
          <w:rFonts w:hint="eastAsia"/>
          <w:kern w:val="0"/>
        </w:rPr>
        <w:t xml:space="preserve">  响应文件格式</w:t>
      </w:r>
    </w:p>
    <w:p>
      <w:pPr>
        <w:ind w:firstLine="480"/>
        <w:rPr>
          <w:kern w:val="0"/>
        </w:rPr>
      </w:pPr>
      <w:r>
        <w:rPr>
          <w:rFonts w:hint="eastAsia"/>
          <w:kern w:val="0"/>
        </w:rPr>
        <w:t>5.2  供应商下载采购文件过程中，如发现下载不成功或下载的文件格式有误等问题请务必于采购文件发售期内联系电子商务平台客服热线。如果供应商不按上述要求提出而造成不良后果，电子商务平台不承担责任。</w:t>
      </w:r>
    </w:p>
    <w:p>
      <w:pPr>
        <w:ind w:firstLine="480"/>
        <w:rPr>
          <w:kern w:val="0"/>
        </w:rPr>
      </w:pPr>
      <w:r>
        <w:rPr>
          <w:rFonts w:hint="eastAsia"/>
          <w:kern w:val="0"/>
        </w:rPr>
        <w:t>5.3  供应商应认真阅读采购文件中所有的事项、格式、条款和要求等。供应商没有按照采购文件要求提交全部资料，或者响应文件没有对采购文件在各方面都做出实质性响应，可能导致其竞争性谈判被拒绝。</w:t>
      </w:r>
    </w:p>
    <w:p>
      <w:pPr>
        <w:ind w:firstLine="480"/>
        <w:rPr>
          <w:kern w:val="0"/>
        </w:rPr>
      </w:pPr>
      <w:r>
        <w:rPr>
          <w:rFonts w:hint="eastAsia"/>
          <w:kern w:val="0"/>
        </w:rPr>
        <w:t>5.4  响应文件一经递交成功即表示供应商确认采购文件的法律效力，并对此采购文件提出的要求做出相应的响应，承担与采购文件要求相适应的民事、经济和法律责任。</w:t>
      </w:r>
    </w:p>
    <w:p>
      <w:pPr>
        <w:ind w:firstLine="480"/>
        <w:rPr>
          <w:kern w:val="0"/>
        </w:rPr>
      </w:pPr>
      <w:r>
        <w:rPr>
          <w:rFonts w:hint="eastAsia"/>
          <w:kern w:val="0"/>
        </w:rPr>
        <w:t>5.5  由于供应商对采购文件的误解与疏忽或报价误差，而导致竞争性谈判失败或成交后的任何风险，其责任均由供应商自负。</w:t>
      </w:r>
    </w:p>
    <w:p>
      <w:pPr>
        <w:pStyle w:val="3"/>
        <w:spacing w:before="120"/>
      </w:pPr>
      <w:bookmarkStart w:id="41" w:name="_Toc4155324"/>
      <w:r>
        <w:rPr>
          <w:rFonts w:hint="eastAsia"/>
        </w:rPr>
        <w:t>6.</w:t>
      </w:r>
      <w:r>
        <w:t xml:space="preserve"> </w:t>
      </w:r>
      <w:r>
        <w:rPr>
          <w:rFonts w:hint="eastAsia"/>
        </w:rPr>
        <w:t>采购文件的澄清、修改、补充</w:t>
      </w:r>
      <w:bookmarkEnd w:id="41"/>
    </w:p>
    <w:p>
      <w:pPr>
        <w:ind w:firstLine="480"/>
      </w:pPr>
      <w:r>
        <w:rPr>
          <w:rFonts w:hint="eastAsia"/>
        </w:rPr>
        <w:t>6.1 任何要求对采购文件进行澄清的供应商，均应在供应商须知前附表规定的时间提出。在谈判截止期前的任何时候，无论出于何种原因，采购人/采购代理机构可主动地对采购文件进行修改、补充。</w:t>
      </w:r>
    </w:p>
    <w:p>
      <w:pPr>
        <w:ind w:firstLine="480"/>
      </w:pPr>
      <w:r>
        <w:rPr>
          <w:rFonts w:hint="eastAsia"/>
        </w:rPr>
        <w:t>6.2采购文件的澄清和修改将以书面形式通知供应商。采购文件的澄清和修改均作为采购文件的组成部分，对供应商具有约束力。供应商应在收到通知后进行确认，如果供应商不予确认，引起的后果由供应商自行承担。</w:t>
      </w:r>
    </w:p>
    <w:p>
      <w:pPr>
        <w:ind w:firstLine="480"/>
      </w:pPr>
      <w:r>
        <w:rPr>
          <w:rFonts w:hint="eastAsia"/>
        </w:rPr>
        <w:t>6.3 为使供应商有充分时间对采购文件的修改部分进行研究，采购人可适当延长响应文件的递交截止时间，并以书面形式通知所有购买采购文件的供应商。</w:t>
      </w:r>
    </w:p>
    <w:p>
      <w:pPr>
        <w:pStyle w:val="3"/>
        <w:spacing w:before="120"/>
      </w:pPr>
      <w:bookmarkStart w:id="42" w:name="_Toc4155325"/>
      <w:r>
        <w:rPr>
          <w:rFonts w:hint="eastAsia"/>
        </w:rPr>
        <w:t>7.</w:t>
      </w:r>
      <w:r>
        <w:t xml:space="preserve"> </w:t>
      </w:r>
      <w:r>
        <w:rPr>
          <w:rFonts w:hint="eastAsia"/>
        </w:rPr>
        <w:t>编制基本要求</w:t>
      </w:r>
      <w:bookmarkEnd w:id="42"/>
    </w:p>
    <w:p>
      <w:pPr>
        <w:ind w:firstLine="480"/>
      </w:pPr>
      <w:r>
        <w:rPr>
          <w:rFonts w:hint="eastAsia"/>
        </w:rPr>
        <w:t>7.1</w:t>
      </w:r>
      <w:r>
        <w:t xml:space="preserve"> 供应商应在认真阅读，充分理解本采购文件所有内容（包括所有的澄清、修改、补充内容）的基础上，按照“第</w:t>
      </w:r>
      <w:r>
        <w:rPr>
          <w:rFonts w:hint="eastAsia"/>
        </w:rPr>
        <w:t>六</w:t>
      </w:r>
      <w:r>
        <w:t>章响应文件格式”</w:t>
      </w:r>
      <w:r>
        <w:rPr>
          <w:rFonts w:hint="eastAsia"/>
        </w:rPr>
        <w:t>的要求</w:t>
      </w:r>
      <w:r>
        <w:t>编制完整的响应文件。</w:t>
      </w:r>
    </w:p>
    <w:p>
      <w:pPr>
        <w:ind w:firstLine="480"/>
        <w:rPr>
          <w:rFonts w:cs="Arial"/>
          <w:lang w:val="zh-CN"/>
        </w:rPr>
      </w:pPr>
      <w:r>
        <w:rPr>
          <w:rFonts w:hint="eastAsia" w:cs="Arial"/>
          <w:lang w:val="zh-CN"/>
        </w:rPr>
        <w:t>7.2</w:t>
      </w:r>
      <w:r>
        <w:rPr>
          <w:rFonts w:cs="Arial"/>
          <w:lang w:val="zh-CN"/>
        </w:rPr>
        <w:t xml:space="preserve"> </w:t>
      </w:r>
      <w:r>
        <w:rPr>
          <w:rFonts w:hint="eastAsia" w:cs="Arial"/>
          <w:lang w:val="zh-CN"/>
        </w:rPr>
        <w:t>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pPr>
        <w:ind w:firstLine="480"/>
        <w:rPr>
          <w:rFonts w:cs="Arial"/>
          <w:lang w:val="zh-CN"/>
        </w:rPr>
      </w:pPr>
      <w:r>
        <w:rPr>
          <w:rFonts w:hint="eastAsia" w:cs="Arial"/>
          <w:lang w:val="zh-CN"/>
        </w:rPr>
        <w:t>7.3 如果响应文件填报的内容不详，或没有提供采购文件中所要求的全部资料及数据，给评审造成困难，责任由供应商自行承担。</w:t>
      </w:r>
    </w:p>
    <w:p>
      <w:pPr>
        <w:ind w:firstLine="480"/>
        <w:rPr>
          <w:rFonts w:cs="Arial"/>
          <w:lang w:val="zh-CN"/>
        </w:rPr>
      </w:pPr>
      <w:r>
        <w:rPr>
          <w:rFonts w:hint="eastAsia" w:cs="Arial"/>
          <w:lang w:val="zh-CN"/>
        </w:rPr>
        <w:t>7.4如供应商没有对本采购文件的要求提出偏离，采购人可认为供应商完全接受和同意本采购文件的要求。响应文件对采购文件未提出偏离条款的，均被视为接受和同意。响应文件与采购文件有偏离之处，无论多么微小，均应按采购文件格式要求统一汇总说明。</w:t>
      </w:r>
    </w:p>
    <w:p>
      <w:pPr>
        <w:ind w:firstLine="480"/>
        <w:rPr>
          <w:rFonts w:cs="Arial"/>
          <w:lang w:val="zh-CN"/>
        </w:rPr>
      </w:pPr>
      <w:r>
        <w:rPr>
          <w:rFonts w:hint="eastAsia" w:cs="Arial"/>
          <w:lang w:val="zh-CN"/>
        </w:rPr>
        <w:t>7.5  供应商只能推荐一个方案参与竞标，采购文件另有要求的，需注明“备选、可选项”等类似字样加以区分。备选方案不作为评审的依据，只有成交后，采购人才有可能考虑其备选方案。</w:t>
      </w:r>
    </w:p>
    <w:p>
      <w:pPr>
        <w:pStyle w:val="3"/>
        <w:spacing w:before="120"/>
      </w:pPr>
      <w:bookmarkStart w:id="43" w:name="_Toc4155326"/>
      <w:r>
        <w:rPr>
          <w:rFonts w:hint="eastAsia"/>
        </w:rPr>
        <w:t>8.</w:t>
      </w:r>
      <w:r>
        <w:t xml:space="preserve"> </w:t>
      </w:r>
      <w:r>
        <w:rPr>
          <w:rFonts w:hint="eastAsia"/>
        </w:rPr>
        <w:t>语言和计量单位</w:t>
      </w:r>
      <w:bookmarkEnd w:id="43"/>
    </w:p>
    <w:p>
      <w:pPr>
        <w:ind w:firstLine="480"/>
      </w:pPr>
      <w:r>
        <w:rPr>
          <w:rFonts w:hint="eastAsia"/>
        </w:rPr>
        <w:t>8.1</w:t>
      </w:r>
      <w:r>
        <w:t xml:space="preserve"> </w:t>
      </w:r>
      <w:r>
        <w:rPr>
          <w:rFonts w:hint="eastAsia"/>
        </w:rPr>
        <w:t>响应文件及供应商与采购人之间的凡与采购有关的来往信函和文件均使用中文，若其中有其它语言的书面材料，则应附有中文译文，并以中文译文为准。</w:t>
      </w:r>
    </w:p>
    <w:p>
      <w:pPr>
        <w:ind w:firstLine="480"/>
      </w:pPr>
      <w:r>
        <w:rPr>
          <w:rFonts w:hint="eastAsia"/>
        </w:rPr>
        <w:t>8.2</w:t>
      </w:r>
      <w:r>
        <w:t xml:space="preserve"> </w:t>
      </w:r>
      <w:r>
        <w:rPr>
          <w:rFonts w:hint="eastAsia"/>
        </w:rPr>
        <w:t>除非采购文件中另有规定，计量单位均采用中华人民共和国法定的计量单位。</w:t>
      </w:r>
    </w:p>
    <w:p>
      <w:pPr>
        <w:pStyle w:val="3"/>
        <w:spacing w:before="120"/>
      </w:pPr>
      <w:bookmarkStart w:id="44" w:name="_Toc4155327"/>
      <w:r>
        <w:rPr>
          <w:rFonts w:hint="eastAsia"/>
        </w:rPr>
        <w:t>9.</w:t>
      </w:r>
      <w:r>
        <w:t xml:space="preserve"> </w:t>
      </w:r>
      <w:r>
        <w:rPr>
          <w:rFonts w:hint="eastAsia"/>
        </w:rPr>
        <w:t>报价</w:t>
      </w:r>
      <w:bookmarkEnd w:id="44"/>
    </w:p>
    <w:p>
      <w:pPr>
        <w:ind w:firstLine="480"/>
      </w:pPr>
      <w:r>
        <w:rPr>
          <w:rFonts w:hint="eastAsia"/>
        </w:rPr>
        <w:t>9.1</w:t>
      </w:r>
      <w:r>
        <w:t xml:space="preserve"> </w:t>
      </w:r>
      <w:r>
        <w:rPr>
          <w:rFonts w:hint="eastAsia"/>
          <w:kern w:val="0"/>
        </w:rPr>
        <w:t>供应商</w:t>
      </w:r>
      <w:r>
        <w:rPr>
          <w:rFonts w:hint="eastAsia"/>
        </w:rPr>
        <w:t>应按照采购文件规定的内容、责任范围以及采购需求条件进行报价。并按报价部分规定的格式报出分项价格和总价。</w:t>
      </w:r>
    </w:p>
    <w:p>
      <w:pPr>
        <w:ind w:firstLine="480"/>
      </w:pPr>
      <w:r>
        <w:rPr>
          <w:rFonts w:hint="eastAsia"/>
        </w:rPr>
        <w:t>9.2</w:t>
      </w:r>
      <w:r>
        <w:t xml:space="preserve"> </w:t>
      </w:r>
      <w:r>
        <w:rPr>
          <w:rFonts w:hint="eastAsia"/>
          <w:kern w:val="0"/>
        </w:rPr>
        <w:t>供应商</w:t>
      </w:r>
      <w:r>
        <w:rPr>
          <w:rFonts w:hint="eastAsia"/>
        </w:rPr>
        <w:t>报价应包括</w:t>
      </w:r>
      <w:r>
        <w:rPr>
          <w:rFonts w:hint="eastAsia"/>
          <w:kern w:val="0"/>
        </w:rPr>
        <w:t>供应商</w:t>
      </w:r>
      <w:r>
        <w:rPr>
          <w:rFonts w:hint="eastAsia"/>
        </w:rPr>
        <w:t>成交后为完成采购项目规定的全部工作需支付的一切费用和拟获得的利润，并考虑了应承担的风险。</w:t>
      </w:r>
    </w:p>
    <w:p>
      <w:pPr>
        <w:ind w:firstLine="480"/>
      </w:pPr>
      <w:r>
        <w:rPr>
          <w:rFonts w:hint="eastAsia"/>
        </w:rPr>
        <w:t>9.3</w:t>
      </w:r>
      <w:r>
        <w:t xml:space="preserve"> </w:t>
      </w:r>
      <w:r>
        <w:rPr>
          <w:rFonts w:hint="eastAsia"/>
          <w:kern w:val="0"/>
        </w:rPr>
        <w:t>供应商</w:t>
      </w:r>
      <w:r>
        <w:rPr>
          <w:rFonts w:hint="eastAsia"/>
        </w:rPr>
        <w:t>必须根据采购文件报价格式进行报价，若</w:t>
      </w:r>
      <w:r>
        <w:rPr>
          <w:rFonts w:hint="eastAsia"/>
          <w:kern w:val="0"/>
        </w:rPr>
        <w:t>供应商</w:t>
      </w:r>
      <w:r>
        <w:rPr>
          <w:rFonts w:hint="eastAsia"/>
        </w:rPr>
        <w:t>提供免费服务，应在响应文件中说明或在报价表中填“免费”，否则视为已包含在总报价中。</w:t>
      </w:r>
    </w:p>
    <w:p>
      <w:pPr>
        <w:ind w:firstLine="480"/>
      </w:pPr>
      <w:r>
        <w:rPr>
          <w:rFonts w:hint="eastAsia"/>
        </w:rPr>
        <w:t xml:space="preserve">9.4 </w:t>
      </w:r>
      <w:r>
        <w:rPr>
          <w:rFonts w:hint="eastAsia"/>
          <w:kern w:val="0"/>
        </w:rPr>
        <w:t>供应商</w:t>
      </w:r>
      <w:r>
        <w:rPr>
          <w:rFonts w:hint="eastAsia"/>
        </w:rPr>
        <w:t>不得低于成本报价。</w:t>
      </w:r>
    </w:p>
    <w:p>
      <w:pPr>
        <w:ind w:firstLine="480"/>
      </w:pPr>
      <w:r>
        <w:rPr>
          <w:rFonts w:hint="eastAsia"/>
        </w:rPr>
        <w:t>9.5响应文件中标明的最终报价在合同执行过程中是固定不变的，不得以任何理由予以变更。</w:t>
      </w:r>
    </w:p>
    <w:p>
      <w:pPr>
        <w:ind w:firstLine="480"/>
      </w:pPr>
      <w:r>
        <w:rPr>
          <w:rFonts w:hint="eastAsia"/>
        </w:rPr>
        <w:t>9.6采购人设有最高限价的，供应商的报价不得超过最高限价，如超过最高限价，将予以否决，最高限价在供应商须知前附表中载明。</w:t>
      </w:r>
    </w:p>
    <w:p>
      <w:pPr>
        <w:pStyle w:val="3"/>
        <w:spacing w:before="120"/>
      </w:pPr>
      <w:bookmarkStart w:id="45" w:name="_Toc4155328"/>
      <w:r>
        <w:rPr>
          <w:rFonts w:hint="eastAsia"/>
        </w:rPr>
        <w:t>10.</w:t>
      </w:r>
      <w:r>
        <w:t xml:space="preserve"> </w:t>
      </w:r>
      <w:r>
        <w:rPr>
          <w:rFonts w:hint="eastAsia"/>
        </w:rPr>
        <w:t>报价货币</w:t>
      </w:r>
      <w:bookmarkEnd w:id="45"/>
    </w:p>
    <w:p>
      <w:pPr>
        <w:ind w:firstLine="480"/>
      </w:pPr>
      <w:r>
        <w:rPr>
          <w:rFonts w:hint="eastAsia"/>
        </w:rPr>
        <w:t>采用人民币报价，供应商须知前附表有明确规定的除外。</w:t>
      </w:r>
    </w:p>
    <w:p>
      <w:pPr>
        <w:pStyle w:val="3"/>
        <w:spacing w:before="120"/>
      </w:pPr>
      <w:bookmarkStart w:id="46" w:name="_Toc4155329"/>
      <w:r>
        <w:rPr>
          <w:rFonts w:hint="eastAsia" w:cs="Arial"/>
        </w:rPr>
        <w:t>11.</w:t>
      </w:r>
      <w:r>
        <w:rPr>
          <w:rFonts w:cs="Arial"/>
        </w:rPr>
        <w:t xml:space="preserve"> </w:t>
      </w:r>
      <w:r>
        <w:rPr>
          <w:rFonts w:hint="eastAsia"/>
        </w:rPr>
        <w:t>响应保证金</w:t>
      </w:r>
      <w:bookmarkEnd w:id="46"/>
    </w:p>
    <w:p>
      <w:pPr>
        <w:ind w:firstLine="480"/>
      </w:pPr>
      <w:r>
        <w:rPr>
          <w:rFonts w:hint="eastAsia"/>
        </w:rPr>
        <w:t>11.1</w:t>
      </w:r>
      <w:r>
        <w:t xml:space="preserve"> </w:t>
      </w:r>
      <w:r>
        <w:rPr>
          <w:rFonts w:hint="eastAsia"/>
        </w:rPr>
        <w:t>应提交供应商须知前附表中规定数额和形式的响应保证金，作为其响应文件的一部分，响应保证金的有效期应满足采购有效期的要求。</w:t>
      </w:r>
    </w:p>
    <w:p>
      <w:pPr>
        <w:ind w:firstLine="480"/>
      </w:pPr>
      <w:r>
        <w:rPr>
          <w:rFonts w:hint="eastAsia"/>
        </w:rPr>
        <w:t>11.2</w:t>
      </w:r>
      <w:r>
        <w:t xml:space="preserve"> </w:t>
      </w:r>
      <w:r>
        <w:rPr>
          <w:rFonts w:hint="eastAsia"/>
        </w:rPr>
        <w:t>任何未按第11.1款规定提交响应保证金的，将被视为非实质性相应采购文件而予以拒绝。</w:t>
      </w:r>
    </w:p>
    <w:p>
      <w:pPr>
        <w:ind w:firstLine="480"/>
      </w:pPr>
      <w:r>
        <w:rPr>
          <w:rFonts w:hint="eastAsia"/>
        </w:rPr>
        <w:t>11.3</w:t>
      </w:r>
      <w:r>
        <w:t xml:space="preserve"> </w:t>
      </w:r>
      <w:r>
        <w:rPr>
          <w:rFonts w:hint="eastAsia"/>
        </w:rPr>
        <w:t>发生下列情况之一，响应保证金可不予退还：</w:t>
      </w:r>
    </w:p>
    <w:p>
      <w:pPr>
        <w:ind w:firstLine="480"/>
      </w:pPr>
      <w:r>
        <w:rPr>
          <w:rFonts w:hint="eastAsia"/>
        </w:rPr>
        <w:t>（1）供应商在谈判有效期内撤回其响应文件；</w:t>
      </w:r>
    </w:p>
    <w:p>
      <w:pPr>
        <w:ind w:firstLine="480"/>
      </w:pPr>
      <w:r>
        <w:rPr>
          <w:rFonts w:hint="eastAsia"/>
        </w:rPr>
        <w:t>（2）供应商被通知成交后，拒绝签订合同（即不按成交时规定的技术服务方案、价格等签订合同）或没有按照要求提交履约担保。</w:t>
      </w:r>
    </w:p>
    <w:p>
      <w:pPr>
        <w:ind w:firstLine="480"/>
      </w:pPr>
      <w:r>
        <w:rPr>
          <w:rFonts w:hint="eastAsia"/>
        </w:rPr>
        <w:t>11.4</w:t>
      </w:r>
      <w:r>
        <w:t xml:space="preserve"> </w:t>
      </w:r>
      <w:r>
        <w:rPr>
          <w:rFonts w:hint="eastAsia"/>
        </w:rPr>
        <w:t>响应保证金的退还</w:t>
      </w:r>
    </w:p>
    <w:p>
      <w:pPr>
        <w:ind w:firstLine="480"/>
      </w:pPr>
      <w:r>
        <w:rPr>
          <w:rFonts w:hint="eastAsia"/>
        </w:rPr>
        <w:t>成交人与采购人签订合同后5日内，采购人/采购代理单位向成交人退还扣除代理服务费后的剩余保证金，同时退还未成交供应商响应保证金。</w:t>
      </w:r>
    </w:p>
    <w:p>
      <w:pPr>
        <w:pStyle w:val="3"/>
        <w:spacing w:before="120"/>
      </w:pPr>
      <w:bookmarkStart w:id="47" w:name="_Toc4155330"/>
      <w:r>
        <w:rPr>
          <w:rFonts w:hint="eastAsia"/>
        </w:rPr>
        <w:t>12.</w:t>
      </w:r>
      <w:r>
        <w:t xml:space="preserve"> </w:t>
      </w:r>
      <w:r>
        <w:rPr>
          <w:rFonts w:hint="eastAsia"/>
        </w:rPr>
        <w:t>采购有效期</w:t>
      </w:r>
      <w:bookmarkEnd w:id="47"/>
    </w:p>
    <w:p>
      <w:pPr>
        <w:ind w:firstLine="480"/>
      </w:pPr>
      <w:r>
        <w:rPr>
          <w:rFonts w:hint="eastAsia"/>
        </w:rPr>
        <w:t>12.1</w:t>
      </w:r>
      <w:r>
        <w:t xml:space="preserve"> </w:t>
      </w:r>
      <w:r>
        <w:rPr>
          <w:rFonts w:hint="eastAsia"/>
        </w:rPr>
        <w:t>采购有效期自本采购文件规定的响应文件递交截止时间起生效，并在供应商须知前附表中规定采购有效期内保持有效。竞争性谈判有效期短于这个规定期限的响应文件将被视为非实质性响应而予以拒绝。</w:t>
      </w:r>
    </w:p>
    <w:p>
      <w:pPr>
        <w:ind w:firstLine="480"/>
      </w:pPr>
      <w:r>
        <w:rPr>
          <w:rFonts w:hint="eastAsia"/>
        </w:rPr>
        <w:t>12.2</w:t>
      </w:r>
      <w:r>
        <w:t xml:space="preserve"> </w:t>
      </w:r>
      <w:r>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没收响应保证金的规定将在延长后的采购有效期内继续有效。</w:t>
      </w:r>
    </w:p>
    <w:p>
      <w:pPr>
        <w:pStyle w:val="3"/>
        <w:spacing w:before="120"/>
      </w:pPr>
      <w:bookmarkStart w:id="48" w:name="_Toc4155331"/>
      <w:r>
        <w:rPr>
          <w:rFonts w:hint="eastAsia"/>
        </w:rPr>
        <w:t>13.</w:t>
      </w:r>
      <w:r>
        <w:t xml:space="preserve"> </w:t>
      </w:r>
      <w:r>
        <w:rPr>
          <w:rFonts w:hint="eastAsia"/>
        </w:rPr>
        <w:t>响应文件递交截止时间及地址</w:t>
      </w:r>
      <w:bookmarkEnd w:id="48"/>
    </w:p>
    <w:p>
      <w:pPr>
        <w:ind w:firstLine="480"/>
      </w:pPr>
      <w:r>
        <w:rPr>
          <w:rFonts w:hint="eastAsia"/>
        </w:rPr>
        <w:t>13.1</w:t>
      </w:r>
      <w:r>
        <w:t xml:space="preserve"> </w:t>
      </w:r>
      <w:r>
        <w:rPr>
          <w:rFonts w:hint="eastAsia"/>
        </w:rPr>
        <w:t>供应商应在不迟于供应商须知前附表中规定的响应文件递交截止时间前将响应文件递交至电子商务平台。</w:t>
      </w:r>
    </w:p>
    <w:p>
      <w:pPr>
        <w:ind w:firstLine="480"/>
      </w:pPr>
      <w:r>
        <w:rPr>
          <w:rFonts w:hint="eastAsia"/>
        </w:rPr>
        <w:t>13.2</w:t>
      </w:r>
      <w:r>
        <w:t xml:space="preserve"> </w:t>
      </w:r>
      <w:r>
        <w:rPr>
          <w:rFonts w:hint="eastAsia"/>
        </w:rPr>
        <w:t>采购人将拒绝接受供应商须知前附表规定的响应文件递交截止时间后收到的任何响应文件。</w:t>
      </w:r>
    </w:p>
    <w:p>
      <w:pPr>
        <w:pStyle w:val="3"/>
        <w:spacing w:before="120"/>
      </w:pPr>
      <w:bookmarkStart w:id="49" w:name="_Toc4155332"/>
      <w:r>
        <w:rPr>
          <w:rFonts w:hint="eastAsia"/>
        </w:rPr>
        <w:t>14.</w:t>
      </w:r>
      <w:r>
        <w:t xml:space="preserve"> </w:t>
      </w:r>
      <w:r>
        <w:rPr>
          <w:rFonts w:hint="eastAsia"/>
        </w:rPr>
        <w:t>响应文件的修改和撤销</w:t>
      </w:r>
      <w:bookmarkEnd w:id="49"/>
    </w:p>
    <w:p>
      <w:pPr>
        <w:ind w:firstLine="480"/>
      </w:pPr>
      <w:r>
        <w:rPr>
          <w:rFonts w:hint="eastAsia"/>
        </w:rPr>
        <w:t>14.1</w:t>
      </w:r>
      <w:r>
        <w:t xml:space="preserve"> </w:t>
      </w:r>
      <w:r>
        <w:rPr>
          <w:rFonts w:hint="eastAsia"/>
        </w:rPr>
        <w:t>供应商在递交响应文件后，可以在规定的响应文件递交截止时间之前修改或撤回其响应文件。</w:t>
      </w:r>
    </w:p>
    <w:p>
      <w:pPr>
        <w:ind w:firstLine="480"/>
      </w:pPr>
      <w:r>
        <w:rPr>
          <w:rFonts w:hint="eastAsia"/>
        </w:rPr>
        <w:t>14.2</w:t>
      </w:r>
      <w:r>
        <w:t xml:space="preserve"> </w:t>
      </w:r>
      <w:r>
        <w:rPr>
          <w:rFonts w:hint="eastAsia"/>
        </w:rPr>
        <w:t>供应商不得在采购有效期内撤销响应文件。</w:t>
      </w:r>
    </w:p>
    <w:p>
      <w:pPr>
        <w:pStyle w:val="3"/>
        <w:spacing w:before="120"/>
      </w:pPr>
      <w:bookmarkStart w:id="50" w:name="_Toc4155333"/>
      <w:r>
        <w:rPr>
          <w:rFonts w:hint="eastAsia"/>
        </w:rPr>
        <w:t>15.</w:t>
      </w:r>
      <w:r>
        <w:t xml:space="preserve"> </w:t>
      </w:r>
      <w:r>
        <w:rPr>
          <w:rFonts w:hint="eastAsia"/>
        </w:rPr>
        <w:t>谈判小组</w:t>
      </w:r>
      <w:bookmarkEnd w:id="50"/>
    </w:p>
    <w:p>
      <w:pPr>
        <w:ind w:firstLine="480"/>
      </w:pPr>
      <w:r>
        <w:rPr>
          <w:rFonts w:hint="eastAsia"/>
        </w:rPr>
        <w:t>15.1 采购人将按照《中国华能集团有限公司非招标采购管理办法》及有关法律、法规的规定组建三人以上单数的竞争性谈判小组。</w:t>
      </w:r>
    </w:p>
    <w:p>
      <w:pPr>
        <w:ind w:firstLine="480"/>
      </w:pPr>
      <w:r>
        <w:rPr>
          <w:rFonts w:hint="eastAsia"/>
        </w:rPr>
        <w:t>15.2  谈判小组负责评审工作，根据采购文件的要求对响应文件进行审查、质疑、评估和比较，出具评审报告，推荐成交候选人。</w:t>
      </w:r>
    </w:p>
    <w:p>
      <w:pPr>
        <w:pStyle w:val="3"/>
        <w:spacing w:before="120"/>
      </w:pPr>
      <w:bookmarkStart w:id="51" w:name="_Toc4155334"/>
      <w:r>
        <w:rPr>
          <w:rFonts w:hint="eastAsia"/>
        </w:rPr>
        <w:t>16.</w:t>
      </w:r>
      <w:r>
        <w:t xml:space="preserve"> </w:t>
      </w:r>
      <w:r>
        <w:rPr>
          <w:rFonts w:hint="eastAsia"/>
        </w:rPr>
        <w:t>开启响应文件</w:t>
      </w:r>
      <w:bookmarkEnd w:id="51"/>
    </w:p>
    <w:p>
      <w:pPr>
        <w:ind w:firstLine="480"/>
      </w:pPr>
      <w:bookmarkStart w:id="52" w:name="_Toc504312003"/>
      <w:r>
        <w:rPr>
          <w:rFonts w:hint="eastAsia"/>
        </w:rPr>
        <w:t>16.1</w:t>
      </w:r>
      <w:r>
        <w:t xml:space="preserve"> </w:t>
      </w:r>
      <w:r>
        <w:rPr>
          <w:rFonts w:hint="eastAsia"/>
        </w:rPr>
        <w:t>在供应商须知前附表规定的时间开启响应文件。</w:t>
      </w:r>
    </w:p>
    <w:p>
      <w:pPr>
        <w:ind w:firstLine="480"/>
      </w:pPr>
      <w:r>
        <w:rPr>
          <w:rFonts w:hint="eastAsia"/>
        </w:rPr>
        <w:t>16.2供应商须根据供应商须知前附表规定的谈判时间及地点参加谈判。</w:t>
      </w:r>
    </w:p>
    <w:bookmarkEnd w:id="52"/>
    <w:p>
      <w:pPr>
        <w:pStyle w:val="3"/>
        <w:spacing w:before="120"/>
      </w:pPr>
      <w:bookmarkStart w:id="53" w:name="_Toc4155335"/>
      <w:r>
        <w:rPr>
          <w:rFonts w:hint="eastAsia"/>
        </w:rPr>
        <w:t>17.</w:t>
      </w:r>
      <w:r>
        <w:t xml:space="preserve"> </w:t>
      </w:r>
      <w:r>
        <w:rPr>
          <w:rFonts w:hint="eastAsia"/>
        </w:rPr>
        <w:t>评审方法</w:t>
      </w:r>
      <w:bookmarkEnd w:id="53"/>
    </w:p>
    <w:p>
      <w:pPr>
        <w:ind w:firstLine="480"/>
      </w:pPr>
      <w:r>
        <w:rPr>
          <w:rFonts w:hint="eastAsia"/>
        </w:rPr>
        <w:t>17.1</w:t>
      </w:r>
      <w:r>
        <w:t xml:space="preserve"> </w:t>
      </w:r>
      <w:r>
        <w:rPr>
          <w:rFonts w:hint="eastAsia"/>
        </w:rPr>
        <w:t>根据供应商须知前附表规定评审办法进行评审，具体的评审办法按照第三章相应的要求进行。</w:t>
      </w:r>
    </w:p>
    <w:p>
      <w:pPr>
        <w:ind w:firstLine="480"/>
      </w:pPr>
      <w:r>
        <w:rPr>
          <w:rFonts w:hint="eastAsia"/>
        </w:rPr>
        <w:t>17.2</w:t>
      </w:r>
      <w:r>
        <w:t xml:space="preserve"> </w:t>
      </w:r>
      <w:r>
        <w:rPr>
          <w:rFonts w:hint="eastAsia"/>
        </w:rPr>
        <w:t>竞争性谈判小组将根据采购文件、谈判过程中的实质性要求和最终谈判结果，确定响应文件是否做出了实质性的并且完整的响应。</w:t>
      </w:r>
    </w:p>
    <w:p>
      <w:pPr>
        <w:ind w:firstLine="480"/>
      </w:pPr>
      <w:r>
        <w:rPr>
          <w:rFonts w:hint="eastAsia"/>
        </w:rPr>
        <w:t>17.3</w:t>
      </w:r>
      <w:r>
        <w:t xml:space="preserve"> </w:t>
      </w:r>
      <w:r>
        <w:rPr>
          <w:rFonts w:hint="eastAsia"/>
        </w:rPr>
        <w:t>竞争性谈判小组对所有实质上响应采购文件要求的响应文件进行详细评审，按照采购文件第三章“评审办法”推荐成交候选人。</w:t>
      </w:r>
    </w:p>
    <w:p>
      <w:pPr>
        <w:pStyle w:val="3"/>
        <w:spacing w:before="120"/>
      </w:pPr>
      <w:bookmarkStart w:id="54" w:name="_Toc4155336"/>
      <w:r>
        <w:rPr>
          <w:rFonts w:hint="eastAsia"/>
        </w:rPr>
        <w:t>18.</w:t>
      </w:r>
      <w:r>
        <w:t xml:space="preserve"> </w:t>
      </w:r>
      <w:r>
        <w:rPr>
          <w:rFonts w:hint="eastAsia"/>
        </w:rPr>
        <w:t>确定成交人</w:t>
      </w:r>
      <w:bookmarkEnd w:id="54"/>
    </w:p>
    <w:p>
      <w:pPr>
        <w:ind w:firstLine="480"/>
        <w:rPr>
          <w:b/>
        </w:rPr>
      </w:pPr>
      <w:r>
        <w:rPr>
          <w:rFonts w:hint="eastAsia"/>
        </w:rPr>
        <w:t>采购人按竞争性谈判小组推荐的成交候选人名单确定成交人。</w:t>
      </w:r>
    </w:p>
    <w:p>
      <w:pPr>
        <w:pStyle w:val="3"/>
        <w:spacing w:before="120"/>
      </w:pPr>
      <w:bookmarkStart w:id="55" w:name="_Toc4155337"/>
      <w:r>
        <w:rPr>
          <w:rFonts w:hint="eastAsia"/>
        </w:rPr>
        <w:t>19</w:t>
      </w:r>
      <w:r>
        <w:t xml:space="preserve">. </w:t>
      </w:r>
      <w:r>
        <w:rPr>
          <w:rFonts w:hint="eastAsia"/>
        </w:rPr>
        <w:t>谈判结果公告</w:t>
      </w:r>
      <w:bookmarkEnd w:id="55"/>
    </w:p>
    <w:p>
      <w:pPr>
        <w:ind w:firstLine="480"/>
        <w:rPr>
          <w:rFonts w:cs="Arial"/>
        </w:rPr>
      </w:pPr>
      <w:r>
        <w:rPr>
          <w:rFonts w:hint="eastAsia"/>
        </w:rPr>
        <w:t>采购人确定成交人，谈判结果在电子商务平台进行公告。</w:t>
      </w:r>
    </w:p>
    <w:p>
      <w:pPr>
        <w:pStyle w:val="3"/>
        <w:spacing w:before="120"/>
      </w:pPr>
      <w:bookmarkStart w:id="56" w:name="_Toc4155338"/>
      <w:r>
        <w:rPr>
          <w:rFonts w:hint="eastAsia"/>
        </w:rPr>
        <w:t>20.</w:t>
      </w:r>
      <w:r>
        <w:t xml:space="preserve"> </w:t>
      </w:r>
      <w:r>
        <w:rPr>
          <w:rFonts w:hint="eastAsia"/>
        </w:rPr>
        <w:t>成交通知</w:t>
      </w:r>
      <w:bookmarkEnd w:id="56"/>
    </w:p>
    <w:p>
      <w:pPr>
        <w:ind w:firstLine="480"/>
      </w:pPr>
      <w:r>
        <w:rPr>
          <w:rFonts w:hint="eastAsia"/>
        </w:rPr>
        <w:t>20.1</w:t>
      </w:r>
      <w:r>
        <w:t xml:space="preserve"> </w:t>
      </w:r>
      <w:r>
        <w:rPr>
          <w:rFonts w:hint="eastAsia"/>
        </w:rPr>
        <w:t>采购人向成交人发出《成交通知书》，同时通知所有未成交的供应商。</w:t>
      </w:r>
    </w:p>
    <w:p>
      <w:pPr>
        <w:ind w:firstLine="480"/>
      </w:pPr>
      <w:r>
        <w:rPr>
          <w:rFonts w:hint="eastAsia"/>
        </w:rPr>
        <w:t>20.2</w:t>
      </w:r>
      <w:r>
        <w:t xml:space="preserve"> </w:t>
      </w:r>
      <w:r>
        <w:rPr>
          <w:rFonts w:hint="eastAsia"/>
        </w:rPr>
        <w:t xml:space="preserve">《成交通知书》将构成合同的组成部分。                               </w:t>
      </w:r>
    </w:p>
    <w:p>
      <w:pPr>
        <w:pStyle w:val="3"/>
        <w:spacing w:before="120"/>
      </w:pPr>
      <w:bookmarkStart w:id="57" w:name="_Toc4155339"/>
      <w:r>
        <w:rPr>
          <w:rFonts w:hint="eastAsia"/>
        </w:rPr>
        <w:t>2</w:t>
      </w:r>
      <w:r>
        <w:t>1</w:t>
      </w:r>
      <w:r>
        <w:rPr>
          <w:rFonts w:hint="eastAsia"/>
        </w:rPr>
        <w:t>.</w:t>
      </w:r>
      <w:r>
        <w:t xml:space="preserve"> </w:t>
      </w:r>
      <w:r>
        <w:rPr>
          <w:rFonts w:hint="eastAsia"/>
        </w:rPr>
        <w:t>签订合同</w:t>
      </w:r>
      <w:bookmarkEnd w:id="57"/>
    </w:p>
    <w:p>
      <w:pPr>
        <w:ind w:firstLine="480"/>
        <w:rPr>
          <w:kern w:val="0"/>
        </w:rPr>
      </w:pPr>
      <w:r>
        <w:rPr>
          <w:rFonts w:hint="eastAsia"/>
          <w:kern w:val="0"/>
        </w:rPr>
        <w:t>2</w:t>
      </w:r>
      <w:r>
        <w:rPr>
          <w:kern w:val="0"/>
        </w:rPr>
        <w:t>1</w:t>
      </w:r>
      <w:r>
        <w:rPr>
          <w:rFonts w:hint="eastAsia"/>
          <w:kern w:val="0"/>
        </w:rPr>
        <w:t>.1</w:t>
      </w:r>
      <w:r>
        <w:rPr>
          <w:kern w:val="0"/>
        </w:rPr>
        <w:t xml:space="preserve"> </w:t>
      </w:r>
      <w:r>
        <w:rPr>
          <w:rFonts w:hint="eastAsia"/>
        </w:rPr>
        <w:t>成交人在接到《成交通知书》后，必须在规定的时间内派法定代表人或其授权人到指定地点按谈判双方最终确认的合同条款与采购人签订合同</w:t>
      </w:r>
      <w:r>
        <w:rPr>
          <w:rFonts w:hint="eastAsia"/>
          <w:kern w:val="0"/>
        </w:rPr>
        <w:t>。</w:t>
      </w:r>
    </w:p>
    <w:p>
      <w:pPr>
        <w:ind w:firstLine="480"/>
        <w:rPr>
          <w:kern w:val="0"/>
        </w:rPr>
      </w:pPr>
      <w:r>
        <w:rPr>
          <w:rFonts w:hint="eastAsia"/>
          <w:kern w:val="0"/>
        </w:rPr>
        <w:t>2</w:t>
      </w:r>
      <w:r>
        <w:rPr>
          <w:kern w:val="0"/>
        </w:rPr>
        <w:t>1</w:t>
      </w:r>
      <w:r>
        <w:rPr>
          <w:rFonts w:hint="eastAsia"/>
          <w:kern w:val="0"/>
        </w:rPr>
        <w:t>.2</w:t>
      </w:r>
      <w:r>
        <w:rPr>
          <w:kern w:val="0"/>
        </w:rPr>
        <w:t xml:space="preserve"> </w:t>
      </w:r>
      <w:r>
        <w:rPr>
          <w:rFonts w:hint="eastAsia"/>
          <w:kern w:val="0"/>
        </w:rPr>
        <w:t>采购文件、成交人的响应文件及评审过程中的有关澄清文件均为签订合同的依据。</w:t>
      </w:r>
    </w:p>
    <w:p>
      <w:pPr>
        <w:ind w:firstLine="480"/>
        <w:rPr>
          <w:kern w:val="0"/>
        </w:rPr>
      </w:pPr>
      <w:r>
        <w:rPr>
          <w:rFonts w:hint="eastAsia"/>
          <w:kern w:val="0"/>
        </w:rPr>
        <w:t>2</w:t>
      </w:r>
      <w:r>
        <w:rPr>
          <w:kern w:val="0"/>
        </w:rPr>
        <w:t>1</w:t>
      </w:r>
      <w:r>
        <w:rPr>
          <w:rFonts w:hint="eastAsia"/>
          <w:kern w:val="0"/>
        </w:rPr>
        <w:t>.3</w:t>
      </w:r>
      <w:r>
        <w:rPr>
          <w:kern w:val="0"/>
        </w:rPr>
        <w:t xml:space="preserve"> </w:t>
      </w:r>
      <w:r>
        <w:rPr>
          <w:rFonts w:hint="eastAsia"/>
          <w:kern w:val="0"/>
        </w:rPr>
        <w:t>采购文件中要求成交人提交履约担保的，成交人应在合同规定的时间前根据供应商须知前附表的要求向采购人提交履约担保。</w:t>
      </w:r>
    </w:p>
    <w:p>
      <w:pPr>
        <w:pStyle w:val="3"/>
        <w:spacing w:before="120"/>
      </w:pPr>
      <w:bookmarkStart w:id="58" w:name="_Toc4155340"/>
      <w:r>
        <w:rPr>
          <w:rFonts w:hint="eastAsia"/>
        </w:rPr>
        <w:t>22.</w:t>
      </w:r>
      <w:r>
        <w:t xml:space="preserve"> </w:t>
      </w:r>
      <w:r>
        <w:rPr>
          <w:rFonts w:hint="eastAsia"/>
        </w:rPr>
        <w:t>其他需要补充的内容</w:t>
      </w:r>
      <w:bookmarkEnd w:id="58"/>
    </w:p>
    <w:p>
      <w:pPr>
        <w:ind w:firstLine="480"/>
      </w:pPr>
      <w:bookmarkStart w:id="59" w:name="_Toc47416201"/>
      <w:bookmarkStart w:id="60" w:name="_Toc49019240"/>
      <w:bookmarkStart w:id="61" w:name="_Toc47415947"/>
      <w:r>
        <w:rPr>
          <w:rFonts w:hint="eastAsia"/>
        </w:rPr>
        <w:t>采购人仅对供应商提交的各类文件进行形式审查，供应商应保证提交的所有文件合法、真实、有效，如因供应商提交虚假文件对采购人造成损失的，供应商应对上述损失进行赔偿。</w:t>
      </w:r>
    </w:p>
    <w:p>
      <w:pPr>
        <w:spacing w:line="360" w:lineRule="auto"/>
        <w:ind w:left="720" w:hanging="720" w:hangingChars="300"/>
        <w:rPr>
          <w:rFonts w:ascii="宋体" w:hAnsi="宋体" w:cs="Arial"/>
          <w:kern w:val="0"/>
          <w:szCs w:val="24"/>
        </w:rPr>
      </w:pPr>
      <w:r>
        <w:rPr>
          <w:rFonts w:ascii="宋体" w:hAnsi="宋体" w:cs="Arial"/>
          <w:kern w:val="0"/>
          <w:szCs w:val="24"/>
        </w:rPr>
        <w:br w:type="page"/>
      </w:r>
    </w:p>
    <w:p>
      <w:pPr>
        <w:spacing w:line="360" w:lineRule="auto"/>
        <w:ind w:left="720" w:hanging="720" w:hangingChars="300"/>
        <w:rPr>
          <w:rFonts w:ascii="宋体" w:hAnsi="宋体" w:cs="Arial"/>
          <w:kern w:val="0"/>
          <w:szCs w:val="24"/>
        </w:rPr>
      </w:pPr>
    </w:p>
    <w:p>
      <w:pPr>
        <w:spacing w:line="360" w:lineRule="auto"/>
        <w:ind w:left="720" w:hanging="720" w:hangingChars="300"/>
        <w:rPr>
          <w:rFonts w:ascii="宋体" w:hAnsi="宋体" w:cs="Arial"/>
          <w:kern w:val="0"/>
          <w:szCs w:val="24"/>
        </w:rPr>
      </w:pPr>
    </w:p>
    <w:p>
      <w:pPr>
        <w:spacing w:line="360" w:lineRule="auto"/>
        <w:ind w:left="720" w:hanging="720" w:hangingChars="300"/>
        <w:rPr>
          <w:rFonts w:ascii="宋体" w:hAnsi="宋体" w:cs="Arial"/>
          <w:kern w:val="0"/>
          <w:szCs w:val="24"/>
        </w:rPr>
      </w:pPr>
    </w:p>
    <w:p>
      <w:pPr>
        <w:spacing w:line="360" w:lineRule="auto"/>
        <w:ind w:left="720" w:hanging="720" w:hangingChars="300"/>
        <w:rPr>
          <w:rFonts w:ascii="宋体" w:hAnsi="宋体" w:cs="Arial"/>
          <w:kern w:val="0"/>
          <w:szCs w:val="24"/>
        </w:rPr>
      </w:pPr>
    </w:p>
    <w:p>
      <w:pPr>
        <w:spacing w:line="360" w:lineRule="auto"/>
        <w:ind w:left="720" w:hanging="720" w:hangingChars="300"/>
        <w:rPr>
          <w:rFonts w:ascii="宋体" w:hAnsi="宋体" w:cs="Arial"/>
          <w:kern w:val="0"/>
          <w:szCs w:val="24"/>
        </w:rPr>
      </w:pPr>
    </w:p>
    <w:p>
      <w:pPr>
        <w:spacing w:line="360" w:lineRule="auto"/>
        <w:ind w:left="720" w:hanging="720" w:hangingChars="300"/>
        <w:rPr>
          <w:rFonts w:ascii="宋体" w:hAnsi="宋体" w:cs="Arial"/>
          <w:kern w:val="0"/>
          <w:szCs w:val="24"/>
        </w:rPr>
      </w:pPr>
    </w:p>
    <w:p>
      <w:pPr>
        <w:spacing w:line="360" w:lineRule="auto"/>
        <w:ind w:left="720" w:hanging="720" w:hangingChars="300"/>
        <w:rPr>
          <w:rFonts w:ascii="宋体" w:hAnsi="宋体" w:cs="Arial"/>
          <w:kern w:val="0"/>
          <w:szCs w:val="24"/>
        </w:rPr>
      </w:pPr>
    </w:p>
    <w:p>
      <w:pPr>
        <w:pStyle w:val="28"/>
        <w:spacing w:before="120"/>
      </w:pPr>
      <w:bookmarkStart w:id="62" w:name="_Toc527615896"/>
      <w:bookmarkStart w:id="63" w:name="_Toc4155341"/>
      <w:r>
        <w:t>第</w:t>
      </w:r>
      <w:r>
        <w:rPr>
          <w:rFonts w:hint="eastAsia"/>
        </w:rPr>
        <w:t>三</w:t>
      </w:r>
      <w:r>
        <w:t>章</w:t>
      </w:r>
      <w:bookmarkEnd w:id="59"/>
      <w:bookmarkEnd w:id="60"/>
      <w:bookmarkEnd w:id="61"/>
      <w:r>
        <w:t xml:space="preserve"> </w:t>
      </w:r>
      <w:r>
        <w:rPr>
          <w:rFonts w:hint="eastAsia"/>
        </w:rPr>
        <w:t>评审办法</w:t>
      </w:r>
      <w:bookmarkEnd w:id="62"/>
      <w:bookmarkEnd w:id="63"/>
    </w:p>
    <w:p>
      <w:pPr>
        <w:pStyle w:val="28"/>
        <w:spacing w:before="120"/>
      </w:pPr>
      <w:r>
        <w:br w:type="page"/>
      </w:r>
      <w:bookmarkStart w:id="64" w:name="_Toc4155342"/>
      <w:r>
        <w:rPr>
          <w:rFonts w:hint="eastAsia"/>
        </w:rPr>
        <w:t>第三章</w:t>
      </w:r>
      <w:r>
        <w:t xml:space="preserve"> </w:t>
      </w:r>
      <w:r>
        <w:rPr>
          <w:rFonts w:hint="eastAsia"/>
        </w:rPr>
        <w:t>评审办法（经评审的最低价法）</w:t>
      </w:r>
      <w:bookmarkEnd w:id="64"/>
    </w:p>
    <w:p>
      <w:pPr>
        <w:pStyle w:val="3"/>
        <w:spacing w:before="120"/>
      </w:pPr>
      <w:bookmarkStart w:id="65" w:name="_Toc4155343"/>
      <w:r>
        <w:rPr>
          <w:rFonts w:hint="eastAsia"/>
        </w:rPr>
        <w:t>一、总则</w:t>
      </w:r>
      <w:bookmarkEnd w:id="65"/>
    </w:p>
    <w:p>
      <w:pPr>
        <w:ind w:firstLine="480"/>
      </w:pPr>
      <w:r>
        <w:rPr>
          <w:rFonts w:hint="eastAsia"/>
        </w:rPr>
        <w:t>1.</w:t>
      </w:r>
      <w:r>
        <w:t xml:space="preserve"> </w:t>
      </w:r>
      <w:r>
        <w:rPr>
          <w:rFonts w:hint="eastAsia"/>
        </w:rPr>
        <w:t>评审依据</w:t>
      </w:r>
    </w:p>
    <w:p>
      <w:pPr>
        <w:ind w:firstLine="480"/>
      </w:pPr>
      <w:r>
        <w:rPr>
          <w:rFonts w:hint="eastAsia"/>
        </w:rPr>
        <w:t>1.1</w:t>
      </w:r>
      <w:r>
        <w:rPr>
          <w:rFonts w:hint="eastAsia"/>
          <w:kern w:val="0"/>
        </w:rPr>
        <w:t>《中国华能集团有限公司非招标采购管理办法》</w:t>
      </w:r>
      <w:r>
        <w:rPr>
          <w:rFonts w:hint="eastAsia"/>
        </w:rPr>
        <w:t>及相关法律法规；</w:t>
      </w:r>
    </w:p>
    <w:p>
      <w:pPr>
        <w:ind w:firstLine="480"/>
      </w:pPr>
      <w:r>
        <w:rPr>
          <w:rFonts w:hint="eastAsia"/>
        </w:rPr>
        <w:t>1.2采购文件及其有效的补充文件。</w:t>
      </w:r>
    </w:p>
    <w:p>
      <w:pPr>
        <w:ind w:firstLine="480"/>
      </w:pPr>
      <w:r>
        <w:rPr>
          <w:rFonts w:hint="eastAsia"/>
        </w:rPr>
        <w:t>2.</w:t>
      </w:r>
      <w:r>
        <w:t xml:space="preserve"> </w:t>
      </w:r>
      <w:r>
        <w:rPr>
          <w:rFonts w:hint="eastAsia"/>
        </w:rPr>
        <w:t>评审原则</w:t>
      </w:r>
    </w:p>
    <w:p>
      <w:pPr>
        <w:ind w:firstLine="480"/>
      </w:pPr>
      <w:r>
        <w:rPr>
          <w:rFonts w:hint="eastAsia"/>
        </w:rPr>
        <w:t>评审活动遵循“公平、公正、科学、择优”的原则；</w:t>
      </w:r>
    </w:p>
    <w:p>
      <w:pPr>
        <w:pStyle w:val="3"/>
        <w:spacing w:before="120"/>
      </w:pPr>
      <w:bookmarkStart w:id="66" w:name="_Toc527531686"/>
      <w:bookmarkStart w:id="67" w:name="_Toc4155344"/>
      <w:r>
        <w:rPr>
          <w:rFonts w:hint="eastAsia"/>
        </w:rPr>
        <w:t>二、评审方法</w:t>
      </w:r>
      <w:bookmarkEnd w:id="66"/>
      <w:bookmarkEnd w:id="67"/>
    </w:p>
    <w:p>
      <w:pPr>
        <w:ind w:firstLine="480"/>
      </w:pPr>
      <w:r>
        <w:rPr>
          <w:rFonts w:hint="eastAsia"/>
        </w:rPr>
        <w:t>本项目采用经评审的最低价法。</w:t>
      </w:r>
    </w:p>
    <w:p>
      <w:pPr>
        <w:pStyle w:val="3"/>
        <w:spacing w:before="120"/>
      </w:pPr>
      <w:bookmarkStart w:id="68" w:name="_Toc4155345"/>
      <w:r>
        <w:rPr>
          <w:rFonts w:hint="eastAsia"/>
        </w:rPr>
        <w:t>三、</w:t>
      </w:r>
      <w:r>
        <w:t>谈判程序</w:t>
      </w:r>
      <w:bookmarkEnd w:id="68"/>
    </w:p>
    <w:p>
      <w:pPr>
        <w:ind w:firstLine="480"/>
      </w:pPr>
      <w:r>
        <w:rPr>
          <w:rFonts w:hint="eastAsia"/>
        </w:rPr>
        <w:t>1.</w:t>
      </w:r>
      <w:r>
        <w:t xml:space="preserve"> </w:t>
      </w:r>
      <w:r>
        <w:rPr>
          <w:rFonts w:hint="eastAsia"/>
        </w:rPr>
        <w:t>初步评审</w:t>
      </w:r>
    </w:p>
    <w:p>
      <w:pPr>
        <w:ind w:firstLine="480"/>
      </w:pPr>
      <w:r>
        <w:rPr>
          <w:rFonts w:hint="eastAsia"/>
        </w:rPr>
        <w:t>谈判小组对响应文件进行初步评审，评审内容如下：</w:t>
      </w:r>
    </w:p>
    <w:p>
      <w:pPr>
        <w:ind w:firstLine="480"/>
      </w:pPr>
      <w:r>
        <w:rPr>
          <w:rFonts w:hint="eastAsia"/>
        </w:rPr>
        <w:t xml:space="preserve">1.1 供应商资格条件不满足采购文件要求； </w:t>
      </w:r>
    </w:p>
    <w:p>
      <w:pPr>
        <w:ind w:firstLine="480"/>
      </w:pPr>
      <w:r>
        <w:rPr>
          <w:rFonts w:hint="eastAsia"/>
        </w:rPr>
        <w:t xml:space="preserve">1.2 供应商未按采购文件要求提交响应保证金或金额不足（如有）； </w:t>
      </w:r>
    </w:p>
    <w:p>
      <w:pPr>
        <w:ind w:firstLine="480"/>
      </w:pPr>
      <w:r>
        <w:rPr>
          <w:rFonts w:hint="eastAsia"/>
        </w:rPr>
        <w:t>1.3 响应文件附有采购人不能接受的条件；</w:t>
      </w:r>
    </w:p>
    <w:p>
      <w:pPr>
        <w:ind w:firstLine="480"/>
      </w:pPr>
      <w:r>
        <w:rPr>
          <w:rFonts w:hint="eastAsia"/>
        </w:rPr>
        <w:t>1.4 供应商报价超出最高限价（如有）；</w:t>
      </w:r>
    </w:p>
    <w:p>
      <w:pPr>
        <w:ind w:firstLine="480"/>
      </w:pPr>
      <w:r>
        <w:rPr>
          <w:rFonts w:hint="eastAsia"/>
        </w:rPr>
        <w:t>1.5 国家相关法规规定的其它否决条款。</w:t>
      </w:r>
    </w:p>
    <w:p>
      <w:pPr>
        <w:ind w:firstLine="480"/>
      </w:pPr>
      <w:r>
        <w:rPr>
          <w:rFonts w:hint="eastAsia"/>
        </w:rPr>
        <w:t>如发生上述条款中的任何一项，视为未对采购文件作实质性响应，不得进入下一步具体谈判过程。</w:t>
      </w:r>
    </w:p>
    <w:p>
      <w:pPr>
        <w:ind w:firstLine="480"/>
      </w:pPr>
      <w:r>
        <w:rPr>
          <w:rFonts w:hint="eastAsia"/>
        </w:rPr>
        <w:t>2.</w:t>
      </w:r>
      <w:r>
        <w:t xml:space="preserve"> </w:t>
      </w:r>
      <w:r>
        <w:rPr>
          <w:rFonts w:hint="eastAsia"/>
        </w:rPr>
        <w:t>谈判过程</w:t>
      </w:r>
    </w:p>
    <w:p>
      <w:pPr>
        <w:ind w:firstLine="480"/>
      </w:pPr>
      <w:bookmarkStart w:id="69" w:name="_Toc354434594"/>
      <w:bookmarkStart w:id="70" w:name="_Toc354434420"/>
      <w:bookmarkStart w:id="71" w:name="_Toc412810874"/>
      <w:bookmarkStart w:id="72" w:name="_Toc47415931"/>
      <w:bookmarkStart w:id="73" w:name="_Toc47416185"/>
      <w:bookmarkStart w:id="74" w:name="_Toc49019224"/>
      <w:r>
        <w:rPr>
          <w:rFonts w:hint="eastAsia"/>
        </w:rPr>
        <w:t>2.1谈判小组与所有通过初步评审的供应商分别进行谈判。</w:t>
      </w:r>
    </w:p>
    <w:p>
      <w:pPr>
        <w:ind w:firstLine="480"/>
      </w:pPr>
      <w:r>
        <w:rPr>
          <w:rFonts w:hint="eastAsia"/>
        </w:rPr>
        <w:t>2.2谈判小组所有成员集中与单一供应商分别进行谈判，并给予所有参加谈判的供应商平等的谈判机会。供应商在谈判中做出的承诺构成响应文件的组成部分。</w:t>
      </w:r>
    </w:p>
    <w:p>
      <w:pPr>
        <w:ind w:firstLine="480"/>
      </w:pPr>
      <w:r>
        <w:rPr>
          <w:rFonts w:hint="eastAsia"/>
        </w:rPr>
        <w:t>2.3</w:t>
      </w:r>
      <w:r>
        <w:rPr>
          <w:rFonts w:hint="eastAsia" w:ascii="宋体" w:hAnsi="宋体" w:cs="Arial"/>
          <w:szCs w:val="24"/>
        </w:rPr>
        <w:t>谈判小组根据供应商的报价及谈判情况，在保证每个供应商得到均等的机会的前提下可要求供应商进行多轮报价。</w:t>
      </w:r>
    </w:p>
    <w:p>
      <w:pPr>
        <w:ind w:firstLine="480"/>
      </w:pPr>
      <w:r>
        <w:rPr>
          <w:rFonts w:hint="eastAsia"/>
        </w:rPr>
        <w:t>2.4谈判结束后，谈判小组应要求所有供应商在规定时间内提交最终报价。最终报价是供应商响应文件的有效组成部分。</w:t>
      </w:r>
    </w:p>
    <w:p>
      <w:pPr>
        <w:ind w:firstLine="480"/>
      </w:pPr>
      <w:bookmarkStart w:id="75" w:name="_Toc527121266"/>
      <w:r>
        <w:t xml:space="preserve">3. </w:t>
      </w:r>
      <w:r>
        <w:rPr>
          <w:rFonts w:hint="eastAsia"/>
        </w:rPr>
        <w:t>评审</w:t>
      </w:r>
      <w:r>
        <w:t>报告</w:t>
      </w:r>
      <w:bookmarkEnd w:id="75"/>
    </w:p>
    <w:p>
      <w:pPr>
        <w:spacing w:line="360" w:lineRule="auto"/>
        <w:ind w:firstLine="480"/>
        <w:jc w:val="left"/>
        <w:rPr>
          <w:rFonts w:ascii="宋体" w:hAnsi="宋体"/>
          <w:szCs w:val="24"/>
        </w:rPr>
      </w:pPr>
      <w:r>
        <w:rPr>
          <w:rFonts w:ascii="宋体" w:hAnsi="宋体"/>
          <w:szCs w:val="24"/>
        </w:rPr>
        <w:t>3</w:t>
      </w:r>
      <w:r>
        <w:rPr>
          <w:rFonts w:hint="eastAsia" w:ascii="宋体" w:hAnsi="宋体"/>
          <w:szCs w:val="24"/>
        </w:rPr>
        <w:t>.1</w:t>
      </w:r>
      <w:r>
        <w:rPr>
          <w:rFonts w:ascii="宋体" w:hAnsi="宋体"/>
          <w:szCs w:val="24"/>
        </w:rPr>
        <w:t xml:space="preserve"> </w:t>
      </w:r>
      <w:r>
        <w:rPr>
          <w:rFonts w:hint="eastAsia" w:ascii="宋体" w:hAnsi="宋体"/>
          <w:szCs w:val="24"/>
        </w:rPr>
        <w:t>在评审各阶段的结论，如评委有不同意见，按少数服从多数的原则得出最终评审结论。</w:t>
      </w:r>
    </w:p>
    <w:p>
      <w:pPr>
        <w:spacing w:line="360" w:lineRule="auto"/>
        <w:ind w:firstLine="480"/>
        <w:jc w:val="left"/>
        <w:rPr>
          <w:rFonts w:ascii="宋体" w:hAnsi="宋体"/>
          <w:szCs w:val="24"/>
        </w:rPr>
      </w:pPr>
      <w:r>
        <w:rPr>
          <w:rFonts w:ascii="宋体" w:hAnsi="宋体"/>
          <w:szCs w:val="24"/>
        </w:rPr>
        <w:t>3</w:t>
      </w:r>
      <w:r>
        <w:rPr>
          <w:rFonts w:hint="eastAsia" w:ascii="宋体" w:hAnsi="宋体"/>
          <w:szCs w:val="24"/>
        </w:rPr>
        <w:t>.2</w:t>
      </w:r>
      <w:r>
        <w:rPr>
          <w:rFonts w:ascii="宋体" w:hAnsi="宋体"/>
          <w:szCs w:val="24"/>
        </w:rPr>
        <w:t xml:space="preserve"> </w:t>
      </w:r>
      <w:r>
        <w:rPr>
          <w:rFonts w:hint="eastAsia" w:ascii="宋体" w:hAnsi="宋体"/>
          <w:szCs w:val="24"/>
        </w:rPr>
        <w:t>谈判小组</w:t>
      </w:r>
      <w:r>
        <w:rPr>
          <w:rFonts w:ascii="宋体" w:hAnsi="宋体"/>
          <w:szCs w:val="24"/>
        </w:rPr>
        <w:t>完成</w:t>
      </w:r>
      <w:r>
        <w:rPr>
          <w:rFonts w:hint="eastAsia" w:ascii="宋体" w:hAnsi="宋体"/>
          <w:szCs w:val="24"/>
        </w:rPr>
        <w:t>评审</w:t>
      </w:r>
      <w:r>
        <w:rPr>
          <w:rFonts w:ascii="宋体" w:hAnsi="宋体"/>
          <w:szCs w:val="24"/>
        </w:rPr>
        <w:t>工作后，向</w:t>
      </w:r>
      <w:r>
        <w:rPr>
          <w:rFonts w:hint="eastAsia" w:ascii="宋体" w:hAnsi="宋体"/>
          <w:szCs w:val="24"/>
        </w:rPr>
        <w:t>采购人</w:t>
      </w:r>
      <w:r>
        <w:rPr>
          <w:rFonts w:ascii="宋体" w:hAnsi="宋体"/>
          <w:szCs w:val="24"/>
        </w:rPr>
        <w:t>提出书面</w:t>
      </w:r>
      <w:r>
        <w:rPr>
          <w:rFonts w:hint="eastAsia" w:ascii="宋体" w:hAnsi="宋体"/>
          <w:szCs w:val="24"/>
        </w:rPr>
        <w:t>评审</w:t>
      </w:r>
      <w:r>
        <w:rPr>
          <w:rFonts w:ascii="宋体" w:hAnsi="宋体"/>
          <w:szCs w:val="24"/>
        </w:rPr>
        <w:t>报告。如果</w:t>
      </w:r>
      <w:r>
        <w:rPr>
          <w:rFonts w:hint="eastAsia" w:ascii="宋体" w:hAnsi="宋体"/>
          <w:szCs w:val="24"/>
        </w:rPr>
        <w:t>谈判小组</w:t>
      </w:r>
      <w:r>
        <w:rPr>
          <w:rFonts w:ascii="宋体" w:hAnsi="宋体"/>
          <w:szCs w:val="24"/>
        </w:rPr>
        <w:t>成员对</w:t>
      </w:r>
      <w:r>
        <w:rPr>
          <w:rFonts w:hint="eastAsia" w:ascii="宋体" w:hAnsi="宋体"/>
          <w:szCs w:val="24"/>
        </w:rPr>
        <w:t>评审</w:t>
      </w:r>
      <w:r>
        <w:rPr>
          <w:rFonts w:ascii="宋体" w:hAnsi="宋体"/>
          <w:szCs w:val="24"/>
        </w:rPr>
        <w:t>报告有异议，可以书面方式阐述其不同意见和理由。</w:t>
      </w:r>
      <w:r>
        <w:rPr>
          <w:rFonts w:hint="eastAsia" w:ascii="宋体" w:hAnsi="宋体"/>
          <w:szCs w:val="24"/>
        </w:rPr>
        <w:t>谈判小组</w:t>
      </w:r>
      <w:r>
        <w:rPr>
          <w:rFonts w:ascii="宋体" w:hAnsi="宋体"/>
          <w:szCs w:val="24"/>
        </w:rPr>
        <w:t>成员拒绝在</w:t>
      </w:r>
      <w:r>
        <w:rPr>
          <w:rFonts w:hint="eastAsia" w:ascii="宋体" w:hAnsi="宋体"/>
          <w:szCs w:val="24"/>
        </w:rPr>
        <w:t>评审</w:t>
      </w:r>
      <w:r>
        <w:rPr>
          <w:rFonts w:ascii="宋体" w:hAnsi="宋体"/>
          <w:szCs w:val="24"/>
        </w:rPr>
        <w:t>报告上签字且不陈述其不同意见和理由的，视为同意</w:t>
      </w:r>
      <w:r>
        <w:rPr>
          <w:rFonts w:hint="eastAsia" w:ascii="宋体" w:hAnsi="宋体"/>
          <w:szCs w:val="24"/>
        </w:rPr>
        <w:t>评审</w:t>
      </w:r>
      <w:r>
        <w:rPr>
          <w:rFonts w:ascii="宋体" w:hAnsi="宋体"/>
          <w:szCs w:val="24"/>
        </w:rPr>
        <w:t>报告，评标委员会应当对此做出书面说明，并记录在案。</w:t>
      </w:r>
    </w:p>
    <w:p>
      <w:pPr>
        <w:pStyle w:val="3"/>
        <w:spacing w:before="120"/>
      </w:pPr>
      <w:bookmarkStart w:id="76" w:name="_Toc4155346"/>
      <w:r>
        <w:rPr>
          <w:rFonts w:hint="eastAsia"/>
        </w:rPr>
        <w:t>四、推荐成交供应商</w:t>
      </w:r>
      <w:bookmarkEnd w:id="76"/>
    </w:p>
    <w:p>
      <w:pPr>
        <w:ind w:firstLine="480"/>
      </w:pPr>
      <w:r>
        <w:rPr>
          <w:rFonts w:hint="eastAsia"/>
        </w:rPr>
        <w:t>谈判小组从实质性响应采购文件要求的供应商中，根据最后报价由低到高的顺序，推荐1至3名候选成交供应商。</w:t>
      </w:r>
    </w:p>
    <w:p>
      <w:pPr>
        <w:ind w:firstLine="480"/>
        <w:rPr>
          <w:rFonts w:cs="Arial"/>
          <w:szCs w:val="24"/>
        </w:rPr>
        <w:sectPr>
          <w:footerReference r:id="rId11" w:type="default"/>
          <w:pgSz w:w="11906" w:h="16838"/>
          <w:pgMar w:top="1418" w:right="1418" w:bottom="1418" w:left="1418" w:header="851" w:footer="992" w:gutter="0"/>
          <w:cols w:space="720" w:num="1"/>
          <w:docGrid w:linePitch="312" w:charSpace="0"/>
        </w:sectPr>
      </w:pPr>
    </w:p>
    <w:bookmarkEnd w:id="69"/>
    <w:bookmarkEnd w:id="70"/>
    <w:bookmarkEnd w:id="71"/>
    <w:p>
      <w:pPr>
        <w:ind w:firstLine="480"/>
        <w:rPr>
          <w:rFonts w:cs="Arial"/>
        </w:rPr>
      </w:pPr>
    </w:p>
    <w:p>
      <w:pPr>
        <w:pStyle w:val="91"/>
        <w:spacing w:afterLines="0"/>
        <w:ind w:firstLine="482" w:firstLineChars="200"/>
        <w:rPr>
          <w:rFonts w:cs="Arial"/>
          <w:sz w:val="24"/>
          <w:szCs w:val="24"/>
        </w:rPr>
      </w:pPr>
    </w:p>
    <w:p>
      <w:pPr>
        <w:pStyle w:val="91"/>
        <w:spacing w:afterLines="0"/>
        <w:ind w:firstLine="482" w:firstLineChars="200"/>
        <w:rPr>
          <w:rFonts w:cs="Arial"/>
          <w:sz w:val="24"/>
          <w:szCs w:val="24"/>
        </w:rPr>
      </w:pPr>
    </w:p>
    <w:p>
      <w:pPr>
        <w:pStyle w:val="91"/>
        <w:spacing w:afterLines="0"/>
        <w:ind w:firstLine="482" w:firstLineChars="200"/>
        <w:rPr>
          <w:rFonts w:cs="Arial"/>
          <w:sz w:val="24"/>
          <w:szCs w:val="24"/>
        </w:rPr>
      </w:pPr>
    </w:p>
    <w:p>
      <w:pPr>
        <w:pStyle w:val="91"/>
        <w:spacing w:afterLines="0"/>
        <w:ind w:firstLine="482" w:firstLineChars="200"/>
        <w:rPr>
          <w:rFonts w:cs="Arial"/>
          <w:sz w:val="24"/>
          <w:szCs w:val="24"/>
        </w:rPr>
      </w:pPr>
    </w:p>
    <w:p>
      <w:pPr>
        <w:pStyle w:val="91"/>
        <w:spacing w:afterLines="0"/>
        <w:ind w:firstLine="482" w:firstLineChars="200"/>
        <w:rPr>
          <w:rFonts w:cs="Arial"/>
          <w:sz w:val="24"/>
          <w:szCs w:val="24"/>
        </w:rPr>
      </w:pPr>
    </w:p>
    <w:p>
      <w:pPr>
        <w:pStyle w:val="91"/>
        <w:spacing w:afterLines="0"/>
        <w:ind w:firstLine="482" w:firstLineChars="200"/>
        <w:rPr>
          <w:rFonts w:cs="Arial"/>
          <w:sz w:val="24"/>
          <w:szCs w:val="24"/>
        </w:rPr>
      </w:pPr>
    </w:p>
    <w:p>
      <w:pPr>
        <w:pStyle w:val="91"/>
        <w:spacing w:afterLines="0"/>
        <w:ind w:firstLine="482" w:firstLineChars="200"/>
        <w:rPr>
          <w:rFonts w:cs="Arial"/>
          <w:sz w:val="24"/>
          <w:szCs w:val="24"/>
        </w:rPr>
      </w:pPr>
    </w:p>
    <w:p>
      <w:pPr>
        <w:pStyle w:val="91"/>
        <w:spacing w:afterLines="0"/>
        <w:ind w:firstLine="482" w:firstLineChars="200"/>
        <w:rPr>
          <w:rFonts w:cs="Arial"/>
          <w:sz w:val="24"/>
          <w:szCs w:val="24"/>
        </w:rPr>
      </w:pPr>
    </w:p>
    <w:bookmarkEnd w:id="72"/>
    <w:bookmarkEnd w:id="73"/>
    <w:bookmarkEnd w:id="74"/>
    <w:p>
      <w:pPr>
        <w:pStyle w:val="28"/>
        <w:spacing w:before="120"/>
      </w:pPr>
      <w:bookmarkStart w:id="77" w:name="_Toc525134808"/>
      <w:bookmarkStart w:id="78" w:name="_Toc4155347"/>
      <w:r>
        <w:rPr>
          <w:rFonts w:hint="eastAsia"/>
        </w:rPr>
        <w:t>第四章 合同</w:t>
      </w:r>
      <w:bookmarkEnd w:id="77"/>
      <w:r>
        <w:rPr>
          <w:rFonts w:hint="eastAsia"/>
        </w:rPr>
        <w:t>草案</w:t>
      </w:r>
      <w:bookmarkEnd w:id="78"/>
    </w:p>
    <w:p>
      <w:pPr>
        <w:ind w:firstLine="2640" w:firstLineChars="1100"/>
        <w:rPr>
          <w:rFonts w:ascii="宋体" w:hAnsi="宋体"/>
          <w:szCs w:val="24"/>
        </w:rPr>
      </w:pPr>
      <w:r>
        <w:rPr>
          <w:rFonts w:ascii="宋体" w:hAnsi="宋体"/>
          <w:szCs w:val="24"/>
        </w:rPr>
        <w:br w:type="page"/>
      </w:r>
      <w:bookmarkStart w:id="79" w:name="_Toc152042546"/>
      <w:bookmarkStart w:id="80" w:name="_Toc152045767"/>
      <w:bookmarkStart w:id="81" w:name="_Toc179632785"/>
      <w:bookmarkStart w:id="82" w:name="_Toc144974826"/>
    </w:p>
    <w:p>
      <w:pPr>
        <w:spacing w:line="600" w:lineRule="exact"/>
        <w:ind w:firstLine="562"/>
        <w:jc w:val="center"/>
        <w:rPr>
          <w:rFonts w:ascii="宋体" w:hAnsi="宋体"/>
          <w:b/>
          <w:sz w:val="28"/>
          <w:szCs w:val="28"/>
        </w:rPr>
      </w:pPr>
      <w:r>
        <w:rPr>
          <w:rFonts w:hint="eastAsia" w:ascii="宋体" w:hAnsi="宋体"/>
          <w:b/>
          <w:sz w:val="28"/>
          <w:szCs w:val="28"/>
        </w:rPr>
        <w:t>编号：【        】</w:t>
      </w:r>
    </w:p>
    <w:p>
      <w:pPr>
        <w:spacing w:line="560" w:lineRule="exact"/>
        <w:ind w:firstLine="480"/>
        <w:rPr>
          <w:rFonts w:ascii="宋体" w:hAnsi="宋体"/>
        </w:rPr>
      </w:pPr>
      <w:r>
        <w:rPr>
          <w:rFonts w:hint="eastAsia" w:ascii="宋体" w:hAnsi="宋体"/>
        </w:rPr>
        <w:t>发 包 方：华能置业有限公司（以下简称“甲方”）</w:t>
      </w:r>
    </w:p>
    <w:p>
      <w:pPr>
        <w:spacing w:line="560" w:lineRule="exact"/>
        <w:ind w:firstLine="480"/>
        <w:rPr>
          <w:rFonts w:ascii="宋体" w:hAnsi="宋体"/>
        </w:rPr>
      </w:pPr>
      <w:r>
        <w:rPr>
          <w:rFonts w:hint="eastAsia" w:ascii="宋体" w:hAnsi="宋体"/>
        </w:rPr>
        <w:t xml:space="preserve">地址： </w:t>
      </w:r>
    </w:p>
    <w:p>
      <w:pPr>
        <w:spacing w:line="560" w:lineRule="exact"/>
        <w:ind w:firstLine="480"/>
        <w:rPr>
          <w:rFonts w:ascii="宋体" w:hAnsi="宋体"/>
        </w:rPr>
      </w:pPr>
      <w:r>
        <w:rPr>
          <w:rFonts w:hint="eastAsia" w:ascii="宋体" w:hAnsi="宋体"/>
        </w:rPr>
        <w:t xml:space="preserve">法定代表人： </w:t>
      </w:r>
    </w:p>
    <w:p>
      <w:pPr>
        <w:spacing w:line="560" w:lineRule="exact"/>
        <w:ind w:firstLine="480"/>
        <w:rPr>
          <w:rFonts w:ascii="宋体" w:hAnsi="宋体"/>
        </w:rPr>
      </w:pPr>
      <w:r>
        <w:rPr>
          <w:rFonts w:hint="eastAsia" w:ascii="宋体" w:hAnsi="宋体"/>
        </w:rPr>
        <w:t>联系人：</w:t>
      </w:r>
      <w:r>
        <w:rPr>
          <w:rFonts w:hint="eastAsia" w:ascii="宋体" w:hAnsi="宋体"/>
        </w:rPr>
        <w:tab/>
      </w:r>
      <w:r>
        <w:rPr>
          <w:rFonts w:hint="eastAsia" w:ascii="宋体" w:hAnsi="宋体"/>
        </w:rPr>
        <w:tab/>
      </w:r>
    </w:p>
    <w:p>
      <w:pPr>
        <w:spacing w:line="560" w:lineRule="exact"/>
        <w:ind w:firstLine="480"/>
        <w:rPr>
          <w:rFonts w:ascii="宋体" w:hAnsi="宋体"/>
        </w:rPr>
      </w:pPr>
      <w:r>
        <w:rPr>
          <w:rFonts w:hint="eastAsia" w:ascii="宋体" w:hAnsi="宋体"/>
        </w:rPr>
        <w:t xml:space="preserve">联系地址：                                       </w:t>
      </w:r>
    </w:p>
    <w:p>
      <w:pPr>
        <w:spacing w:line="560" w:lineRule="exact"/>
        <w:ind w:firstLine="480"/>
        <w:rPr>
          <w:rFonts w:ascii="宋体" w:hAnsi="宋体"/>
        </w:rPr>
      </w:pPr>
      <w:r>
        <w:rPr>
          <w:rFonts w:hint="eastAsia" w:ascii="宋体" w:hAnsi="宋体"/>
        </w:rPr>
        <w:t>电话：</w:t>
      </w:r>
    </w:p>
    <w:p>
      <w:pPr>
        <w:spacing w:line="560" w:lineRule="exact"/>
        <w:ind w:firstLine="480"/>
        <w:rPr>
          <w:rFonts w:ascii="宋体" w:hAnsi="宋体"/>
        </w:rPr>
      </w:pPr>
    </w:p>
    <w:p>
      <w:pPr>
        <w:spacing w:line="560" w:lineRule="exact"/>
        <w:ind w:left="480" w:leftChars="200" w:firstLine="0" w:firstLineChars="0"/>
        <w:rPr>
          <w:rFonts w:ascii="宋体" w:hAnsi="宋体"/>
        </w:rPr>
      </w:pPr>
      <w:r>
        <w:rPr>
          <w:rFonts w:hint="eastAsia" w:ascii="宋体" w:hAnsi="宋体"/>
        </w:rPr>
        <w:t>承 包 方：</w:t>
      </w:r>
      <w:r>
        <w:rPr>
          <w:rFonts w:hint="eastAsia" w:ascii="宋体" w:hAnsi="宋体"/>
          <w:u w:val="single"/>
        </w:rPr>
        <w:t>__</w:t>
      </w:r>
      <w:r>
        <w:rPr>
          <w:rFonts w:hint="eastAsia" w:ascii="宋体" w:hAnsi="宋体"/>
        </w:rPr>
        <w:t>_       （以下简称“乙方”）</w:t>
      </w:r>
      <w:r>
        <w:rPr>
          <w:rFonts w:hint="eastAsia" w:ascii="宋体" w:hAnsi="宋体"/>
          <w:u w:val="words"/>
        </w:rPr>
        <w:br w:type="textWrapping"/>
      </w:r>
      <w:r>
        <w:rPr>
          <w:rFonts w:hint="eastAsia" w:ascii="宋体" w:hAnsi="宋体"/>
        </w:rPr>
        <w:t xml:space="preserve">地址： </w:t>
      </w:r>
    </w:p>
    <w:p>
      <w:pPr>
        <w:spacing w:line="560" w:lineRule="exact"/>
        <w:ind w:firstLine="480"/>
        <w:rPr>
          <w:rFonts w:ascii="宋体" w:hAnsi="宋体"/>
        </w:rPr>
      </w:pPr>
      <w:r>
        <w:rPr>
          <w:rFonts w:hint="eastAsia" w:ascii="宋体" w:hAnsi="宋体"/>
        </w:rPr>
        <w:t xml:space="preserve">法定代表人： </w:t>
      </w:r>
    </w:p>
    <w:p>
      <w:pPr>
        <w:spacing w:line="560" w:lineRule="exact"/>
        <w:ind w:firstLine="480"/>
        <w:rPr>
          <w:rFonts w:ascii="宋体" w:hAnsi="宋体"/>
        </w:rPr>
      </w:pPr>
      <w:r>
        <w:rPr>
          <w:rFonts w:hint="eastAsia" w:ascii="宋体" w:hAnsi="宋体"/>
        </w:rPr>
        <w:t>联系人：</w:t>
      </w:r>
      <w:r>
        <w:rPr>
          <w:rFonts w:hint="eastAsia" w:ascii="宋体" w:hAnsi="宋体"/>
        </w:rPr>
        <w:tab/>
      </w:r>
      <w:r>
        <w:rPr>
          <w:rFonts w:hint="eastAsia" w:ascii="宋体" w:hAnsi="宋体"/>
        </w:rPr>
        <w:tab/>
      </w:r>
    </w:p>
    <w:p>
      <w:pPr>
        <w:spacing w:line="560" w:lineRule="exact"/>
        <w:ind w:firstLine="480"/>
        <w:rPr>
          <w:rFonts w:ascii="宋体" w:hAnsi="宋体"/>
        </w:rPr>
      </w:pPr>
      <w:r>
        <w:rPr>
          <w:rFonts w:hint="eastAsia" w:ascii="宋体" w:hAnsi="宋体"/>
        </w:rPr>
        <w:t xml:space="preserve">联系地址：                                       </w:t>
      </w:r>
    </w:p>
    <w:p>
      <w:pPr>
        <w:spacing w:line="560" w:lineRule="exact"/>
        <w:ind w:firstLine="480"/>
        <w:rPr>
          <w:rFonts w:ascii="宋体" w:hAnsi="宋体"/>
        </w:rPr>
      </w:pPr>
      <w:r>
        <w:rPr>
          <w:rFonts w:hint="eastAsia" w:ascii="宋体" w:hAnsi="宋体"/>
        </w:rPr>
        <w:t>电话：</w:t>
      </w:r>
    </w:p>
    <w:p>
      <w:pPr>
        <w:spacing w:line="560" w:lineRule="exact"/>
        <w:ind w:firstLine="480"/>
        <w:jc w:val="center"/>
        <w:rPr>
          <w:rFonts w:ascii="宋体" w:hAnsi="宋体"/>
        </w:rPr>
      </w:pPr>
    </w:p>
    <w:p>
      <w:pPr>
        <w:spacing w:line="560" w:lineRule="exact"/>
        <w:ind w:firstLine="480"/>
        <w:jc w:val="center"/>
        <w:rPr>
          <w:rFonts w:ascii="宋体" w:hAnsi="宋体"/>
        </w:rPr>
      </w:pPr>
    </w:p>
    <w:p>
      <w:pPr>
        <w:spacing w:line="560" w:lineRule="exact"/>
        <w:ind w:firstLine="480"/>
        <w:rPr>
          <w:rFonts w:ascii="宋体" w:hAnsi="宋体"/>
        </w:rPr>
      </w:pPr>
    </w:p>
    <w:p>
      <w:pPr>
        <w:spacing w:line="560" w:lineRule="exact"/>
        <w:ind w:firstLine="480"/>
        <w:rPr>
          <w:rFonts w:ascii="宋体" w:hAnsi="宋体"/>
        </w:rPr>
      </w:pPr>
    </w:p>
    <w:p>
      <w:pPr>
        <w:spacing w:line="560" w:lineRule="exact"/>
        <w:ind w:firstLine="480"/>
        <w:rPr>
          <w:rFonts w:ascii="宋体" w:hAnsi="宋体"/>
        </w:rPr>
      </w:pPr>
    </w:p>
    <w:p>
      <w:pPr>
        <w:spacing w:line="560" w:lineRule="exact"/>
        <w:ind w:firstLine="480"/>
        <w:rPr>
          <w:rFonts w:ascii="宋体" w:hAnsi="宋体"/>
        </w:rPr>
      </w:pPr>
    </w:p>
    <w:p>
      <w:pPr>
        <w:spacing w:line="560" w:lineRule="exact"/>
        <w:ind w:firstLine="480"/>
        <w:rPr>
          <w:rFonts w:ascii="宋体" w:hAnsi="宋体"/>
        </w:rPr>
      </w:pPr>
    </w:p>
    <w:p>
      <w:pPr>
        <w:spacing w:line="560" w:lineRule="exact"/>
        <w:ind w:firstLine="480"/>
        <w:rPr>
          <w:rFonts w:ascii="宋体" w:hAnsi="宋体"/>
        </w:rPr>
      </w:pPr>
    </w:p>
    <w:p>
      <w:pPr>
        <w:spacing w:line="560" w:lineRule="exact"/>
        <w:ind w:firstLine="480"/>
        <w:rPr>
          <w:rFonts w:ascii="宋体" w:hAnsi="宋体"/>
        </w:rPr>
      </w:pPr>
    </w:p>
    <w:p>
      <w:pPr>
        <w:spacing w:line="560" w:lineRule="exact"/>
        <w:ind w:firstLine="480"/>
        <w:rPr>
          <w:rFonts w:ascii="宋体" w:hAnsi="宋体"/>
        </w:rPr>
      </w:pPr>
      <w:r>
        <w:rPr>
          <w:rFonts w:hint="eastAsia" w:ascii="宋体" w:hAnsi="宋体"/>
        </w:rPr>
        <w:br w:type="textWrapping"/>
      </w:r>
      <w:r>
        <w:rPr>
          <w:rFonts w:hint="eastAsia" w:ascii="宋体" w:hAnsi="宋体"/>
        </w:rPr>
        <w:t>　　依照《中华人民共和国合同法》及其它有关法律、法规，就</w:t>
      </w:r>
      <w:r>
        <w:rPr>
          <w:rFonts w:hint="eastAsia" w:ascii="宋体" w:hAnsi="宋体"/>
          <w:color w:val="000000"/>
        </w:rPr>
        <w:t>华能大厦柴油发电机房至副配电室电缆更换工程</w:t>
      </w:r>
      <w:r>
        <w:rPr>
          <w:rFonts w:hint="eastAsia" w:ascii="宋体" w:hAnsi="宋体"/>
        </w:rPr>
        <w:t>有关事项，遵循平等、自愿、公平和诚实信用的原则，经双方协商达成如下协议：</w:t>
      </w:r>
    </w:p>
    <w:p>
      <w:pPr>
        <w:spacing w:line="560" w:lineRule="exact"/>
        <w:ind w:firstLine="482"/>
        <w:rPr>
          <w:rFonts w:ascii="宋体" w:hAnsi="宋体"/>
          <w:bCs/>
        </w:rPr>
      </w:pPr>
      <w:r>
        <w:rPr>
          <w:rFonts w:hint="eastAsia" w:ascii="宋体" w:hAnsi="宋体"/>
          <w:b/>
        </w:rPr>
        <w:t xml:space="preserve">第1条  </w:t>
      </w:r>
      <w:r>
        <w:rPr>
          <w:rFonts w:hint="eastAsia" w:ascii="宋体" w:hAnsi="宋体"/>
          <w:bCs/>
        </w:rPr>
        <w:t>项目概况</w:t>
      </w:r>
    </w:p>
    <w:p>
      <w:pPr>
        <w:spacing w:line="560" w:lineRule="exact"/>
        <w:ind w:left="480" w:firstLine="480"/>
        <w:rPr>
          <w:rFonts w:ascii="宋体" w:hAnsi="宋体"/>
          <w:bCs/>
        </w:rPr>
      </w:pPr>
      <w:r>
        <w:rPr>
          <w:rFonts w:hint="eastAsia" w:ascii="宋体" w:hAnsi="宋体"/>
          <w:bCs/>
        </w:rPr>
        <w:t>工程名称：</w:t>
      </w:r>
      <w:r>
        <w:rPr>
          <w:rFonts w:hint="eastAsia" w:ascii="宋体" w:hAnsi="宋体"/>
          <w:bCs/>
          <w:spacing w:val="8"/>
        </w:rPr>
        <w:t>华能大厦</w:t>
      </w:r>
      <w:r>
        <w:rPr>
          <w:rFonts w:hint="eastAsia" w:ascii="宋体" w:hAnsi="宋体"/>
          <w:color w:val="000000"/>
        </w:rPr>
        <w:t>柴油发电机房至副配电室电缆更换项目</w:t>
      </w:r>
    </w:p>
    <w:p>
      <w:pPr>
        <w:spacing w:line="560" w:lineRule="exact"/>
        <w:ind w:left="480" w:firstLine="480"/>
        <w:rPr>
          <w:rFonts w:ascii="宋体" w:hAnsi="宋体"/>
          <w:bCs/>
        </w:rPr>
      </w:pPr>
      <w:r>
        <w:rPr>
          <w:rFonts w:hint="eastAsia" w:ascii="宋体" w:hAnsi="宋体"/>
          <w:bCs/>
        </w:rPr>
        <w:t>施工地址：【北京西城区复兴门内大街6号】</w:t>
      </w:r>
    </w:p>
    <w:p>
      <w:pPr>
        <w:spacing w:line="560" w:lineRule="exact"/>
        <w:ind w:firstLine="482"/>
        <w:rPr>
          <w:rFonts w:ascii="宋体" w:hAnsi="宋体"/>
        </w:rPr>
      </w:pPr>
      <w:r>
        <w:rPr>
          <w:rFonts w:hint="eastAsia" w:ascii="宋体" w:hAnsi="宋体"/>
          <w:b/>
          <w:bCs/>
        </w:rPr>
        <w:t>第2条</w:t>
      </w:r>
      <w:r>
        <w:rPr>
          <w:rFonts w:hint="eastAsia" w:ascii="宋体" w:hAnsi="宋体"/>
        </w:rPr>
        <w:t>　工期</w:t>
      </w:r>
      <w:r>
        <w:rPr>
          <w:rFonts w:hint="eastAsia" w:ascii="宋体" w:hAnsi="宋体"/>
        </w:rPr>
        <w:br w:type="textWrapping"/>
      </w:r>
      <w:r>
        <w:rPr>
          <w:rFonts w:hint="eastAsia" w:ascii="宋体" w:hAnsi="宋体"/>
        </w:rPr>
        <w:t>　　2.1本合同工程定于</w:t>
      </w:r>
      <w:r>
        <w:rPr>
          <w:rFonts w:hint="eastAsia" w:ascii="宋体" w:hAnsi="宋体"/>
          <w:u w:val="single"/>
        </w:rPr>
        <w:t xml:space="preserve">_    </w:t>
      </w:r>
      <w:r>
        <w:rPr>
          <w:rFonts w:hint="eastAsia" w:ascii="宋体" w:hAnsi="宋体"/>
        </w:rPr>
        <w:t>_年</w:t>
      </w:r>
      <w:r>
        <w:rPr>
          <w:rFonts w:hint="eastAsia" w:ascii="宋体" w:hAnsi="宋体"/>
          <w:u w:val="single"/>
        </w:rPr>
        <w:t xml:space="preserve">_    </w:t>
      </w:r>
      <w:r>
        <w:rPr>
          <w:rFonts w:hint="eastAsia" w:ascii="宋体" w:hAnsi="宋体"/>
        </w:rPr>
        <w:t>月</w:t>
      </w:r>
      <w:r>
        <w:rPr>
          <w:rFonts w:hint="eastAsia" w:ascii="宋体" w:hAnsi="宋体"/>
          <w:u w:val="single"/>
        </w:rPr>
        <w:t>_   _</w:t>
      </w:r>
      <w:r>
        <w:rPr>
          <w:rFonts w:hint="eastAsia" w:ascii="宋体" w:hAnsi="宋体"/>
        </w:rPr>
        <w:t>日开工；于</w:t>
      </w:r>
      <w:r>
        <w:rPr>
          <w:rFonts w:hint="eastAsia" w:ascii="宋体" w:hAnsi="宋体"/>
          <w:u w:val="single"/>
        </w:rPr>
        <w:t xml:space="preserve">_    年    _月    _    </w:t>
      </w:r>
      <w:r>
        <w:rPr>
          <w:rFonts w:hint="eastAsia" w:ascii="宋体" w:hAnsi="宋体"/>
        </w:rPr>
        <w:t>日前竣工。合同工期为</w:t>
      </w:r>
      <w:r>
        <w:rPr>
          <w:rFonts w:hint="eastAsia" w:ascii="宋体" w:hAnsi="宋体"/>
          <w:u w:val="single"/>
        </w:rPr>
        <w:t xml:space="preserve">_   </w:t>
      </w:r>
      <w:r>
        <w:rPr>
          <w:rFonts w:hint="eastAsia" w:ascii="宋体" w:hAnsi="宋体"/>
        </w:rPr>
        <w:t>天（结合项目情况,工期按有效工作日计算）。乙方不按合同约定完成各项工作（详见竞争性谈判文件第二部分）时，应承担由此造成的经济损失，工期不予顺延。如甲方需调整工期的，应提前【    】日通知乙方。</w:t>
      </w:r>
    </w:p>
    <w:p>
      <w:pPr>
        <w:spacing w:line="560" w:lineRule="exact"/>
        <w:ind w:firstLine="482"/>
        <w:rPr>
          <w:rFonts w:ascii="宋体" w:hAnsi="宋体"/>
        </w:rPr>
      </w:pPr>
      <w:r>
        <w:rPr>
          <w:rFonts w:hint="eastAsia" w:ascii="宋体" w:hAnsi="宋体"/>
          <w:b/>
        </w:rPr>
        <w:t>第3条</w:t>
      </w:r>
      <w:r>
        <w:rPr>
          <w:rFonts w:hint="eastAsia" w:ascii="宋体" w:hAnsi="宋体"/>
        </w:rPr>
        <w:t xml:space="preserve">  施工范围</w:t>
      </w:r>
    </w:p>
    <w:p>
      <w:pPr>
        <w:tabs>
          <w:tab w:val="left" w:pos="540"/>
        </w:tabs>
        <w:spacing w:line="480" w:lineRule="auto"/>
        <w:ind w:left="420" w:leftChars="175" w:firstLine="0" w:firstLineChars="0"/>
        <w:rPr>
          <w:rFonts w:ascii="宋体" w:hAnsi="宋体" w:cs="宋体"/>
          <w:kern w:val="0"/>
        </w:rPr>
      </w:pPr>
      <w:r>
        <w:rPr>
          <w:rFonts w:hint="eastAsia" w:ascii="宋体" w:hAnsi="宋体"/>
          <w:bCs/>
        </w:rPr>
        <w:t>3.</w:t>
      </w:r>
      <w:r>
        <w:rPr>
          <w:rFonts w:hint="eastAsia" w:ascii="宋体" w:hAnsi="宋体" w:cs="宋体"/>
          <w:kern w:val="0"/>
        </w:rPr>
        <w:t>1将原氧化镁电缆更换为低烟无卤阻燃耐火电力电缆，长度约2198米，安装耐火线槽、电缆终端接头。</w:t>
      </w:r>
    </w:p>
    <w:p>
      <w:pPr>
        <w:tabs>
          <w:tab w:val="left" w:pos="540"/>
        </w:tabs>
        <w:spacing w:line="480" w:lineRule="auto"/>
        <w:ind w:firstLine="439" w:firstLineChars="183"/>
        <w:rPr>
          <w:rFonts w:ascii="宋体" w:hAnsi="宋体" w:cs="宋体"/>
          <w:kern w:val="0"/>
        </w:rPr>
      </w:pPr>
      <w:r>
        <w:rPr>
          <w:rFonts w:hint="eastAsia" w:ascii="宋体" w:hAnsi="宋体" w:cs="宋体"/>
          <w:kern w:val="0"/>
        </w:rPr>
        <w:t>3.2电缆敷设区域的部分吊顶拆除和恢复工作，对现有部分灯具和吊顶支架的调整。</w:t>
      </w:r>
    </w:p>
    <w:p>
      <w:pPr>
        <w:tabs>
          <w:tab w:val="left" w:pos="540"/>
        </w:tabs>
        <w:spacing w:line="480" w:lineRule="auto"/>
        <w:ind w:firstLine="420" w:firstLineChars="175"/>
        <w:rPr>
          <w:rFonts w:ascii="宋体" w:hAnsi="宋体" w:cs="宋体"/>
          <w:kern w:val="0"/>
        </w:rPr>
      </w:pPr>
      <w:r>
        <w:rPr>
          <w:rFonts w:hint="eastAsia" w:ascii="宋体" w:hAnsi="宋体" w:cs="宋体"/>
          <w:kern w:val="0"/>
        </w:rPr>
        <w:t>3.3乙方负责供货、制定更换方案、现场施工管理、文档编制等工作。</w:t>
      </w:r>
    </w:p>
    <w:p>
      <w:pPr>
        <w:tabs>
          <w:tab w:val="left" w:pos="540"/>
        </w:tabs>
        <w:spacing w:line="480" w:lineRule="auto"/>
        <w:ind w:firstLine="439" w:firstLineChars="183"/>
        <w:rPr>
          <w:rFonts w:ascii="宋体" w:hAnsi="宋体" w:cs="宋体"/>
          <w:kern w:val="0"/>
        </w:rPr>
      </w:pPr>
      <w:r>
        <w:rPr>
          <w:rFonts w:hint="eastAsia" w:ascii="宋体" w:hAnsi="宋体" w:cs="宋体"/>
          <w:kern w:val="0"/>
        </w:rPr>
        <w:t>3.4更换的电缆应有2年质保期限，在质保服务期内乙方提供定期（一年两次）巡检服务。</w:t>
      </w:r>
    </w:p>
    <w:p>
      <w:pPr>
        <w:tabs>
          <w:tab w:val="left" w:pos="540"/>
        </w:tabs>
        <w:spacing w:line="480" w:lineRule="auto"/>
        <w:ind w:firstLine="439" w:firstLineChars="183"/>
        <w:rPr>
          <w:rFonts w:ascii="宋体" w:hAnsi="宋体" w:cs="宋体"/>
          <w:kern w:val="0"/>
        </w:rPr>
      </w:pPr>
      <w:r>
        <w:rPr>
          <w:rFonts w:hint="eastAsia" w:ascii="宋体" w:hAnsi="宋体" w:cs="宋体"/>
          <w:kern w:val="0"/>
        </w:rPr>
        <w:t>3.5乙方应提供全新的并符合甲方要求的电缆及相关配套设施。</w:t>
      </w:r>
    </w:p>
    <w:p>
      <w:pPr>
        <w:tabs>
          <w:tab w:val="left" w:pos="540"/>
        </w:tabs>
        <w:spacing w:line="480" w:lineRule="auto"/>
        <w:ind w:firstLine="439" w:firstLineChars="183"/>
        <w:rPr>
          <w:rFonts w:ascii="宋体" w:hAnsi="宋体" w:cs="宋体"/>
          <w:kern w:val="0"/>
        </w:rPr>
      </w:pPr>
      <w:r>
        <w:rPr>
          <w:rFonts w:hint="eastAsia" w:ascii="宋体" w:hAnsi="宋体" w:cs="宋体"/>
          <w:kern w:val="0"/>
        </w:rPr>
        <w:t>3.6拆卸下来的旧氧化镁电缆由乙方按照甲方要求运输至指定地点存放。</w:t>
      </w:r>
    </w:p>
    <w:p>
      <w:pPr>
        <w:tabs>
          <w:tab w:val="left" w:pos="540"/>
        </w:tabs>
        <w:spacing w:line="480" w:lineRule="auto"/>
        <w:ind w:firstLine="439" w:firstLineChars="183"/>
        <w:rPr>
          <w:rFonts w:ascii="宋体" w:hAnsi="宋体"/>
          <w:bCs/>
        </w:rPr>
      </w:pPr>
      <w:r>
        <w:rPr>
          <w:rFonts w:hint="eastAsia" w:ascii="宋体" w:hAnsi="宋体" w:cs="宋体"/>
          <w:kern w:val="0"/>
        </w:rPr>
        <w:t>3.7乙方编制带载测试方案，工</w:t>
      </w:r>
      <w:r>
        <w:rPr>
          <w:rFonts w:hint="eastAsia" w:ascii="宋体" w:hAnsi="宋体"/>
        </w:rPr>
        <w:t>程竣工验收时乙方配合进行柴油发电机带载测试，测试要求见合同附件1</w:t>
      </w:r>
      <w:r>
        <w:rPr>
          <w:rFonts w:hint="eastAsia" w:ascii="宋体" w:hAnsi="宋体" w:cs="宋体"/>
          <w:kern w:val="0"/>
        </w:rPr>
        <w:t>。</w:t>
      </w:r>
    </w:p>
    <w:p>
      <w:pPr>
        <w:spacing w:line="560" w:lineRule="exact"/>
        <w:ind w:firstLine="482"/>
        <w:rPr>
          <w:rFonts w:ascii="宋体" w:hAnsi="宋体"/>
          <w:bCs/>
        </w:rPr>
      </w:pPr>
      <w:r>
        <w:rPr>
          <w:rFonts w:hint="eastAsia" w:ascii="宋体" w:hAnsi="宋体"/>
          <w:b/>
          <w:bCs/>
        </w:rPr>
        <w:t>第4条</w:t>
      </w:r>
      <w:r>
        <w:rPr>
          <w:rFonts w:hint="eastAsia" w:ascii="宋体" w:hAnsi="宋体"/>
          <w:bCs/>
        </w:rPr>
        <w:t xml:space="preserve">  双方权利和义务</w:t>
      </w:r>
    </w:p>
    <w:p>
      <w:pPr>
        <w:spacing w:line="560" w:lineRule="exact"/>
        <w:ind w:firstLine="480"/>
        <w:rPr>
          <w:rFonts w:ascii="宋体" w:hAnsi="宋体"/>
          <w:bCs/>
        </w:rPr>
      </w:pPr>
      <w:r>
        <w:rPr>
          <w:rFonts w:hint="eastAsia" w:ascii="宋体" w:hAnsi="宋体"/>
          <w:bCs/>
        </w:rPr>
        <w:t>4.1 甲方的权利和义务</w:t>
      </w:r>
    </w:p>
    <w:p>
      <w:pPr>
        <w:spacing w:line="560" w:lineRule="exact"/>
        <w:ind w:firstLine="480"/>
        <w:rPr>
          <w:rFonts w:ascii="宋体" w:hAnsi="宋体"/>
          <w:bCs/>
        </w:rPr>
      </w:pPr>
      <w:r>
        <w:rPr>
          <w:rFonts w:hint="eastAsia" w:ascii="宋体" w:hAnsi="宋体"/>
          <w:bCs/>
        </w:rPr>
        <w:t>4.1.1 甲方有权要求乙方按照约定充分履行本合同项下的义务；</w:t>
      </w:r>
    </w:p>
    <w:p>
      <w:pPr>
        <w:spacing w:line="560" w:lineRule="exact"/>
        <w:ind w:firstLine="480"/>
        <w:rPr>
          <w:rFonts w:ascii="宋体" w:hAnsi="宋体"/>
          <w:bCs/>
        </w:rPr>
      </w:pPr>
      <w:r>
        <w:rPr>
          <w:rFonts w:hint="eastAsia" w:ascii="宋体" w:hAnsi="宋体"/>
          <w:bCs/>
        </w:rPr>
        <w:t>4.1.2 对于乙方的违约行为以及其它不利于实现本合同目的的行为，甲方有权责令其限期改正，如经甲方通知后乙方拒不改正的，甲方有权单方解除本合同并依法保留依照本合同采取进一步法律措施的权利；</w:t>
      </w:r>
    </w:p>
    <w:p>
      <w:pPr>
        <w:spacing w:line="560" w:lineRule="exact"/>
        <w:ind w:firstLine="480"/>
        <w:rPr>
          <w:rFonts w:ascii="宋体" w:hAnsi="宋体"/>
          <w:bCs/>
        </w:rPr>
      </w:pPr>
      <w:r>
        <w:rPr>
          <w:rFonts w:hint="eastAsia" w:ascii="宋体" w:hAnsi="宋体"/>
          <w:bCs/>
        </w:rPr>
        <w:t>4.1.3 向乙方下达进场计划，并进行进场验收；</w:t>
      </w:r>
    </w:p>
    <w:p>
      <w:pPr>
        <w:spacing w:line="560" w:lineRule="exact"/>
        <w:ind w:firstLine="480"/>
        <w:rPr>
          <w:rFonts w:ascii="宋体" w:hAnsi="宋体"/>
          <w:bCs/>
        </w:rPr>
      </w:pPr>
      <w:r>
        <w:rPr>
          <w:rFonts w:hint="eastAsia" w:ascii="宋体" w:hAnsi="宋体"/>
          <w:bCs/>
        </w:rPr>
        <w:t>4.1.4甲方应当按照合同约定支付工程款，并遵照履行本合同项下应当由甲方承担的义务。</w:t>
      </w:r>
    </w:p>
    <w:p>
      <w:pPr>
        <w:spacing w:line="560" w:lineRule="exact"/>
        <w:ind w:firstLine="480"/>
        <w:rPr>
          <w:rFonts w:ascii="宋体" w:hAnsi="宋体"/>
          <w:bCs/>
        </w:rPr>
      </w:pPr>
      <w:r>
        <w:rPr>
          <w:rFonts w:hint="eastAsia" w:ascii="宋体" w:hAnsi="宋体"/>
          <w:bCs/>
        </w:rPr>
        <w:t>4.2 乙方的权利和义务</w:t>
      </w:r>
    </w:p>
    <w:p>
      <w:pPr>
        <w:spacing w:line="560" w:lineRule="exact"/>
        <w:ind w:firstLine="480"/>
        <w:rPr>
          <w:rFonts w:ascii="宋体" w:hAnsi="宋体"/>
          <w:bCs/>
        </w:rPr>
      </w:pPr>
      <w:r>
        <w:rPr>
          <w:rFonts w:hint="eastAsia" w:ascii="宋体" w:hAnsi="宋体"/>
          <w:bCs/>
        </w:rPr>
        <w:t>4.2.1 乙方有权按照本合同的约定，从甲方处获取工程款；</w:t>
      </w:r>
    </w:p>
    <w:p>
      <w:pPr>
        <w:spacing w:line="560" w:lineRule="exact"/>
        <w:ind w:firstLine="480"/>
        <w:rPr>
          <w:rFonts w:ascii="宋体" w:hAnsi="宋体"/>
          <w:bCs/>
        </w:rPr>
      </w:pPr>
      <w:r>
        <w:rPr>
          <w:rFonts w:hint="eastAsia" w:ascii="宋体" w:hAnsi="宋体"/>
          <w:bCs/>
        </w:rPr>
        <w:t>4.2.2 乙方应遵守国家和项目所在地关于施工所需资质和技术能力的有关规定，并已获得在本地从事施工的资格，有关资料、资质、认证等虽经甲方审查，亦不能因此减免乙方应负的任何责任；</w:t>
      </w:r>
    </w:p>
    <w:p>
      <w:pPr>
        <w:spacing w:line="560" w:lineRule="exact"/>
        <w:ind w:firstLine="480"/>
        <w:rPr>
          <w:rFonts w:ascii="宋体" w:hAnsi="宋体"/>
          <w:bCs/>
        </w:rPr>
      </w:pPr>
      <w:r>
        <w:rPr>
          <w:rFonts w:hint="eastAsia" w:ascii="宋体" w:hAnsi="宋体"/>
          <w:bCs/>
        </w:rPr>
        <w:t>4.2.3 乙方应当遵守本合同、国家和项目所在地政府及有关部门的相关规定和本合同约定，按时、保质、保量完成工程建设任务及乙方负责的任何事宜；</w:t>
      </w:r>
    </w:p>
    <w:p>
      <w:pPr>
        <w:spacing w:line="560" w:lineRule="exact"/>
        <w:ind w:firstLine="480"/>
        <w:rPr>
          <w:rFonts w:ascii="宋体" w:hAnsi="宋体"/>
          <w:bCs/>
        </w:rPr>
      </w:pPr>
      <w:r>
        <w:rPr>
          <w:rFonts w:hint="eastAsia" w:ascii="宋体" w:hAnsi="宋体"/>
          <w:bCs/>
        </w:rPr>
        <w:t>4.2.4 未经甲方事先书面同意，乙方不得将其承包的本工程或本工程的部分内容转包或分包给他人。</w:t>
      </w:r>
    </w:p>
    <w:p>
      <w:pPr>
        <w:spacing w:line="560" w:lineRule="exact"/>
        <w:ind w:firstLine="480"/>
        <w:rPr>
          <w:rFonts w:ascii="宋体" w:hAnsi="宋体"/>
          <w:bCs/>
        </w:rPr>
      </w:pPr>
      <w:r>
        <w:rPr>
          <w:rFonts w:hint="eastAsia" w:ascii="宋体" w:hAnsi="宋体"/>
          <w:bCs/>
        </w:rPr>
        <w:t>4.2.5乙方应遵守甲方有关本工程的施工、材料和设备进出场以及材料和设备的现场存放方面及其它有关现场的管理规定。</w:t>
      </w:r>
    </w:p>
    <w:p>
      <w:pPr>
        <w:spacing w:line="560" w:lineRule="exact"/>
        <w:ind w:firstLine="480"/>
        <w:rPr>
          <w:rFonts w:ascii="宋体" w:hAnsi="宋体"/>
          <w:bCs/>
        </w:rPr>
      </w:pPr>
      <w:r>
        <w:rPr>
          <w:rFonts w:hint="eastAsia" w:ascii="宋体" w:hAnsi="宋体"/>
          <w:bCs/>
        </w:rPr>
        <w:t>4.2.6本工程中使用的材料和设备，除由甲方直接供应的以外，乙方在正式使用前，都要上报甲方同意。未经甲方书面同意，乙方将建筑材料或设备投入使用或更换原约定材料、设备时，甲方有权要求乙方停止上述行为并予以拆除，并由乙方承担一切费用并赔偿因此造成的一切损失，由此延误的工期不予顺延。</w:t>
      </w:r>
    </w:p>
    <w:p>
      <w:pPr>
        <w:spacing w:line="560" w:lineRule="exact"/>
        <w:ind w:firstLine="480"/>
        <w:rPr>
          <w:rFonts w:ascii="宋体" w:hAnsi="宋体"/>
          <w:bCs/>
        </w:rPr>
      </w:pPr>
      <w:r>
        <w:rPr>
          <w:rFonts w:hint="eastAsia" w:ascii="宋体" w:hAnsi="宋体"/>
          <w:bCs/>
        </w:rPr>
        <w:t>4.2.7乙方应做好成品（</w:t>
      </w:r>
      <w:r>
        <w:rPr>
          <w:rFonts w:hint="eastAsia"/>
        </w:rPr>
        <w:t>施工所用的材料及设备</w:t>
      </w:r>
      <w:r>
        <w:rPr>
          <w:rFonts w:hint="eastAsia" w:ascii="宋体" w:hAnsi="宋体"/>
          <w:bCs/>
        </w:rPr>
        <w:t>）保护工作。如在本工程未移交期间发生成品损坏，材料设备丢失等问题，由乙方承担一切责任。</w:t>
      </w:r>
    </w:p>
    <w:p>
      <w:pPr>
        <w:spacing w:line="560" w:lineRule="exact"/>
        <w:ind w:firstLine="480"/>
        <w:rPr>
          <w:rFonts w:ascii="宋体" w:hAnsi="宋体"/>
          <w:bCs/>
        </w:rPr>
      </w:pPr>
      <w:r>
        <w:rPr>
          <w:rFonts w:hint="eastAsia" w:ascii="宋体" w:hAnsi="宋体"/>
          <w:bCs/>
        </w:rPr>
        <w:t>4.2.8乙方负责提供材料/设备生产证明、产品质量证明、报关单复印件等工作，交付验收时需按国家和项目所在地现行规定提交完整的竣工资料，并承担由此而产生的一切费用。</w:t>
      </w:r>
    </w:p>
    <w:p>
      <w:pPr>
        <w:spacing w:line="560" w:lineRule="exact"/>
        <w:ind w:firstLine="480"/>
        <w:rPr>
          <w:rFonts w:ascii="宋体" w:hAnsi="宋体"/>
          <w:bCs/>
        </w:rPr>
      </w:pPr>
      <w:r>
        <w:rPr>
          <w:rFonts w:hint="eastAsia" w:ascii="宋体" w:hAnsi="宋体"/>
          <w:bCs/>
        </w:rPr>
        <w:t>4.2.9自工程竣工验收（验收标准详见附件1）合格之日起，乙方按项目所在地有关规定对所施工内容负责保修，在此期间，发生质量问题，由乙方自费处理。</w:t>
      </w:r>
    </w:p>
    <w:p>
      <w:pPr>
        <w:spacing w:line="560" w:lineRule="exact"/>
        <w:ind w:firstLine="480"/>
        <w:rPr>
          <w:rFonts w:ascii="宋体" w:hAnsi="宋体"/>
          <w:bCs/>
        </w:rPr>
      </w:pPr>
      <w:r>
        <w:rPr>
          <w:rFonts w:hint="eastAsia" w:ascii="宋体" w:hAnsi="宋体"/>
          <w:bCs/>
        </w:rPr>
        <w:t>4.2.10乙方作为本工程的施工单位，必须保证其项目班子配置的合理性和稳定性，并应负责承包建设范围内的施工现场管理，保证施工工作顺利完成。</w:t>
      </w:r>
    </w:p>
    <w:p>
      <w:pPr>
        <w:spacing w:line="560" w:lineRule="exact"/>
        <w:ind w:firstLine="480"/>
        <w:rPr>
          <w:rFonts w:ascii="宋体" w:hAnsi="宋体"/>
          <w:bCs/>
        </w:rPr>
      </w:pPr>
      <w:r>
        <w:rPr>
          <w:rFonts w:hint="eastAsia" w:ascii="宋体" w:hAnsi="宋体"/>
          <w:bCs/>
        </w:rPr>
        <w:t>4.2.11乙方驻工地代表（姓名：____，电话：____）须常驻现场，并按时参加现场协调会（不允许代班）。如乙方驻工地代表缺席或迟到参加现场协调会，会上确定的一切事宜视为乙方完全同意，由此给本工程造成的一切损失由乙方赔偿。</w:t>
      </w:r>
    </w:p>
    <w:p>
      <w:pPr>
        <w:spacing w:line="560" w:lineRule="exact"/>
        <w:ind w:firstLine="480"/>
        <w:rPr>
          <w:rFonts w:ascii="宋体" w:hAnsi="宋体"/>
          <w:bCs/>
        </w:rPr>
      </w:pPr>
      <w:r>
        <w:rPr>
          <w:rFonts w:hint="eastAsia" w:ascii="宋体" w:hAnsi="宋体"/>
          <w:bCs/>
        </w:rPr>
        <w:t>4.2.12甲乙双方提前签订施工安全管理协议，甲方督促乙方做好施工过程中安全管理，乙方全面负责施工过程中的安全管理，履行安全责任。</w:t>
      </w:r>
    </w:p>
    <w:p>
      <w:pPr>
        <w:spacing w:line="560" w:lineRule="exact"/>
        <w:ind w:firstLine="480"/>
        <w:rPr>
          <w:rFonts w:ascii="宋体" w:hAnsi="宋体"/>
          <w:bCs/>
        </w:rPr>
      </w:pPr>
      <w:r>
        <w:rPr>
          <w:rFonts w:hint="eastAsia" w:ascii="宋体" w:hAnsi="宋体"/>
          <w:bCs/>
        </w:rPr>
        <w:t>4.2.13甲方提前向乙方做好施工改造现场的安全技术交底，乙方在施工改造期间遵守甲方相关管理规定。</w:t>
      </w:r>
    </w:p>
    <w:p>
      <w:pPr>
        <w:spacing w:line="560" w:lineRule="exact"/>
        <w:ind w:firstLine="480"/>
        <w:rPr>
          <w:rFonts w:ascii="宋体" w:hAnsi="宋体"/>
        </w:rPr>
      </w:pPr>
      <w:r>
        <w:rPr>
          <w:rFonts w:hint="eastAsia" w:ascii="宋体" w:hAnsi="宋体"/>
          <w:bCs/>
        </w:rPr>
        <w:t>4.2.14在施工改造过程中因乙方原因导致任何安全事故和违法违章行为的处理（包括但不限于人员伤亡、财产损失、设施损坏、政府处罚等），由乙方负责；由此给甲方或第三方造成的经济损失和不良影响，由乙方承担赔偿责任，与甲方无关。</w:t>
      </w:r>
    </w:p>
    <w:p>
      <w:pPr>
        <w:spacing w:line="560" w:lineRule="exact"/>
        <w:ind w:firstLine="482"/>
        <w:rPr>
          <w:rFonts w:ascii="宋体" w:hAnsi="宋体"/>
          <w:bCs/>
        </w:rPr>
      </w:pPr>
      <w:r>
        <w:rPr>
          <w:rFonts w:hint="eastAsia" w:ascii="宋体" w:hAnsi="宋体"/>
          <w:b/>
        </w:rPr>
        <w:t>第5条</w:t>
      </w:r>
      <w:r>
        <w:rPr>
          <w:rFonts w:hint="eastAsia" w:ascii="宋体" w:hAnsi="宋体"/>
        </w:rPr>
        <w:t>　工程质量检查及验收</w:t>
      </w:r>
      <w:r>
        <w:rPr>
          <w:rFonts w:hint="eastAsia" w:ascii="宋体" w:hAnsi="宋体"/>
        </w:rPr>
        <w:br w:type="textWrapping"/>
      </w:r>
      <w:r>
        <w:rPr>
          <w:rFonts w:hint="eastAsia" w:ascii="宋体" w:hAnsi="宋体"/>
        </w:rPr>
        <w:t>　　5</w:t>
      </w:r>
      <w:r>
        <w:rPr>
          <w:rFonts w:hint="eastAsia" w:ascii="宋体" w:hAnsi="宋体"/>
          <w:bCs/>
        </w:rPr>
        <w:t>.1本工程质量应符合本合同、国家和项目所在地现行质量评定标准和施工技术验收规范及行业主管部门之要求。若相关工程质量标准有关条款规定不完全一致时，以要求严格的为准。</w:t>
      </w:r>
    </w:p>
    <w:p>
      <w:pPr>
        <w:spacing w:line="560" w:lineRule="exact"/>
        <w:ind w:firstLine="480"/>
        <w:rPr>
          <w:rFonts w:ascii="宋体" w:hAnsi="宋体"/>
          <w:bCs/>
        </w:rPr>
      </w:pPr>
      <w:r>
        <w:rPr>
          <w:rFonts w:hint="eastAsia" w:ascii="宋体" w:hAnsi="宋体"/>
          <w:bCs/>
        </w:rPr>
        <w:t>5.2双方约定本工程质量等级为：合格。</w:t>
      </w:r>
    </w:p>
    <w:p>
      <w:pPr>
        <w:spacing w:line="560" w:lineRule="exact"/>
        <w:ind w:firstLine="480"/>
        <w:rPr>
          <w:rFonts w:ascii="宋体" w:hAnsi="宋体"/>
          <w:bCs/>
        </w:rPr>
      </w:pPr>
      <w:r>
        <w:rPr>
          <w:rFonts w:hint="eastAsia" w:ascii="宋体" w:hAnsi="宋体"/>
          <w:bCs/>
        </w:rPr>
        <w:t>5.3乙方应该认真按照标准、规范和设计的要求以及甲方发出的指令施工，随时接受甲方的检查检验、为检查检验提供便利条件。甲方有权依据本合同约定的标准对乙方负责建设的工程项目进行检查检验。对达不到约定标准的部分，甲方有权要求乙方返工，乙方应按要求的时间返工，直到工程质量达到本合同约定标准。若返工【  】次仍不能达到标准，甲方有权解除合同，乙方应赔偿因此给甲方造成的全部损失。乙方不得以技术，经济等方面的困难对抗甲方的合理指示。对此，甲方无须额外支付费用。</w:t>
      </w:r>
    </w:p>
    <w:p>
      <w:pPr>
        <w:spacing w:line="560" w:lineRule="exact"/>
        <w:ind w:firstLine="480"/>
        <w:rPr>
          <w:rFonts w:ascii="宋体" w:hAnsi="宋体"/>
          <w:bCs/>
        </w:rPr>
      </w:pPr>
      <w:r>
        <w:rPr>
          <w:rFonts w:hint="eastAsia" w:ascii="宋体" w:hAnsi="宋体"/>
          <w:bCs/>
        </w:rPr>
        <w:t>5.4乙方必须接受甲方代表及政府发出的合理改正指令并在规定的期限内实施完。若乙方不能在规定的期限内完成，则甲方可委托其它承包商完成上述工作，所需费用甲方直接从乙方工程款中扣除，该等费用不需经过乙方认可，若甲方扣除的工程款不足以支付其他承包商为完成相关工作而产生的费用，该部分费用应由乙方承担，甲方进行垫付的有权向乙方主张返还相应费用。</w:t>
      </w:r>
    </w:p>
    <w:p>
      <w:pPr>
        <w:spacing w:line="560" w:lineRule="exact"/>
        <w:ind w:firstLine="480"/>
        <w:rPr>
          <w:rFonts w:ascii="宋体" w:hAnsi="宋体"/>
        </w:rPr>
      </w:pPr>
      <w:r>
        <w:rPr>
          <w:rFonts w:hint="eastAsia" w:ascii="宋体" w:hAnsi="宋体"/>
          <w:bCs/>
        </w:rPr>
        <w:t>5.5乙方工程竣工验收后，即使已经交付甲方使用，也不得以本工程已经通过验收为由拒绝承担应由其承担的质量责任，任何获奖证书和证明文件不可以作为质量问题或质量缺陷不存在的理由。</w:t>
      </w:r>
    </w:p>
    <w:p>
      <w:pPr>
        <w:spacing w:line="560" w:lineRule="exact"/>
        <w:ind w:firstLine="482"/>
        <w:rPr>
          <w:rFonts w:ascii="宋体" w:hAnsi="宋体"/>
        </w:rPr>
      </w:pPr>
      <w:r>
        <w:rPr>
          <w:rFonts w:hint="eastAsia" w:ascii="宋体" w:hAnsi="宋体"/>
          <w:b/>
          <w:bCs/>
        </w:rPr>
        <w:t>第6条</w:t>
      </w:r>
      <w:r>
        <w:rPr>
          <w:rFonts w:hint="eastAsia" w:ascii="宋体" w:hAnsi="宋体"/>
        </w:rPr>
        <w:t>　工程价款及结算</w:t>
      </w:r>
      <w:r>
        <w:rPr>
          <w:rFonts w:hint="eastAsia" w:ascii="宋体" w:hAnsi="宋体"/>
        </w:rPr>
        <w:br w:type="textWrapping"/>
      </w:r>
      <w:r>
        <w:rPr>
          <w:rFonts w:hint="eastAsia" w:ascii="宋体" w:hAnsi="宋体"/>
        </w:rPr>
        <w:t>　　本合同价款人民币【   】元（小写：¥【   】），本价款为固定价款，包括乙方履行合同义务的所有费用（含材料费），甲方不再另行支付任何费用。</w:t>
      </w:r>
    </w:p>
    <w:p>
      <w:pPr>
        <w:spacing w:line="560" w:lineRule="exact"/>
        <w:ind w:firstLine="480"/>
        <w:rPr>
          <w:rFonts w:ascii="宋体" w:hAnsi="宋体"/>
        </w:rPr>
      </w:pPr>
      <w:r>
        <w:rPr>
          <w:rFonts w:hint="eastAsia" w:ascii="宋体" w:hAnsi="宋体"/>
        </w:rPr>
        <w:t>本次工程款分2次进行支付</w:t>
      </w:r>
    </w:p>
    <w:tbl>
      <w:tblPr>
        <w:tblStyle w:val="35"/>
        <w:tblW w:w="90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4"/>
        <w:gridCol w:w="3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4" w:type="dxa"/>
            <w:tcBorders>
              <w:top w:val="single" w:color="auto" w:sz="4" w:space="0"/>
              <w:left w:val="single" w:color="auto" w:sz="4" w:space="0"/>
              <w:bottom w:val="single" w:color="auto" w:sz="4" w:space="0"/>
              <w:right w:val="single" w:color="auto" w:sz="4" w:space="0"/>
            </w:tcBorders>
          </w:tcPr>
          <w:p>
            <w:pPr>
              <w:spacing w:line="560" w:lineRule="exact"/>
              <w:ind w:firstLine="480"/>
              <w:jc w:val="center"/>
              <w:rPr>
                <w:rFonts w:ascii="宋体" w:hAnsi="宋体"/>
              </w:rPr>
            </w:pPr>
            <w:r>
              <w:rPr>
                <w:rFonts w:hint="eastAsia" w:ascii="宋体" w:hAnsi="宋体"/>
              </w:rPr>
              <w:t>工程款支付</w:t>
            </w:r>
          </w:p>
        </w:tc>
        <w:tc>
          <w:tcPr>
            <w:tcW w:w="3641" w:type="dxa"/>
            <w:tcBorders>
              <w:top w:val="single" w:color="auto" w:sz="4" w:space="0"/>
              <w:left w:val="single" w:color="auto" w:sz="4" w:space="0"/>
              <w:bottom w:val="single" w:color="auto" w:sz="4" w:space="0"/>
              <w:right w:val="single" w:color="auto" w:sz="4" w:space="0"/>
            </w:tcBorders>
          </w:tcPr>
          <w:p>
            <w:pPr>
              <w:spacing w:line="560" w:lineRule="exact"/>
              <w:ind w:firstLine="480"/>
              <w:jc w:val="center"/>
              <w:rPr>
                <w:rFonts w:ascii="宋体" w:hAnsi="宋体"/>
              </w:rPr>
            </w:pPr>
            <w:r>
              <w:rPr>
                <w:rFonts w:hint="eastAsia" w:ascii="宋体" w:hAnsi="宋体"/>
              </w:rPr>
              <w:t>占承包项目合同固定价款百分比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rPr>
                <w:rFonts w:ascii="宋体" w:hAnsi="宋体"/>
              </w:rPr>
            </w:pPr>
            <w:r>
              <w:rPr>
                <w:rFonts w:hint="eastAsia" w:ascii="宋体" w:hAnsi="宋体"/>
              </w:rPr>
              <w:t>乙方开具合法、符合甲方要求的相应增值税专票后，甲方竣工验收合格完成后30日内（附经甲方签字确认的竣工验收单）</w:t>
            </w:r>
          </w:p>
        </w:tc>
        <w:tc>
          <w:tcPr>
            <w:tcW w:w="364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jc w:val="center"/>
              <w:rPr>
                <w:rFonts w:ascii="宋体" w:hAnsi="宋体"/>
              </w:rPr>
            </w:pPr>
            <w:r>
              <w:rPr>
                <w:rFonts w:hint="eastAsia" w:ascii="宋体" w:hAnsi="宋体"/>
              </w:rPr>
              <w:t>95%</w:t>
            </w:r>
            <w:bookmarkStart w:id="116" w:name="_GoBack"/>
            <w:bookmarkEnd w:id="1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04"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rPr>
                <w:rFonts w:ascii="宋体" w:hAnsi="宋体"/>
              </w:rPr>
            </w:pPr>
            <w:r>
              <w:rPr>
                <w:rFonts w:hint="eastAsia" w:ascii="宋体" w:hAnsi="宋体"/>
              </w:rPr>
              <w:t>乙方开具合法、符合甲方要求的相应增值税专票后，竣工验收合格2年后（无质量问题）</w:t>
            </w:r>
          </w:p>
        </w:tc>
        <w:tc>
          <w:tcPr>
            <w:tcW w:w="364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80"/>
              <w:jc w:val="center"/>
              <w:rPr>
                <w:rFonts w:ascii="宋体" w:hAnsi="宋体"/>
              </w:rPr>
            </w:pPr>
            <w:r>
              <w:rPr>
                <w:rFonts w:hint="eastAsia" w:ascii="宋体" w:hAnsi="宋体"/>
              </w:rPr>
              <w:t>5%</w:t>
            </w:r>
          </w:p>
        </w:tc>
      </w:tr>
    </w:tbl>
    <w:p>
      <w:pPr>
        <w:spacing w:line="560" w:lineRule="exact"/>
        <w:ind w:firstLine="482"/>
        <w:rPr>
          <w:rFonts w:ascii="宋体" w:hAnsi="宋体"/>
        </w:rPr>
      </w:pPr>
      <w:r>
        <w:rPr>
          <w:rFonts w:hint="eastAsia" w:ascii="宋体" w:hAnsi="宋体"/>
          <w:b/>
        </w:rPr>
        <w:t>第7条</w:t>
      </w:r>
      <w:r>
        <w:rPr>
          <w:rFonts w:hint="eastAsia" w:ascii="宋体" w:hAnsi="宋体"/>
        </w:rPr>
        <w:t>　保修服务</w:t>
      </w:r>
    </w:p>
    <w:p>
      <w:pPr>
        <w:spacing w:line="560" w:lineRule="exact"/>
        <w:ind w:firstLine="480"/>
        <w:rPr>
          <w:rFonts w:ascii="宋体" w:hAnsi="宋体"/>
        </w:rPr>
      </w:pPr>
      <w:r>
        <w:rPr>
          <w:rFonts w:hint="eastAsia" w:ascii="宋体" w:hAnsi="宋体"/>
        </w:rPr>
        <w:t>7.1 保修期：本合同工程竣工验收合格之日起开始计2年。</w:t>
      </w:r>
    </w:p>
    <w:p>
      <w:pPr>
        <w:spacing w:line="560" w:lineRule="exact"/>
        <w:ind w:firstLine="480"/>
        <w:rPr>
          <w:rFonts w:ascii="宋体" w:hAnsi="宋体"/>
        </w:rPr>
      </w:pPr>
      <w:r>
        <w:rPr>
          <w:rFonts w:hint="eastAsia" w:ascii="宋体" w:hAnsi="宋体"/>
        </w:rPr>
        <w:t>7.2保修期内乙方应保证在接到报修电话后【  】小时内到达现场进行维修或更换的工作，乙方委派专门人员（姓名：____，电话：____）与甲方对接维修事宜，或开通24小时报修客服，报修电话：_____。</w:t>
      </w:r>
    </w:p>
    <w:p>
      <w:pPr>
        <w:spacing w:line="560" w:lineRule="exact"/>
        <w:ind w:firstLine="480"/>
        <w:rPr>
          <w:rFonts w:ascii="宋体" w:hAnsi="宋体"/>
        </w:rPr>
      </w:pPr>
      <w:r>
        <w:rPr>
          <w:rFonts w:hint="eastAsia" w:ascii="宋体" w:hAnsi="宋体"/>
        </w:rPr>
        <w:t>7.3保修期内，如乙方未能按照本合同7.2条的约定及时进行维修或更换工作，甲方有权另行委托其他第三方进行维修或更换工作，所需费用甲方直接从乙方工程款中扣除，该费用不需经过乙方认可，若甲方扣除的工程款不足以支付其他第三方为完成相关工作而产生的费用，该部分费用应由乙方承担，甲方进行垫付的有权向乙方主张返还相应费用；如乙方未能按照7.2条的约定及时进行维修或者更换工作，应视为乙方违约，乙方除应承担本合同违约责任之外，如给甲方造成其他经济损失的，乙方应承担全部赔偿责任。</w:t>
      </w:r>
    </w:p>
    <w:p>
      <w:pPr>
        <w:spacing w:line="560" w:lineRule="exact"/>
        <w:ind w:firstLine="482"/>
        <w:rPr>
          <w:rFonts w:ascii="宋体" w:hAnsi="宋体"/>
        </w:rPr>
      </w:pPr>
      <w:r>
        <w:rPr>
          <w:rFonts w:hint="eastAsia" w:ascii="宋体" w:hAnsi="宋体"/>
          <w:b/>
          <w:bCs/>
        </w:rPr>
        <w:t>第8条</w:t>
      </w:r>
      <w:r>
        <w:rPr>
          <w:rFonts w:hint="eastAsia" w:ascii="宋体" w:hAnsi="宋体"/>
        </w:rPr>
        <w:t>　违约责任</w:t>
      </w:r>
      <w:r>
        <w:rPr>
          <w:rFonts w:hint="eastAsia" w:ascii="宋体" w:hAnsi="宋体"/>
        </w:rPr>
        <w:br w:type="textWrapping"/>
      </w:r>
      <w:r>
        <w:rPr>
          <w:rFonts w:hint="eastAsia" w:ascii="宋体" w:hAnsi="宋体"/>
        </w:rPr>
        <w:t>　　8.1甲方或乙方不履行或不完全履行本协议约定义务，视为违约，应承担相应的违约责任，违约方应向守约方支付合同总价款【  】%的违约金，并赔偿因其违约给对方造成的全部经济损失。</w:t>
      </w:r>
    </w:p>
    <w:p>
      <w:pPr>
        <w:spacing w:line="560" w:lineRule="exact"/>
        <w:ind w:firstLine="480"/>
        <w:rPr>
          <w:rFonts w:ascii="宋体" w:hAnsi="宋体"/>
        </w:rPr>
      </w:pPr>
      <w:r>
        <w:rPr>
          <w:rFonts w:hint="eastAsia" w:ascii="宋体" w:hAnsi="宋体"/>
        </w:rPr>
        <w:t>8.2乙方应在施工过程中保障施工人员的人身安全，因乙方或乙方工作人员的原因造成的财产损失及人员伤亡，甲方不承担责任。乙方应当赔偿因上述原因给甲方或第三方造成的全部损失。</w:t>
      </w:r>
    </w:p>
    <w:p>
      <w:pPr>
        <w:spacing w:line="560" w:lineRule="exact"/>
        <w:ind w:firstLine="480"/>
        <w:rPr>
          <w:rFonts w:ascii="宋体" w:hAnsi="宋体"/>
        </w:rPr>
      </w:pPr>
      <w:r>
        <w:rPr>
          <w:rFonts w:hint="eastAsia" w:ascii="宋体" w:hAnsi="宋体"/>
        </w:rPr>
        <w:t>8.3除非双方协议将合同终止，或因一方违约使合同无法履行，违约方承担上述违约责任后仍应继续履行合同。</w:t>
      </w:r>
    </w:p>
    <w:p>
      <w:pPr>
        <w:spacing w:line="560" w:lineRule="exact"/>
        <w:ind w:firstLine="482"/>
        <w:rPr>
          <w:rFonts w:ascii="宋体" w:hAnsi="宋体"/>
        </w:rPr>
      </w:pPr>
      <w:r>
        <w:rPr>
          <w:rFonts w:hint="eastAsia" w:ascii="宋体" w:hAnsi="宋体"/>
          <w:b/>
          <w:bCs/>
        </w:rPr>
        <w:t>第9条</w:t>
      </w:r>
      <w:r>
        <w:rPr>
          <w:rFonts w:hint="eastAsia" w:ascii="宋体" w:hAnsi="宋体"/>
        </w:rPr>
        <w:t>　其他</w:t>
      </w:r>
    </w:p>
    <w:p>
      <w:pPr>
        <w:spacing w:line="560" w:lineRule="exact"/>
        <w:ind w:firstLine="480"/>
        <w:rPr>
          <w:rFonts w:ascii="宋体" w:hAnsi="宋体"/>
        </w:rPr>
      </w:pPr>
      <w:r>
        <w:rPr>
          <w:rFonts w:hint="eastAsia" w:ascii="宋体" w:hAnsi="宋体"/>
        </w:rPr>
        <w:t>9.1本合同自甲乙双方法定代表人或授权代表签字或加盖公章或合同专用章之日起生效。</w:t>
      </w:r>
    </w:p>
    <w:p>
      <w:pPr>
        <w:spacing w:line="560" w:lineRule="exact"/>
        <w:ind w:firstLine="480"/>
        <w:rPr>
          <w:rFonts w:ascii="宋体" w:hAnsi="宋体"/>
        </w:rPr>
      </w:pPr>
      <w:r>
        <w:rPr>
          <w:rFonts w:hint="eastAsia" w:ascii="宋体" w:hAnsi="宋体"/>
        </w:rPr>
        <w:t>9.2本合同共八份，具有同等效力，由甲方保存肆份，乙方保存肆份。</w:t>
      </w:r>
    </w:p>
    <w:p>
      <w:pPr>
        <w:spacing w:line="560" w:lineRule="exact"/>
        <w:ind w:firstLine="482"/>
        <w:rPr>
          <w:rFonts w:ascii="宋体" w:hAnsi="宋体"/>
        </w:rPr>
      </w:pPr>
      <w:r>
        <w:rPr>
          <w:rFonts w:hint="eastAsia" w:ascii="宋体" w:hAnsi="宋体"/>
          <w:b/>
          <w:bCs/>
        </w:rPr>
        <w:t xml:space="preserve">第10条  </w:t>
      </w:r>
      <w:r>
        <w:rPr>
          <w:rFonts w:hint="eastAsia" w:ascii="宋体" w:hAnsi="宋体"/>
        </w:rPr>
        <w:t>补充条款</w:t>
      </w:r>
    </w:p>
    <w:p>
      <w:pPr>
        <w:spacing w:line="560" w:lineRule="exact"/>
        <w:ind w:firstLine="544" w:firstLineChars="227"/>
        <w:rPr>
          <w:rFonts w:ascii="宋体" w:hAnsi="宋体"/>
        </w:rPr>
      </w:pPr>
      <w:r>
        <w:rPr>
          <w:rFonts w:hint="eastAsia" w:ascii="宋体" w:hAnsi="宋体"/>
        </w:rPr>
        <w:t>10.1工程质量保修期自竣工验收合格之日计算，保修期为2年，乙方应对施工缺陷及工程质量负责，保修、更换费用由乙方承担。</w:t>
      </w:r>
    </w:p>
    <w:p>
      <w:pPr>
        <w:spacing w:line="560" w:lineRule="exact"/>
        <w:ind w:firstLine="544" w:firstLineChars="227"/>
        <w:rPr>
          <w:rFonts w:ascii="宋体" w:hAnsi="宋体"/>
        </w:rPr>
      </w:pPr>
      <w:r>
        <w:rPr>
          <w:rFonts w:hint="eastAsia" w:ascii="宋体" w:hAnsi="宋体"/>
        </w:rPr>
        <w:t>10.2本工程中由乙方采购的材料设备，乙方在具体施工前，应提交详细的施工方案、材料清单并经甲方书面确认，经甲方书面确认后的施工方案、安全方案及材料清单作为本合同附件，构成本合同不可分割的组成部分。乙方应按照施工方案和有关技术资料标准要求进行采购，提供材料设备产品的质量、环保合格证明并报请甲方确认，并对所购材料设备质量负责。</w:t>
      </w:r>
    </w:p>
    <w:p>
      <w:pPr>
        <w:spacing w:line="560" w:lineRule="exact"/>
        <w:ind w:firstLine="544" w:firstLineChars="227"/>
        <w:rPr>
          <w:rFonts w:ascii="宋体" w:hAnsi="宋体"/>
        </w:rPr>
      </w:pPr>
      <w:r>
        <w:rPr>
          <w:rFonts w:hint="eastAsia" w:ascii="宋体" w:hAnsi="宋体"/>
        </w:rPr>
        <w:t>10.3竣工结算前，乙方应提交验收报告等材料，竣工验收合格后，甲方在竣工验收单上签字。</w:t>
      </w:r>
    </w:p>
    <w:p>
      <w:pPr>
        <w:spacing w:line="560" w:lineRule="exact"/>
        <w:ind w:firstLine="544" w:firstLineChars="227"/>
        <w:rPr>
          <w:rFonts w:ascii="宋体" w:hAnsi="宋体"/>
        </w:rPr>
      </w:pPr>
      <w:r>
        <w:rPr>
          <w:rFonts w:hint="eastAsia" w:ascii="宋体" w:hAnsi="宋体"/>
        </w:rPr>
        <w:t>10.4因乙方延期开具发票或开具的发票不符合规定而造成的任何后果，由乙方负责。</w:t>
      </w:r>
    </w:p>
    <w:p>
      <w:pPr>
        <w:spacing w:line="560" w:lineRule="exact"/>
        <w:ind w:firstLine="544" w:firstLineChars="227"/>
        <w:rPr>
          <w:rFonts w:ascii="宋体" w:hAnsi="宋体"/>
        </w:rPr>
      </w:pPr>
      <w:r>
        <w:rPr>
          <w:rFonts w:hint="eastAsia" w:ascii="宋体" w:hAnsi="宋体"/>
        </w:rPr>
        <w:t>10.5本协议未尽事宜，甲乙双方应协商解决。协商不能达成一致意见时，任何一方均可向甲方所在地有管辖权法院提起诉讼。诉讼费和胜诉方因解决争议而发生的合理费用（包括但不限于律师费、保全费、公证费、鉴定费），以及为减少损失而发生的合理费用等，均由败诉方承担。</w:t>
      </w:r>
    </w:p>
    <w:p>
      <w:pPr>
        <w:spacing w:line="560" w:lineRule="exact"/>
        <w:ind w:firstLine="424" w:firstLineChars="177"/>
        <w:rPr>
          <w:rFonts w:ascii="宋体" w:hAnsi="宋体"/>
        </w:rPr>
      </w:pPr>
      <w:r>
        <w:rPr>
          <w:rFonts w:hint="eastAsia" w:ascii="宋体" w:hAnsi="宋体"/>
        </w:rPr>
        <w:t>（以下无正文）</w:t>
      </w:r>
    </w:p>
    <w:p>
      <w:pPr>
        <w:spacing w:line="560" w:lineRule="exact"/>
        <w:ind w:firstLine="424" w:firstLineChars="177"/>
        <w:rPr>
          <w:rFonts w:ascii="宋体" w:hAnsi="宋体"/>
        </w:rPr>
      </w:pPr>
    </w:p>
    <w:p>
      <w:pPr>
        <w:spacing w:line="560" w:lineRule="exact"/>
        <w:ind w:firstLine="480"/>
        <w:rPr>
          <w:rFonts w:ascii="宋体" w:hAnsi="宋体"/>
        </w:rPr>
      </w:pPr>
    </w:p>
    <w:p>
      <w:pPr>
        <w:spacing w:line="560" w:lineRule="exact"/>
        <w:ind w:firstLine="480"/>
        <w:rPr>
          <w:rFonts w:ascii="宋体" w:hAnsi="宋体"/>
        </w:rPr>
      </w:pPr>
    </w:p>
    <w:p>
      <w:pPr>
        <w:spacing w:line="560" w:lineRule="exact"/>
        <w:ind w:firstLine="480"/>
        <w:rPr>
          <w:rFonts w:ascii="宋体" w:hAnsi="宋体"/>
        </w:rPr>
      </w:pPr>
    </w:p>
    <w:p>
      <w:pPr>
        <w:spacing w:line="560" w:lineRule="exact"/>
        <w:ind w:firstLine="480"/>
        <w:rPr>
          <w:rFonts w:ascii="宋体" w:hAnsi="宋体"/>
        </w:rPr>
      </w:pPr>
    </w:p>
    <w:p>
      <w:pPr>
        <w:spacing w:line="560" w:lineRule="exact"/>
        <w:ind w:firstLine="0" w:firstLineChars="0"/>
        <w:rPr>
          <w:rFonts w:ascii="宋体" w:hAnsi="宋体"/>
        </w:rPr>
      </w:pPr>
    </w:p>
    <w:p>
      <w:pPr>
        <w:spacing w:line="560" w:lineRule="exact"/>
        <w:ind w:firstLine="480"/>
        <w:rPr>
          <w:rFonts w:ascii="宋体" w:hAnsi="宋体"/>
        </w:rPr>
      </w:pPr>
      <w:r>
        <w:rPr>
          <w:rFonts w:hint="eastAsia" w:ascii="宋体" w:hAnsi="宋体"/>
        </w:rPr>
        <w:t>（本页无正文，为编号为【             】的《</w:t>
      </w:r>
      <w:r>
        <w:rPr>
          <w:rFonts w:hint="eastAsia" w:ascii="宋体" w:hAnsi="宋体"/>
          <w:bCs/>
          <w:spacing w:val="8"/>
        </w:rPr>
        <w:t>华能大厦</w:t>
      </w:r>
      <w:r>
        <w:rPr>
          <w:rFonts w:hint="eastAsia" w:ascii="宋体" w:hAnsi="宋体"/>
          <w:color w:val="000000"/>
        </w:rPr>
        <w:t>柴油发电机房至副配电室电缆更换工程</w:t>
      </w:r>
      <w:r>
        <w:rPr>
          <w:rFonts w:hint="eastAsia" w:ascii="宋体" w:hAnsi="宋体"/>
          <w:bCs/>
        </w:rPr>
        <w:t>施工合同</w:t>
      </w:r>
      <w:r>
        <w:rPr>
          <w:rFonts w:hint="eastAsia" w:ascii="宋体" w:hAnsi="宋体"/>
        </w:rPr>
        <w:t>》签章页）</w:t>
      </w:r>
    </w:p>
    <w:p>
      <w:pPr>
        <w:spacing w:line="560" w:lineRule="exact"/>
        <w:ind w:firstLine="480"/>
        <w:rPr>
          <w:rFonts w:ascii="宋体" w:hAnsi="宋体"/>
        </w:rPr>
      </w:pPr>
      <w:r>
        <w:rPr>
          <w:rFonts w:hint="eastAsia" w:ascii="宋体" w:hAnsi="宋体"/>
        </w:rPr>
        <w:t xml:space="preserve">甲方: (公章 )    </w:t>
      </w:r>
    </w:p>
    <w:p>
      <w:pPr>
        <w:spacing w:line="560" w:lineRule="exact"/>
        <w:ind w:firstLine="480"/>
        <w:rPr>
          <w:rFonts w:ascii="宋体" w:hAnsi="宋体"/>
        </w:rPr>
      </w:pPr>
      <w:r>
        <w:rPr>
          <w:rFonts w:hint="eastAsia" w:ascii="宋体" w:hAnsi="宋体"/>
        </w:rPr>
        <w:t xml:space="preserve">法定代表人或授权代表（签字或盖章）:                  </w:t>
      </w:r>
    </w:p>
    <w:p>
      <w:pPr>
        <w:spacing w:line="560" w:lineRule="exact"/>
        <w:ind w:firstLine="480"/>
        <w:rPr>
          <w:rFonts w:ascii="宋体" w:hAnsi="宋体"/>
        </w:rPr>
      </w:pPr>
    </w:p>
    <w:p>
      <w:pPr>
        <w:spacing w:line="560" w:lineRule="exact"/>
        <w:ind w:firstLine="480"/>
        <w:rPr>
          <w:rFonts w:ascii="宋体" w:hAnsi="宋体"/>
        </w:rPr>
      </w:pPr>
      <w:r>
        <w:rPr>
          <w:rFonts w:hint="eastAsia" w:ascii="宋体" w:hAnsi="宋体"/>
        </w:rPr>
        <w:t xml:space="preserve">电    话:  </w:t>
      </w:r>
    </w:p>
    <w:p>
      <w:pPr>
        <w:spacing w:line="560" w:lineRule="exact"/>
        <w:ind w:firstLine="480"/>
        <w:rPr>
          <w:rFonts w:ascii="宋体" w:hAnsi="宋体"/>
        </w:rPr>
      </w:pPr>
      <w:r>
        <w:rPr>
          <w:rFonts w:hint="eastAsia" w:ascii="宋体" w:hAnsi="宋体"/>
        </w:rPr>
        <w:t xml:space="preserve">开户银行:  </w:t>
      </w:r>
    </w:p>
    <w:p>
      <w:pPr>
        <w:spacing w:line="560" w:lineRule="exact"/>
        <w:ind w:firstLine="480"/>
        <w:rPr>
          <w:rFonts w:ascii="宋体" w:hAnsi="宋体"/>
        </w:rPr>
      </w:pPr>
      <w:r>
        <w:rPr>
          <w:rFonts w:hint="eastAsia" w:ascii="宋体" w:hAnsi="宋体"/>
        </w:rPr>
        <w:t xml:space="preserve">帐    号:  </w:t>
      </w:r>
    </w:p>
    <w:p>
      <w:pPr>
        <w:spacing w:line="560" w:lineRule="exact"/>
        <w:ind w:firstLine="480"/>
        <w:rPr>
          <w:rFonts w:ascii="宋体" w:hAnsi="宋体"/>
        </w:rPr>
      </w:pPr>
      <w:r>
        <w:rPr>
          <w:rFonts w:hint="eastAsia" w:ascii="宋体" w:hAnsi="宋体"/>
        </w:rPr>
        <w:t>税    号：</w:t>
      </w:r>
    </w:p>
    <w:p>
      <w:pPr>
        <w:spacing w:line="560" w:lineRule="exact"/>
        <w:ind w:firstLine="480"/>
        <w:rPr>
          <w:rFonts w:ascii="宋体" w:hAnsi="宋体"/>
        </w:rPr>
      </w:pPr>
      <w:r>
        <w:rPr>
          <w:rFonts w:hint="eastAsia" w:ascii="宋体" w:hAnsi="宋体"/>
        </w:rPr>
        <w:t xml:space="preserve">邮政编码:  </w:t>
      </w:r>
    </w:p>
    <w:p>
      <w:pPr>
        <w:spacing w:line="560" w:lineRule="exact"/>
        <w:ind w:firstLine="480"/>
        <w:rPr>
          <w:rFonts w:ascii="宋体" w:hAnsi="宋体"/>
        </w:rPr>
      </w:pPr>
      <w:r>
        <w:rPr>
          <w:rFonts w:hint="eastAsia" w:ascii="宋体" w:hAnsi="宋体"/>
        </w:rPr>
        <w:t>日    期：</w:t>
      </w:r>
    </w:p>
    <w:p>
      <w:pPr>
        <w:spacing w:line="560" w:lineRule="exact"/>
        <w:ind w:firstLine="480"/>
        <w:rPr>
          <w:rFonts w:ascii="宋体" w:hAnsi="宋体"/>
        </w:rPr>
      </w:pPr>
    </w:p>
    <w:p>
      <w:pPr>
        <w:spacing w:line="560" w:lineRule="exact"/>
        <w:ind w:firstLine="480"/>
        <w:rPr>
          <w:rFonts w:ascii="宋体" w:hAnsi="宋体"/>
        </w:rPr>
      </w:pPr>
    </w:p>
    <w:p>
      <w:pPr>
        <w:spacing w:line="560" w:lineRule="exact"/>
        <w:ind w:firstLine="480"/>
        <w:rPr>
          <w:rFonts w:ascii="宋体" w:hAnsi="宋体"/>
        </w:rPr>
      </w:pPr>
    </w:p>
    <w:p>
      <w:pPr>
        <w:spacing w:line="560" w:lineRule="exact"/>
        <w:ind w:firstLine="480"/>
        <w:rPr>
          <w:rFonts w:ascii="宋体" w:hAnsi="宋体"/>
        </w:rPr>
      </w:pPr>
    </w:p>
    <w:p>
      <w:pPr>
        <w:spacing w:line="560" w:lineRule="exact"/>
        <w:ind w:firstLine="480"/>
        <w:rPr>
          <w:rFonts w:ascii="宋体" w:hAnsi="宋体"/>
        </w:rPr>
      </w:pPr>
      <w:r>
        <w:rPr>
          <w:rFonts w:hint="eastAsia" w:ascii="宋体" w:hAnsi="宋体"/>
        </w:rPr>
        <w:t>乙方： (公章 )</w:t>
      </w:r>
    </w:p>
    <w:p>
      <w:pPr>
        <w:spacing w:line="560" w:lineRule="exact"/>
        <w:ind w:firstLine="480"/>
        <w:rPr>
          <w:rFonts w:ascii="宋体" w:hAnsi="宋体"/>
        </w:rPr>
      </w:pPr>
      <w:r>
        <w:rPr>
          <w:rFonts w:hint="eastAsia" w:ascii="宋体" w:hAnsi="宋体"/>
        </w:rPr>
        <w:t>法定代表人或授权代表（签字或盖章）</w:t>
      </w:r>
    </w:p>
    <w:p>
      <w:pPr>
        <w:spacing w:line="560" w:lineRule="exact"/>
        <w:ind w:firstLine="480"/>
        <w:rPr>
          <w:rFonts w:ascii="宋体" w:hAnsi="宋体"/>
        </w:rPr>
      </w:pPr>
    </w:p>
    <w:p>
      <w:pPr>
        <w:spacing w:line="560" w:lineRule="exact"/>
        <w:ind w:firstLine="480"/>
        <w:rPr>
          <w:rFonts w:ascii="宋体" w:hAnsi="宋体"/>
        </w:rPr>
      </w:pPr>
      <w:r>
        <w:rPr>
          <w:rFonts w:hint="eastAsia" w:ascii="宋体" w:hAnsi="宋体"/>
        </w:rPr>
        <w:t xml:space="preserve">电    话:      </w:t>
      </w:r>
    </w:p>
    <w:p>
      <w:pPr>
        <w:spacing w:line="560" w:lineRule="exact"/>
        <w:ind w:firstLine="480"/>
        <w:rPr>
          <w:rFonts w:ascii="宋体" w:hAnsi="宋体"/>
        </w:rPr>
      </w:pPr>
      <w:r>
        <w:rPr>
          <w:rFonts w:hint="eastAsia" w:ascii="宋体" w:hAnsi="宋体"/>
        </w:rPr>
        <w:t xml:space="preserve">开户银行: </w:t>
      </w:r>
    </w:p>
    <w:p>
      <w:pPr>
        <w:spacing w:line="560" w:lineRule="exact"/>
        <w:ind w:firstLine="480"/>
        <w:rPr>
          <w:rFonts w:ascii="宋体" w:hAnsi="宋体"/>
        </w:rPr>
      </w:pPr>
      <w:r>
        <w:rPr>
          <w:rFonts w:hint="eastAsia" w:ascii="宋体" w:hAnsi="宋体"/>
        </w:rPr>
        <w:t xml:space="preserve">帐    号: </w:t>
      </w:r>
    </w:p>
    <w:p>
      <w:pPr>
        <w:spacing w:line="560" w:lineRule="exact"/>
        <w:ind w:firstLine="480"/>
        <w:rPr>
          <w:rFonts w:ascii="宋体" w:hAnsi="宋体"/>
        </w:rPr>
      </w:pPr>
      <w:r>
        <w:rPr>
          <w:rFonts w:hint="eastAsia" w:ascii="宋体" w:hAnsi="宋体"/>
        </w:rPr>
        <w:t>邮政编码:</w:t>
      </w:r>
    </w:p>
    <w:p>
      <w:pPr>
        <w:spacing w:line="560" w:lineRule="exact"/>
        <w:ind w:firstLine="480"/>
        <w:rPr>
          <w:rFonts w:ascii="宋体" w:hAnsi="宋体"/>
        </w:rPr>
      </w:pPr>
      <w:r>
        <w:rPr>
          <w:rFonts w:hint="eastAsia" w:ascii="宋体" w:hAnsi="宋体"/>
        </w:rPr>
        <w:t>日    期：</w:t>
      </w:r>
    </w:p>
    <w:p>
      <w:pPr>
        <w:spacing w:line="560" w:lineRule="exact"/>
        <w:ind w:firstLine="0" w:firstLineChars="0"/>
        <w:rPr>
          <w:rFonts w:ascii="宋体" w:hAnsi="宋体"/>
        </w:rPr>
      </w:pPr>
    </w:p>
    <w:p>
      <w:pPr>
        <w:spacing w:line="360" w:lineRule="auto"/>
        <w:ind w:firstLine="482"/>
        <w:jc w:val="left"/>
        <w:rPr>
          <w:rFonts w:ascii="宋体" w:hAnsi="宋体"/>
          <w:b/>
        </w:rPr>
      </w:pPr>
      <w:r>
        <w:rPr>
          <w:rFonts w:hint="eastAsia" w:ascii="宋体" w:hAnsi="宋体"/>
          <w:b/>
        </w:rPr>
        <w:t>附件1</w:t>
      </w:r>
    </w:p>
    <w:p>
      <w:pPr>
        <w:ind w:firstLine="643"/>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华能大厦柴油发电机带载测试要求</w:t>
      </w:r>
    </w:p>
    <w:p>
      <w:pPr>
        <w:ind w:firstLine="643"/>
        <w:jc w:val="center"/>
        <w:rPr>
          <w:rFonts w:asciiTheme="minorEastAsia" w:hAnsiTheme="minorEastAsia" w:cstheme="minorEastAsia"/>
          <w:b/>
          <w:bCs/>
          <w:sz w:val="32"/>
          <w:szCs w:val="32"/>
        </w:rPr>
      </w:pPr>
    </w:p>
    <w:p>
      <w:pPr>
        <w:numPr>
          <w:ilvl w:val="0"/>
          <w:numId w:val="2"/>
        </w:numPr>
        <w:adjustRightInd/>
        <w:snapToGrid/>
        <w:spacing w:line="360" w:lineRule="auto"/>
        <w:ind w:firstLine="482"/>
        <w:rPr>
          <w:rFonts w:asciiTheme="minorEastAsia" w:hAnsiTheme="minorEastAsia" w:cstheme="minorEastAsia"/>
        </w:rPr>
      </w:pPr>
      <w:r>
        <w:rPr>
          <w:rFonts w:hint="eastAsia" w:asciiTheme="minorEastAsia" w:hAnsiTheme="minorEastAsia" w:cstheme="minorEastAsia"/>
          <w:b/>
        </w:rPr>
        <w:t>测试背景</w:t>
      </w:r>
      <w:r>
        <w:rPr>
          <w:rFonts w:hint="eastAsia" w:asciiTheme="minorEastAsia" w:hAnsiTheme="minorEastAsia" w:cstheme="minorEastAsia"/>
        </w:rPr>
        <w:t>：</w:t>
      </w:r>
    </w:p>
    <w:p>
      <w:pPr>
        <w:spacing w:line="360" w:lineRule="auto"/>
        <w:ind w:left="482" w:firstLine="480"/>
        <w:rPr>
          <w:rFonts w:asciiTheme="minorEastAsia" w:hAnsiTheme="minorEastAsia" w:cstheme="minorEastAsia"/>
        </w:rPr>
      </w:pPr>
      <w:r>
        <w:rPr>
          <w:rFonts w:hint="eastAsia" w:asciiTheme="minorEastAsia" w:hAnsiTheme="minorEastAsia" w:cstheme="minorEastAsia"/>
        </w:rPr>
        <w:t>大厦B1层柴油发电机房至副配电室应急段氧化镁电缆更换为低烟无卤阻燃耐火电缆。</w:t>
      </w:r>
    </w:p>
    <w:p>
      <w:pPr>
        <w:numPr>
          <w:ilvl w:val="0"/>
          <w:numId w:val="2"/>
        </w:numPr>
        <w:adjustRightInd/>
        <w:snapToGrid/>
        <w:spacing w:line="360" w:lineRule="auto"/>
        <w:ind w:firstLine="482"/>
        <w:rPr>
          <w:rFonts w:asciiTheme="minorEastAsia" w:hAnsiTheme="minorEastAsia" w:cstheme="minorEastAsia"/>
        </w:rPr>
      </w:pPr>
      <w:r>
        <w:rPr>
          <w:rFonts w:hint="eastAsia" w:asciiTheme="minorEastAsia" w:hAnsiTheme="minorEastAsia" w:cstheme="minorEastAsia"/>
          <w:b/>
        </w:rPr>
        <w:t>测试目的</w:t>
      </w:r>
      <w:r>
        <w:rPr>
          <w:rFonts w:hint="eastAsia" w:asciiTheme="minorEastAsia" w:hAnsiTheme="minorEastAsia" w:cstheme="minorEastAsia"/>
        </w:rPr>
        <w:t>：</w:t>
      </w:r>
    </w:p>
    <w:p>
      <w:pPr>
        <w:spacing w:line="360" w:lineRule="auto"/>
        <w:ind w:left="482" w:firstLine="480"/>
        <w:rPr>
          <w:rFonts w:asciiTheme="minorEastAsia" w:hAnsiTheme="minorEastAsia" w:cstheme="minorEastAsia"/>
        </w:rPr>
      </w:pPr>
      <w:r>
        <w:rPr>
          <w:rFonts w:hint="eastAsia" w:asciiTheme="minorEastAsia" w:hAnsiTheme="minorEastAsia" w:cstheme="minorEastAsia"/>
        </w:rPr>
        <w:t>测试更换后的电缆能否满足使用要求。</w:t>
      </w:r>
    </w:p>
    <w:p>
      <w:pPr>
        <w:numPr>
          <w:ilvl w:val="0"/>
          <w:numId w:val="2"/>
        </w:numPr>
        <w:adjustRightInd/>
        <w:snapToGrid/>
        <w:spacing w:line="360" w:lineRule="auto"/>
        <w:ind w:firstLine="482"/>
        <w:rPr>
          <w:rFonts w:asciiTheme="minorEastAsia" w:hAnsiTheme="minorEastAsia" w:cstheme="minorEastAsia"/>
        </w:rPr>
      </w:pPr>
      <w:r>
        <w:rPr>
          <w:rFonts w:hint="eastAsia" w:asciiTheme="minorEastAsia" w:hAnsiTheme="minorEastAsia" w:cstheme="minorEastAsia"/>
          <w:b/>
        </w:rPr>
        <w:t>测试方式</w:t>
      </w:r>
      <w:r>
        <w:rPr>
          <w:rFonts w:hint="eastAsia" w:asciiTheme="minorEastAsia" w:hAnsiTheme="minorEastAsia" w:cstheme="minorEastAsia"/>
        </w:rPr>
        <w:t>：</w:t>
      </w:r>
    </w:p>
    <w:p>
      <w:pPr>
        <w:spacing w:line="360" w:lineRule="auto"/>
        <w:ind w:left="482" w:firstLine="480"/>
        <w:rPr>
          <w:rFonts w:asciiTheme="minorEastAsia" w:hAnsiTheme="minorEastAsia" w:cstheme="minorEastAsia"/>
        </w:rPr>
      </w:pPr>
      <w:r>
        <w:rPr>
          <w:rFonts w:hint="eastAsia" w:asciiTheme="minorEastAsia" w:hAnsiTheme="minorEastAsia" w:cstheme="minorEastAsia"/>
        </w:rPr>
        <w:t>采用大厦副配电室现有应急段负载，进行全负荷测试。</w:t>
      </w:r>
    </w:p>
    <w:p>
      <w:pPr>
        <w:numPr>
          <w:ilvl w:val="0"/>
          <w:numId w:val="2"/>
        </w:numPr>
        <w:adjustRightInd/>
        <w:snapToGrid/>
        <w:spacing w:line="360" w:lineRule="auto"/>
        <w:ind w:firstLine="482"/>
        <w:rPr>
          <w:rFonts w:asciiTheme="minorEastAsia" w:hAnsiTheme="minorEastAsia" w:cstheme="minorEastAsia"/>
        </w:rPr>
      </w:pPr>
      <w:r>
        <w:rPr>
          <w:rFonts w:hint="eastAsia" w:asciiTheme="minorEastAsia" w:hAnsiTheme="minorEastAsia" w:cstheme="minorEastAsia"/>
          <w:b/>
        </w:rPr>
        <w:t>测试准备</w:t>
      </w:r>
      <w:r>
        <w:rPr>
          <w:rFonts w:hint="eastAsia" w:asciiTheme="minorEastAsia" w:hAnsiTheme="minorEastAsia" w:cstheme="minorEastAsia"/>
        </w:rPr>
        <w:t>：</w:t>
      </w:r>
    </w:p>
    <w:p>
      <w:pPr>
        <w:spacing w:line="360" w:lineRule="auto"/>
        <w:ind w:firstLine="480"/>
        <w:rPr>
          <w:rFonts w:asciiTheme="minorEastAsia" w:hAnsiTheme="minorEastAsia" w:cstheme="minorEastAsia"/>
        </w:rPr>
      </w:pPr>
      <w:r>
        <w:rPr>
          <w:rFonts w:hint="eastAsia" w:asciiTheme="minorEastAsia" w:hAnsiTheme="minorEastAsia" w:cstheme="minorEastAsia"/>
        </w:rPr>
        <w:t>1、根据现场实际情况，编制电缆测试实施方案。方案中应明确应急段所带负载情况、启动顺序、应急措施等。</w:t>
      </w:r>
    </w:p>
    <w:p>
      <w:pPr>
        <w:spacing w:line="360" w:lineRule="auto"/>
        <w:ind w:firstLine="480"/>
        <w:rPr>
          <w:rFonts w:asciiTheme="minorEastAsia" w:hAnsiTheme="minorEastAsia" w:cstheme="minorEastAsia"/>
        </w:rPr>
      </w:pPr>
      <w:r>
        <w:rPr>
          <w:rFonts w:hint="eastAsia" w:asciiTheme="minorEastAsia" w:hAnsiTheme="minorEastAsia" w:cstheme="minorEastAsia"/>
        </w:rPr>
        <w:t>2、要求参加测试的人员能够了解测试目的、末端负载的分布及运行情况。</w:t>
      </w:r>
    </w:p>
    <w:p>
      <w:pPr>
        <w:spacing w:line="360" w:lineRule="auto"/>
        <w:ind w:firstLine="480"/>
        <w:rPr>
          <w:rFonts w:asciiTheme="minorEastAsia" w:hAnsiTheme="minorEastAsia" w:cstheme="minorEastAsia"/>
        </w:rPr>
      </w:pPr>
      <w:r>
        <w:rPr>
          <w:rFonts w:hint="eastAsia" w:asciiTheme="minorEastAsia" w:hAnsiTheme="minorEastAsia" w:cstheme="minorEastAsia"/>
        </w:rPr>
        <w:t>3、确认末端负载完好性，提前进行单机试运行。</w:t>
      </w:r>
    </w:p>
    <w:p>
      <w:pPr>
        <w:spacing w:line="360" w:lineRule="auto"/>
        <w:ind w:firstLine="480"/>
        <w:rPr>
          <w:rFonts w:asciiTheme="minorEastAsia" w:hAnsiTheme="minorEastAsia" w:cstheme="minorEastAsia"/>
        </w:rPr>
      </w:pPr>
      <w:r>
        <w:rPr>
          <w:rFonts w:hint="eastAsia" w:asciiTheme="minorEastAsia" w:hAnsiTheme="minorEastAsia" w:cstheme="minorEastAsia"/>
        </w:rPr>
        <w:t>4、确认末端负载可投入运行，提前做好与驻厦单位的沟通工作，选定合适的测试日期。</w:t>
      </w:r>
    </w:p>
    <w:p>
      <w:pPr>
        <w:spacing w:line="360" w:lineRule="auto"/>
        <w:ind w:firstLine="480"/>
        <w:rPr>
          <w:rFonts w:asciiTheme="minorEastAsia" w:hAnsiTheme="minorEastAsia" w:cstheme="minorEastAsia"/>
        </w:rPr>
      </w:pPr>
      <w:r>
        <w:rPr>
          <w:rFonts w:hint="eastAsia" w:asciiTheme="minorEastAsia" w:hAnsiTheme="minorEastAsia" w:cstheme="minorEastAsia"/>
        </w:rPr>
        <w:t>5、准备相关测试报告及记录资料等。</w:t>
      </w:r>
    </w:p>
    <w:p>
      <w:pPr>
        <w:numPr>
          <w:ilvl w:val="0"/>
          <w:numId w:val="2"/>
        </w:numPr>
        <w:adjustRightInd/>
        <w:snapToGrid/>
        <w:spacing w:line="360" w:lineRule="auto"/>
        <w:ind w:firstLine="482"/>
        <w:rPr>
          <w:rFonts w:asciiTheme="minorEastAsia" w:hAnsiTheme="minorEastAsia" w:cstheme="minorEastAsia"/>
          <w:b/>
        </w:rPr>
      </w:pPr>
      <w:r>
        <w:rPr>
          <w:rFonts w:hint="eastAsia" w:asciiTheme="minorEastAsia" w:hAnsiTheme="minorEastAsia" w:cstheme="minorEastAsia"/>
          <w:b/>
        </w:rPr>
        <w:t>测试方法：</w:t>
      </w:r>
    </w:p>
    <w:p>
      <w:pPr>
        <w:spacing w:line="360" w:lineRule="auto"/>
        <w:ind w:firstLine="439" w:firstLineChars="183"/>
        <w:rPr>
          <w:rFonts w:asciiTheme="minorEastAsia" w:hAnsiTheme="minorEastAsia" w:cstheme="minorEastAsia"/>
        </w:rPr>
      </w:pPr>
      <w:r>
        <w:rPr>
          <w:rFonts w:hint="eastAsia" w:asciiTheme="minorEastAsia" w:hAnsiTheme="minorEastAsia" w:cstheme="minorEastAsia"/>
        </w:rPr>
        <w:t>使用大厦实际负载测试柴油发电机组至6-6、6-11应急段电缆：</w:t>
      </w:r>
    </w:p>
    <w:p>
      <w:pPr>
        <w:numPr>
          <w:ilvl w:val="0"/>
          <w:numId w:val="3"/>
        </w:numPr>
        <w:adjustRightInd/>
        <w:snapToGrid/>
        <w:spacing w:line="360" w:lineRule="auto"/>
        <w:ind w:firstLine="480"/>
        <w:rPr>
          <w:rFonts w:asciiTheme="minorEastAsia" w:hAnsiTheme="minorEastAsia" w:cstheme="minorEastAsia"/>
        </w:rPr>
      </w:pPr>
      <w:r>
        <w:rPr>
          <w:rFonts w:hint="eastAsia" w:asciiTheme="minorEastAsia" w:hAnsiTheme="minorEastAsia" w:cstheme="minorEastAsia"/>
        </w:rPr>
        <w:t>要求测试前记录机房环境温度及电缆绝缘阻值。</w:t>
      </w:r>
    </w:p>
    <w:p>
      <w:pPr>
        <w:numPr>
          <w:ilvl w:val="0"/>
          <w:numId w:val="3"/>
        </w:numPr>
        <w:adjustRightInd/>
        <w:snapToGrid/>
        <w:spacing w:line="360" w:lineRule="auto"/>
        <w:ind w:firstLine="480"/>
        <w:rPr>
          <w:rFonts w:asciiTheme="minorEastAsia" w:hAnsiTheme="minorEastAsia" w:cstheme="minorEastAsia"/>
        </w:rPr>
      </w:pPr>
      <w:r>
        <w:rPr>
          <w:rFonts w:hint="eastAsia" w:asciiTheme="minorEastAsia" w:hAnsiTheme="minorEastAsia" w:cstheme="minorEastAsia"/>
        </w:rPr>
        <w:t>要求启动柴油发电机，分别对应急照明段6-6、应急动力段6-11进行加负载测试。</w:t>
      </w:r>
    </w:p>
    <w:p>
      <w:pPr>
        <w:numPr>
          <w:ilvl w:val="0"/>
          <w:numId w:val="3"/>
        </w:numPr>
        <w:adjustRightInd/>
        <w:snapToGrid/>
        <w:spacing w:line="360" w:lineRule="auto"/>
        <w:ind w:firstLine="480"/>
        <w:rPr>
          <w:rFonts w:asciiTheme="minorEastAsia" w:hAnsiTheme="minorEastAsia" w:cstheme="minorEastAsia"/>
        </w:rPr>
      </w:pPr>
      <w:r>
        <w:rPr>
          <w:rFonts w:hint="eastAsia" w:asciiTheme="minorEastAsia" w:hAnsiTheme="minorEastAsia" w:cstheme="minorEastAsia"/>
        </w:rPr>
        <w:t>单段测试时要求全负载投运，并在投运负载达到一定比例时记录电流值、电缆温度值，全负荷运行30分钟后逐步减掉负载。</w:t>
      </w:r>
    </w:p>
    <w:p>
      <w:pPr>
        <w:numPr>
          <w:ilvl w:val="0"/>
          <w:numId w:val="3"/>
        </w:numPr>
        <w:adjustRightInd/>
        <w:snapToGrid/>
        <w:spacing w:line="360" w:lineRule="auto"/>
        <w:ind w:firstLine="480"/>
        <w:rPr>
          <w:rFonts w:asciiTheme="minorEastAsia" w:hAnsiTheme="minorEastAsia" w:cstheme="minorEastAsia"/>
        </w:rPr>
      </w:pPr>
      <w:r>
        <w:rPr>
          <w:rFonts w:hint="eastAsia" w:asciiTheme="minorEastAsia" w:hAnsiTheme="minorEastAsia" w:cstheme="minorEastAsia"/>
        </w:rPr>
        <w:t>单段测试结束后，重新测试电缆绝缘阻值。</w:t>
      </w:r>
    </w:p>
    <w:p>
      <w:pPr>
        <w:numPr>
          <w:ilvl w:val="0"/>
          <w:numId w:val="3"/>
        </w:numPr>
        <w:adjustRightInd/>
        <w:snapToGrid/>
        <w:spacing w:line="360" w:lineRule="auto"/>
        <w:ind w:firstLine="480"/>
        <w:rPr>
          <w:rFonts w:asciiTheme="minorEastAsia" w:hAnsiTheme="minorEastAsia" w:cstheme="minorEastAsia"/>
        </w:rPr>
      </w:pPr>
      <w:r>
        <w:rPr>
          <w:rFonts w:hint="eastAsia" w:asciiTheme="minorEastAsia" w:hAnsiTheme="minorEastAsia" w:cstheme="minorEastAsia"/>
        </w:rPr>
        <w:t>重新启动柴油发电机，同时对应急照明段6-6、应急动力段6-11进行加负载测试。</w:t>
      </w:r>
    </w:p>
    <w:p>
      <w:pPr>
        <w:numPr>
          <w:ilvl w:val="0"/>
          <w:numId w:val="3"/>
        </w:numPr>
        <w:adjustRightInd/>
        <w:snapToGrid/>
        <w:spacing w:line="360" w:lineRule="auto"/>
        <w:ind w:firstLine="480"/>
        <w:rPr>
          <w:rFonts w:asciiTheme="minorEastAsia" w:hAnsiTheme="minorEastAsia" w:cstheme="minorEastAsia"/>
        </w:rPr>
      </w:pPr>
      <w:r>
        <w:rPr>
          <w:rFonts w:hint="eastAsia" w:asciiTheme="minorEastAsia" w:hAnsiTheme="minorEastAsia" w:cstheme="minorEastAsia"/>
        </w:rPr>
        <w:t>在投运负载达到一定比例时记录电流值、电缆温度值，全负荷运行30分钟后逐步减掉负载。</w:t>
      </w:r>
    </w:p>
    <w:p>
      <w:pPr>
        <w:numPr>
          <w:ilvl w:val="0"/>
          <w:numId w:val="3"/>
        </w:numPr>
        <w:adjustRightInd/>
        <w:snapToGrid/>
        <w:spacing w:line="360" w:lineRule="auto"/>
        <w:ind w:firstLine="480"/>
        <w:rPr>
          <w:rFonts w:asciiTheme="minorEastAsia" w:hAnsiTheme="minorEastAsia" w:cstheme="minorEastAsia"/>
        </w:rPr>
      </w:pPr>
      <w:r>
        <w:rPr>
          <w:rFonts w:hint="eastAsia" w:asciiTheme="minorEastAsia" w:hAnsiTheme="minorEastAsia" w:cstheme="minorEastAsia"/>
        </w:rPr>
        <w:t>副配电室应急段全段测试结束后，再次测试电缆绝缘阻值。</w:t>
      </w:r>
    </w:p>
    <w:p>
      <w:pPr>
        <w:numPr>
          <w:ilvl w:val="0"/>
          <w:numId w:val="3"/>
        </w:numPr>
        <w:adjustRightInd/>
        <w:snapToGrid/>
        <w:spacing w:line="360" w:lineRule="auto"/>
        <w:ind w:firstLine="480"/>
        <w:rPr>
          <w:rFonts w:asciiTheme="minorEastAsia" w:hAnsiTheme="minorEastAsia" w:cstheme="minorEastAsia"/>
        </w:rPr>
      </w:pPr>
      <w:r>
        <w:rPr>
          <w:rFonts w:hint="eastAsia" w:asciiTheme="minorEastAsia" w:hAnsiTheme="minorEastAsia" w:cstheme="minorEastAsia"/>
        </w:rPr>
        <w:t>测试过程中要求记录发电机组各项运行参数。</w:t>
      </w:r>
    </w:p>
    <w:p>
      <w:pPr>
        <w:numPr>
          <w:ilvl w:val="0"/>
          <w:numId w:val="3"/>
        </w:numPr>
        <w:adjustRightInd/>
        <w:snapToGrid/>
        <w:spacing w:line="360" w:lineRule="auto"/>
        <w:ind w:firstLine="480"/>
        <w:rPr>
          <w:rFonts w:asciiTheme="minorEastAsia" w:hAnsiTheme="minorEastAsia" w:cstheme="minorEastAsia"/>
        </w:rPr>
      </w:pPr>
      <w:r>
        <w:rPr>
          <w:rFonts w:hint="eastAsia" w:asciiTheme="minorEastAsia" w:hAnsiTheme="minorEastAsia" w:cstheme="minorEastAsia"/>
        </w:rPr>
        <w:t>测试过程中完整记录电缆运行时的载流量、温度数据和运行前后的绝缘阻值。</w:t>
      </w:r>
    </w:p>
    <w:p>
      <w:pPr>
        <w:numPr>
          <w:ilvl w:val="0"/>
          <w:numId w:val="3"/>
        </w:numPr>
        <w:adjustRightInd/>
        <w:snapToGrid/>
        <w:spacing w:line="360" w:lineRule="auto"/>
        <w:ind w:firstLine="480"/>
        <w:rPr>
          <w:rFonts w:asciiTheme="minorEastAsia" w:hAnsiTheme="minorEastAsia" w:cstheme="minorEastAsia"/>
        </w:rPr>
      </w:pPr>
      <w:r>
        <w:rPr>
          <w:rFonts w:hint="eastAsia" w:asciiTheme="minorEastAsia" w:hAnsiTheme="minorEastAsia" w:cstheme="minorEastAsia"/>
        </w:rPr>
        <w:t>做好测试后全部设备的恢复检查工作。</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0" w:firstLineChars="0"/>
      </w:pPr>
    </w:p>
    <w:p>
      <w:pPr>
        <w:spacing w:line="360" w:lineRule="auto"/>
        <w:ind w:firstLine="482"/>
        <w:jc w:val="left"/>
        <w:rPr>
          <w:rFonts w:ascii="宋体" w:hAnsi="宋体"/>
          <w:b/>
        </w:rPr>
      </w:pPr>
      <w:r>
        <w:rPr>
          <w:rFonts w:hint="eastAsia" w:ascii="宋体" w:hAnsi="宋体"/>
          <w:b/>
        </w:rPr>
        <w:t>附件2</w:t>
      </w:r>
    </w:p>
    <w:p>
      <w:pPr>
        <w:spacing w:line="360" w:lineRule="auto"/>
        <w:ind w:firstLine="643"/>
        <w:jc w:val="center"/>
        <w:rPr>
          <w:rFonts w:ascii="宋体" w:hAnsi="宋体"/>
          <w:b/>
          <w:sz w:val="32"/>
          <w:szCs w:val="32"/>
        </w:rPr>
      </w:pPr>
      <w:r>
        <w:rPr>
          <w:rFonts w:hint="eastAsia" w:ascii="宋体" w:hAnsi="宋体"/>
          <w:b/>
          <w:sz w:val="32"/>
          <w:szCs w:val="32"/>
        </w:rPr>
        <w:t>安全责任书</w:t>
      </w:r>
    </w:p>
    <w:p>
      <w:pPr>
        <w:spacing w:line="360" w:lineRule="auto"/>
        <w:ind w:firstLine="482"/>
        <w:rPr>
          <w:rFonts w:ascii="宋体" w:hAnsi="宋体"/>
          <w:b/>
        </w:rPr>
      </w:pPr>
      <w:r>
        <w:rPr>
          <w:rFonts w:hint="eastAsia" w:ascii="宋体" w:hAnsi="宋体"/>
          <w:b/>
        </w:rPr>
        <w:t>甲方：华能置业有限公司</w:t>
      </w:r>
    </w:p>
    <w:p>
      <w:pPr>
        <w:spacing w:line="360" w:lineRule="auto"/>
        <w:ind w:firstLine="482"/>
        <w:rPr>
          <w:rFonts w:ascii="宋体" w:hAnsi="宋体"/>
          <w:b/>
        </w:rPr>
      </w:pPr>
      <w:r>
        <w:rPr>
          <w:rFonts w:hint="eastAsia" w:ascii="宋体" w:hAnsi="宋体"/>
          <w:b/>
        </w:rPr>
        <w:t>乙方：</w:t>
      </w:r>
    </w:p>
    <w:p>
      <w:pPr>
        <w:ind w:firstLine="480"/>
        <w:rPr>
          <w:rFonts w:ascii="宋体" w:hAnsi="宋体"/>
        </w:rPr>
      </w:pPr>
      <w:r>
        <w:rPr>
          <w:rFonts w:hint="eastAsia" w:ascii="宋体" w:hAnsi="宋体"/>
        </w:rPr>
        <w:t xml:space="preserve">    为加强合同履行期间安全管理工作，</w:t>
      </w:r>
      <w:r>
        <w:rPr>
          <w:rFonts w:hint="eastAsia" w:ascii="宋体" w:hAnsi="宋体"/>
          <w:color w:val="000000"/>
        </w:rPr>
        <w:t>贯彻“安全第一、预防为主、综合治理”的方针</w:t>
      </w:r>
      <w:r>
        <w:rPr>
          <w:rFonts w:hint="eastAsia" w:ascii="宋体" w:hAnsi="宋体"/>
        </w:rPr>
        <w:t>，本合同业主华能置业有限公司（以下简称“甲方”）与承包人（以下简称“乙方”）特此签订安全责任书：</w:t>
      </w:r>
    </w:p>
    <w:p>
      <w:pPr>
        <w:ind w:firstLine="480"/>
        <w:rPr>
          <w:rFonts w:ascii="微软雅黑" w:hAnsi="微软雅黑"/>
        </w:rPr>
      </w:pPr>
      <w:r>
        <w:rPr>
          <w:rFonts w:hint="eastAsia" w:ascii="微软雅黑" w:hAnsi="微软雅黑"/>
        </w:rPr>
        <w:t>一、责任期限及位置</w:t>
      </w:r>
    </w:p>
    <w:p>
      <w:pPr>
        <w:ind w:firstLine="564" w:firstLineChars="235"/>
        <w:jc w:val="left"/>
        <w:rPr>
          <w:rFonts w:ascii="微软雅黑" w:hAnsi="微软雅黑"/>
          <w:u w:val="single"/>
        </w:rPr>
      </w:pPr>
      <w:r>
        <w:rPr>
          <w:rFonts w:hint="eastAsia" w:ascii="微软雅黑" w:hAnsi="微软雅黑"/>
        </w:rPr>
        <w:t>责任期限：自进入大厦工作之日起至工作结束撤离大厦之日止，即</w:t>
      </w:r>
    </w:p>
    <w:p>
      <w:pPr>
        <w:ind w:firstLine="1764" w:firstLineChars="735"/>
        <w:jc w:val="left"/>
        <w:rPr>
          <w:rFonts w:ascii="微软雅黑" w:hAnsi="微软雅黑"/>
          <w:bCs/>
        </w:rPr>
      </w:pPr>
      <w:r>
        <w:rPr>
          <w:rFonts w:hint="eastAsia" w:ascii="微软雅黑" w:hAnsi="微软雅黑"/>
          <w:bCs/>
        </w:rPr>
        <w:t>年   月   日至     年   月   日。</w:t>
      </w:r>
    </w:p>
    <w:p>
      <w:pPr>
        <w:ind w:firstLine="564" w:firstLineChars="235"/>
        <w:jc w:val="left"/>
        <w:rPr>
          <w:rFonts w:ascii="微软雅黑" w:hAnsi="微软雅黑"/>
          <w:b/>
          <w:bCs/>
        </w:rPr>
      </w:pPr>
      <w:r>
        <w:rPr>
          <w:rFonts w:hint="eastAsia" w:ascii="微软雅黑" w:hAnsi="微软雅黑"/>
          <w:bCs/>
        </w:rPr>
        <w:t>工作区域</w:t>
      </w:r>
      <w:r>
        <w:rPr>
          <w:rFonts w:hint="eastAsia" w:ascii="微软雅黑" w:hAnsi="微软雅黑"/>
          <w:b/>
          <w:bCs/>
        </w:rPr>
        <w:t>：</w:t>
      </w:r>
      <w:r>
        <w:rPr>
          <w:rFonts w:hint="eastAsia" w:ascii="微软雅黑" w:hAnsi="微软雅黑"/>
          <w:bCs/>
          <w:u w:val="single"/>
        </w:rPr>
        <w:t>详见合同</w:t>
      </w:r>
      <w:r>
        <w:rPr>
          <w:rFonts w:hint="eastAsia" w:ascii="微软雅黑" w:hAnsi="微软雅黑"/>
          <w:b/>
          <w:bCs/>
        </w:rPr>
        <w:t>。</w:t>
      </w:r>
    </w:p>
    <w:p>
      <w:pPr>
        <w:ind w:firstLine="480"/>
        <w:rPr>
          <w:rFonts w:ascii="宋体" w:hAnsi="宋体"/>
        </w:rPr>
      </w:pPr>
      <w:r>
        <w:rPr>
          <w:rFonts w:hint="eastAsia" w:ascii="宋体" w:hAnsi="宋体"/>
        </w:rPr>
        <w:t>二、甲方责任</w:t>
      </w:r>
    </w:p>
    <w:p>
      <w:pPr>
        <w:ind w:firstLine="480"/>
        <w:rPr>
          <w:rFonts w:ascii="宋体" w:hAnsi="宋体"/>
        </w:rPr>
      </w:pPr>
      <w:r>
        <w:rPr>
          <w:rFonts w:hint="eastAsia" w:ascii="宋体" w:hAnsi="宋体"/>
        </w:rPr>
        <w:t>1、严格遵守国家有关安全的法律法规。</w:t>
      </w:r>
    </w:p>
    <w:p>
      <w:pPr>
        <w:ind w:firstLine="480"/>
        <w:rPr>
          <w:rFonts w:ascii="宋体" w:hAnsi="宋体"/>
        </w:rPr>
      </w:pPr>
      <w:r>
        <w:rPr>
          <w:rFonts w:hint="eastAsia" w:ascii="宋体" w:hAnsi="宋体"/>
        </w:rPr>
        <w:t>2、组织对乙方工作现场安全检查，监督乙方及时处理发现的各项安全隐患。</w:t>
      </w:r>
    </w:p>
    <w:p>
      <w:pPr>
        <w:ind w:firstLine="480"/>
        <w:rPr>
          <w:rFonts w:ascii="宋体" w:hAnsi="宋体"/>
        </w:rPr>
      </w:pPr>
      <w:r>
        <w:rPr>
          <w:rFonts w:hint="eastAsia" w:ascii="宋体" w:hAnsi="宋体"/>
        </w:rPr>
        <w:t>三、乙方责任</w:t>
      </w:r>
    </w:p>
    <w:p>
      <w:pPr>
        <w:ind w:firstLine="480"/>
        <w:rPr>
          <w:rFonts w:ascii="宋体" w:hAnsi="宋体"/>
        </w:rPr>
      </w:pPr>
      <w:r>
        <w:rPr>
          <w:rFonts w:hint="eastAsia" w:ascii="宋体" w:hAnsi="宋体"/>
        </w:rPr>
        <w:t xml:space="preserve">    1、乙方为合同安全工作第一责任人，承担合同范围所有安全责任。</w:t>
      </w:r>
    </w:p>
    <w:p>
      <w:pPr>
        <w:ind w:firstLine="480"/>
        <w:rPr>
          <w:rFonts w:ascii="宋体" w:hAnsi="宋体"/>
        </w:rPr>
      </w:pPr>
      <w:r>
        <w:rPr>
          <w:rFonts w:hint="eastAsia" w:ascii="宋体" w:hAnsi="宋体"/>
        </w:rPr>
        <w:t>2、严格遵守国家有关安全的法律法规，认真执行合同中的有关安全要求。遵守工作现场安全管理规定。</w:t>
      </w:r>
    </w:p>
    <w:p>
      <w:pPr>
        <w:ind w:firstLine="480"/>
        <w:rPr>
          <w:rFonts w:ascii="宋体" w:hAnsi="宋体"/>
        </w:rPr>
      </w:pPr>
      <w:r>
        <w:rPr>
          <w:rFonts w:hint="eastAsia" w:ascii="宋体" w:hAnsi="宋体"/>
        </w:rPr>
        <w:t>3、坚持“安全第一、预防为主”和“谁主管，谁负责”的原则，加强安全宣传教育，增强全员安全意识，建立健全各项安全的管理机构和安全管理制度，配备专职及兼职安全检查人员，有组织有措施地开展安全活动。各级人员必须熟悉和遵守本条款的各项规定，做到服务与安全工作同时计划、布置、检查、总结和评比。</w:t>
      </w:r>
    </w:p>
    <w:p>
      <w:pPr>
        <w:ind w:firstLine="480"/>
        <w:rPr>
          <w:rFonts w:ascii="宋体" w:hAnsi="宋体"/>
        </w:rPr>
      </w:pPr>
      <w:r>
        <w:rPr>
          <w:rFonts w:hint="eastAsia" w:ascii="宋体" w:hAnsi="宋体"/>
        </w:rPr>
        <w:t>4、建立健全安全责任制。从项目经理到施工人员的安全管理系统必须做到纵向到底，一环不漏。项目经理是安全工作的第一责任人。现场设置的安全机构，负责所有员工的安全和治安保卫工作及预防事故的发生。安全机构人员，有权按有关规定发布指令，并采取保护性措施防止事故发生。</w:t>
      </w:r>
    </w:p>
    <w:p>
      <w:pPr>
        <w:ind w:firstLine="480"/>
        <w:rPr>
          <w:rFonts w:ascii="宋体" w:hAnsi="宋体"/>
        </w:rPr>
      </w:pPr>
      <w:r>
        <w:rPr>
          <w:rFonts w:hint="eastAsia" w:ascii="宋体" w:hAnsi="宋体"/>
        </w:rPr>
        <w:t>5、乙方在任何时候都应采取各种合理的预防措施，防止其员工发生任何违法、违禁、暴力或妨碍治安的行为。</w:t>
      </w:r>
    </w:p>
    <w:p>
      <w:pPr>
        <w:ind w:firstLine="480"/>
        <w:rPr>
          <w:rFonts w:ascii="宋体" w:hAnsi="宋体"/>
        </w:rPr>
      </w:pPr>
      <w:r>
        <w:rPr>
          <w:rFonts w:hint="eastAsia" w:ascii="宋体" w:hAnsi="宋体"/>
        </w:rPr>
        <w:t>6、现场工作的人员，必须接受安全教育，熟知和遵守各项安全规程，定期进行安全考核，合格者方准上岗。对于从事电气、登高作业、机动车驾驶等特殊工种的人员，经过专业培训，获得相关资格证书后，方准持证上岗。现场如出现特种作业无证操作现象时，项目经理必须承担管理责任。</w:t>
      </w:r>
    </w:p>
    <w:p>
      <w:pPr>
        <w:ind w:firstLine="480"/>
        <w:rPr>
          <w:rFonts w:ascii="宋体" w:hAnsi="宋体"/>
        </w:rPr>
      </w:pPr>
      <w:r>
        <w:rPr>
          <w:rFonts w:hint="eastAsia" w:ascii="宋体" w:hAnsi="宋体"/>
        </w:rPr>
        <w:t>7、乙方要保证全体工作人员必须做到“三包一保证”。即包括了工作改造人员的来历和政治表现；遵纪守法教育；工作人员不打架、盗窃、诈骗及保证不发生火灾事故</w:t>
      </w:r>
    </w:p>
    <w:p>
      <w:pPr>
        <w:ind w:firstLine="480"/>
        <w:rPr>
          <w:rFonts w:ascii="宋体" w:hAnsi="宋体"/>
        </w:rPr>
      </w:pPr>
      <w:r>
        <w:rPr>
          <w:rFonts w:hint="eastAsia" w:ascii="宋体" w:hAnsi="宋体"/>
        </w:rPr>
        <w:t>8、对于易燃易爆的材料除应专门妥善保管之外，还应配备有足够的消防设施，所有现场人员都应熟悉消防设备的性能和使用方法。</w:t>
      </w:r>
    </w:p>
    <w:p>
      <w:pPr>
        <w:ind w:firstLine="480"/>
        <w:rPr>
          <w:rFonts w:ascii="宋体" w:hAnsi="宋体"/>
        </w:rPr>
      </w:pPr>
      <w:r>
        <w:rPr>
          <w:rFonts w:hint="eastAsia" w:ascii="宋体" w:hAnsi="宋体"/>
        </w:rPr>
        <w:t>9、专业操作人员上岗，必须按规定穿戴防护用品。项目经理和安全检查员应随时检查劳动防护用品的穿戴情况，不按规定穿戴防护用品的人员不得上岗。</w:t>
      </w:r>
    </w:p>
    <w:p>
      <w:pPr>
        <w:ind w:firstLine="480"/>
        <w:rPr>
          <w:rFonts w:ascii="宋体" w:hAnsi="宋体"/>
        </w:rPr>
      </w:pPr>
      <w:r>
        <w:rPr>
          <w:rFonts w:hint="eastAsia" w:ascii="宋体" w:hAnsi="宋体"/>
        </w:rPr>
        <w:t>10、所有工作用具和高空作业的设备均应定期检查，并有安全员的签字记录，保证其经常处于完好状态；不合格的设备和劳动保护用品严禁使用。</w:t>
      </w:r>
    </w:p>
    <w:p>
      <w:pPr>
        <w:ind w:firstLine="480"/>
        <w:rPr>
          <w:rFonts w:ascii="宋体" w:hAnsi="宋体"/>
        </w:rPr>
      </w:pPr>
      <w:r>
        <w:rPr>
          <w:rFonts w:hint="eastAsia" w:ascii="宋体" w:hAnsi="宋体"/>
        </w:rPr>
        <w:t>11、乙方必须按照本项目特点，组织制定本合同实施中的生产安全事故应急救援预案；如果发生安全事故，应按照《国务院关于特大安全事故行政责任追究的规定》以及其它有关规定，及时上报有关部门，并坚持“三不放过”的原则，严肃处理相关责任人。</w:t>
      </w:r>
    </w:p>
    <w:p>
      <w:pPr>
        <w:tabs>
          <w:tab w:val="left" w:pos="102"/>
          <w:tab w:val="left" w:pos="207"/>
        </w:tabs>
        <w:spacing w:line="500" w:lineRule="exact"/>
        <w:ind w:firstLine="523" w:firstLineChars="218"/>
        <w:rPr>
          <w:rFonts w:ascii="宋体" w:hAnsi="宋体"/>
          <w:color w:val="000000"/>
        </w:rPr>
      </w:pPr>
      <w:r>
        <w:rPr>
          <w:rFonts w:hint="eastAsia" w:ascii="宋体" w:hAnsi="宋体"/>
        </w:rPr>
        <w:t>12、乙方应作出以下</w:t>
      </w:r>
      <w:r>
        <w:rPr>
          <w:rFonts w:hint="eastAsia" w:ascii="宋体" w:hAnsi="宋体"/>
          <w:color w:val="000000"/>
        </w:rPr>
        <w:t>安全承诺：合同履行期间不发生人身死亡事故、不发生重大设备损坏事故、不发生火灾事故、不发生人身轻伤及以上事故。</w:t>
      </w:r>
    </w:p>
    <w:p>
      <w:pPr>
        <w:ind w:firstLine="480"/>
        <w:rPr>
          <w:rFonts w:ascii="宋体" w:hAnsi="宋体"/>
        </w:rPr>
      </w:pPr>
    </w:p>
    <w:p>
      <w:pPr>
        <w:tabs>
          <w:tab w:val="left" w:pos="102"/>
          <w:tab w:val="left" w:pos="207"/>
        </w:tabs>
        <w:spacing w:line="500" w:lineRule="exact"/>
        <w:ind w:firstLine="523" w:firstLineChars="218"/>
        <w:rPr>
          <w:rFonts w:ascii="宋体" w:hAnsi="宋体"/>
        </w:rPr>
      </w:pPr>
      <w:r>
        <w:rPr>
          <w:rFonts w:hint="eastAsia" w:ascii="宋体" w:hAnsi="宋体"/>
        </w:rPr>
        <w:t>三、违约责任</w:t>
      </w:r>
    </w:p>
    <w:p>
      <w:pPr>
        <w:tabs>
          <w:tab w:val="left" w:pos="102"/>
          <w:tab w:val="left" w:pos="207"/>
        </w:tabs>
        <w:spacing w:line="500" w:lineRule="exact"/>
        <w:ind w:firstLine="523" w:firstLineChars="218"/>
        <w:rPr>
          <w:rFonts w:ascii="宋体" w:hAnsi="宋体"/>
        </w:rPr>
      </w:pPr>
      <w:r>
        <w:rPr>
          <w:rFonts w:hint="eastAsia" w:ascii="宋体" w:hAnsi="宋体"/>
        </w:rPr>
        <w:t>1、因乙方原因，造成的安全施工事故，致使人员伤亡、设备损坏，乙方承担相关的经济和法律责任。</w:t>
      </w:r>
    </w:p>
    <w:p>
      <w:pPr>
        <w:tabs>
          <w:tab w:val="left" w:pos="102"/>
          <w:tab w:val="left" w:pos="207"/>
        </w:tabs>
        <w:spacing w:line="500" w:lineRule="exact"/>
        <w:ind w:firstLine="523" w:firstLineChars="218"/>
        <w:rPr>
          <w:rFonts w:ascii="宋体" w:hAnsi="宋体"/>
        </w:rPr>
      </w:pPr>
      <w:r>
        <w:rPr>
          <w:rFonts w:hint="eastAsia" w:ascii="宋体" w:hAnsi="宋体"/>
        </w:rPr>
        <w:t>2、因安全事故，给甲方造成的损失，乙方承担赔偿责任。</w:t>
      </w:r>
    </w:p>
    <w:p>
      <w:pPr>
        <w:tabs>
          <w:tab w:val="left" w:pos="102"/>
          <w:tab w:val="left" w:pos="207"/>
        </w:tabs>
        <w:spacing w:line="500" w:lineRule="exact"/>
        <w:ind w:firstLine="523" w:firstLineChars="218"/>
        <w:rPr>
          <w:rFonts w:ascii="宋体" w:hAnsi="宋体"/>
        </w:rPr>
      </w:pPr>
      <w:r>
        <w:rPr>
          <w:rFonts w:hint="eastAsia" w:ascii="宋体" w:hAnsi="宋体"/>
        </w:rPr>
        <w:t>本协议经双方盖章后生效，本《安全责任书》与《华能大厦柴油发电机房至副配电室电缆更换工程施工合同》具有同等法律效力，效力不受本合同的终止或解除的影响。</w:t>
      </w: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480"/>
        <w:rPr>
          <w:rFonts w:ascii="宋体" w:hAnsi="宋体"/>
        </w:rPr>
      </w:pPr>
      <w:r>
        <w:rPr>
          <w:rFonts w:hint="eastAsia" w:ascii="宋体" w:hAnsi="宋体"/>
        </w:rPr>
        <w:t>甲方（盖章）：华能置业有限公司</w:t>
      </w:r>
    </w:p>
    <w:p>
      <w:pPr>
        <w:spacing w:line="360" w:lineRule="auto"/>
        <w:ind w:firstLine="480"/>
        <w:rPr>
          <w:rFonts w:ascii="宋体" w:hAnsi="宋体"/>
        </w:rPr>
      </w:pPr>
      <w:r>
        <w:rPr>
          <w:rFonts w:hint="eastAsia" w:ascii="宋体" w:hAnsi="宋体"/>
        </w:rPr>
        <w:t>法定代表人或授权代表（签字）：</w:t>
      </w:r>
    </w:p>
    <w:p>
      <w:pPr>
        <w:spacing w:line="360" w:lineRule="auto"/>
        <w:ind w:firstLine="480"/>
        <w:rPr>
          <w:rFonts w:ascii="宋体" w:hAnsi="宋体"/>
        </w:rPr>
      </w:pPr>
    </w:p>
    <w:p>
      <w:pPr>
        <w:spacing w:line="360" w:lineRule="auto"/>
        <w:ind w:firstLine="480"/>
        <w:rPr>
          <w:rFonts w:ascii="宋体" w:hAnsi="宋体"/>
        </w:rPr>
      </w:pPr>
      <w:r>
        <w:rPr>
          <w:rFonts w:hint="eastAsia" w:ascii="宋体" w:hAnsi="宋体"/>
        </w:rPr>
        <w:t>签约日期：</w:t>
      </w: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480"/>
        <w:rPr>
          <w:rFonts w:ascii="宋体" w:hAnsi="宋体"/>
        </w:rPr>
      </w:pPr>
      <w:r>
        <w:rPr>
          <w:rFonts w:hint="eastAsia" w:ascii="宋体" w:hAnsi="宋体"/>
        </w:rPr>
        <w:t>乙方（盖章）：</w:t>
      </w:r>
    </w:p>
    <w:p>
      <w:pPr>
        <w:spacing w:line="360" w:lineRule="auto"/>
        <w:ind w:firstLine="480"/>
        <w:rPr>
          <w:rFonts w:ascii="宋体" w:hAnsi="宋体"/>
        </w:rPr>
      </w:pPr>
      <w:r>
        <w:rPr>
          <w:rFonts w:hint="eastAsia" w:ascii="宋体" w:hAnsi="宋体"/>
        </w:rPr>
        <w:t>法定代表人或授权代表（签字）：</w:t>
      </w:r>
    </w:p>
    <w:p>
      <w:pPr>
        <w:spacing w:line="360" w:lineRule="auto"/>
        <w:ind w:firstLine="480"/>
        <w:rPr>
          <w:rFonts w:ascii="宋体" w:hAnsi="宋体"/>
        </w:rPr>
      </w:pPr>
    </w:p>
    <w:p>
      <w:pPr>
        <w:spacing w:line="360" w:lineRule="auto"/>
        <w:ind w:firstLine="480"/>
        <w:rPr>
          <w:rFonts w:ascii="宋体" w:hAnsi="宋体"/>
        </w:rPr>
      </w:pPr>
    </w:p>
    <w:p>
      <w:pPr>
        <w:spacing w:line="360" w:lineRule="auto"/>
        <w:ind w:firstLine="480"/>
        <w:rPr>
          <w:rFonts w:ascii="宋体" w:hAnsi="宋体"/>
        </w:rPr>
      </w:pPr>
      <w:r>
        <w:rPr>
          <w:rFonts w:hint="eastAsia" w:ascii="宋体" w:hAnsi="宋体"/>
        </w:rPr>
        <w:t>签约日期：</w:t>
      </w:r>
    </w:p>
    <w:p>
      <w:pPr>
        <w:tabs>
          <w:tab w:val="left" w:pos="851"/>
        </w:tabs>
        <w:spacing w:line="360" w:lineRule="auto"/>
        <w:ind w:firstLine="480"/>
        <w:jc w:val="left"/>
        <w:rPr>
          <w:kern w:val="0"/>
        </w:rPr>
      </w:pPr>
      <w:r>
        <w:rPr>
          <w:kern w:val="0"/>
        </w:rPr>
        <w:br w:type="page"/>
      </w:r>
    </w:p>
    <w:p>
      <w:pPr>
        <w:tabs>
          <w:tab w:val="left" w:pos="851"/>
        </w:tabs>
        <w:spacing w:line="360" w:lineRule="auto"/>
        <w:ind w:firstLine="480"/>
        <w:jc w:val="left"/>
        <w:rPr>
          <w:kern w:val="0"/>
        </w:rPr>
      </w:pPr>
    </w:p>
    <w:p>
      <w:pPr>
        <w:tabs>
          <w:tab w:val="left" w:pos="851"/>
        </w:tabs>
        <w:spacing w:line="360" w:lineRule="auto"/>
        <w:ind w:firstLine="482"/>
        <w:jc w:val="left"/>
        <w:rPr>
          <w:rFonts w:ascii="宋体" w:hAnsi="宋体"/>
          <w:b/>
        </w:rPr>
      </w:pPr>
      <w:r>
        <w:rPr>
          <w:rFonts w:hint="eastAsia"/>
          <w:b/>
        </w:rPr>
        <w:t>附件3</w:t>
      </w:r>
    </w:p>
    <w:p>
      <w:pPr>
        <w:tabs>
          <w:tab w:val="left" w:pos="851"/>
        </w:tabs>
        <w:spacing w:line="360" w:lineRule="auto"/>
        <w:ind w:firstLine="643"/>
        <w:jc w:val="center"/>
        <w:rPr>
          <w:rFonts w:ascii="宋体" w:hAnsi="宋体"/>
          <w:b/>
          <w:color w:val="000000"/>
          <w:sz w:val="32"/>
          <w:szCs w:val="32"/>
        </w:rPr>
      </w:pPr>
      <w:r>
        <w:rPr>
          <w:rFonts w:hint="eastAsia" w:ascii="宋体" w:hAnsi="宋体"/>
          <w:b/>
          <w:color w:val="000000"/>
          <w:sz w:val="32"/>
          <w:szCs w:val="32"/>
        </w:rPr>
        <w:t>保密承诺书</w:t>
      </w:r>
    </w:p>
    <w:p>
      <w:pPr>
        <w:spacing w:line="360" w:lineRule="auto"/>
        <w:ind w:firstLine="424" w:firstLineChars="176"/>
        <w:rPr>
          <w:rFonts w:ascii="宋体" w:hAnsi="宋体"/>
          <w:b/>
        </w:rPr>
      </w:pPr>
      <w:r>
        <w:rPr>
          <w:rFonts w:hint="eastAsia" w:ascii="宋体" w:hAnsi="宋体"/>
          <w:b/>
        </w:rPr>
        <w:t>甲方：华能置业有限公司</w:t>
      </w:r>
    </w:p>
    <w:p>
      <w:pPr>
        <w:tabs>
          <w:tab w:val="left" w:pos="851"/>
        </w:tabs>
        <w:spacing w:line="360" w:lineRule="auto"/>
        <w:ind w:firstLine="482"/>
        <w:jc w:val="left"/>
        <w:rPr>
          <w:rFonts w:ascii="宋体" w:hAnsi="宋体"/>
          <w:b/>
        </w:rPr>
      </w:pPr>
      <w:r>
        <w:rPr>
          <w:rFonts w:hint="eastAsia" w:ascii="宋体" w:hAnsi="宋体"/>
          <w:b/>
        </w:rPr>
        <w:t>乙方：</w:t>
      </w:r>
    </w:p>
    <w:p>
      <w:pPr>
        <w:tabs>
          <w:tab w:val="left" w:pos="851"/>
        </w:tabs>
        <w:spacing w:line="360" w:lineRule="auto"/>
        <w:ind w:firstLine="480"/>
        <w:jc w:val="left"/>
        <w:rPr>
          <w:rFonts w:ascii="宋体" w:hAnsi="宋体"/>
          <w:color w:val="000000"/>
        </w:rPr>
      </w:pPr>
      <w:r>
        <w:rPr>
          <w:rFonts w:hint="eastAsia" w:ascii="宋体" w:hAnsi="宋体"/>
          <w:color w:val="000000"/>
        </w:rPr>
        <w:t>根据《中华人民共和国保守国家秘密法》以及甲方有关保守秘密工作的规定，经甲乙双方协商一致，乙方公司及其员工对保密责任和义务做出以下承诺：</w:t>
      </w:r>
    </w:p>
    <w:p>
      <w:pPr>
        <w:numPr>
          <w:ilvl w:val="0"/>
          <w:numId w:val="4"/>
        </w:numPr>
        <w:tabs>
          <w:tab w:val="left" w:pos="0"/>
        </w:tabs>
        <w:adjustRightInd/>
        <w:spacing w:line="360" w:lineRule="auto"/>
        <w:ind w:left="0" w:firstLine="547" w:firstLineChars="228"/>
        <w:jc w:val="left"/>
        <w:rPr>
          <w:rFonts w:ascii="宋体" w:hAnsi="宋体"/>
          <w:color w:val="000000"/>
        </w:rPr>
      </w:pPr>
      <w:r>
        <w:rPr>
          <w:rFonts w:hint="eastAsia" w:ascii="宋体" w:hAnsi="宋体"/>
          <w:color w:val="000000"/>
        </w:rPr>
        <w:t>自觉遵守国家保密法律法规、甲方保密规章制度和员工保密守则，严格做到：认真执行“涉密不上网，上网不涉密”的保密规定；不在公司信息内网、信息外网和互联网上存储、处理、传递甲方秘密；</w:t>
      </w:r>
    </w:p>
    <w:p>
      <w:pPr>
        <w:tabs>
          <w:tab w:val="left" w:pos="851"/>
        </w:tabs>
        <w:spacing w:line="360" w:lineRule="auto"/>
        <w:ind w:firstLine="547" w:firstLineChars="228"/>
        <w:jc w:val="left"/>
        <w:rPr>
          <w:rFonts w:ascii="宋体" w:hAnsi="宋体"/>
          <w:color w:val="000000"/>
        </w:rPr>
      </w:pPr>
      <w:r>
        <w:rPr>
          <w:rFonts w:hint="eastAsia" w:ascii="宋体" w:hAnsi="宋体"/>
          <w:color w:val="000000"/>
        </w:rPr>
        <w:t>不使用非涉密的计算机、多功能一体机、打印机、扫描仪、传真机和复印机等设备存储、处理、传递甲方秘密；</w:t>
      </w:r>
    </w:p>
    <w:p>
      <w:pPr>
        <w:tabs>
          <w:tab w:val="left" w:pos="851"/>
        </w:tabs>
        <w:spacing w:line="360" w:lineRule="auto"/>
        <w:ind w:firstLine="547" w:firstLineChars="228"/>
        <w:jc w:val="left"/>
        <w:rPr>
          <w:rFonts w:ascii="宋体" w:hAnsi="宋体"/>
          <w:color w:val="000000"/>
        </w:rPr>
      </w:pPr>
      <w:r>
        <w:rPr>
          <w:rFonts w:hint="eastAsia" w:ascii="宋体" w:hAnsi="宋体"/>
          <w:color w:val="000000"/>
        </w:rPr>
        <w:t>不使用与甲方信息外网和互联网连接的计算机、多功能一体机、打印机、扫描仪、传真机和复印机等设备存储、处理、传递甲方秘密；</w:t>
      </w:r>
    </w:p>
    <w:p>
      <w:pPr>
        <w:tabs>
          <w:tab w:val="left" w:pos="851"/>
        </w:tabs>
        <w:spacing w:line="360" w:lineRule="auto"/>
        <w:ind w:firstLine="547" w:firstLineChars="228"/>
        <w:jc w:val="left"/>
        <w:rPr>
          <w:rFonts w:ascii="宋体" w:hAnsi="宋体"/>
          <w:color w:val="000000"/>
        </w:rPr>
      </w:pPr>
      <w:r>
        <w:rPr>
          <w:rFonts w:hint="eastAsia" w:ascii="宋体" w:hAnsi="宋体"/>
          <w:color w:val="000000"/>
        </w:rPr>
        <w:t>不将非涉密的计算机、多功能一体机、打印机、扫描仪、传真机和复印机等设备在甲方信息内网、信息外网和互联网间交叉连接使用；</w:t>
      </w:r>
    </w:p>
    <w:p>
      <w:pPr>
        <w:tabs>
          <w:tab w:val="left" w:pos="851"/>
        </w:tabs>
        <w:spacing w:line="360" w:lineRule="auto"/>
        <w:ind w:firstLine="547" w:firstLineChars="228"/>
        <w:jc w:val="left"/>
        <w:rPr>
          <w:rFonts w:ascii="宋体" w:hAnsi="宋体"/>
          <w:color w:val="000000"/>
        </w:rPr>
      </w:pPr>
      <w:r>
        <w:rPr>
          <w:rFonts w:hint="eastAsia" w:ascii="宋体" w:hAnsi="宋体"/>
          <w:color w:val="000000"/>
        </w:rPr>
        <w:t>不将普通移动存储介质在甲方信息内网、信息外网和互联网间交叉使用，在甲方信息内网、信息外网上交换文档和数据必须使用甲方安全移动存储介质；</w:t>
      </w:r>
    </w:p>
    <w:p>
      <w:pPr>
        <w:tabs>
          <w:tab w:val="left" w:pos="851"/>
        </w:tabs>
        <w:spacing w:line="360" w:lineRule="auto"/>
        <w:ind w:firstLine="547" w:firstLineChars="228"/>
        <w:jc w:val="left"/>
        <w:rPr>
          <w:rFonts w:ascii="宋体" w:hAnsi="宋体"/>
          <w:color w:val="000000"/>
        </w:rPr>
      </w:pPr>
      <w:r>
        <w:rPr>
          <w:rFonts w:hint="eastAsia" w:ascii="宋体" w:hAnsi="宋体"/>
          <w:color w:val="000000"/>
        </w:rPr>
        <w:t>不在公共场所、私人交往中及家属、子女、亲友面前谈论国家秘密和甲方秘密；</w:t>
      </w:r>
    </w:p>
    <w:p>
      <w:pPr>
        <w:tabs>
          <w:tab w:val="left" w:pos="851"/>
        </w:tabs>
        <w:spacing w:line="360" w:lineRule="auto"/>
        <w:ind w:firstLine="547" w:firstLineChars="228"/>
        <w:jc w:val="left"/>
        <w:rPr>
          <w:rFonts w:ascii="宋体" w:hAnsi="宋体"/>
          <w:color w:val="000000"/>
        </w:rPr>
      </w:pPr>
      <w:r>
        <w:rPr>
          <w:rFonts w:hint="eastAsia" w:ascii="宋体" w:hAnsi="宋体"/>
          <w:color w:val="000000"/>
        </w:rPr>
        <w:t>不在私人通信及公开发表的文章、著述中涉及国家秘密和甲方秘密；</w:t>
      </w:r>
    </w:p>
    <w:p>
      <w:pPr>
        <w:tabs>
          <w:tab w:val="left" w:pos="851"/>
        </w:tabs>
        <w:spacing w:line="360" w:lineRule="auto"/>
        <w:ind w:firstLine="547" w:firstLineChars="228"/>
        <w:jc w:val="left"/>
        <w:rPr>
          <w:rFonts w:ascii="宋体" w:hAnsi="宋体"/>
          <w:color w:val="000000"/>
        </w:rPr>
      </w:pPr>
      <w:r>
        <w:rPr>
          <w:rFonts w:hint="eastAsia" w:ascii="宋体" w:hAnsi="宋体"/>
          <w:color w:val="000000"/>
        </w:rPr>
        <w:t>不使用无保密保障的普通传真机，电话机和手机等通讯工具传输或谈论国家秘密和甲方秘密；</w:t>
      </w:r>
    </w:p>
    <w:p>
      <w:pPr>
        <w:tabs>
          <w:tab w:val="left" w:pos="851"/>
        </w:tabs>
        <w:spacing w:line="360" w:lineRule="auto"/>
        <w:ind w:firstLine="547" w:firstLineChars="228"/>
        <w:jc w:val="left"/>
        <w:rPr>
          <w:rFonts w:ascii="宋体" w:hAnsi="宋体"/>
          <w:color w:val="000000"/>
        </w:rPr>
      </w:pPr>
      <w:r>
        <w:rPr>
          <w:rFonts w:hint="eastAsia" w:ascii="宋体" w:hAnsi="宋体"/>
          <w:color w:val="000000"/>
        </w:rPr>
        <w:t>不在无保密保障的场所阅办或保存涉密文件、资料，不私自留存阅办完毕的涉密文件、资料；不擅自销毁涉密文件、资料；</w:t>
      </w:r>
    </w:p>
    <w:p>
      <w:pPr>
        <w:tabs>
          <w:tab w:val="left" w:pos="851"/>
        </w:tabs>
        <w:spacing w:line="360" w:lineRule="auto"/>
        <w:ind w:firstLine="480"/>
        <w:jc w:val="left"/>
        <w:rPr>
          <w:rFonts w:ascii="宋体" w:hAnsi="宋体"/>
          <w:color w:val="000000"/>
        </w:rPr>
      </w:pPr>
      <w:r>
        <w:rPr>
          <w:rFonts w:hint="eastAsia" w:ascii="宋体" w:hAnsi="宋体"/>
          <w:color w:val="000000"/>
        </w:rPr>
        <w:t xml:space="preserve"> 严格执行涉密文件、资料的各项管理规定，不擅自复印、扫描、传真涉密文件或扩大涉密文件的知悉范围；</w:t>
      </w:r>
    </w:p>
    <w:p>
      <w:pPr>
        <w:tabs>
          <w:tab w:val="left" w:pos="851"/>
        </w:tabs>
        <w:spacing w:line="360" w:lineRule="auto"/>
        <w:ind w:firstLine="480"/>
        <w:jc w:val="left"/>
        <w:rPr>
          <w:rFonts w:ascii="宋体" w:hAnsi="宋体"/>
          <w:color w:val="000000"/>
        </w:rPr>
      </w:pPr>
      <w:r>
        <w:rPr>
          <w:rFonts w:hint="eastAsia" w:ascii="宋体" w:hAnsi="宋体"/>
          <w:color w:val="000000"/>
        </w:rPr>
        <w:t>未经甲方审查批准，不擅自发表涉及未公开工作内容的文章、著述；</w:t>
      </w:r>
    </w:p>
    <w:p>
      <w:pPr>
        <w:tabs>
          <w:tab w:val="left" w:pos="851"/>
        </w:tabs>
        <w:spacing w:line="360" w:lineRule="auto"/>
        <w:ind w:firstLine="480"/>
        <w:jc w:val="left"/>
        <w:rPr>
          <w:rFonts w:ascii="宋体" w:hAnsi="宋体"/>
          <w:color w:val="000000"/>
        </w:rPr>
      </w:pPr>
      <w:r>
        <w:rPr>
          <w:rFonts w:hint="eastAsia" w:ascii="宋体" w:hAnsi="宋体"/>
          <w:color w:val="000000"/>
        </w:rPr>
        <w:t>未经甲方批准，不擅自将甲方的各种文件、资料及甲方秘密泄露给第三方；</w:t>
      </w:r>
    </w:p>
    <w:p>
      <w:pPr>
        <w:tabs>
          <w:tab w:val="left" w:pos="851"/>
        </w:tabs>
        <w:spacing w:line="360" w:lineRule="auto"/>
        <w:ind w:firstLine="480"/>
        <w:jc w:val="left"/>
        <w:rPr>
          <w:rFonts w:ascii="宋体" w:hAnsi="宋体"/>
          <w:color w:val="000000"/>
        </w:rPr>
      </w:pPr>
      <w:r>
        <w:rPr>
          <w:rFonts w:hint="eastAsia" w:ascii="宋体" w:hAnsi="宋体"/>
          <w:color w:val="000000"/>
        </w:rPr>
        <w:t>未经甲方批准，不在外事、社会活动中携带涉密文件、资料。</w:t>
      </w:r>
    </w:p>
    <w:p>
      <w:pPr>
        <w:tabs>
          <w:tab w:val="left" w:pos="851"/>
        </w:tabs>
        <w:spacing w:line="360" w:lineRule="auto"/>
        <w:ind w:firstLine="480"/>
        <w:jc w:val="left"/>
        <w:rPr>
          <w:rFonts w:ascii="宋体" w:hAnsi="宋体"/>
          <w:color w:val="000000"/>
        </w:rPr>
      </w:pPr>
      <w:r>
        <w:rPr>
          <w:rFonts w:hint="eastAsia" w:ascii="宋体" w:hAnsi="宋体"/>
          <w:color w:val="000000"/>
        </w:rPr>
        <w:t>对本岗位工作中涉及的密件、密电在收发、登记、分办、送批、传阅、保存、归档的各个环节都严格遵守甲方的各项保密制度，不擅自扩大知悉范围，确保国家秘密和甲方秘密的安全。</w:t>
      </w:r>
    </w:p>
    <w:p>
      <w:pPr>
        <w:numPr>
          <w:ilvl w:val="0"/>
          <w:numId w:val="4"/>
        </w:numPr>
        <w:tabs>
          <w:tab w:val="left" w:pos="851"/>
        </w:tabs>
        <w:adjustRightInd/>
        <w:spacing w:line="360" w:lineRule="auto"/>
        <w:ind w:left="0" w:firstLine="547" w:firstLineChars="228"/>
        <w:jc w:val="left"/>
        <w:rPr>
          <w:rFonts w:ascii="宋体" w:hAnsi="宋体"/>
          <w:color w:val="000000"/>
        </w:rPr>
      </w:pPr>
      <w:r>
        <w:rPr>
          <w:rFonts w:hint="eastAsia" w:ascii="宋体" w:hAnsi="宋体"/>
          <w:color w:val="000000"/>
        </w:rPr>
        <w:t>认真执行甲方和部门重大事项上报制度，发生泄密事件时，立即采取补救措施，同时将有关情况向部门领导汇报，决不隐瞒。发现他人违反保密规定，泄露国家或甲方秘密时，立即予以制止，并及时向甲方相关部门及领导进行汇报。</w:t>
      </w:r>
    </w:p>
    <w:p>
      <w:pPr>
        <w:numPr>
          <w:ilvl w:val="0"/>
          <w:numId w:val="4"/>
        </w:numPr>
        <w:tabs>
          <w:tab w:val="left" w:pos="0"/>
        </w:tabs>
        <w:adjustRightInd/>
        <w:spacing w:line="360" w:lineRule="auto"/>
        <w:ind w:left="0" w:firstLine="547" w:firstLineChars="228"/>
        <w:jc w:val="left"/>
        <w:rPr>
          <w:rFonts w:ascii="宋体" w:hAnsi="宋体"/>
          <w:color w:val="000000"/>
        </w:rPr>
      </w:pPr>
      <w:r>
        <w:rPr>
          <w:rFonts w:hint="eastAsia" w:ascii="宋体" w:hAnsi="宋体"/>
          <w:color w:val="000000"/>
        </w:rPr>
        <w:t>自觉学习保密知识，提高保密意识，掌握保密技能，接受保密教育和保密监督、检查，及时消除保密隐患，赌塞管理漏洞。</w:t>
      </w:r>
    </w:p>
    <w:p>
      <w:pPr>
        <w:numPr>
          <w:ilvl w:val="0"/>
          <w:numId w:val="4"/>
        </w:numPr>
        <w:tabs>
          <w:tab w:val="left" w:pos="851"/>
        </w:tabs>
        <w:adjustRightInd/>
        <w:spacing w:line="360" w:lineRule="auto"/>
        <w:ind w:left="0" w:firstLine="640" w:firstLineChars="0"/>
        <w:jc w:val="left"/>
        <w:rPr>
          <w:rFonts w:ascii="宋体" w:hAnsi="宋体"/>
          <w:color w:val="000000"/>
        </w:rPr>
      </w:pPr>
      <w:r>
        <w:rPr>
          <w:rFonts w:hint="eastAsia" w:ascii="宋体" w:hAnsi="宋体"/>
          <w:color w:val="000000"/>
        </w:rPr>
        <w:t>若有违反上述承诺行为，将承担相应责任直至法律后果。</w:t>
      </w:r>
    </w:p>
    <w:p>
      <w:pPr>
        <w:numPr>
          <w:ilvl w:val="0"/>
          <w:numId w:val="4"/>
        </w:numPr>
        <w:tabs>
          <w:tab w:val="left" w:pos="851"/>
        </w:tabs>
        <w:adjustRightInd/>
        <w:spacing w:line="360" w:lineRule="auto"/>
        <w:ind w:left="0" w:firstLine="640" w:firstLineChars="0"/>
        <w:jc w:val="left"/>
        <w:rPr>
          <w:rFonts w:ascii="宋体" w:hAnsi="宋体"/>
          <w:color w:val="000000"/>
        </w:rPr>
      </w:pPr>
      <w:r>
        <w:rPr>
          <w:rFonts w:hint="eastAsia" w:ascii="宋体" w:hAnsi="宋体"/>
          <w:color w:val="000000"/>
        </w:rPr>
        <w:t>本《承诺书》未尽事宜按国家有关法律法规和甲方规定执行。</w:t>
      </w:r>
    </w:p>
    <w:p>
      <w:pPr>
        <w:numPr>
          <w:ilvl w:val="0"/>
          <w:numId w:val="4"/>
        </w:numPr>
        <w:tabs>
          <w:tab w:val="left" w:pos="851"/>
        </w:tabs>
        <w:adjustRightInd/>
        <w:spacing w:line="360" w:lineRule="auto"/>
        <w:ind w:left="0" w:firstLine="640" w:firstLineChars="0"/>
        <w:jc w:val="left"/>
        <w:rPr>
          <w:rFonts w:ascii="宋体" w:hAnsi="宋体"/>
          <w:color w:val="000000"/>
        </w:rPr>
      </w:pPr>
      <w:r>
        <w:rPr>
          <w:rFonts w:hint="eastAsia" w:ascii="宋体" w:hAnsi="宋体"/>
          <w:color w:val="000000"/>
        </w:rPr>
        <w:t>本协议经双方盖章后生效，本《保密承诺书》与《</w:t>
      </w:r>
      <w:r>
        <w:rPr>
          <w:rFonts w:hint="eastAsia" w:ascii="宋体" w:hAnsi="宋体"/>
        </w:rPr>
        <w:t>华能大厦柴油发电机房至副配电室电缆更换</w:t>
      </w:r>
      <w:r>
        <w:rPr>
          <w:rFonts w:hint="eastAsia" w:ascii="宋体" w:hAnsi="宋体"/>
          <w:color w:val="000000"/>
        </w:rPr>
        <w:t>工程施工合同》具有同等法律效力，效力不受本合同的终止或解除的影响。</w:t>
      </w:r>
    </w:p>
    <w:p>
      <w:pPr>
        <w:spacing w:line="360" w:lineRule="auto"/>
        <w:ind w:firstLine="482"/>
        <w:rPr>
          <w:rFonts w:ascii="宋体" w:hAnsi="宋体"/>
          <w:b/>
          <w:color w:val="000000"/>
        </w:rPr>
      </w:pPr>
    </w:p>
    <w:p>
      <w:pPr>
        <w:spacing w:line="360" w:lineRule="auto"/>
        <w:ind w:firstLine="482"/>
        <w:rPr>
          <w:rFonts w:ascii="宋体" w:hAnsi="宋体"/>
          <w:b/>
          <w:color w:val="000000"/>
        </w:rPr>
      </w:pPr>
    </w:p>
    <w:p>
      <w:pPr>
        <w:spacing w:line="360" w:lineRule="auto"/>
        <w:ind w:firstLine="482"/>
        <w:rPr>
          <w:rFonts w:ascii="宋体" w:hAnsi="宋体"/>
          <w:b/>
          <w:color w:val="000000"/>
        </w:rPr>
      </w:pPr>
    </w:p>
    <w:p>
      <w:pPr>
        <w:spacing w:line="360" w:lineRule="auto"/>
        <w:ind w:firstLine="482"/>
        <w:rPr>
          <w:rFonts w:ascii="宋体" w:hAnsi="宋体"/>
          <w:b/>
          <w:color w:val="000000"/>
        </w:rPr>
      </w:pPr>
    </w:p>
    <w:p>
      <w:pPr>
        <w:spacing w:line="360" w:lineRule="auto"/>
        <w:ind w:firstLine="482"/>
        <w:rPr>
          <w:rFonts w:ascii="宋体" w:hAnsi="宋体"/>
          <w:b/>
          <w:color w:val="000000"/>
        </w:rPr>
      </w:pPr>
    </w:p>
    <w:p>
      <w:pPr>
        <w:spacing w:line="360" w:lineRule="auto"/>
        <w:ind w:firstLine="482"/>
        <w:rPr>
          <w:rFonts w:ascii="宋体" w:hAnsi="宋体"/>
          <w:b/>
          <w:color w:val="000000"/>
        </w:rPr>
      </w:pPr>
    </w:p>
    <w:p>
      <w:pPr>
        <w:spacing w:line="360" w:lineRule="auto"/>
        <w:ind w:firstLine="480"/>
        <w:rPr>
          <w:rFonts w:ascii="宋体" w:hAnsi="宋体"/>
        </w:rPr>
      </w:pPr>
      <w:r>
        <w:rPr>
          <w:rFonts w:hint="eastAsia" w:ascii="宋体" w:hAnsi="宋体"/>
        </w:rPr>
        <w:t>甲方（盖章）：华能置业有限公司     乙方（盖章）：</w:t>
      </w:r>
    </w:p>
    <w:p>
      <w:pPr>
        <w:spacing w:line="360" w:lineRule="auto"/>
        <w:ind w:firstLine="480"/>
        <w:rPr>
          <w:rFonts w:ascii="宋体" w:hAnsi="宋体"/>
        </w:rPr>
      </w:pPr>
    </w:p>
    <w:p>
      <w:pPr>
        <w:spacing w:line="360" w:lineRule="auto"/>
        <w:ind w:firstLine="480"/>
        <w:rPr>
          <w:rFonts w:ascii="宋体" w:hAnsi="宋体"/>
        </w:rPr>
      </w:pPr>
      <w:r>
        <w:rPr>
          <w:rFonts w:hint="eastAsia" w:ascii="宋体" w:hAnsi="宋体"/>
        </w:rPr>
        <w:t>法定代表人或授权代表（签字）：     法定代表人或授权代表（签字）：</w:t>
      </w:r>
    </w:p>
    <w:p>
      <w:pPr>
        <w:tabs>
          <w:tab w:val="left" w:pos="851"/>
        </w:tabs>
        <w:spacing w:line="360" w:lineRule="auto"/>
        <w:ind w:firstLine="480"/>
        <w:jc w:val="left"/>
        <w:rPr>
          <w:rFonts w:ascii="宋体" w:hAnsi="宋体"/>
          <w:color w:val="000000"/>
        </w:rPr>
      </w:pPr>
    </w:p>
    <w:p>
      <w:pPr>
        <w:tabs>
          <w:tab w:val="left" w:pos="851"/>
        </w:tabs>
        <w:spacing w:line="360" w:lineRule="auto"/>
        <w:ind w:firstLine="600" w:firstLineChars="250"/>
        <w:jc w:val="left"/>
        <w:rPr>
          <w:rFonts w:ascii="宋体" w:hAnsi="宋体"/>
          <w:color w:val="000000"/>
        </w:rPr>
      </w:pPr>
      <w:r>
        <w:rPr>
          <w:rFonts w:hint="eastAsia" w:ascii="宋体" w:hAnsi="宋体"/>
          <w:color w:val="000000"/>
        </w:rPr>
        <w:t>年    月   日                         年    月    日</w:t>
      </w:r>
    </w:p>
    <w:p>
      <w:pPr>
        <w:tabs>
          <w:tab w:val="left" w:pos="851"/>
        </w:tabs>
        <w:spacing w:line="360" w:lineRule="auto"/>
        <w:ind w:firstLine="480"/>
        <w:jc w:val="left"/>
        <w:rPr>
          <w:rFonts w:ascii="宋体" w:hAnsi="宋体"/>
          <w:color w:val="000000"/>
        </w:rPr>
      </w:pPr>
    </w:p>
    <w:p>
      <w:pPr>
        <w:ind w:firstLine="480"/>
      </w:pPr>
    </w:p>
    <w:p>
      <w:pPr>
        <w:ind w:firstLine="480"/>
      </w:pPr>
    </w:p>
    <w:p>
      <w:pPr>
        <w:ind w:firstLine="480"/>
      </w:pPr>
    </w:p>
    <w:p>
      <w:pPr>
        <w:ind w:firstLine="480"/>
      </w:pPr>
    </w:p>
    <w:p>
      <w:pPr>
        <w:ind w:firstLine="480"/>
      </w:pPr>
    </w:p>
    <w:p>
      <w:pPr>
        <w:ind w:firstLine="480"/>
      </w:pPr>
    </w:p>
    <w:p>
      <w:pPr>
        <w:ind w:firstLine="480"/>
      </w:pPr>
    </w:p>
    <w:p>
      <w:pPr>
        <w:widowControl/>
        <w:ind w:firstLine="482"/>
        <w:jc w:val="left"/>
        <w:rPr>
          <w:b/>
        </w:rPr>
      </w:pPr>
      <w:r>
        <w:rPr>
          <w:rFonts w:hint="eastAsia"/>
          <w:b/>
        </w:rPr>
        <w:t>附件4</w:t>
      </w:r>
    </w:p>
    <w:p>
      <w:pPr>
        <w:spacing w:beforeLines="50" w:line="300" w:lineRule="auto"/>
        <w:ind w:firstLine="562"/>
        <w:jc w:val="center"/>
        <w:rPr>
          <w:rFonts w:ascii="宋体" w:hAnsi="宋体" w:cs="宋体"/>
          <w:b/>
          <w:sz w:val="28"/>
          <w:szCs w:val="28"/>
        </w:rPr>
      </w:pPr>
      <w:r>
        <w:rPr>
          <w:rFonts w:hint="eastAsia" w:ascii="宋体" w:hAnsi="宋体" w:cs="宋体"/>
          <w:b/>
          <w:sz w:val="28"/>
          <w:szCs w:val="28"/>
        </w:rPr>
        <w:t>廉政协议</w:t>
      </w:r>
    </w:p>
    <w:p>
      <w:pPr>
        <w:spacing w:beforeLines="50" w:line="300" w:lineRule="auto"/>
        <w:ind w:firstLine="482"/>
        <w:rPr>
          <w:rFonts w:ascii="宋体" w:hAnsi="宋体"/>
          <w:b/>
        </w:rPr>
      </w:pPr>
      <w:r>
        <w:rPr>
          <w:rFonts w:hint="eastAsia" w:ascii="宋体" w:hAnsi="宋体"/>
          <w:b/>
        </w:rPr>
        <w:t>甲方：华能置业有限公司</w:t>
      </w:r>
    </w:p>
    <w:p>
      <w:pPr>
        <w:spacing w:beforeLines="50" w:line="300" w:lineRule="auto"/>
        <w:ind w:firstLine="482"/>
        <w:rPr>
          <w:rFonts w:ascii="宋体" w:hAnsi="宋体"/>
        </w:rPr>
      </w:pPr>
      <w:r>
        <w:rPr>
          <w:rFonts w:hint="eastAsia" w:ascii="宋体" w:hAnsi="宋体"/>
          <w:b/>
        </w:rPr>
        <w:t>乙方：</w:t>
      </w:r>
    </w:p>
    <w:p>
      <w:pPr>
        <w:spacing w:line="360" w:lineRule="auto"/>
        <w:ind w:firstLine="470" w:firstLineChars="196"/>
        <w:jc w:val="left"/>
        <w:rPr>
          <w:rFonts w:ascii="宋体" w:hAnsi="宋体"/>
        </w:rPr>
      </w:pPr>
      <w:r>
        <w:rPr>
          <w:rFonts w:hint="eastAsia" w:ascii="宋体" w:hAnsi="宋体"/>
        </w:rPr>
        <w:t>为加强合同管理中的廉政建设，规范双方的各项活动，防止发生各种谋取不正当利益的违法违纪行为，保护国家、集体和当事人的合法权益，根据国家有关的法律法规和廉政建设责任制规定，特订立本廉政协议。</w:t>
      </w:r>
    </w:p>
    <w:p>
      <w:pPr>
        <w:spacing w:line="360" w:lineRule="auto"/>
        <w:ind w:firstLine="470" w:firstLineChars="196"/>
        <w:jc w:val="left"/>
        <w:rPr>
          <w:rFonts w:ascii="宋体" w:hAnsi="宋体"/>
        </w:rPr>
      </w:pPr>
      <w:r>
        <w:rPr>
          <w:rFonts w:hint="eastAsia" w:ascii="宋体" w:hAnsi="宋体"/>
        </w:rPr>
        <w:t>第一条 甲乙双方的责任</w:t>
      </w:r>
    </w:p>
    <w:p>
      <w:pPr>
        <w:spacing w:line="360" w:lineRule="auto"/>
        <w:ind w:firstLine="470" w:firstLineChars="196"/>
        <w:jc w:val="left"/>
        <w:rPr>
          <w:rFonts w:ascii="宋体" w:hAnsi="宋体"/>
        </w:rPr>
      </w:pPr>
      <w:r>
        <w:rPr>
          <w:rFonts w:hint="eastAsia" w:ascii="宋体" w:hAnsi="宋体"/>
        </w:rPr>
        <w:t>（一） 应严格遵守国家关于市场准入、项目招标投标和市场活动等有关法律、法规，相关政策，以及廉政建设的各项规定。</w:t>
      </w:r>
    </w:p>
    <w:p>
      <w:pPr>
        <w:spacing w:line="360" w:lineRule="auto"/>
        <w:ind w:firstLine="470" w:firstLineChars="196"/>
        <w:jc w:val="left"/>
        <w:rPr>
          <w:rFonts w:ascii="宋体" w:hAnsi="宋体"/>
        </w:rPr>
      </w:pPr>
      <w:r>
        <w:rPr>
          <w:rFonts w:hint="eastAsia" w:ascii="宋体" w:hAnsi="宋体"/>
        </w:rPr>
        <w:t>（二） 严格执行物业管理项目承发包合同文件，自觉按合同办事。</w:t>
      </w:r>
    </w:p>
    <w:p>
      <w:pPr>
        <w:spacing w:line="360" w:lineRule="auto"/>
        <w:ind w:firstLine="470" w:firstLineChars="196"/>
        <w:jc w:val="left"/>
        <w:rPr>
          <w:rFonts w:ascii="宋体" w:hAnsi="宋体"/>
        </w:rPr>
      </w:pPr>
      <w:r>
        <w:rPr>
          <w:rFonts w:hint="eastAsia" w:ascii="宋体" w:hAnsi="宋体"/>
        </w:rPr>
        <w:t>（三） 业务活动必须坚持公开、公平、公正、诚信、透明的原则（除法律法规另有规定者外），不得为获取不正当的利益，损害国家、集体和对方利益，不得违反物业管理的规章制度。</w:t>
      </w:r>
    </w:p>
    <w:p>
      <w:pPr>
        <w:spacing w:line="360" w:lineRule="auto"/>
        <w:ind w:firstLine="470" w:firstLineChars="196"/>
        <w:jc w:val="left"/>
        <w:rPr>
          <w:rFonts w:ascii="宋体" w:hAnsi="宋体"/>
        </w:rPr>
      </w:pPr>
      <w:r>
        <w:rPr>
          <w:rFonts w:hint="eastAsia" w:ascii="宋体" w:hAnsi="宋体"/>
        </w:rPr>
        <w:t>（四） 发现对方在业务活动中有违规、违纪、违法行为的，应及时提醒对方，情节严重的，应向其上级主管部门或纪检监察、司法等有关机关举报。</w:t>
      </w:r>
    </w:p>
    <w:p>
      <w:pPr>
        <w:spacing w:line="360" w:lineRule="auto"/>
        <w:ind w:firstLine="470" w:firstLineChars="196"/>
        <w:jc w:val="left"/>
        <w:rPr>
          <w:rFonts w:ascii="宋体" w:hAnsi="宋体"/>
        </w:rPr>
      </w:pPr>
      <w:r>
        <w:rPr>
          <w:rFonts w:hint="eastAsia" w:ascii="宋体" w:hAnsi="宋体"/>
        </w:rPr>
        <w:t>（五）乙方有义务监督其工作人员，不得违反本协议。</w:t>
      </w:r>
    </w:p>
    <w:p>
      <w:pPr>
        <w:spacing w:line="360" w:lineRule="auto"/>
        <w:ind w:firstLine="470" w:firstLineChars="196"/>
        <w:jc w:val="left"/>
        <w:rPr>
          <w:rFonts w:ascii="宋体" w:hAnsi="宋体"/>
        </w:rPr>
      </w:pPr>
      <w:r>
        <w:rPr>
          <w:rFonts w:hint="eastAsia" w:ascii="宋体" w:hAnsi="宋体"/>
        </w:rPr>
        <w:t>第二条 甲方的责任</w:t>
      </w:r>
    </w:p>
    <w:p>
      <w:pPr>
        <w:spacing w:line="360" w:lineRule="auto"/>
        <w:ind w:firstLine="470" w:firstLineChars="196"/>
        <w:jc w:val="left"/>
        <w:rPr>
          <w:rFonts w:ascii="宋体" w:hAnsi="宋体"/>
        </w:rPr>
      </w:pPr>
      <w:r>
        <w:rPr>
          <w:rFonts w:hint="eastAsia" w:ascii="宋体" w:hAnsi="宋体"/>
        </w:rPr>
        <w:t>甲方的领导和从事该物业管理项目的工作人员，在物业管理的事前、事中、事后应遵守以下规定：</w:t>
      </w:r>
    </w:p>
    <w:p>
      <w:pPr>
        <w:spacing w:line="360" w:lineRule="auto"/>
        <w:ind w:firstLine="470" w:firstLineChars="196"/>
        <w:jc w:val="left"/>
        <w:rPr>
          <w:rFonts w:ascii="宋体" w:hAnsi="宋体"/>
        </w:rPr>
      </w:pPr>
      <w:r>
        <w:rPr>
          <w:rFonts w:hint="eastAsia" w:ascii="宋体" w:hAnsi="宋体"/>
        </w:rPr>
        <w:t>（一） 不准向乙方和相关单位索要或接受回扣、礼金、有价证券、贵重物品和好处费、感谢费等。</w:t>
      </w:r>
    </w:p>
    <w:p>
      <w:pPr>
        <w:spacing w:line="360" w:lineRule="auto"/>
        <w:ind w:firstLine="470" w:firstLineChars="196"/>
        <w:jc w:val="left"/>
        <w:rPr>
          <w:rFonts w:ascii="宋体" w:hAnsi="宋体"/>
        </w:rPr>
      </w:pPr>
      <w:r>
        <w:rPr>
          <w:rFonts w:hint="eastAsia" w:ascii="宋体" w:hAnsi="宋体"/>
        </w:rPr>
        <w:t>（二） 不准在乙方和相关单位报销任何应由甲方或个人支付的费用。</w:t>
      </w:r>
    </w:p>
    <w:p>
      <w:pPr>
        <w:spacing w:line="360" w:lineRule="auto"/>
        <w:ind w:firstLine="470" w:firstLineChars="196"/>
        <w:jc w:val="left"/>
        <w:rPr>
          <w:rFonts w:ascii="宋体" w:hAnsi="宋体"/>
        </w:rPr>
      </w:pPr>
      <w:r>
        <w:rPr>
          <w:rFonts w:hint="eastAsia" w:ascii="宋体" w:hAnsi="宋体"/>
        </w:rPr>
        <w:t>（三） 不准要求、暗示或接受乙方和相关单位为个人装修住房、婚丧嫁娶、配偶子女的工作安排以及出国（境）、旅游等提供方便。</w:t>
      </w:r>
    </w:p>
    <w:p>
      <w:pPr>
        <w:spacing w:line="360" w:lineRule="auto"/>
        <w:ind w:firstLine="470" w:firstLineChars="196"/>
        <w:jc w:val="left"/>
        <w:rPr>
          <w:rFonts w:ascii="宋体" w:hAnsi="宋体"/>
        </w:rPr>
      </w:pPr>
      <w:r>
        <w:rPr>
          <w:rFonts w:hint="eastAsia" w:ascii="宋体" w:hAnsi="宋体"/>
        </w:rPr>
        <w:t>（四） 不准参加有可能影响公正执行公务的乙方和相关单位的宴请和健身、娱乐等活动。</w:t>
      </w:r>
    </w:p>
    <w:p>
      <w:pPr>
        <w:spacing w:line="360" w:lineRule="auto"/>
        <w:ind w:firstLine="470" w:firstLineChars="196"/>
        <w:jc w:val="left"/>
        <w:rPr>
          <w:rFonts w:ascii="宋体" w:hAnsi="宋体"/>
        </w:rPr>
      </w:pPr>
      <w:r>
        <w:rPr>
          <w:rFonts w:hint="eastAsia" w:ascii="宋体" w:hAnsi="宋体"/>
        </w:rPr>
        <w:t>（五） 不准向乙方介绍或为配偶、子女、亲属参与同甲方项目合同有关的设备、材料、劳务等经济活动。不得以任何理由向乙方和相关单位推荐分包单位和要求乙方购买合同规定以外的材料、设备等。</w:t>
      </w:r>
    </w:p>
    <w:p>
      <w:pPr>
        <w:spacing w:line="360" w:lineRule="auto"/>
        <w:ind w:firstLine="470" w:firstLineChars="196"/>
        <w:jc w:val="left"/>
        <w:rPr>
          <w:rFonts w:ascii="宋体" w:hAnsi="宋体"/>
        </w:rPr>
      </w:pPr>
      <w:r>
        <w:rPr>
          <w:rFonts w:hint="eastAsia" w:ascii="宋体" w:hAnsi="宋体"/>
        </w:rPr>
        <w:t>第三条 乙方的责任</w:t>
      </w:r>
    </w:p>
    <w:p>
      <w:pPr>
        <w:spacing w:line="360" w:lineRule="auto"/>
        <w:ind w:firstLine="470" w:firstLineChars="196"/>
        <w:jc w:val="left"/>
        <w:rPr>
          <w:rFonts w:ascii="宋体" w:hAnsi="宋体"/>
        </w:rPr>
      </w:pPr>
      <w:r>
        <w:rPr>
          <w:rFonts w:hint="eastAsia" w:ascii="宋体" w:hAnsi="宋体"/>
        </w:rPr>
        <w:t>应与甲方保持正常的业务交往，按照有关法律法规和程序开展业务工作，严格执行物业管理的有关方针、政策，尤其是有关物业管理的标准和规范，并遵守以下规定：</w:t>
      </w:r>
    </w:p>
    <w:p>
      <w:pPr>
        <w:spacing w:line="360" w:lineRule="auto"/>
        <w:ind w:firstLine="470" w:firstLineChars="196"/>
        <w:jc w:val="left"/>
        <w:rPr>
          <w:rFonts w:ascii="宋体" w:hAnsi="宋体"/>
        </w:rPr>
      </w:pPr>
      <w:r>
        <w:rPr>
          <w:rFonts w:hint="eastAsia" w:ascii="宋体" w:hAnsi="宋体"/>
        </w:rPr>
        <w:t>（一） 不准以任何理由向甲方、相关单位及其工作人员索要、接受或赠送礼金、有价证券、贵重物品和回扣、好处费、感谢费等。</w:t>
      </w:r>
    </w:p>
    <w:p>
      <w:pPr>
        <w:spacing w:line="360" w:lineRule="auto"/>
        <w:ind w:firstLine="470" w:firstLineChars="196"/>
        <w:jc w:val="left"/>
        <w:rPr>
          <w:rFonts w:ascii="宋体" w:hAnsi="宋体"/>
        </w:rPr>
      </w:pPr>
      <w:r>
        <w:rPr>
          <w:rFonts w:hint="eastAsia" w:ascii="宋体" w:hAnsi="宋体"/>
        </w:rPr>
        <w:t>（二） 不准以任何理由为甲方和相关单位报销应由对方或个人支付的费用。</w:t>
      </w:r>
    </w:p>
    <w:p>
      <w:pPr>
        <w:spacing w:line="360" w:lineRule="auto"/>
        <w:ind w:firstLine="470" w:firstLineChars="196"/>
        <w:jc w:val="left"/>
        <w:rPr>
          <w:rFonts w:ascii="宋体" w:hAnsi="宋体"/>
        </w:rPr>
      </w:pPr>
      <w:r>
        <w:rPr>
          <w:rFonts w:hint="eastAsia" w:ascii="宋体" w:hAnsi="宋体"/>
        </w:rPr>
        <w:t>（三） 不准接受或暗示为甲方、相关单位或个人装修住房、婚丧嫁娶、配偶子女的工作安排以及出国（境）、旅游等提供方便。</w:t>
      </w:r>
    </w:p>
    <w:p>
      <w:pPr>
        <w:spacing w:line="360" w:lineRule="auto"/>
        <w:ind w:firstLine="470" w:firstLineChars="196"/>
        <w:jc w:val="left"/>
        <w:rPr>
          <w:rFonts w:ascii="宋体" w:hAnsi="宋体"/>
        </w:rPr>
      </w:pPr>
      <w:r>
        <w:rPr>
          <w:rFonts w:hint="eastAsia" w:ascii="宋体" w:hAnsi="宋体"/>
        </w:rPr>
        <w:t>（四） 不准以任何理由为甲方、相关单位或个人组织有可能影响公正执行公务的宴请、健身、娱乐等活动。</w:t>
      </w:r>
    </w:p>
    <w:p>
      <w:pPr>
        <w:spacing w:line="360" w:lineRule="auto"/>
        <w:ind w:firstLine="470" w:firstLineChars="196"/>
        <w:jc w:val="left"/>
        <w:rPr>
          <w:rFonts w:ascii="宋体" w:hAnsi="宋体"/>
        </w:rPr>
      </w:pPr>
      <w:r>
        <w:rPr>
          <w:rFonts w:hint="eastAsia" w:ascii="宋体" w:hAnsi="宋体"/>
        </w:rPr>
        <w:t>第四条　违约责任</w:t>
      </w:r>
    </w:p>
    <w:p>
      <w:pPr>
        <w:spacing w:line="360" w:lineRule="auto"/>
        <w:ind w:firstLine="470" w:firstLineChars="196"/>
        <w:jc w:val="left"/>
        <w:rPr>
          <w:rFonts w:ascii="宋体" w:hAnsi="宋体"/>
        </w:rPr>
      </w:pPr>
      <w:r>
        <w:rPr>
          <w:rFonts w:hint="eastAsia" w:ascii="宋体" w:hAnsi="宋体"/>
        </w:rPr>
        <w:t>（一） 甲方工作人员有违反本函第一、二条责任行为的，按照管理权限，依据有关法律法规和规定给予党纪、政纪处分或组织处理；涉嫌犯罪，移交司法机关追究刑事责任；给乙方单位造成经济损失的，应予以赔偿。</w:t>
      </w:r>
    </w:p>
    <w:p>
      <w:pPr>
        <w:spacing w:line="360" w:lineRule="auto"/>
        <w:ind w:firstLine="470" w:firstLineChars="196"/>
        <w:jc w:val="left"/>
        <w:rPr>
          <w:rFonts w:ascii="宋体" w:hAnsi="宋体"/>
        </w:rPr>
      </w:pPr>
      <w:r>
        <w:rPr>
          <w:rFonts w:hint="eastAsia" w:ascii="宋体" w:hAnsi="宋体"/>
        </w:rPr>
        <w:t>（二） 乙方工作人员有违反本函第一、三条责任行为的，按照管理权限，依据有关法律法规和规定给予党纪、政纪处分或组织处理；涉嫌犯罪的，移交司法机关追究刑事责任；给甲方单位造成经济损失的，应予以赔偿。</w:t>
      </w:r>
    </w:p>
    <w:p>
      <w:pPr>
        <w:spacing w:line="360" w:lineRule="auto"/>
        <w:ind w:firstLine="470" w:firstLineChars="196"/>
        <w:jc w:val="left"/>
        <w:rPr>
          <w:rFonts w:ascii="宋体" w:hAnsi="宋体"/>
        </w:rPr>
      </w:pPr>
      <w:r>
        <w:rPr>
          <w:rFonts w:hint="eastAsia" w:ascii="宋体" w:hAnsi="宋体"/>
        </w:rPr>
        <w:t>第五条　本协议作为服务外包合同的附件，与服务外包合同具有同等法律效力。经甲、乙双方盖章和法定代表人或授权代表签字后立即生效。</w:t>
      </w:r>
    </w:p>
    <w:p>
      <w:pPr>
        <w:spacing w:line="360" w:lineRule="auto"/>
        <w:ind w:firstLine="470" w:firstLineChars="196"/>
        <w:jc w:val="left"/>
        <w:rPr>
          <w:rFonts w:ascii="宋体" w:hAnsi="宋体"/>
        </w:rPr>
      </w:pPr>
      <w:r>
        <w:rPr>
          <w:rFonts w:hint="eastAsia" w:ascii="宋体" w:hAnsi="宋体"/>
        </w:rPr>
        <w:t>第六条　本协议的有效期为双方签署之日起至该合同服务期止时止。</w:t>
      </w:r>
    </w:p>
    <w:p>
      <w:pPr>
        <w:spacing w:line="360" w:lineRule="auto"/>
        <w:ind w:firstLine="470" w:firstLineChars="196"/>
        <w:jc w:val="left"/>
        <w:rPr>
          <w:rFonts w:ascii="宋体" w:hAnsi="宋体"/>
        </w:rPr>
      </w:pPr>
      <w:r>
        <w:rPr>
          <w:rFonts w:hint="eastAsia" w:ascii="宋体" w:hAnsi="宋体"/>
        </w:rPr>
        <w:t>第七条  本</w:t>
      </w:r>
      <w:r>
        <w:rPr>
          <w:rFonts w:hint="eastAsia" w:ascii="宋体" w:hAnsi="宋体"/>
          <w:color w:val="000000"/>
        </w:rPr>
        <w:t>协议经双方盖章后生效，本《</w:t>
      </w:r>
      <w:r>
        <w:rPr>
          <w:rFonts w:hint="eastAsia" w:ascii="宋体" w:hAnsi="宋体"/>
        </w:rPr>
        <w:t>廉政协议</w:t>
      </w:r>
      <w:r>
        <w:rPr>
          <w:rFonts w:hint="eastAsia" w:ascii="宋体" w:hAnsi="宋体"/>
          <w:color w:val="000000"/>
        </w:rPr>
        <w:t>》与《</w:t>
      </w:r>
      <w:r>
        <w:rPr>
          <w:rFonts w:hint="eastAsia" w:ascii="宋体" w:hAnsi="宋体"/>
        </w:rPr>
        <w:t>华能大厦柴油发电机房至副配电室电缆更换</w:t>
      </w:r>
      <w:r>
        <w:rPr>
          <w:rFonts w:hint="eastAsia" w:ascii="宋体" w:hAnsi="宋体"/>
          <w:color w:val="000000"/>
        </w:rPr>
        <w:t>施工合同》具有同等法律效力，效力不受本合同的终止或解除的影响。</w:t>
      </w:r>
    </w:p>
    <w:p>
      <w:pPr>
        <w:spacing w:line="360" w:lineRule="auto"/>
        <w:ind w:firstLine="470" w:firstLineChars="196"/>
        <w:jc w:val="left"/>
        <w:rPr>
          <w:rFonts w:ascii="宋体" w:hAnsi="宋体"/>
        </w:rPr>
      </w:pPr>
      <w:r>
        <w:rPr>
          <w:rFonts w:hint="eastAsia" w:ascii="宋体" w:hAnsi="宋体"/>
        </w:rPr>
        <w:t>（以下无正文）</w:t>
      </w:r>
    </w:p>
    <w:p>
      <w:pPr>
        <w:spacing w:line="360" w:lineRule="auto"/>
        <w:ind w:firstLine="470" w:firstLineChars="196"/>
        <w:jc w:val="left"/>
        <w:rPr>
          <w:rFonts w:ascii="宋体" w:hAnsi="宋体"/>
        </w:rPr>
      </w:pPr>
    </w:p>
    <w:p>
      <w:pPr>
        <w:spacing w:line="360" w:lineRule="auto"/>
        <w:ind w:firstLine="470" w:firstLineChars="196"/>
        <w:jc w:val="left"/>
        <w:rPr>
          <w:rFonts w:ascii="宋体" w:hAnsi="宋体"/>
        </w:rPr>
      </w:pPr>
    </w:p>
    <w:p>
      <w:pPr>
        <w:spacing w:line="360" w:lineRule="auto"/>
        <w:ind w:firstLine="470" w:firstLineChars="196"/>
        <w:jc w:val="left"/>
        <w:rPr>
          <w:rFonts w:ascii="宋体" w:hAnsi="宋体"/>
        </w:rPr>
      </w:pPr>
    </w:p>
    <w:p>
      <w:pPr>
        <w:spacing w:line="360" w:lineRule="auto"/>
        <w:ind w:firstLine="470" w:firstLineChars="196"/>
        <w:jc w:val="left"/>
        <w:rPr>
          <w:rFonts w:ascii="宋体" w:hAnsi="宋体"/>
        </w:rPr>
      </w:pPr>
    </w:p>
    <w:p>
      <w:pPr>
        <w:spacing w:line="360" w:lineRule="auto"/>
        <w:ind w:firstLine="470" w:firstLineChars="196"/>
        <w:jc w:val="left"/>
        <w:rPr>
          <w:rFonts w:ascii="宋体" w:hAnsi="宋体"/>
        </w:rPr>
      </w:pPr>
    </w:p>
    <w:p>
      <w:pPr>
        <w:spacing w:line="360" w:lineRule="auto"/>
        <w:ind w:firstLine="470" w:firstLineChars="196"/>
        <w:jc w:val="left"/>
        <w:rPr>
          <w:rFonts w:ascii="宋体" w:hAnsi="宋体"/>
        </w:rPr>
      </w:pPr>
    </w:p>
    <w:p>
      <w:pPr>
        <w:spacing w:beforeLines="50" w:line="300" w:lineRule="auto"/>
        <w:ind w:firstLine="480"/>
        <w:rPr>
          <w:rFonts w:ascii="宋体" w:hAnsi="宋体"/>
        </w:rPr>
      </w:pPr>
      <w:r>
        <w:rPr>
          <w:rFonts w:hint="eastAsia" w:ascii="宋体" w:hAnsi="宋体"/>
        </w:rPr>
        <w:t>甲方单位：（盖章）</w:t>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ab/>
      </w:r>
      <w:r>
        <w:rPr>
          <w:rFonts w:hint="eastAsia" w:ascii="宋体" w:hAnsi="宋体"/>
        </w:rPr>
        <w:t xml:space="preserve">               乙方单位：（盖章）</w:t>
      </w:r>
    </w:p>
    <w:p>
      <w:pPr>
        <w:spacing w:beforeLines="50" w:line="300" w:lineRule="auto"/>
        <w:ind w:firstLine="480"/>
        <w:rPr>
          <w:rFonts w:ascii="宋体" w:hAnsi="宋体"/>
        </w:rPr>
      </w:pPr>
    </w:p>
    <w:p>
      <w:pPr>
        <w:spacing w:beforeLines="50" w:line="300" w:lineRule="auto"/>
        <w:ind w:firstLine="480"/>
        <w:rPr>
          <w:rFonts w:ascii="宋体" w:hAnsi="宋体"/>
        </w:rPr>
      </w:pPr>
      <w:r>
        <w:rPr>
          <w:rFonts w:hint="eastAsia" w:ascii="宋体" w:hAnsi="宋体"/>
        </w:rPr>
        <w:t>法定代表人或授权代表：</w:t>
      </w:r>
      <w:r>
        <w:rPr>
          <w:rFonts w:hint="eastAsia" w:ascii="宋体" w:hAnsi="宋体"/>
        </w:rPr>
        <w:tab/>
      </w:r>
      <w:r>
        <w:rPr>
          <w:rFonts w:hint="eastAsia" w:ascii="宋体" w:hAnsi="宋体"/>
        </w:rPr>
        <w:tab/>
      </w:r>
      <w:r>
        <w:rPr>
          <w:rFonts w:hint="eastAsia" w:ascii="宋体" w:hAnsi="宋体"/>
        </w:rPr>
        <w:tab/>
      </w:r>
      <w:r>
        <w:rPr>
          <w:rFonts w:hint="eastAsia" w:ascii="宋体" w:hAnsi="宋体"/>
        </w:rPr>
        <w:t xml:space="preserve">           法定代表人或授权代表:</w:t>
      </w:r>
    </w:p>
    <w:p>
      <w:pPr>
        <w:spacing w:beforeLines="50" w:line="300" w:lineRule="auto"/>
        <w:ind w:firstLine="960" w:firstLineChars="400"/>
        <w:rPr>
          <w:rFonts w:ascii="宋体" w:hAnsi="宋体"/>
        </w:rPr>
      </w:pPr>
      <w:r>
        <w:rPr>
          <w:rFonts w:hint="eastAsia" w:ascii="宋体" w:hAnsi="宋体"/>
        </w:rPr>
        <w:t>年  月  日                        年  月  日</w:t>
      </w:r>
    </w:p>
    <w:p>
      <w:pPr>
        <w:ind w:firstLine="480"/>
      </w:pPr>
    </w:p>
    <w:p>
      <w:pPr>
        <w:ind w:firstLine="562"/>
        <w:jc w:val="center"/>
        <w:rPr>
          <w:rFonts w:ascii="宋体" w:hAnsi="宋体"/>
          <w:b/>
          <w:color w:val="000000"/>
          <w:sz w:val="28"/>
          <w:szCs w:val="28"/>
        </w:rPr>
      </w:pPr>
    </w:p>
    <w:p>
      <w:pPr>
        <w:ind w:firstLine="440"/>
        <w:jc w:val="center"/>
        <w:rPr>
          <w:rFonts w:ascii="宋体" w:hAnsi="宋体" w:cs="宋体"/>
          <w:kern w:val="0"/>
          <w:sz w:val="22"/>
          <w:szCs w:val="22"/>
        </w:rPr>
      </w:pPr>
    </w:p>
    <w:p>
      <w:pPr>
        <w:ind w:firstLine="480"/>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bookmarkEnd w:id="79"/>
    <w:bookmarkEnd w:id="80"/>
    <w:bookmarkEnd w:id="81"/>
    <w:bookmarkEnd w:id="82"/>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color w:val="000000"/>
          <w:szCs w:val="24"/>
        </w:rPr>
      </w:pPr>
    </w:p>
    <w:p>
      <w:pPr>
        <w:ind w:firstLine="480"/>
        <w:jc w:val="left"/>
        <w:rPr>
          <w:rFonts w:ascii="宋体" w:hAnsi="宋体"/>
          <w:szCs w:val="24"/>
          <w:u w:val="single"/>
        </w:rPr>
      </w:pPr>
    </w:p>
    <w:p>
      <w:pPr>
        <w:pStyle w:val="28"/>
        <w:spacing w:before="120"/>
      </w:pPr>
      <w:bookmarkStart w:id="83" w:name="_Toc525134814"/>
      <w:bookmarkStart w:id="84" w:name="_Toc3362885"/>
      <w:bookmarkStart w:id="85" w:name="_Toc4155348"/>
      <w:bookmarkStart w:id="86" w:name="_Toc246997081"/>
      <w:bookmarkStart w:id="87" w:name="_Toc246996338"/>
      <w:bookmarkStart w:id="88" w:name="_Toc179632787"/>
      <w:bookmarkStart w:id="89" w:name="_Toc247085853"/>
      <w:r>
        <w:rPr>
          <w:rFonts w:hint="eastAsia"/>
        </w:rPr>
        <w:t xml:space="preserve">第五章 </w:t>
      </w:r>
      <w:bookmarkEnd w:id="83"/>
      <w:r>
        <w:rPr>
          <w:rFonts w:hint="eastAsia"/>
        </w:rPr>
        <w:t>采购需求</w:t>
      </w:r>
      <w:bookmarkEnd w:id="84"/>
      <w:bookmarkEnd w:id="85"/>
    </w:p>
    <w:p>
      <w:pPr>
        <w:ind w:firstLine="480"/>
      </w:pPr>
      <w:bookmarkStart w:id="90" w:name="_Toc525134815"/>
      <w:bookmarkStart w:id="91" w:name="_Toc503695400"/>
      <w:r>
        <w:br w:type="page"/>
      </w:r>
      <w:bookmarkEnd w:id="86"/>
      <w:bookmarkEnd w:id="87"/>
      <w:bookmarkEnd w:id="88"/>
      <w:bookmarkEnd w:id="89"/>
      <w:bookmarkEnd w:id="90"/>
      <w:bookmarkEnd w:id="91"/>
    </w:p>
    <w:p>
      <w:pPr>
        <w:ind w:firstLine="0" w:firstLineChars="0"/>
      </w:pPr>
    </w:p>
    <w:p>
      <w:pPr>
        <w:spacing w:line="480" w:lineRule="auto"/>
        <w:ind w:firstLine="480"/>
        <w:jc w:val="left"/>
        <w:rPr>
          <w:color w:val="000000"/>
        </w:rPr>
      </w:pPr>
      <w:r>
        <w:rPr>
          <w:rFonts w:hint="eastAsia"/>
          <w:color w:val="000000"/>
        </w:rPr>
        <w:t>一、</w:t>
      </w:r>
      <w:bookmarkStart w:id="92" w:name="_Toc111359424"/>
      <w:bookmarkStart w:id="93" w:name="_Toc117997569"/>
      <w:bookmarkStart w:id="94" w:name="_Toc243208843"/>
      <w:bookmarkStart w:id="95" w:name="_Toc115837544"/>
      <w:bookmarkStart w:id="96" w:name="_Toc113766814"/>
      <w:r>
        <w:rPr>
          <w:rFonts w:hint="eastAsia"/>
          <w:color w:val="000000"/>
        </w:rPr>
        <w:t>项目技术主要规范、规程、标准</w:t>
      </w:r>
      <w:bookmarkEnd w:id="92"/>
      <w:bookmarkEnd w:id="93"/>
      <w:bookmarkEnd w:id="94"/>
      <w:bookmarkEnd w:id="95"/>
      <w:bookmarkEnd w:id="96"/>
      <w:r>
        <w:rPr>
          <w:rFonts w:hint="eastAsia"/>
          <w:color w:val="000000"/>
        </w:rPr>
        <w:t>：</w:t>
      </w:r>
    </w:p>
    <w:p>
      <w:pPr>
        <w:spacing w:line="480" w:lineRule="auto"/>
        <w:ind w:left="11" w:firstLine="480"/>
        <w:jc w:val="left"/>
        <w:rPr>
          <w:rFonts w:ascii="宋体" w:hAnsi="宋体" w:cs="宋体"/>
          <w:color w:val="000000"/>
        </w:rPr>
      </w:pPr>
      <w:r>
        <w:rPr>
          <w:rFonts w:hint="eastAsia" w:ascii="宋体" w:hAnsi="宋体" w:cs="宋体"/>
          <w:color w:val="000000"/>
        </w:rPr>
        <w:t>（1）</w:t>
      </w:r>
      <w:r>
        <w:rPr>
          <w:rFonts w:hint="eastAsia" w:ascii="宋体" w:hAnsi="宋体" w:cs="宋体"/>
          <w:color w:val="000000"/>
          <w:shd w:val="clear" w:color="auto" w:fill="FFFFFF"/>
        </w:rPr>
        <w:t>《建筑电气工程施工质量验收规范》（</w:t>
      </w:r>
      <w:r>
        <w:rPr>
          <w:rFonts w:hint="eastAsia" w:ascii="宋体" w:hAnsi="宋体" w:cs="宋体"/>
          <w:color w:val="000000"/>
        </w:rPr>
        <w:t>GB 50303-2015）</w:t>
      </w:r>
    </w:p>
    <w:p>
      <w:pPr>
        <w:spacing w:line="480" w:lineRule="auto"/>
        <w:ind w:left="11" w:firstLine="480"/>
        <w:jc w:val="left"/>
        <w:rPr>
          <w:rFonts w:ascii="宋体" w:hAnsi="宋体" w:cs="宋体"/>
          <w:color w:val="000000"/>
        </w:rPr>
      </w:pPr>
      <w:r>
        <w:rPr>
          <w:rFonts w:hint="eastAsia" w:ascii="宋体" w:hAnsi="宋体" w:cs="宋体"/>
          <w:color w:val="000000"/>
        </w:rPr>
        <w:t>（2）</w:t>
      </w:r>
      <w:r>
        <w:rPr>
          <w:rFonts w:hint="eastAsia" w:ascii="宋体" w:hAnsi="宋体" w:cs="宋体"/>
          <w:color w:val="000000"/>
          <w:shd w:val="clear" w:color="auto" w:fill="FFFFFF"/>
        </w:rPr>
        <w:t>《</w:t>
      </w:r>
      <w:r>
        <w:rPr>
          <w:rFonts w:hint="eastAsia" w:ascii="宋体" w:hAnsi="宋体" w:cs="宋体"/>
          <w:color w:val="000000"/>
          <w:szCs w:val="24"/>
        </w:rPr>
        <w:t>电缆线路施工验收规范</w:t>
      </w:r>
      <w:r>
        <w:rPr>
          <w:rFonts w:hint="eastAsia" w:ascii="宋体" w:hAnsi="宋体" w:cs="宋体"/>
          <w:color w:val="000000"/>
        </w:rPr>
        <w:t>》</w:t>
      </w:r>
      <w:r>
        <w:rPr>
          <w:rFonts w:hint="eastAsia" w:ascii="宋体" w:hAnsi="宋体" w:cs="宋体"/>
          <w:color w:val="000000"/>
          <w:szCs w:val="24"/>
        </w:rPr>
        <w:t>(</w:t>
      </w:r>
      <w:r>
        <w:rPr>
          <w:rFonts w:hint="eastAsia" w:ascii="宋体" w:hAnsi="宋体" w:cs="宋体"/>
          <w:color w:val="000000"/>
        </w:rPr>
        <w:t xml:space="preserve">GB </w:t>
      </w:r>
      <w:r>
        <w:rPr>
          <w:rFonts w:hint="eastAsia" w:ascii="宋体" w:hAnsi="宋体" w:cs="宋体"/>
          <w:color w:val="000000"/>
          <w:szCs w:val="24"/>
        </w:rPr>
        <w:t>50168-92)</w:t>
      </w:r>
    </w:p>
    <w:p>
      <w:pPr>
        <w:spacing w:line="480" w:lineRule="auto"/>
        <w:ind w:left="11" w:firstLine="480"/>
        <w:jc w:val="left"/>
        <w:rPr>
          <w:rFonts w:ascii="宋体" w:hAnsi="宋体" w:cs="宋体"/>
          <w:color w:val="000000"/>
        </w:rPr>
      </w:pPr>
      <w:r>
        <w:rPr>
          <w:rFonts w:hint="eastAsia" w:ascii="宋体" w:hAnsi="宋体" w:cs="宋体"/>
          <w:color w:val="000000"/>
          <w:shd w:val="clear" w:color="auto" w:fill="FFFFFF"/>
        </w:rPr>
        <w:t>（3）</w:t>
      </w:r>
      <w:r>
        <w:rPr>
          <w:rFonts w:hint="eastAsia" w:ascii="宋体" w:hAnsi="宋体" w:cs="宋体"/>
          <w:color w:val="000000"/>
        </w:rPr>
        <w:t>《北京市标准建筑安装分项工程施工工艺规程（第四分册）》（DBJ 01-26-96）</w:t>
      </w:r>
    </w:p>
    <w:p>
      <w:pPr>
        <w:spacing w:line="480" w:lineRule="auto"/>
        <w:ind w:left="11" w:firstLine="480"/>
        <w:jc w:val="left"/>
        <w:rPr>
          <w:rFonts w:ascii="宋体" w:hAnsi="宋体" w:cs="宋体"/>
          <w:color w:val="000000"/>
          <w:shd w:val="clear" w:color="auto" w:fill="FFFFFF"/>
        </w:rPr>
      </w:pPr>
      <w:r>
        <w:rPr>
          <w:rFonts w:hint="eastAsia" w:ascii="宋体" w:hAnsi="宋体" w:cs="宋体"/>
          <w:color w:val="000000"/>
          <w:shd w:val="clear" w:color="auto" w:fill="FFFFFF"/>
        </w:rPr>
        <w:t>（4）《建筑电气通用图集-内线工程 92DQ5》</w:t>
      </w:r>
    </w:p>
    <w:p>
      <w:pPr>
        <w:spacing w:line="480" w:lineRule="auto"/>
        <w:ind w:left="11" w:firstLine="480"/>
        <w:jc w:val="left"/>
        <w:rPr>
          <w:rFonts w:ascii="宋体" w:hAnsi="宋体" w:cs="宋体"/>
          <w:color w:val="000000"/>
          <w:shd w:val="clear" w:color="auto" w:fill="FFFFFF"/>
        </w:rPr>
      </w:pPr>
      <w:r>
        <w:rPr>
          <w:rFonts w:hint="eastAsia" w:ascii="宋体" w:hAnsi="宋体" w:cs="宋体"/>
          <w:color w:val="000000"/>
          <w:shd w:val="clear" w:color="auto" w:fill="FFFFFF"/>
        </w:rPr>
        <w:t>（5）《高层民用建筑设计防火规范》（GB 50045-95）</w:t>
      </w:r>
    </w:p>
    <w:p>
      <w:pPr>
        <w:spacing w:line="480" w:lineRule="auto"/>
        <w:ind w:firstLine="480"/>
        <w:rPr>
          <w:rFonts w:ascii="宋体" w:hAnsi="宋体"/>
          <w:bCs/>
          <w:color w:val="000000"/>
          <w:spacing w:val="8"/>
        </w:rPr>
      </w:pPr>
      <w:r>
        <w:rPr>
          <w:rFonts w:hint="eastAsia" w:ascii="宋体" w:hAnsi="宋体"/>
          <w:color w:val="000000"/>
        </w:rPr>
        <w:t>二、</w:t>
      </w:r>
      <w:r>
        <w:rPr>
          <w:rFonts w:hint="eastAsia" w:ascii="宋体" w:hAnsi="宋体"/>
          <w:bCs/>
          <w:color w:val="000000"/>
          <w:spacing w:val="8"/>
        </w:rPr>
        <w:t>项目要求</w:t>
      </w:r>
    </w:p>
    <w:p>
      <w:pPr>
        <w:tabs>
          <w:tab w:val="left" w:pos="540"/>
        </w:tabs>
        <w:spacing w:line="480" w:lineRule="auto"/>
        <w:ind w:firstLine="420" w:firstLineChars="175"/>
        <w:rPr>
          <w:rFonts w:ascii="宋体" w:hAnsi="宋体" w:cs="宋体"/>
          <w:color w:val="000000"/>
          <w:kern w:val="0"/>
        </w:rPr>
      </w:pPr>
      <w:r>
        <w:rPr>
          <w:rFonts w:hint="eastAsia" w:ascii="宋体" w:hAnsi="宋体" w:cs="宋体"/>
        </w:rPr>
        <w:t>（一）</w:t>
      </w:r>
      <w:r>
        <w:rPr>
          <w:rFonts w:hint="eastAsia" w:ascii="宋体" w:hAnsi="宋体" w:cs="宋体"/>
          <w:color w:val="000000"/>
          <w:kern w:val="0"/>
        </w:rPr>
        <w:t>项目概况</w:t>
      </w:r>
    </w:p>
    <w:p>
      <w:pPr>
        <w:tabs>
          <w:tab w:val="left" w:pos="540"/>
          <w:tab w:val="left" w:pos="900"/>
        </w:tabs>
        <w:spacing w:line="480" w:lineRule="auto"/>
        <w:ind w:firstLine="420" w:firstLineChars="175"/>
        <w:rPr>
          <w:rFonts w:ascii="宋体" w:hAnsi="宋体" w:cs="宋体"/>
          <w:kern w:val="0"/>
        </w:rPr>
      </w:pPr>
      <w:r>
        <w:rPr>
          <w:rFonts w:hint="eastAsia" w:ascii="宋体" w:hAnsi="宋体" w:cs="宋体"/>
          <w:kern w:val="0"/>
        </w:rPr>
        <w:t>华能大厦B1层南侧柴油发电机房共配置两台柴油发电机组，输出功率为2×1600KVA，输出电缆分2路至副配电室。电缆22根总长约2198米，配电电缆为BTTZ型铜芯铜护套氧化镁绝缘电缆。</w:t>
      </w:r>
    </w:p>
    <w:p>
      <w:pPr>
        <w:tabs>
          <w:tab w:val="left" w:pos="540"/>
          <w:tab w:val="left" w:pos="900"/>
        </w:tabs>
        <w:spacing w:line="480" w:lineRule="auto"/>
        <w:ind w:firstLine="420" w:firstLineChars="175"/>
        <w:rPr>
          <w:rFonts w:ascii="宋体" w:hAnsi="宋体" w:cs="宋体"/>
          <w:color w:val="000000"/>
          <w:kern w:val="0"/>
        </w:rPr>
      </w:pPr>
      <w:r>
        <w:rPr>
          <w:rFonts w:hint="eastAsia" w:ascii="宋体" w:hAnsi="宋体" w:cs="宋体"/>
          <w:color w:val="000000"/>
          <w:kern w:val="0"/>
        </w:rPr>
        <w:t>（二）工作要求</w:t>
      </w:r>
    </w:p>
    <w:p>
      <w:pPr>
        <w:tabs>
          <w:tab w:val="left" w:pos="540"/>
        </w:tabs>
        <w:spacing w:line="480" w:lineRule="auto"/>
        <w:ind w:left="420" w:leftChars="175" w:firstLine="0" w:firstLineChars="0"/>
        <w:rPr>
          <w:rFonts w:ascii="宋体" w:hAnsi="宋体" w:cs="宋体"/>
          <w:kern w:val="0"/>
        </w:rPr>
      </w:pPr>
      <w:r>
        <w:rPr>
          <w:rFonts w:hint="eastAsia" w:ascii="宋体" w:hAnsi="宋体" w:cs="宋体"/>
          <w:kern w:val="0"/>
        </w:rPr>
        <w:t>1. 将原氧化镁电缆更换为低烟无卤阻燃耐火电力电缆，长度约2198米，安装耐火线槽、电缆终端头。</w:t>
      </w:r>
    </w:p>
    <w:p>
      <w:pPr>
        <w:tabs>
          <w:tab w:val="left" w:pos="540"/>
        </w:tabs>
        <w:spacing w:line="480" w:lineRule="auto"/>
        <w:ind w:firstLine="439" w:firstLineChars="183"/>
        <w:rPr>
          <w:rFonts w:ascii="宋体" w:hAnsi="宋体" w:cs="宋体"/>
          <w:kern w:val="0"/>
        </w:rPr>
      </w:pPr>
      <w:r>
        <w:rPr>
          <w:rFonts w:hint="eastAsia" w:ascii="宋体" w:hAnsi="宋体" w:cs="宋体"/>
          <w:kern w:val="0"/>
        </w:rPr>
        <w:t>2.电缆敷设区域的部分吊顶拆除和恢复工作，对现有部分灯具和吊顶支架的调整。</w:t>
      </w:r>
    </w:p>
    <w:p>
      <w:pPr>
        <w:tabs>
          <w:tab w:val="left" w:pos="540"/>
        </w:tabs>
        <w:spacing w:line="480" w:lineRule="auto"/>
        <w:ind w:firstLine="420" w:firstLineChars="175"/>
        <w:rPr>
          <w:rFonts w:ascii="宋体" w:hAnsi="宋体" w:cs="宋体"/>
          <w:kern w:val="0"/>
        </w:rPr>
      </w:pPr>
      <w:r>
        <w:rPr>
          <w:rFonts w:hint="eastAsia" w:ascii="宋体" w:hAnsi="宋体" w:cs="宋体"/>
          <w:kern w:val="0"/>
        </w:rPr>
        <w:t>3.供应商负责供货、制定更换方案、现场施工管理、文档编制等工作。</w:t>
      </w:r>
    </w:p>
    <w:p>
      <w:pPr>
        <w:tabs>
          <w:tab w:val="left" w:pos="540"/>
        </w:tabs>
        <w:spacing w:line="480" w:lineRule="auto"/>
        <w:ind w:left="420" w:leftChars="175" w:firstLine="0" w:firstLineChars="0"/>
        <w:rPr>
          <w:rFonts w:ascii="宋体" w:hAnsi="宋体" w:cs="宋体"/>
          <w:kern w:val="0"/>
        </w:rPr>
      </w:pPr>
      <w:r>
        <w:rPr>
          <w:rFonts w:hint="eastAsia" w:ascii="宋体" w:hAnsi="宋体" w:cs="宋体"/>
          <w:kern w:val="0"/>
        </w:rPr>
        <w:t>4. 拆卸下来的旧氧化镁电缆由供应商按照采购人要求运输至指定地点存放。</w:t>
      </w:r>
    </w:p>
    <w:p>
      <w:pPr>
        <w:tabs>
          <w:tab w:val="left" w:pos="540"/>
        </w:tabs>
        <w:spacing w:line="480" w:lineRule="auto"/>
        <w:ind w:firstLine="420" w:firstLineChars="175"/>
        <w:rPr>
          <w:rFonts w:ascii="宋体" w:hAnsi="宋体" w:cs="宋体"/>
          <w:kern w:val="0"/>
        </w:rPr>
      </w:pPr>
      <w:r>
        <w:rPr>
          <w:rFonts w:hint="eastAsia" w:ascii="宋体" w:hAnsi="宋体" w:cs="宋体"/>
          <w:kern w:val="0"/>
        </w:rPr>
        <w:t>5.</w:t>
      </w:r>
      <w:r>
        <w:rPr>
          <w:rFonts w:hint="eastAsia" w:ascii="宋体" w:hAnsi="宋体"/>
        </w:rPr>
        <w:t xml:space="preserve"> 编制带载测试方案，工程竣工验收时供应商配合进行柴油发电机带载测试，测试要求见合同附件1</w:t>
      </w:r>
      <w:r>
        <w:rPr>
          <w:rFonts w:hint="eastAsia" w:ascii="宋体" w:hAnsi="宋体" w:cs="宋体"/>
          <w:kern w:val="0"/>
        </w:rPr>
        <w:t>。</w:t>
      </w:r>
    </w:p>
    <w:p>
      <w:pPr>
        <w:autoSpaceDE w:val="0"/>
        <w:autoSpaceDN w:val="0"/>
        <w:spacing w:line="480" w:lineRule="auto"/>
        <w:ind w:firstLine="420" w:firstLineChars="175"/>
        <w:rPr>
          <w:rFonts w:ascii="宋体" w:hAnsi="宋体" w:cs="宋体"/>
          <w:lang w:val="zh-CN"/>
        </w:rPr>
      </w:pPr>
      <w:bookmarkStart w:id="97" w:name="_Toc364948654"/>
      <w:bookmarkStart w:id="98" w:name="_Toc403831025"/>
      <w:bookmarkStart w:id="99" w:name="_Toc460311500"/>
      <w:r>
        <w:rPr>
          <w:rFonts w:hint="eastAsia" w:ascii="宋体" w:hAnsi="宋体" w:cs="宋体"/>
          <w:lang w:val="zh-CN"/>
        </w:rPr>
        <w:t>（三）产品质量要求</w:t>
      </w:r>
      <w:bookmarkEnd w:id="97"/>
      <w:bookmarkEnd w:id="98"/>
      <w:bookmarkEnd w:id="99"/>
    </w:p>
    <w:p>
      <w:pPr>
        <w:autoSpaceDE w:val="0"/>
        <w:autoSpaceDN w:val="0"/>
        <w:spacing w:line="480" w:lineRule="auto"/>
        <w:ind w:firstLine="420" w:firstLineChars="175"/>
        <w:rPr>
          <w:rFonts w:ascii="宋体" w:hAnsi="宋体" w:cs="宋体"/>
          <w:lang w:val="zh-CN"/>
        </w:rPr>
      </w:pPr>
      <w:r>
        <w:rPr>
          <w:rFonts w:hint="eastAsia" w:ascii="宋体" w:hAnsi="宋体" w:cs="宋体"/>
          <w:lang w:val="zh-CN"/>
        </w:rPr>
        <w:t>1、</w:t>
      </w:r>
      <w:r>
        <w:rPr>
          <w:rFonts w:hint="eastAsia" w:ascii="宋体" w:hAnsi="宋体" w:cs="宋体"/>
          <w:kern w:val="0"/>
        </w:rPr>
        <w:t>供应商应提供全新的并符合采购人要求的电缆及相关配套设施。</w:t>
      </w:r>
      <w:r>
        <w:rPr>
          <w:rFonts w:hint="eastAsia" w:ascii="宋体" w:hAnsi="宋体" w:cs="宋体"/>
          <w:lang w:val="zh-CN"/>
        </w:rPr>
        <w:t>供应商所提供的设备产品必须提交产品合格证，应符合国家相关产品质量要求。</w:t>
      </w:r>
    </w:p>
    <w:p>
      <w:pPr>
        <w:autoSpaceDE w:val="0"/>
        <w:autoSpaceDN w:val="0"/>
        <w:spacing w:line="480" w:lineRule="auto"/>
        <w:ind w:firstLine="420" w:firstLineChars="175"/>
        <w:rPr>
          <w:rFonts w:ascii="宋体" w:hAnsi="宋体" w:cs="宋体"/>
          <w:lang w:val="zh-CN"/>
        </w:rPr>
      </w:pPr>
      <w:r>
        <w:rPr>
          <w:rFonts w:hint="eastAsia" w:ascii="宋体" w:hAnsi="宋体" w:cs="宋体"/>
          <w:lang w:val="zh-CN"/>
        </w:rPr>
        <w:t>2、供应商所提供安装的电缆须保证2年质保期。（质保期以验收合格日期为准</w:t>
      </w:r>
      <w:r>
        <w:rPr>
          <w:rFonts w:ascii="宋体" w:hAnsi="宋体" w:cs="宋体"/>
          <w:lang w:val="zh-CN"/>
        </w:rPr>
        <w:t>）</w:t>
      </w:r>
    </w:p>
    <w:p>
      <w:pPr>
        <w:autoSpaceDE w:val="0"/>
        <w:autoSpaceDN w:val="0"/>
        <w:spacing w:line="480" w:lineRule="auto"/>
        <w:ind w:firstLine="420" w:firstLineChars="175"/>
        <w:rPr>
          <w:rFonts w:ascii="宋体" w:hAnsi="宋体" w:cs="宋体"/>
          <w:lang w:val="zh-CN"/>
        </w:rPr>
      </w:pPr>
      <w:r>
        <w:rPr>
          <w:rFonts w:hint="eastAsia" w:ascii="宋体" w:hAnsi="宋体" w:cs="宋体"/>
          <w:lang w:val="zh-CN"/>
        </w:rPr>
        <w:t>3、供应商应提供国家级专业产品性能检验中心和制造厂家关于典型规格产品的测试报告。</w:t>
      </w:r>
    </w:p>
    <w:p>
      <w:pPr>
        <w:autoSpaceDE w:val="0"/>
        <w:autoSpaceDN w:val="0"/>
        <w:spacing w:line="480" w:lineRule="auto"/>
        <w:ind w:firstLine="420" w:firstLineChars="175"/>
        <w:rPr>
          <w:rFonts w:ascii="宋体" w:hAnsi="宋体" w:cs="宋体"/>
          <w:lang w:val="zh-CN"/>
        </w:rPr>
      </w:pPr>
      <w:r>
        <w:rPr>
          <w:rFonts w:hint="eastAsia" w:ascii="宋体" w:hAnsi="宋体" w:cs="宋体"/>
          <w:lang w:val="zh-CN"/>
        </w:rPr>
        <w:t>（四）包装及运输</w:t>
      </w:r>
    </w:p>
    <w:p>
      <w:pPr>
        <w:autoSpaceDE w:val="0"/>
        <w:autoSpaceDN w:val="0"/>
        <w:spacing w:line="480" w:lineRule="auto"/>
        <w:ind w:firstLine="420" w:firstLineChars="175"/>
        <w:rPr>
          <w:rFonts w:ascii="宋体" w:hAnsi="宋体" w:cs="宋体"/>
          <w:lang w:val="zh-CN"/>
        </w:rPr>
      </w:pPr>
      <w:r>
        <w:rPr>
          <w:rFonts w:hint="eastAsia" w:ascii="宋体" w:hAnsi="宋体" w:cs="宋体"/>
          <w:lang w:val="zh-CN"/>
        </w:rPr>
        <w:t>1、所有电缆应采用铁木盘包装和运输，电缆终端头采用双层绝缘和热缩套永久密封，确保长期可靠绝缘，始端头应采用热缩套可靠密封，伸出盘外的电缆端头钉铁质保护罩保护。</w:t>
      </w:r>
    </w:p>
    <w:p>
      <w:pPr>
        <w:autoSpaceDE w:val="0"/>
        <w:autoSpaceDN w:val="0"/>
        <w:spacing w:line="480" w:lineRule="auto"/>
        <w:ind w:firstLine="420" w:firstLineChars="175"/>
        <w:rPr>
          <w:rFonts w:ascii="宋体" w:hAnsi="宋体" w:cs="宋体"/>
          <w:lang w:val="zh-CN"/>
        </w:rPr>
      </w:pPr>
      <w:r>
        <w:rPr>
          <w:rFonts w:hint="eastAsia" w:ascii="宋体" w:hAnsi="宋体" w:cs="宋体"/>
          <w:lang w:val="zh-CN"/>
        </w:rPr>
        <w:t>2、每盘电缆附有合格证，盘上清楚标明厂家、电缆型号、规格、电压等级、毛重、生产日期、长度以及正确的滚动方向，电缆外皮本身上也应有型号、规格及相关标识。</w:t>
      </w:r>
    </w:p>
    <w:p>
      <w:pPr>
        <w:autoSpaceDE w:val="0"/>
        <w:autoSpaceDN w:val="0"/>
        <w:spacing w:line="480" w:lineRule="auto"/>
        <w:ind w:firstLine="420" w:firstLineChars="175"/>
        <w:rPr>
          <w:rFonts w:ascii="宋体" w:hAnsi="宋体" w:cs="宋体"/>
          <w:lang w:val="zh-CN"/>
        </w:rPr>
      </w:pPr>
      <w:r>
        <w:rPr>
          <w:rFonts w:hint="eastAsia" w:ascii="宋体" w:hAnsi="宋体" w:cs="宋体"/>
          <w:lang w:val="zh-CN"/>
        </w:rPr>
        <w:t>3、电缆的交货长度按照双方确认的实测长度，长度计量误差不超过0.5%。</w:t>
      </w:r>
    </w:p>
    <w:p>
      <w:pPr>
        <w:spacing w:line="480" w:lineRule="auto"/>
        <w:ind w:firstLine="420" w:firstLineChars="175"/>
        <w:rPr>
          <w:rFonts w:ascii="宋体" w:hAnsi="宋体" w:cs="宋体"/>
        </w:rPr>
      </w:pPr>
      <w:r>
        <w:rPr>
          <w:rFonts w:hint="eastAsia" w:ascii="宋体" w:hAnsi="宋体" w:cs="宋体"/>
        </w:rPr>
        <w:t>（五）技术服务要求</w:t>
      </w:r>
    </w:p>
    <w:p>
      <w:pPr>
        <w:autoSpaceDE w:val="0"/>
        <w:autoSpaceDN w:val="0"/>
        <w:spacing w:line="480" w:lineRule="auto"/>
        <w:ind w:left="420" w:leftChars="175" w:firstLine="0" w:firstLineChars="0"/>
        <w:rPr>
          <w:rFonts w:ascii="宋体" w:hAnsi="宋体" w:cs="宋体"/>
          <w:lang w:val="zh-CN"/>
        </w:rPr>
      </w:pPr>
      <w:r>
        <w:rPr>
          <w:rFonts w:hint="eastAsia" w:ascii="宋体" w:hAnsi="宋体" w:cs="宋体"/>
          <w:lang w:val="zh-CN"/>
        </w:rPr>
        <w:t>1、供应商必须根据产品的特点，在制造前免费派出合适的技术人员到现场进行电缆实际长度的测量及安装时到现场安装指导、调试工作。</w:t>
      </w:r>
    </w:p>
    <w:p>
      <w:pPr>
        <w:autoSpaceDE w:val="0"/>
        <w:autoSpaceDN w:val="0"/>
        <w:spacing w:line="480" w:lineRule="auto"/>
        <w:ind w:left="420" w:leftChars="175" w:firstLine="0" w:firstLineChars="0"/>
        <w:rPr>
          <w:rFonts w:ascii="宋体" w:hAnsi="宋体" w:cs="宋体"/>
          <w:lang w:val="zh-CN"/>
        </w:rPr>
      </w:pPr>
      <w:r>
        <w:rPr>
          <w:rFonts w:hint="eastAsia" w:ascii="宋体" w:hAnsi="宋体" w:cs="宋体"/>
          <w:lang w:val="zh-CN"/>
        </w:rPr>
        <w:t>2、</w:t>
      </w:r>
      <w:r>
        <w:rPr>
          <w:rFonts w:hint="eastAsia" w:ascii="宋体" w:hAnsi="宋体" w:cs="宋体"/>
        </w:rPr>
        <w:t>双方根据施工进展协商决定供应商现场施工人员的专业、人员数量以及施工时间。</w:t>
      </w:r>
    </w:p>
    <w:p>
      <w:pPr>
        <w:autoSpaceDE w:val="0"/>
        <w:autoSpaceDN w:val="0"/>
        <w:spacing w:line="480" w:lineRule="auto"/>
        <w:ind w:firstLine="420" w:firstLineChars="175"/>
        <w:rPr>
          <w:rFonts w:ascii="宋体" w:hAnsi="宋体" w:cs="宋体"/>
          <w:lang w:val="zh-CN"/>
        </w:rPr>
      </w:pPr>
      <w:r>
        <w:rPr>
          <w:rFonts w:hint="eastAsia" w:ascii="宋体" w:hAnsi="宋体" w:cs="宋体"/>
          <w:lang w:val="zh-CN"/>
        </w:rPr>
        <w:t>3、供应商应保证有充足的备件资源，可以满足质保期内故障设备修复的需要。</w:t>
      </w:r>
    </w:p>
    <w:p>
      <w:pPr>
        <w:autoSpaceDE w:val="0"/>
        <w:autoSpaceDN w:val="0"/>
        <w:spacing w:line="480" w:lineRule="auto"/>
        <w:ind w:firstLine="420" w:firstLineChars="175"/>
        <w:rPr>
          <w:rFonts w:ascii="宋体" w:hAnsi="宋体" w:cs="宋体"/>
          <w:lang w:val="zh-CN"/>
        </w:rPr>
      </w:pPr>
      <w:r>
        <w:rPr>
          <w:rFonts w:hint="eastAsia" w:ascii="宋体" w:hAnsi="宋体" w:cs="宋体"/>
        </w:rPr>
        <w:t>4、</w:t>
      </w:r>
      <w:r>
        <w:rPr>
          <w:rFonts w:hint="eastAsia" w:ascii="宋体" w:hAnsi="宋体" w:cs="宋体"/>
          <w:lang w:val="zh-CN"/>
        </w:rPr>
        <w:t>供应商免费提供电缆敷设专用工具给采购人使用。</w:t>
      </w:r>
    </w:p>
    <w:p>
      <w:pPr>
        <w:autoSpaceDE w:val="0"/>
        <w:autoSpaceDN w:val="0"/>
        <w:spacing w:line="480" w:lineRule="auto"/>
        <w:ind w:firstLine="420" w:firstLineChars="175"/>
        <w:rPr>
          <w:rFonts w:ascii="宋体" w:hAnsi="宋体" w:cs="宋体"/>
          <w:lang w:val="zh-CN"/>
        </w:rPr>
      </w:pPr>
      <w:r>
        <w:rPr>
          <w:rFonts w:hint="eastAsia" w:ascii="宋体" w:hAnsi="宋体" w:cs="宋体"/>
          <w:lang w:val="zh-CN"/>
        </w:rPr>
        <w:t>5、施工期间供应商应在24小时之内提供备件，以保证正常使用。</w:t>
      </w:r>
    </w:p>
    <w:p>
      <w:pPr>
        <w:autoSpaceDE w:val="0"/>
        <w:autoSpaceDN w:val="0"/>
        <w:spacing w:line="480" w:lineRule="auto"/>
        <w:ind w:firstLine="420" w:firstLineChars="175"/>
        <w:rPr>
          <w:rFonts w:ascii="宋体" w:hAnsi="宋体" w:cs="宋体"/>
          <w:lang w:val="zh-CN"/>
        </w:rPr>
      </w:pPr>
      <w:r>
        <w:rPr>
          <w:rFonts w:hint="eastAsia" w:ascii="宋体" w:hAnsi="宋体" w:cs="宋体"/>
          <w:lang w:val="zh-CN"/>
        </w:rPr>
        <w:t>6、供应商提供服务范围内隐患排查、定期巡检服务。</w:t>
      </w:r>
    </w:p>
    <w:p>
      <w:pPr>
        <w:autoSpaceDE w:val="0"/>
        <w:autoSpaceDN w:val="0"/>
        <w:spacing w:line="480" w:lineRule="auto"/>
        <w:ind w:firstLine="420" w:firstLineChars="175"/>
        <w:rPr>
          <w:rFonts w:ascii="宋体" w:hAnsi="宋体" w:cs="宋体"/>
          <w:lang w:val="zh-CN"/>
        </w:rPr>
      </w:pPr>
      <w:r>
        <w:rPr>
          <w:rFonts w:hint="eastAsia" w:ascii="宋体" w:hAnsi="宋体" w:cs="宋体"/>
          <w:lang w:val="zh-CN"/>
        </w:rPr>
        <w:t>（六）竣工验收要求</w:t>
      </w:r>
    </w:p>
    <w:p>
      <w:pPr>
        <w:autoSpaceDE w:val="0"/>
        <w:autoSpaceDN w:val="0"/>
        <w:spacing w:line="480" w:lineRule="auto"/>
        <w:ind w:firstLine="420" w:firstLineChars="175"/>
        <w:rPr>
          <w:rFonts w:ascii="宋体" w:hAnsi="宋体" w:cs="宋体"/>
          <w:lang w:val="zh-CN"/>
        </w:rPr>
      </w:pPr>
      <w:r>
        <w:rPr>
          <w:rFonts w:hint="eastAsia" w:ascii="宋体" w:hAnsi="宋体" w:cs="宋体"/>
          <w:lang w:val="zh-CN"/>
        </w:rPr>
        <w:t>1、供应商应委派资深工程技术人员参加项目竣工验收，施工完成检查无误后方可进行柴油发电机带载测试。</w:t>
      </w:r>
    </w:p>
    <w:p>
      <w:pPr>
        <w:autoSpaceDE w:val="0"/>
        <w:autoSpaceDN w:val="0"/>
        <w:spacing w:line="480" w:lineRule="auto"/>
        <w:ind w:firstLine="420" w:firstLineChars="175"/>
        <w:rPr>
          <w:rFonts w:ascii="宋体" w:hAnsi="宋体" w:cs="宋体"/>
          <w:lang w:val="zh-CN"/>
        </w:rPr>
      </w:pPr>
      <w:r>
        <w:rPr>
          <w:rFonts w:hint="eastAsia" w:ascii="宋体" w:hAnsi="宋体" w:cs="宋体"/>
          <w:lang w:val="zh-CN"/>
        </w:rPr>
        <w:t>2、施工过程中未达到安装要求的，采购人有权提出更换或退货，由此而对施工方造成的损失，由供应商自负。</w:t>
      </w:r>
    </w:p>
    <w:p>
      <w:pPr>
        <w:autoSpaceDE w:val="0"/>
        <w:autoSpaceDN w:val="0"/>
        <w:spacing w:line="480" w:lineRule="auto"/>
        <w:ind w:firstLine="420" w:firstLineChars="175"/>
        <w:rPr>
          <w:rFonts w:ascii="宋体" w:hAnsi="宋体" w:cs="宋体"/>
          <w:lang w:val="zh-CN"/>
        </w:rPr>
      </w:pPr>
      <w:r>
        <w:rPr>
          <w:rFonts w:hint="eastAsia" w:ascii="宋体" w:hAnsi="宋体" w:cs="宋体"/>
          <w:lang w:val="zh-CN"/>
        </w:rPr>
        <w:t>3、供应商应在60日内完成全部施工工作。</w:t>
      </w:r>
    </w:p>
    <w:p>
      <w:pPr>
        <w:spacing w:line="480" w:lineRule="auto"/>
        <w:ind w:firstLine="560"/>
        <w:rPr>
          <w:rFonts w:ascii="宋体" w:hAnsi="宋体"/>
          <w:color w:val="000000"/>
          <w:sz w:val="28"/>
          <w:szCs w:val="28"/>
        </w:rPr>
      </w:pPr>
      <w:r>
        <w:rPr>
          <w:rFonts w:hint="eastAsia" w:ascii="宋体" w:hAnsi="宋体"/>
          <w:color w:val="000000"/>
          <w:sz w:val="28"/>
          <w:szCs w:val="28"/>
        </w:rPr>
        <w:t>三、采购清单</w:t>
      </w:r>
    </w:p>
    <w:p>
      <w:pPr>
        <w:spacing w:line="480" w:lineRule="auto"/>
        <w:ind w:firstLine="562"/>
        <w:jc w:val="center"/>
        <w:rPr>
          <w:rFonts w:ascii="宋体" w:hAnsi="宋体"/>
          <w:b/>
          <w:color w:val="000000"/>
          <w:sz w:val="28"/>
          <w:szCs w:val="28"/>
        </w:rPr>
      </w:pPr>
      <w:r>
        <w:rPr>
          <w:rFonts w:hint="eastAsia" w:ascii="宋体" w:hAnsi="宋体"/>
          <w:b/>
          <w:color w:val="000000"/>
          <w:sz w:val="28"/>
          <w:szCs w:val="28"/>
        </w:rPr>
        <w:t>华能大厦柴油发电机房至副配电室电缆更换项目采购清单表</w:t>
      </w:r>
    </w:p>
    <w:tbl>
      <w:tblPr>
        <w:tblStyle w:val="35"/>
        <w:tblW w:w="9374" w:type="dxa"/>
        <w:tblInd w:w="3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
      <w:tblGrid>
        <w:gridCol w:w="709"/>
        <w:gridCol w:w="1418"/>
        <w:gridCol w:w="1984"/>
        <w:gridCol w:w="992"/>
        <w:gridCol w:w="993"/>
        <w:gridCol w:w="1134"/>
        <w:gridCol w:w="992"/>
        <w:gridCol w:w="115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271" w:hRule="atLeast"/>
        </w:trPr>
        <w:tc>
          <w:tcPr>
            <w:tcW w:w="709" w:type="dxa"/>
            <w:shd w:val="solid" w:color="FFFFFF" w:fill="FFFFFF"/>
          </w:tcPr>
          <w:p>
            <w:pPr>
              <w:autoSpaceDE w:val="0"/>
              <w:autoSpaceDN w:val="0"/>
              <w:ind w:firstLine="0" w:firstLineChars="0"/>
              <w:rPr>
                <w:rFonts w:ascii="宋体" w:cs="宋体"/>
                <w:color w:val="000000"/>
                <w:kern w:val="0"/>
                <w:sz w:val="20"/>
              </w:rPr>
            </w:pPr>
            <w:r>
              <w:rPr>
                <w:rFonts w:hint="eastAsia" w:ascii="宋体" w:cs="宋体"/>
                <w:color w:val="000000"/>
                <w:kern w:val="0"/>
                <w:sz w:val="20"/>
              </w:rPr>
              <w:t>序号</w:t>
            </w:r>
          </w:p>
        </w:tc>
        <w:tc>
          <w:tcPr>
            <w:tcW w:w="1418"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项目名称</w:t>
            </w:r>
          </w:p>
        </w:tc>
        <w:tc>
          <w:tcPr>
            <w:tcW w:w="1984"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规格型号</w:t>
            </w:r>
          </w:p>
        </w:tc>
        <w:tc>
          <w:tcPr>
            <w:tcW w:w="992"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单位</w:t>
            </w:r>
          </w:p>
        </w:tc>
        <w:tc>
          <w:tcPr>
            <w:tcW w:w="993"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数量</w:t>
            </w:r>
          </w:p>
        </w:tc>
        <w:tc>
          <w:tcPr>
            <w:tcW w:w="2126" w:type="dxa"/>
            <w:gridSpan w:val="2"/>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金额（元）</w:t>
            </w:r>
          </w:p>
        </w:tc>
        <w:tc>
          <w:tcPr>
            <w:tcW w:w="1152" w:type="dxa"/>
            <w:shd w:val="solid" w:color="FFFFFF" w:fill="FFFFFF"/>
          </w:tcPr>
          <w:p>
            <w:pPr>
              <w:autoSpaceDE w:val="0"/>
              <w:autoSpaceDN w:val="0"/>
              <w:ind w:firstLine="400"/>
              <w:rPr>
                <w:rFonts w:ascii="宋体" w:cs="宋体"/>
                <w:color w:val="000000"/>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271" w:hRule="atLeast"/>
        </w:trPr>
        <w:tc>
          <w:tcPr>
            <w:tcW w:w="709" w:type="dxa"/>
            <w:shd w:val="solid" w:color="FFFFFF" w:fill="FFFFFF"/>
          </w:tcPr>
          <w:p>
            <w:pPr>
              <w:autoSpaceDE w:val="0"/>
              <w:autoSpaceDN w:val="0"/>
              <w:ind w:firstLine="400"/>
              <w:rPr>
                <w:rFonts w:ascii="宋体" w:cs="宋体"/>
                <w:color w:val="000000"/>
                <w:kern w:val="0"/>
                <w:sz w:val="20"/>
              </w:rPr>
            </w:pPr>
          </w:p>
        </w:tc>
        <w:tc>
          <w:tcPr>
            <w:tcW w:w="1418" w:type="dxa"/>
            <w:shd w:val="solid" w:color="FFFFFF" w:fill="FFFFFF"/>
          </w:tcPr>
          <w:p>
            <w:pPr>
              <w:autoSpaceDE w:val="0"/>
              <w:autoSpaceDN w:val="0"/>
              <w:ind w:firstLine="400"/>
              <w:rPr>
                <w:rFonts w:ascii="宋体" w:cs="宋体"/>
                <w:color w:val="000000"/>
                <w:kern w:val="0"/>
                <w:sz w:val="20"/>
              </w:rPr>
            </w:pPr>
          </w:p>
        </w:tc>
        <w:tc>
          <w:tcPr>
            <w:tcW w:w="198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993" w:type="dxa"/>
            <w:shd w:val="solid" w:color="FFFFFF" w:fill="FFFFFF"/>
          </w:tcPr>
          <w:p>
            <w:pPr>
              <w:autoSpaceDE w:val="0"/>
              <w:autoSpaceDN w:val="0"/>
              <w:ind w:firstLine="400"/>
              <w:rPr>
                <w:rFonts w:ascii="宋体" w:cs="宋体"/>
                <w:color w:val="000000"/>
                <w:kern w:val="0"/>
                <w:sz w:val="20"/>
              </w:rPr>
            </w:pPr>
          </w:p>
        </w:tc>
        <w:tc>
          <w:tcPr>
            <w:tcW w:w="1134"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单价</w:t>
            </w:r>
          </w:p>
        </w:tc>
        <w:tc>
          <w:tcPr>
            <w:tcW w:w="992"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合价</w:t>
            </w:r>
          </w:p>
        </w:tc>
        <w:tc>
          <w:tcPr>
            <w:tcW w:w="1152"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572" w:hRule="atLeast"/>
        </w:trPr>
        <w:tc>
          <w:tcPr>
            <w:tcW w:w="709" w:type="dxa"/>
            <w:shd w:val="solid" w:color="FFFFFF" w:fill="FFFFFF"/>
          </w:tcPr>
          <w:p>
            <w:pPr>
              <w:autoSpaceDE w:val="0"/>
              <w:autoSpaceDN w:val="0"/>
              <w:ind w:firstLine="402"/>
              <w:rPr>
                <w:rFonts w:ascii="宋体" w:cs="宋体"/>
                <w:b/>
                <w:color w:val="000000"/>
                <w:kern w:val="0"/>
                <w:sz w:val="20"/>
              </w:rPr>
            </w:pPr>
            <w:r>
              <w:rPr>
                <w:rFonts w:hint="eastAsia" w:ascii="宋体" w:cs="宋体"/>
                <w:b/>
                <w:color w:val="000000"/>
                <w:kern w:val="0"/>
                <w:sz w:val="20"/>
              </w:rPr>
              <w:t>一</w:t>
            </w:r>
          </w:p>
        </w:tc>
        <w:tc>
          <w:tcPr>
            <w:tcW w:w="1418" w:type="dxa"/>
            <w:shd w:val="solid" w:color="FFFFFF" w:fill="FFFFFF"/>
          </w:tcPr>
          <w:p>
            <w:pPr>
              <w:autoSpaceDE w:val="0"/>
              <w:autoSpaceDN w:val="0"/>
              <w:ind w:firstLine="402"/>
              <w:rPr>
                <w:rFonts w:ascii="宋体" w:cs="宋体"/>
                <w:b/>
                <w:color w:val="000000"/>
                <w:kern w:val="0"/>
                <w:sz w:val="20"/>
              </w:rPr>
            </w:pPr>
            <w:r>
              <w:rPr>
                <w:rFonts w:hint="eastAsia" w:ascii="宋体" w:cs="宋体"/>
                <w:b/>
                <w:color w:val="000000"/>
                <w:kern w:val="0"/>
                <w:sz w:val="20"/>
              </w:rPr>
              <w:t>安装</w:t>
            </w:r>
          </w:p>
        </w:tc>
        <w:tc>
          <w:tcPr>
            <w:tcW w:w="1984" w:type="dxa"/>
            <w:shd w:val="solid" w:color="FFFFFF" w:fill="FFFFFF"/>
          </w:tcPr>
          <w:p>
            <w:pPr>
              <w:autoSpaceDE w:val="0"/>
              <w:autoSpaceDN w:val="0"/>
              <w:ind w:firstLine="0" w:firstLineChars="0"/>
              <w:rPr>
                <w:rFonts w:ascii="宋体" w:cs="宋体"/>
                <w:color w:val="000000"/>
                <w:kern w:val="0"/>
                <w:sz w:val="20"/>
              </w:rPr>
            </w:pPr>
          </w:p>
        </w:tc>
        <w:tc>
          <w:tcPr>
            <w:tcW w:w="992" w:type="dxa"/>
            <w:shd w:val="solid" w:color="FFFFFF" w:fill="FFFFFF"/>
          </w:tcPr>
          <w:p>
            <w:pPr>
              <w:autoSpaceDE w:val="0"/>
              <w:autoSpaceDN w:val="0"/>
              <w:ind w:firstLine="0" w:firstLineChars="0"/>
              <w:rPr>
                <w:rFonts w:ascii="宋体" w:cs="宋体"/>
                <w:color w:val="000000"/>
                <w:kern w:val="0"/>
                <w:sz w:val="20"/>
              </w:rPr>
            </w:pPr>
          </w:p>
        </w:tc>
        <w:tc>
          <w:tcPr>
            <w:tcW w:w="993" w:type="dxa"/>
            <w:shd w:val="solid" w:color="FFFFFF" w:fill="FFFFFF"/>
          </w:tcPr>
          <w:p>
            <w:pPr>
              <w:autoSpaceDE w:val="0"/>
              <w:autoSpaceDN w:val="0"/>
              <w:ind w:firstLine="0" w:firstLineChars="0"/>
              <w:rPr>
                <w:rFonts w:ascii="宋体" w:cs="宋体"/>
                <w:color w:val="000000"/>
                <w:kern w:val="0"/>
                <w:sz w:val="20"/>
              </w:rPr>
            </w:pPr>
          </w:p>
        </w:tc>
        <w:tc>
          <w:tcPr>
            <w:tcW w:w="1134" w:type="dxa"/>
            <w:shd w:val="solid" w:color="FFFFFF" w:fill="FFFFFF"/>
          </w:tcPr>
          <w:p>
            <w:pPr>
              <w:autoSpaceDE w:val="0"/>
              <w:autoSpaceDN w:val="0"/>
              <w:ind w:firstLine="0" w:firstLineChars="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1152" w:type="dxa"/>
            <w:shd w:val="solid" w:color="FFFFFF" w:fill="FFFFFF"/>
          </w:tcPr>
          <w:p>
            <w:pPr>
              <w:autoSpaceDE w:val="0"/>
              <w:autoSpaceDN w:val="0"/>
              <w:ind w:firstLine="0" w:firstLineChars="0"/>
              <w:rPr>
                <w:rFonts w:ascii="宋体" w:cs="宋体"/>
                <w:color w:val="000000"/>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773" w:hRule="atLeast"/>
        </w:trPr>
        <w:tc>
          <w:tcPr>
            <w:tcW w:w="709" w:type="dxa"/>
            <w:shd w:val="solid" w:color="FFFFFF" w:fill="FFFFFF"/>
          </w:tcPr>
          <w:p>
            <w:pPr>
              <w:autoSpaceDE w:val="0"/>
              <w:autoSpaceDN w:val="0"/>
              <w:ind w:firstLine="400"/>
              <w:rPr>
                <w:rFonts w:ascii="宋体" w:cs="宋体"/>
                <w:color w:val="000000"/>
                <w:kern w:val="0"/>
                <w:sz w:val="20"/>
              </w:rPr>
            </w:pPr>
          </w:p>
        </w:tc>
        <w:tc>
          <w:tcPr>
            <w:tcW w:w="1418"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耐火线槽</w:t>
            </w:r>
          </w:p>
        </w:tc>
        <w:tc>
          <w:tcPr>
            <w:tcW w:w="1984"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耐火电缆桥架  规格800*150（mm）  板材厚度2.0mm  表面防护层厚度 ≥65μm</w:t>
            </w:r>
          </w:p>
        </w:tc>
        <w:tc>
          <w:tcPr>
            <w:tcW w:w="992"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米</w:t>
            </w:r>
          </w:p>
        </w:tc>
        <w:tc>
          <w:tcPr>
            <w:tcW w:w="993"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100</w:t>
            </w:r>
          </w:p>
        </w:tc>
        <w:tc>
          <w:tcPr>
            <w:tcW w:w="113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1152" w:type="dxa"/>
            <w:shd w:val="solid" w:color="FFFFFF" w:fill="FFFFFF"/>
          </w:tcPr>
          <w:p>
            <w:pPr>
              <w:autoSpaceDE w:val="0"/>
              <w:autoSpaceDN w:val="0"/>
              <w:ind w:firstLine="0" w:firstLineChars="0"/>
              <w:rPr>
                <w:rFonts w:ascii="宋体" w:cs="宋体"/>
                <w:color w:val="000000"/>
                <w:kern w:val="0"/>
                <w:sz w:val="20"/>
              </w:rPr>
            </w:pPr>
            <w:r>
              <w:rPr>
                <w:rFonts w:hint="eastAsia" w:ascii="宋体" w:cs="宋体"/>
                <w:color w:val="000000"/>
                <w:kern w:val="0"/>
                <w:sz w:val="20"/>
              </w:rPr>
              <w:t>含材料和人工费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685" w:hRule="atLeast"/>
        </w:trPr>
        <w:tc>
          <w:tcPr>
            <w:tcW w:w="709" w:type="dxa"/>
            <w:shd w:val="solid" w:color="FFFFFF" w:fill="FFFFFF"/>
          </w:tcPr>
          <w:p>
            <w:pPr>
              <w:autoSpaceDE w:val="0"/>
              <w:autoSpaceDN w:val="0"/>
              <w:ind w:firstLine="400"/>
              <w:rPr>
                <w:rFonts w:ascii="宋体" w:cs="宋体"/>
                <w:color w:val="000000"/>
                <w:kern w:val="0"/>
                <w:sz w:val="20"/>
              </w:rPr>
            </w:pPr>
          </w:p>
        </w:tc>
        <w:tc>
          <w:tcPr>
            <w:tcW w:w="1418"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电力电缆</w:t>
            </w:r>
          </w:p>
        </w:tc>
        <w:tc>
          <w:tcPr>
            <w:tcW w:w="1984" w:type="dxa"/>
            <w:shd w:val="solid" w:color="FFFFFF" w:fill="FFFFFF"/>
          </w:tcPr>
          <w:p>
            <w:pPr>
              <w:ind w:firstLine="0" w:firstLineChars="0"/>
              <w:rPr>
                <w:rFonts w:ascii="宋体" w:cs="宋体"/>
                <w:color w:val="000000"/>
                <w:kern w:val="0"/>
                <w:sz w:val="20"/>
              </w:rPr>
            </w:pPr>
            <w:r>
              <w:rPr>
                <w:rFonts w:hint="eastAsia" w:ascii="宋体" w:cs="宋体"/>
                <w:color w:val="000000"/>
                <w:kern w:val="0"/>
                <w:sz w:val="20"/>
              </w:rPr>
              <w:t>1.名称:电缆</w:t>
            </w:r>
            <w:r>
              <w:rPr>
                <w:rFonts w:hint="eastAsia" w:ascii="宋体" w:cs="宋体"/>
                <w:color w:val="000000"/>
                <w:kern w:val="0"/>
                <w:sz w:val="20"/>
              </w:rPr>
              <w:br w:type="textWrapping"/>
            </w:r>
            <w:r>
              <w:rPr>
                <w:rFonts w:hint="eastAsia" w:ascii="宋体" w:cs="宋体"/>
                <w:color w:val="000000"/>
                <w:kern w:val="0"/>
                <w:sz w:val="20"/>
              </w:rPr>
              <w:t>2</w:t>
            </w:r>
            <w:r>
              <w:rPr>
                <w:rFonts w:ascii="宋体" w:cs="宋体"/>
                <w:color w:val="000000"/>
                <w:kern w:val="0"/>
                <w:sz w:val="20"/>
              </w:rPr>
              <w:t>.</w:t>
            </w:r>
            <w:r>
              <w:rPr>
                <w:rFonts w:hint="eastAsia" w:ascii="宋体" w:cs="宋体"/>
                <w:color w:val="000000"/>
                <w:kern w:val="0"/>
                <w:sz w:val="20"/>
              </w:rPr>
              <w:t>型号:</w:t>
            </w:r>
            <w:r>
              <w:rPr>
                <w:rFonts w:hint="eastAsia" w:cs="宋体"/>
                <w:color w:val="000000"/>
                <w:kern w:val="0"/>
                <w:sz w:val="20"/>
              </w:rPr>
              <w:t xml:space="preserve"> </w:t>
            </w:r>
            <w:r>
              <w:rPr>
                <w:rFonts w:hint="eastAsia" w:ascii="宋体" w:cs="宋体"/>
                <w:color w:val="000000"/>
                <w:kern w:val="0"/>
                <w:sz w:val="20"/>
              </w:rPr>
              <w:t>WDZN-YJY1×300</w:t>
            </w:r>
            <w:r>
              <w:rPr>
                <w:rFonts w:hint="eastAsia" w:ascii="宋体" w:cs="宋体"/>
                <w:color w:val="000000"/>
                <w:kern w:val="0"/>
                <w:sz w:val="20"/>
              </w:rPr>
              <w:br w:type="textWrapping"/>
            </w:r>
            <w:r>
              <w:rPr>
                <w:rFonts w:hint="eastAsia" w:ascii="宋体" w:cs="宋体"/>
                <w:color w:val="000000"/>
                <w:kern w:val="0"/>
                <w:sz w:val="20"/>
              </w:rPr>
              <w:t>3</w:t>
            </w:r>
            <w:r>
              <w:rPr>
                <w:rFonts w:ascii="宋体" w:cs="宋体"/>
                <w:color w:val="000000"/>
                <w:kern w:val="0"/>
                <w:sz w:val="20"/>
              </w:rPr>
              <w:t>.</w:t>
            </w:r>
            <w:r>
              <w:rPr>
                <w:rFonts w:hint="eastAsia" w:ascii="宋体" w:cs="宋体"/>
                <w:color w:val="000000"/>
                <w:kern w:val="0"/>
                <w:sz w:val="20"/>
              </w:rPr>
              <w:t>敷设部位:线槽内</w:t>
            </w:r>
            <w:r>
              <w:rPr>
                <w:rFonts w:hint="eastAsia" w:ascii="宋体" w:cs="宋体"/>
                <w:color w:val="000000"/>
                <w:kern w:val="0"/>
                <w:sz w:val="20"/>
              </w:rPr>
              <w:br w:type="textWrapping"/>
            </w:r>
            <w:r>
              <w:rPr>
                <w:rFonts w:hint="eastAsia" w:ascii="宋体" w:cs="宋体"/>
                <w:color w:val="000000"/>
                <w:kern w:val="0"/>
                <w:sz w:val="20"/>
              </w:rPr>
              <w:t>4</w:t>
            </w:r>
            <w:r>
              <w:rPr>
                <w:rFonts w:ascii="宋体" w:cs="宋体"/>
                <w:color w:val="000000"/>
                <w:kern w:val="0"/>
                <w:sz w:val="20"/>
              </w:rPr>
              <w:t>.</w:t>
            </w:r>
            <w:r>
              <w:rPr>
                <w:rFonts w:hint="eastAsia" w:ascii="宋体" w:cs="宋体"/>
                <w:color w:val="000000"/>
                <w:kern w:val="0"/>
                <w:sz w:val="20"/>
              </w:rPr>
              <w:t>电压等级(kV):1KV</w:t>
            </w:r>
          </w:p>
        </w:tc>
        <w:tc>
          <w:tcPr>
            <w:tcW w:w="992"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米</w:t>
            </w:r>
          </w:p>
        </w:tc>
        <w:tc>
          <w:tcPr>
            <w:tcW w:w="993"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1400</w:t>
            </w:r>
          </w:p>
        </w:tc>
        <w:tc>
          <w:tcPr>
            <w:tcW w:w="113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1152" w:type="dxa"/>
            <w:shd w:val="solid" w:color="FFFFFF" w:fill="FFFFFF"/>
          </w:tcPr>
          <w:p>
            <w:pPr>
              <w:autoSpaceDE w:val="0"/>
              <w:autoSpaceDN w:val="0"/>
              <w:ind w:firstLine="0" w:firstLineChars="0"/>
              <w:rPr>
                <w:rFonts w:ascii="宋体" w:cs="宋体"/>
                <w:color w:val="000000"/>
                <w:kern w:val="0"/>
                <w:sz w:val="20"/>
              </w:rPr>
            </w:pPr>
            <w:r>
              <w:rPr>
                <w:rFonts w:hint="eastAsia" w:ascii="宋体" w:cs="宋体"/>
                <w:color w:val="000000"/>
                <w:kern w:val="0"/>
                <w:sz w:val="20"/>
              </w:rPr>
              <w:t>含材料和人工费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685" w:hRule="atLeast"/>
        </w:trPr>
        <w:tc>
          <w:tcPr>
            <w:tcW w:w="709" w:type="dxa"/>
            <w:shd w:val="solid" w:color="FFFFFF" w:fill="FFFFFF"/>
          </w:tcPr>
          <w:p>
            <w:pPr>
              <w:autoSpaceDE w:val="0"/>
              <w:autoSpaceDN w:val="0"/>
              <w:ind w:firstLine="400"/>
              <w:rPr>
                <w:rFonts w:ascii="宋体" w:cs="宋体"/>
                <w:color w:val="000000"/>
                <w:kern w:val="0"/>
                <w:sz w:val="20"/>
              </w:rPr>
            </w:pPr>
          </w:p>
        </w:tc>
        <w:tc>
          <w:tcPr>
            <w:tcW w:w="1418"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电力电缆</w:t>
            </w:r>
          </w:p>
        </w:tc>
        <w:tc>
          <w:tcPr>
            <w:tcW w:w="1984" w:type="dxa"/>
            <w:shd w:val="solid" w:color="FFFFFF" w:fill="FFFFFF"/>
          </w:tcPr>
          <w:p>
            <w:pPr>
              <w:ind w:firstLine="0" w:firstLineChars="0"/>
              <w:rPr>
                <w:rFonts w:ascii="宋体" w:cs="宋体"/>
                <w:color w:val="000000"/>
                <w:kern w:val="0"/>
                <w:sz w:val="20"/>
              </w:rPr>
            </w:pPr>
            <w:r>
              <w:rPr>
                <w:rFonts w:hint="eastAsia" w:ascii="宋体" w:cs="宋体"/>
                <w:color w:val="000000"/>
                <w:kern w:val="0"/>
                <w:sz w:val="20"/>
              </w:rPr>
              <w:t>1.名称:电缆</w:t>
            </w:r>
            <w:r>
              <w:rPr>
                <w:rFonts w:hint="eastAsia" w:ascii="宋体" w:cs="宋体"/>
                <w:color w:val="000000"/>
                <w:kern w:val="0"/>
                <w:sz w:val="20"/>
              </w:rPr>
              <w:br w:type="textWrapping"/>
            </w:r>
            <w:r>
              <w:rPr>
                <w:rFonts w:hint="eastAsia" w:ascii="宋体" w:cs="宋体"/>
                <w:color w:val="000000"/>
                <w:kern w:val="0"/>
                <w:sz w:val="20"/>
              </w:rPr>
              <w:t>2</w:t>
            </w:r>
            <w:r>
              <w:rPr>
                <w:rFonts w:ascii="宋体" w:cs="宋体"/>
                <w:color w:val="000000"/>
                <w:kern w:val="0"/>
                <w:sz w:val="20"/>
              </w:rPr>
              <w:t>.</w:t>
            </w:r>
            <w:r>
              <w:rPr>
                <w:rFonts w:hint="eastAsia" w:ascii="宋体" w:cs="宋体"/>
                <w:color w:val="000000"/>
                <w:kern w:val="0"/>
                <w:sz w:val="20"/>
              </w:rPr>
              <w:t>型号:</w:t>
            </w:r>
            <w:r>
              <w:rPr>
                <w:rFonts w:hint="eastAsia" w:cs="宋体"/>
                <w:color w:val="000000"/>
                <w:kern w:val="0"/>
                <w:sz w:val="20"/>
              </w:rPr>
              <w:t xml:space="preserve"> </w:t>
            </w:r>
            <w:r>
              <w:rPr>
                <w:rFonts w:hint="eastAsia" w:ascii="宋体" w:cs="宋体"/>
                <w:color w:val="000000"/>
                <w:kern w:val="0"/>
                <w:sz w:val="20"/>
              </w:rPr>
              <w:t>WDZN-YJY1×400</w:t>
            </w:r>
            <w:r>
              <w:rPr>
                <w:rFonts w:hint="eastAsia" w:ascii="宋体" w:cs="宋体"/>
                <w:color w:val="000000"/>
                <w:kern w:val="0"/>
                <w:sz w:val="20"/>
              </w:rPr>
              <w:br w:type="textWrapping"/>
            </w:r>
            <w:r>
              <w:rPr>
                <w:rFonts w:hint="eastAsia" w:ascii="宋体" w:cs="宋体"/>
                <w:color w:val="000000"/>
                <w:kern w:val="0"/>
                <w:sz w:val="20"/>
              </w:rPr>
              <w:t>3</w:t>
            </w:r>
            <w:r>
              <w:rPr>
                <w:rFonts w:ascii="宋体" w:cs="宋体"/>
                <w:color w:val="000000"/>
                <w:kern w:val="0"/>
                <w:sz w:val="20"/>
              </w:rPr>
              <w:t>.</w:t>
            </w:r>
            <w:r>
              <w:rPr>
                <w:rFonts w:hint="eastAsia" w:ascii="宋体" w:cs="宋体"/>
                <w:color w:val="000000"/>
                <w:kern w:val="0"/>
                <w:sz w:val="20"/>
              </w:rPr>
              <w:t>敷设部位:线槽内</w:t>
            </w:r>
            <w:r>
              <w:rPr>
                <w:rFonts w:hint="eastAsia" w:ascii="宋体" w:cs="宋体"/>
                <w:color w:val="000000"/>
                <w:kern w:val="0"/>
                <w:sz w:val="20"/>
              </w:rPr>
              <w:br w:type="textWrapping"/>
            </w:r>
            <w:r>
              <w:rPr>
                <w:rFonts w:hint="eastAsia" w:ascii="宋体" w:cs="宋体"/>
                <w:color w:val="000000"/>
                <w:kern w:val="0"/>
                <w:sz w:val="20"/>
              </w:rPr>
              <w:t>4</w:t>
            </w:r>
            <w:r>
              <w:rPr>
                <w:rFonts w:ascii="宋体" w:cs="宋体"/>
                <w:color w:val="000000"/>
                <w:kern w:val="0"/>
                <w:sz w:val="20"/>
              </w:rPr>
              <w:t>.</w:t>
            </w:r>
            <w:r>
              <w:rPr>
                <w:rFonts w:hint="eastAsia" w:ascii="宋体" w:cs="宋体"/>
                <w:color w:val="000000"/>
                <w:kern w:val="0"/>
                <w:sz w:val="20"/>
              </w:rPr>
              <w:t>电压等级(kV):1KV</w:t>
            </w:r>
          </w:p>
        </w:tc>
        <w:tc>
          <w:tcPr>
            <w:tcW w:w="992"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米</w:t>
            </w:r>
          </w:p>
        </w:tc>
        <w:tc>
          <w:tcPr>
            <w:tcW w:w="993"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798</w:t>
            </w:r>
          </w:p>
        </w:tc>
        <w:tc>
          <w:tcPr>
            <w:tcW w:w="113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1152" w:type="dxa"/>
            <w:shd w:val="solid" w:color="FFFFFF" w:fill="FFFFFF"/>
          </w:tcPr>
          <w:p>
            <w:pPr>
              <w:autoSpaceDE w:val="0"/>
              <w:autoSpaceDN w:val="0"/>
              <w:ind w:firstLine="0" w:firstLineChars="0"/>
              <w:rPr>
                <w:rFonts w:ascii="宋体" w:cs="宋体"/>
                <w:color w:val="000000"/>
                <w:kern w:val="0"/>
                <w:sz w:val="20"/>
              </w:rPr>
            </w:pPr>
            <w:r>
              <w:rPr>
                <w:rFonts w:hint="eastAsia" w:ascii="宋体" w:cs="宋体"/>
                <w:color w:val="000000"/>
                <w:kern w:val="0"/>
                <w:sz w:val="20"/>
              </w:rPr>
              <w:t>含材料和人工费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754" w:hRule="atLeast"/>
        </w:trPr>
        <w:tc>
          <w:tcPr>
            <w:tcW w:w="709" w:type="dxa"/>
            <w:shd w:val="solid" w:color="FFFFFF" w:fill="FFFFFF"/>
          </w:tcPr>
          <w:p>
            <w:pPr>
              <w:autoSpaceDE w:val="0"/>
              <w:autoSpaceDN w:val="0"/>
              <w:ind w:firstLine="400"/>
              <w:rPr>
                <w:rFonts w:ascii="宋体" w:cs="宋体"/>
                <w:color w:val="000000"/>
                <w:kern w:val="0"/>
                <w:sz w:val="20"/>
              </w:rPr>
            </w:pPr>
          </w:p>
        </w:tc>
        <w:tc>
          <w:tcPr>
            <w:tcW w:w="1418" w:type="dxa"/>
            <w:shd w:val="solid" w:color="FFFFFF" w:fill="FFFFFF"/>
          </w:tcPr>
          <w:p>
            <w:pPr>
              <w:autoSpaceDE w:val="0"/>
              <w:autoSpaceDN w:val="0"/>
              <w:ind w:firstLine="0" w:firstLineChars="0"/>
              <w:jc w:val="center"/>
              <w:rPr>
                <w:rFonts w:ascii="宋体" w:cs="宋体"/>
                <w:color w:val="000000"/>
                <w:kern w:val="0"/>
                <w:sz w:val="20"/>
              </w:rPr>
            </w:pPr>
            <w:r>
              <w:rPr>
                <w:rFonts w:hint="eastAsia" w:ascii="宋体" w:cs="宋体"/>
                <w:color w:val="000000"/>
                <w:kern w:val="0"/>
                <w:sz w:val="20"/>
              </w:rPr>
              <w:t>电力电缆头</w:t>
            </w:r>
          </w:p>
        </w:tc>
        <w:tc>
          <w:tcPr>
            <w:tcW w:w="1984" w:type="dxa"/>
            <w:shd w:val="solid" w:color="FFFFFF" w:fill="FFFFFF"/>
          </w:tcPr>
          <w:p>
            <w:pPr>
              <w:autoSpaceDE w:val="0"/>
              <w:autoSpaceDN w:val="0"/>
              <w:ind w:firstLine="0" w:firstLineChars="0"/>
              <w:rPr>
                <w:rFonts w:ascii="宋体" w:cs="宋体"/>
                <w:color w:val="000000"/>
                <w:kern w:val="0"/>
                <w:sz w:val="20"/>
              </w:rPr>
            </w:pPr>
            <w:r>
              <w:rPr>
                <w:rFonts w:ascii="宋体" w:cs="宋体"/>
                <w:color w:val="000000"/>
                <w:kern w:val="0"/>
                <w:sz w:val="20"/>
              </w:rPr>
              <w:t>1.</w:t>
            </w:r>
            <w:r>
              <w:rPr>
                <w:rFonts w:hint="eastAsia" w:ascii="宋体" w:cs="宋体"/>
                <w:color w:val="000000"/>
                <w:kern w:val="0"/>
                <w:sz w:val="20"/>
              </w:rPr>
              <w:t>名称</w:t>
            </w:r>
            <w:r>
              <w:rPr>
                <w:rFonts w:ascii="宋体" w:cs="宋体"/>
                <w:color w:val="000000"/>
                <w:kern w:val="0"/>
                <w:sz w:val="20"/>
              </w:rPr>
              <w:t>:</w:t>
            </w:r>
            <w:r>
              <w:rPr>
                <w:rFonts w:hint="eastAsia" w:ascii="宋体" w:cs="宋体"/>
                <w:color w:val="000000"/>
                <w:kern w:val="0"/>
                <w:sz w:val="20"/>
              </w:rPr>
              <w:t>电缆终端头</w:t>
            </w:r>
          </w:p>
          <w:p>
            <w:pPr>
              <w:autoSpaceDE w:val="0"/>
              <w:autoSpaceDN w:val="0"/>
              <w:ind w:firstLine="0" w:firstLineChars="0"/>
              <w:rPr>
                <w:rFonts w:ascii="宋体" w:cs="宋体"/>
                <w:color w:val="000000"/>
                <w:kern w:val="0"/>
                <w:sz w:val="20"/>
              </w:rPr>
            </w:pPr>
            <w:r>
              <w:rPr>
                <w:rFonts w:ascii="宋体" w:cs="宋体"/>
                <w:color w:val="000000"/>
                <w:kern w:val="0"/>
                <w:sz w:val="20"/>
              </w:rPr>
              <w:t>2.</w:t>
            </w:r>
            <w:r>
              <w:rPr>
                <w:rFonts w:hint="eastAsia" w:ascii="宋体" w:cs="宋体"/>
                <w:color w:val="000000"/>
                <w:kern w:val="0"/>
                <w:sz w:val="20"/>
              </w:rPr>
              <w:t>型号</w:t>
            </w:r>
            <w:r>
              <w:rPr>
                <w:rFonts w:ascii="宋体" w:cs="宋体"/>
                <w:color w:val="000000"/>
                <w:kern w:val="0"/>
                <w:sz w:val="20"/>
              </w:rPr>
              <w:t>:1*300</w:t>
            </w:r>
          </w:p>
        </w:tc>
        <w:tc>
          <w:tcPr>
            <w:tcW w:w="992"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个</w:t>
            </w:r>
          </w:p>
        </w:tc>
        <w:tc>
          <w:tcPr>
            <w:tcW w:w="993"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28</w:t>
            </w:r>
          </w:p>
        </w:tc>
        <w:tc>
          <w:tcPr>
            <w:tcW w:w="113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1152" w:type="dxa"/>
            <w:shd w:val="solid" w:color="FFFFFF" w:fill="FFFFFF"/>
          </w:tcPr>
          <w:p>
            <w:pPr>
              <w:autoSpaceDE w:val="0"/>
              <w:autoSpaceDN w:val="0"/>
              <w:ind w:firstLine="0" w:firstLineChars="0"/>
              <w:rPr>
                <w:rFonts w:ascii="宋体" w:cs="宋体"/>
                <w:color w:val="000000"/>
                <w:kern w:val="0"/>
                <w:sz w:val="20"/>
              </w:rPr>
            </w:pPr>
            <w:r>
              <w:rPr>
                <w:rFonts w:hint="eastAsia" w:ascii="宋体" w:cs="宋体"/>
                <w:color w:val="000000"/>
                <w:kern w:val="0"/>
                <w:sz w:val="20"/>
              </w:rPr>
              <w:t>含材料和人工费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754" w:hRule="atLeast"/>
        </w:trPr>
        <w:tc>
          <w:tcPr>
            <w:tcW w:w="709" w:type="dxa"/>
            <w:shd w:val="solid" w:color="FFFFFF" w:fill="FFFFFF"/>
          </w:tcPr>
          <w:p>
            <w:pPr>
              <w:autoSpaceDE w:val="0"/>
              <w:autoSpaceDN w:val="0"/>
              <w:ind w:firstLine="400"/>
              <w:rPr>
                <w:rFonts w:ascii="宋体" w:cs="宋体"/>
                <w:color w:val="000000"/>
                <w:kern w:val="0"/>
                <w:sz w:val="20"/>
              </w:rPr>
            </w:pPr>
          </w:p>
        </w:tc>
        <w:tc>
          <w:tcPr>
            <w:tcW w:w="1418" w:type="dxa"/>
            <w:shd w:val="solid" w:color="FFFFFF" w:fill="FFFFFF"/>
          </w:tcPr>
          <w:p>
            <w:pPr>
              <w:autoSpaceDE w:val="0"/>
              <w:autoSpaceDN w:val="0"/>
              <w:ind w:firstLine="0" w:firstLineChars="0"/>
              <w:jc w:val="center"/>
              <w:rPr>
                <w:rFonts w:ascii="宋体" w:cs="宋体"/>
                <w:color w:val="000000"/>
                <w:kern w:val="0"/>
                <w:sz w:val="20"/>
              </w:rPr>
            </w:pPr>
            <w:r>
              <w:rPr>
                <w:rFonts w:hint="eastAsia" w:ascii="宋体" w:cs="宋体"/>
                <w:color w:val="000000"/>
                <w:kern w:val="0"/>
                <w:sz w:val="20"/>
              </w:rPr>
              <w:t>电力电缆头</w:t>
            </w:r>
          </w:p>
        </w:tc>
        <w:tc>
          <w:tcPr>
            <w:tcW w:w="1984" w:type="dxa"/>
            <w:shd w:val="solid" w:color="FFFFFF" w:fill="FFFFFF"/>
          </w:tcPr>
          <w:p>
            <w:pPr>
              <w:autoSpaceDE w:val="0"/>
              <w:autoSpaceDN w:val="0"/>
              <w:ind w:firstLine="0" w:firstLineChars="0"/>
              <w:rPr>
                <w:rFonts w:ascii="宋体" w:cs="宋体"/>
                <w:color w:val="000000"/>
                <w:kern w:val="0"/>
                <w:sz w:val="20"/>
              </w:rPr>
            </w:pPr>
            <w:r>
              <w:rPr>
                <w:rFonts w:ascii="宋体" w:cs="宋体"/>
                <w:color w:val="000000"/>
                <w:kern w:val="0"/>
                <w:sz w:val="20"/>
              </w:rPr>
              <w:t>1.</w:t>
            </w:r>
            <w:r>
              <w:rPr>
                <w:rFonts w:hint="eastAsia" w:ascii="宋体" w:cs="宋体"/>
                <w:color w:val="000000"/>
                <w:kern w:val="0"/>
                <w:sz w:val="20"/>
              </w:rPr>
              <w:t>名称</w:t>
            </w:r>
            <w:r>
              <w:rPr>
                <w:rFonts w:ascii="宋体" w:cs="宋体"/>
                <w:color w:val="000000"/>
                <w:kern w:val="0"/>
                <w:sz w:val="20"/>
              </w:rPr>
              <w:t>:</w:t>
            </w:r>
            <w:r>
              <w:rPr>
                <w:rFonts w:hint="eastAsia" w:ascii="宋体" w:cs="宋体"/>
                <w:color w:val="000000"/>
                <w:kern w:val="0"/>
                <w:sz w:val="20"/>
              </w:rPr>
              <w:t>电缆终端头</w:t>
            </w:r>
          </w:p>
          <w:p>
            <w:pPr>
              <w:autoSpaceDE w:val="0"/>
              <w:autoSpaceDN w:val="0"/>
              <w:ind w:firstLine="0" w:firstLineChars="0"/>
              <w:rPr>
                <w:rFonts w:ascii="宋体" w:cs="宋体"/>
                <w:color w:val="000000"/>
                <w:kern w:val="0"/>
                <w:sz w:val="20"/>
              </w:rPr>
            </w:pPr>
            <w:r>
              <w:rPr>
                <w:rFonts w:ascii="宋体" w:cs="宋体"/>
                <w:color w:val="000000"/>
                <w:kern w:val="0"/>
                <w:sz w:val="20"/>
              </w:rPr>
              <w:t>2.</w:t>
            </w:r>
            <w:r>
              <w:rPr>
                <w:rFonts w:hint="eastAsia" w:ascii="宋体" w:cs="宋体"/>
                <w:color w:val="000000"/>
                <w:kern w:val="0"/>
                <w:sz w:val="20"/>
              </w:rPr>
              <w:t>型号</w:t>
            </w:r>
            <w:r>
              <w:rPr>
                <w:rFonts w:ascii="宋体" w:cs="宋体"/>
                <w:color w:val="000000"/>
                <w:kern w:val="0"/>
                <w:sz w:val="20"/>
              </w:rPr>
              <w:t>:1*400</w:t>
            </w:r>
          </w:p>
        </w:tc>
        <w:tc>
          <w:tcPr>
            <w:tcW w:w="992"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个</w:t>
            </w:r>
          </w:p>
        </w:tc>
        <w:tc>
          <w:tcPr>
            <w:tcW w:w="993"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16</w:t>
            </w:r>
          </w:p>
        </w:tc>
        <w:tc>
          <w:tcPr>
            <w:tcW w:w="113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1152" w:type="dxa"/>
            <w:shd w:val="solid" w:color="FFFFFF" w:fill="FFFFFF"/>
          </w:tcPr>
          <w:p>
            <w:pPr>
              <w:autoSpaceDE w:val="0"/>
              <w:autoSpaceDN w:val="0"/>
              <w:ind w:firstLine="0" w:firstLineChars="0"/>
              <w:rPr>
                <w:rFonts w:ascii="宋体" w:cs="宋体"/>
                <w:color w:val="000000"/>
                <w:kern w:val="0"/>
                <w:sz w:val="20"/>
              </w:rPr>
            </w:pPr>
            <w:r>
              <w:rPr>
                <w:rFonts w:hint="eastAsia" w:ascii="宋体" w:cs="宋体"/>
                <w:color w:val="000000"/>
                <w:kern w:val="0"/>
                <w:sz w:val="20"/>
              </w:rPr>
              <w:t>含材料和人工费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482" w:hRule="atLeast"/>
        </w:trPr>
        <w:tc>
          <w:tcPr>
            <w:tcW w:w="709" w:type="dxa"/>
            <w:shd w:val="solid" w:color="FFFFFF" w:fill="FFFFFF"/>
          </w:tcPr>
          <w:p>
            <w:pPr>
              <w:autoSpaceDE w:val="0"/>
              <w:autoSpaceDN w:val="0"/>
              <w:ind w:firstLine="402"/>
              <w:rPr>
                <w:rFonts w:ascii="宋体" w:cs="宋体"/>
                <w:b/>
                <w:color w:val="000000"/>
                <w:kern w:val="0"/>
                <w:sz w:val="20"/>
              </w:rPr>
            </w:pPr>
            <w:r>
              <w:rPr>
                <w:rFonts w:hint="eastAsia" w:ascii="宋体" w:cs="宋体"/>
                <w:b/>
                <w:color w:val="000000"/>
                <w:kern w:val="0"/>
                <w:sz w:val="20"/>
              </w:rPr>
              <w:t>二</w:t>
            </w:r>
          </w:p>
        </w:tc>
        <w:tc>
          <w:tcPr>
            <w:tcW w:w="1418" w:type="dxa"/>
            <w:shd w:val="solid" w:color="FFFFFF" w:fill="FFFFFF"/>
          </w:tcPr>
          <w:p>
            <w:pPr>
              <w:autoSpaceDE w:val="0"/>
              <w:autoSpaceDN w:val="0"/>
              <w:ind w:firstLine="402"/>
              <w:rPr>
                <w:rFonts w:ascii="宋体" w:cs="宋体"/>
                <w:b/>
                <w:color w:val="000000"/>
                <w:kern w:val="0"/>
                <w:sz w:val="20"/>
              </w:rPr>
            </w:pPr>
            <w:r>
              <w:rPr>
                <w:rFonts w:hint="eastAsia" w:ascii="宋体" w:cs="宋体"/>
                <w:b/>
                <w:color w:val="000000"/>
                <w:kern w:val="0"/>
                <w:sz w:val="20"/>
              </w:rPr>
              <w:t>拆除</w:t>
            </w:r>
          </w:p>
        </w:tc>
        <w:tc>
          <w:tcPr>
            <w:tcW w:w="198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993" w:type="dxa"/>
            <w:shd w:val="solid" w:color="FFFFFF" w:fill="FFFFFF"/>
          </w:tcPr>
          <w:p>
            <w:pPr>
              <w:autoSpaceDE w:val="0"/>
              <w:autoSpaceDN w:val="0"/>
              <w:ind w:firstLine="400"/>
              <w:rPr>
                <w:rFonts w:ascii="宋体" w:cs="宋体"/>
                <w:color w:val="000000"/>
                <w:kern w:val="0"/>
                <w:sz w:val="20"/>
              </w:rPr>
            </w:pPr>
          </w:p>
        </w:tc>
        <w:tc>
          <w:tcPr>
            <w:tcW w:w="113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1152" w:type="dxa"/>
            <w:shd w:val="solid" w:color="FFFFFF" w:fill="FFFFFF"/>
          </w:tcPr>
          <w:p>
            <w:pPr>
              <w:autoSpaceDE w:val="0"/>
              <w:autoSpaceDN w:val="0"/>
              <w:ind w:firstLine="400"/>
              <w:rPr>
                <w:rFonts w:ascii="宋体" w:cs="宋体"/>
                <w:color w:val="000000"/>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754" w:hRule="atLeast"/>
        </w:trPr>
        <w:tc>
          <w:tcPr>
            <w:tcW w:w="709" w:type="dxa"/>
            <w:shd w:val="solid" w:color="FFFFFF" w:fill="FFFFFF"/>
          </w:tcPr>
          <w:p>
            <w:pPr>
              <w:autoSpaceDE w:val="0"/>
              <w:autoSpaceDN w:val="0"/>
              <w:ind w:firstLine="400"/>
              <w:rPr>
                <w:rFonts w:ascii="宋体" w:cs="宋体"/>
                <w:color w:val="000000"/>
                <w:kern w:val="0"/>
                <w:sz w:val="20"/>
              </w:rPr>
            </w:pPr>
          </w:p>
        </w:tc>
        <w:tc>
          <w:tcPr>
            <w:tcW w:w="1418" w:type="dxa"/>
            <w:shd w:val="solid" w:color="FFFFFF" w:fill="FFFFFF"/>
          </w:tcPr>
          <w:p>
            <w:pPr>
              <w:autoSpaceDE w:val="0"/>
              <w:autoSpaceDN w:val="0"/>
              <w:ind w:firstLineChars="100"/>
              <w:rPr>
                <w:rFonts w:ascii="宋体" w:cs="宋体"/>
                <w:color w:val="000000"/>
                <w:kern w:val="0"/>
                <w:sz w:val="20"/>
              </w:rPr>
            </w:pPr>
            <w:r>
              <w:rPr>
                <w:rFonts w:hint="eastAsia" w:ascii="宋体" w:cs="宋体"/>
                <w:color w:val="000000"/>
                <w:kern w:val="0"/>
                <w:sz w:val="20"/>
              </w:rPr>
              <w:t>氧化镁电缆拆除</w:t>
            </w:r>
          </w:p>
        </w:tc>
        <w:tc>
          <w:tcPr>
            <w:tcW w:w="1984" w:type="dxa"/>
            <w:shd w:val="solid" w:color="FFFFFF" w:fill="FFFFFF"/>
          </w:tcPr>
          <w:p>
            <w:pPr>
              <w:autoSpaceDE w:val="0"/>
              <w:autoSpaceDN w:val="0"/>
              <w:ind w:firstLine="0" w:firstLineChars="0"/>
              <w:rPr>
                <w:rFonts w:ascii="宋体" w:cs="宋体"/>
                <w:color w:val="000000"/>
                <w:kern w:val="0"/>
                <w:sz w:val="20"/>
              </w:rPr>
            </w:pPr>
            <w:r>
              <w:rPr>
                <w:rFonts w:hint="eastAsia" w:ascii="宋体" w:cs="宋体"/>
                <w:color w:val="000000"/>
                <w:kern w:val="0"/>
                <w:sz w:val="20"/>
              </w:rPr>
              <w:t>型号</w:t>
            </w:r>
            <w:r>
              <w:rPr>
                <w:rFonts w:ascii="宋体" w:cs="宋体"/>
                <w:color w:val="000000"/>
                <w:kern w:val="0"/>
                <w:sz w:val="20"/>
              </w:rPr>
              <w:t>:BTTZ-1</w:t>
            </w:r>
            <w:r>
              <w:rPr>
                <w:rFonts w:hint="eastAsia" w:ascii="宋体" w:cs="宋体"/>
                <w:color w:val="000000"/>
                <w:kern w:val="0"/>
                <w:sz w:val="20"/>
              </w:rPr>
              <w:t>×</w:t>
            </w:r>
            <w:r>
              <w:rPr>
                <w:rFonts w:ascii="宋体" w:cs="宋体"/>
                <w:color w:val="000000"/>
                <w:kern w:val="0"/>
                <w:sz w:val="20"/>
              </w:rPr>
              <w:t>300</w:t>
            </w:r>
          </w:p>
        </w:tc>
        <w:tc>
          <w:tcPr>
            <w:tcW w:w="992"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米</w:t>
            </w:r>
          </w:p>
        </w:tc>
        <w:tc>
          <w:tcPr>
            <w:tcW w:w="993" w:type="dxa"/>
            <w:shd w:val="solid" w:color="FFFFFF" w:fill="FFFFFF"/>
            <w:vAlign w:val="center"/>
          </w:tcPr>
          <w:p>
            <w:pPr>
              <w:autoSpaceDE w:val="0"/>
              <w:autoSpaceDN w:val="0"/>
              <w:ind w:firstLineChars="100"/>
              <w:rPr>
                <w:rFonts w:ascii="宋体" w:cs="宋体"/>
                <w:color w:val="000000"/>
                <w:kern w:val="0"/>
                <w:sz w:val="20"/>
              </w:rPr>
            </w:pPr>
            <w:r>
              <w:rPr>
                <w:rFonts w:ascii="宋体" w:cs="宋体"/>
                <w:color w:val="000000"/>
                <w:kern w:val="0"/>
                <w:sz w:val="20"/>
              </w:rPr>
              <w:t>1400</w:t>
            </w:r>
          </w:p>
        </w:tc>
        <w:tc>
          <w:tcPr>
            <w:tcW w:w="113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1152" w:type="dxa"/>
            <w:shd w:val="solid" w:color="FFFFFF" w:fill="FFFFFF"/>
          </w:tcPr>
          <w:p>
            <w:pPr>
              <w:autoSpaceDE w:val="0"/>
              <w:autoSpaceDN w:val="0"/>
              <w:ind w:firstLine="0" w:firstLineChars="0"/>
              <w:rPr>
                <w:rFonts w:ascii="宋体" w:cs="宋体"/>
                <w:color w:val="000000"/>
                <w:kern w:val="0"/>
                <w:sz w:val="20"/>
              </w:rPr>
            </w:pPr>
            <w:r>
              <w:rPr>
                <w:rFonts w:hint="eastAsia" w:ascii="宋体" w:cs="宋体"/>
                <w:color w:val="000000"/>
                <w:kern w:val="0"/>
                <w:sz w:val="20"/>
              </w:rPr>
              <w:t>含材料运输费</w:t>
            </w:r>
          </w:p>
          <w:p>
            <w:pPr>
              <w:autoSpaceDE w:val="0"/>
              <w:autoSpaceDN w:val="0"/>
              <w:ind w:firstLine="400"/>
              <w:rPr>
                <w:rFonts w:ascii="宋体" w:cs="宋体"/>
                <w:color w:val="000000"/>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754" w:hRule="atLeast"/>
        </w:trPr>
        <w:tc>
          <w:tcPr>
            <w:tcW w:w="709" w:type="dxa"/>
            <w:shd w:val="solid" w:color="FFFFFF" w:fill="FFFFFF"/>
          </w:tcPr>
          <w:p>
            <w:pPr>
              <w:autoSpaceDE w:val="0"/>
              <w:autoSpaceDN w:val="0"/>
              <w:ind w:firstLine="400"/>
              <w:rPr>
                <w:rFonts w:ascii="宋体" w:cs="宋体"/>
                <w:color w:val="000000"/>
                <w:kern w:val="0"/>
                <w:sz w:val="20"/>
              </w:rPr>
            </w:pPr>
          </w:p>
        </w:tc>
        <w:tc>
          <w:tcPr>
            <w:tcW w:w="1418" w:type="dxa"/>
            <w:shd w:val="solid" w:color="FFFFFF" w:fill="FFFFFF"/>
          </w:tcPr>
          <w:p>
            <w:pPr>
              <w:autoSpaceDE w:val="0"/>
              <w:autoSpaceDN w:val="0"/>
              <w:ind w:firstLineChars="100"/>
              <w:rPr>
                <w:rFonts w:ascii="宋体" w:cs="宋体"/>
                <w:color w:val="000000"/>
                <w:kern w:val="0"/>
                <w:sz w:val="20"/>
              </w:rPr>
            </w:pPr>
            <w:r>
              <w:rPr>
                <w:rFonts w:hint="eastAsia" w:ascii="宋体" w:cs="宋体"/>
                <w:color w:val="000000"/>
                <w:kern w:val="0"/>
                <w:sz w:val="20"/>
              </w:rPr>
              <w:t>氧化镁电缆拆除</w:t>
            </w:r>
          </w:p>
        </w:tc>
        <w:tc>
          <w:tcPr>
            <w:tcW w:w="1984" w:type="dxa"/>
            <w:shd w:val="solid" w:color="FFFFFF" w:fill="FFFFFF"/>
          </w:tcPr>
          <w:p>
            <w:pPr>
              <w:autoSpaceDE w:val="0"/>
              <w:autoSpaceDN w:val="0"/>
              <w:ind w:firstLine="0" w:firstLineChars="0"/>
              <w:rPr>
                <w:rFonts w:ascii="宋体" w:cs="宋体"/>
                <w:color w:val="000000"/>
                <w:kern w:val="0"/>
                <w:sz w:val="20"/>
              </w:rPr>
            </w:pPr>
            <w:r>
              <w:rPr>
                <w:rFonts w:hint="eastAsia" w:ascii="宋体" w:cs="宋体"/>
                <w:color w:val="000000"/>
                <w:kern w:val="0"/>
                <w:sz w:val="20"/>
              </w:rPr>
              <w:t>型号</w:t>
            </w:r>
            <w:r>
              <w:rPr>
                <w:rFonts w:ascii="宋体" w:cs="宋体"/>
                <w:color w:val="000000"/>
                <w:kern w:val="0"/>
                <w:sz w:val="20"/>
              </w:rPr>
              <w:t>:BTTZ-1</w:t>
            </w:r>
            <w:r>
              <w:rPr>
                <w:rFonts w:hint="eastAsia" w:ascii="宋体" w:cs="宋体"/>
                <w:color w:val="000000"/>
                <w:kern w:val="0"/>
                <w:sz w:val="20"/>
              </w:rPr>
              <w:t>×</w:t>
            </w:r>
            <w:r>
              <w:rPr>
                <w:rFonts w:ascii="宋体" w:cs="宋体"/>
                <w:color w:val="000000"/>
                <w:kern w:val="0"/>
                <w:sz w:val="20"/>
              </w:rPr>
              <w:t>400</w:t>
            </w:r>
          </w:p>
        </w:tc>
        <w:tc>
          <w:tcPr>
            <w:tcW w:w="992"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米</w:t>
            </w:r>
          </w:p>
        </w:tc>
        <w:tc>
          <w:tcPr>
            <w:tcW w:w="993" w:type="dxa"/>
            <w:shd w:val="solid" w:color="FFFFFF" w:fill="FFFFFF"/>
          </w:tcPr>
          <w:p>
            <w:pPr>
              <w:autoSpaceDE w:val="0"/>
              <w:autoSpaceDN w:val="0"/>
              <w:ind w:firstLineChars="100"/>
              <w:rPr>
                <w:rFonts w:ascii="宋体" w:cs="宋体"/>
                <w:color w:val="000000"/>
                <w:kern w:val="0"/>
                <w:sz w:val="20"/>
              </w:rPr>
            </w:pPr>
            <w:r>
              <w:rPr>
                <w:rFonts w:ascii="宋体" w:cs="宋体"/>
                <w:color w:val="000000"/>
                <w:kern w:val="0"/>
                <w:sz w:val="20"/>
              </w:rPr>
              <w:t>798</w:t>
            </w:r>
          </w:p>
        </w:tc>
        <w:tc>
          <w:tcPr>
            <w:tcW w:w="113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1152" w:type="dxa"/>
            <w:shd w:val="solid" w:color="FFFFFF" w:fill="FFFFFF"/>
          </w:tcPr>
          <w:p>
            <w:pPr>
              <w:autoSpaceDE w:val="0"/>
              <w:autoSpaceDN w:val="0"/>
              <w:ind w:firstLine="0" w:firstLineChars="0"/>
              <w:rPr>
                <w:rFonts w:ascii="宋体" w:cs="宋体"/>
                <w:color w:val="000000"/>
                <w:kern w:val="0"/>
                <w:sz w:val="20"/>
              </w:rPr>
            </w:pPr>
            <w:r>
              <w:rPr>
                <w:rFonts w:hint="eastAsia" w:ascii="宋体" w:cs="宋体"/>
                <w:color w:val="000000"/>
                <w:kern w:val="0"/>
                <w:sz w:val="20"/>
              </w:rPr>
              <w:t>含材料运输费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754" w:hRule="atLeast"/>
        </w:trPr>
        <w:tc>
          <w:tcPr>
            <w:tcW w:w="709" w:type="dxa"/>
            <w:shd w:val="solid" w:color="FFFFFF" w:fill="FFFFFF"/>
          </w:tcPr>
          <w:p>
            <w:pPr>
              <w:autoSpaceDE w:val="0"/>
              <w:autoSpaceDN w:val="0"/>
              <w:ind w:firstLine="400"/>
              <w:rPr>
                <w:rFonts w:ascii="宋体" w:cs="宋体"/>
                <w:color w:val="000000"/>
                <w:kern w:val="0"/>
                <w:sz w:val="20"/>
              </w:rPr>
            </w:pPr>
          </w:p>
        </w:tc>
        <w:tc>
          <w:tcPr>
            <w:tcW w:w="1418" w:type="dxa"/>
            <w:shd w:val="solid" w:color="FFFFFF" w:fill="FFFFFF"/>
          </w:tcPr>
          <w:p>
            <w:pPr>
              <w:autoSpaceDE w:val="0"/>
              <w:autoSpaceDN w:val="0"/>
              <w:ind w:firstLineChars="100"/>
              <w:rPr>
                <w:rFonts w:ascii="宋体" w:cs="宋体"/>
                <w:color w:val="000000"/>
                <w:kern w:val="0"/>
                <w:sz w:val="20"/>
              </w:rPr>
            </w:pPr>
            <w:r>
              <w:rPr>
                <w:rFonts w:hint="eastAsia" w:ascii="宋体" w:cs="宋体"/>
                <w:color w:val="000000"/>
                <w:kern w:val="0"/>
                <w:sz w:val="20"/>
              </w:rPr>
              <w:t>吊顶拆除及恢复</w:t>
            </w:r>
          </w:p>
        </w:tc>
        <w:tc>
          <w:tcPr>
            <w:tcW w:w="1984"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施工中必要的吊顶拆除及安装完后的恢复工作</w:t>
            </w:r>
          </w:p>
        </w:tc>
        <w:tc>
          <w:tcPr>
            <w:tcW w:w="992"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项</w:t>
            </w:r>
          </w:p>
        </w:tc>
        <w:tc>
          <w:tcPr>
            <w:tcW w:w="993" w:type="dxa"/>
            <w:shd w:val="solid" w:color="FFFFFF" w:fill="FFFFFF"/>
          </w:tcPr>
          <w:p>
            <w:pPr>
              <w:autoSpaceDE w:val="0"/>
              <w:autoSpaceDN w:val="0"/>
              <w:ind w:firstLine="400"/>
              <w:rPr>
                <w:rFonts w:ascii="宋体" w:cs="宋体"/>
                <w:color w:val="000000"/>
                <w:kern w:val="0"/>
                <w:sz w:val="20"/>
              </w:rPr>
            </w:pPr>
            <w:r>
              <w:rPr>
                <w:rFonts w:ascii="宋体" w:cs="宋体"/>
                <w:color w:val="000000"/>
                <w:kern w:val="0"/>
                <w:sz w:val="20"/>
              </w:rPr>
              <w:t>1</w:t>
            </w:r>
          </w:p>
        </w:tc>
        <w:tc>
          <w:tcPr>
            <w:tcW w:w="113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1152" w:type="dxa"/>
            <w:shd w:val="solid" w:color="FFFFFF" w:fill="FFFFFF"/>
          </w:tcPr>
          <w:p>
            <w:pPr>
              <w:autoSpaceDE w:val="0"/>
              <w:autoSpaceDN w:val="0"/>
              <w:ind w:firstLine="400"/>
              <w:rPr>
                <w:rFonts w:ascii="宋体" w:cs="宋体"/>
                <w:color w:val="000000"/>
                <w:kern w:val="0"/>
                <w:sz w:val="20"/>
              </w:rPr>
            </w:pPr>
          </w:p>
          <w:p>
            <w:pPr>
              <w:autoSpaceDE w:val="0"/>
              <w:autoSpaceDN w:val="0"/>
              <w:ind w:firstLine="400"/>
              <w:rPr>
                <w:rFonts w:ascii="宋体" w:cs="宋体"/>
                <w:color w:val="000000"/>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570" w:hRule="atLeast"/>
        </w:trPr>
        <w:tc>
          <w:tcPr>
            <w:tcW w:w="709" w:type="dxa"/>
            <w:shd w:val="solid" w:color="FFFFFF" w:fill="FFFFFF"/>
          </w:tcPr>
          <w:p>
            <w:pPr>
              <w:autoSpaceDE w:val="0"/>
              <w:autoSpaceDN w:val="0"/>
              <w:ind w:firstLine="402"/>
              <w:rPr>
                <w:rFonts w:ascii="宋体" w:cs="宋体"/>
                <w:b/>
                <w:color w:val="000000"/>
                <w:kern w:val="0"/>
                <w:sz w:val="20"/>
              </w:rPr>
            </w:pPr>
            <w:r>
              <w:rPr>
                <w:rFonts w:hint="eastAsia" w:ascii="宋体" w:cs="宋体"/>
                <w:b/>
                <w:color w:val="000000"/>
                <w:kern w:val="0"/>
                <w:sz w:val="20"/>
              </w:rPr>
              <w:t>三</w:t>
            </w:r>
          </w:p>
        </w:tc>
        <w:tc>
          <w:tcPr>
            <w:tcW w:w="1418" w:type="dxa"/>
            <w:shd w:val="solid" w:color="FFFFFF" w:fill="FFFFFF"/>
          </w:tcPr>
          <w:p>
            <w:pPr>
              <w:autoSpaceDE w:val="0"/>
              <w:autoSpaceDN w:val="0"/>
              <w:ind w:firstLine="402"/>
              <w:rPr>
                <w:rFonts w:ascii="宋体" w:cs="宋体"/>
                <w:b/>
                <w:color w:val="000000"/>
                <w:kern w:val="0"/>
                <w:sz w:val="20"/>
              </w:rPr>
            </w:pPr>
            <w:r>
              <w:rPr>
                <w:rFonts w:hint="eastAsia" w:ascii="宋体" w:cs="宋体"/>
                <w:b/>
                <w:color w:val="000000"/>
                <w:kern w:val="0"/>
                <w:sz w:val="20"/>
              </w:rPr>
              <w:t>措施费</w:t>
            </w:r>
          </w:p>
        </w:tc>
        <w:tc>
          <w:tcPr>
            <w:tcW w:w="198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993" w:type="dxa"/>
            <w:shd w:val="solid" w:color="FFFFFF" w:fill="FFFFFF"/>
          </w:tcPr>
          <w:p>
            <w:pPr>
              <w:autoSpaceDE w:val="0"/>
              <w:autoSpaceDN w:val="0"/>
              <w:ind w:firstLine="400"/>
              <w:rPr>
                <w:rFonts w:ascii="宋体" w:cs="宋体"/>
                <w:color w:val="000000"/>
                <w:kern w:val="0"/>
                <w:sz w:val="20"/>
              </w:rPr>
            </w:pPr>
          </w:p>
        </w:tc>
        <w:tc>
          <w:tcPr>
            <w:tcW w:w="113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1152" w:type="dxa"/>
            <w:shd w:val="solid" w:color="FFFFFF" w:fill="FFFFFF"/>
          </w:tcPr>
          <w:p>
            <w:pPr>
              <w:autoSpaceDE w:val="0"/>
              <w:autoSpaceDN w:val="0"/>
              <w:ind w:firstLine="400"/>
              <w:rPr>
                <w:rFonts w:ascii="宋体" w:cs="宋体"/>
                <w:color w:val="000000"/>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754" w:hRule="atLeast"/>
        </w:trPr>
        <w:tc>
          <w:tcPr>
            <w:tcW w:w="709" w:type="dxa"/>
            <w:shd w:val="solid" w:color="FFFFFF" w:fill="FFFFFF"/>
          </w:tcPr>
          <w:p>
            <w:pPr>
              <w:autoSpaceDE w:val="0"/>
              <w:autoSpaceDN w:val="0"/>
              <w:ind w:firstLine="400"/>
              <w:rPr>
                <w:rFonts w:ascii="宋体" w:cs="宋体"/>
                <w:color w:val="000000"/>
                <w:kern w:val="0"/>
                <w:sz w:val="20"/>
              </w:rPr>
            </w:pPr>
          </w:p>
        </w:tc>
        <w:tc>
          <w:tcPr>
            <w:tcW w:w="1418"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成品保护</w:t>
            </w:r>
          </w:p>
        </w:tc>
        <w:tc>
          <w:tcPr>
            <w:tcW w:w="1984" w:type="dxa"/>
            <w:shd w:val="solid" w:color="FFFFFF" w:fill="FFFFFF"/>
          </w:tcPr>
          <w:p>
            <w:pPr>
              <w:autoSpaceDE w:val="0"/>
              <w:autoSpaceDN w:val="0"/>
              <w:ind w:firstLine="400"/>
              <w:rPr>
                <w:rFonts w:ascii="宋体" w:cs="宋体"/>
                <w:color w:val="000000"/>
                <w:kern w:val="0"/>
                <w:sz w:val="20"/>
              </w:rPr>
            </w:pPr>
            <w:r>
              <w:rPr>
                <w:rFonts w:ascii="宋体" w:cs="宋体"/>
                <w:color w:val="000000"/>
                <w:kern w:val="0"/>
                <w:sz w:val="20"/>
              </w:rPr>
              <w:t>1.</w:t>
            </w:r>
            <w:r>
              <w:rPr>
                <w:rFonts w:hint="eastAsia" w:ascii="宋体" w:cs="宋体"/>
                <w:color w:val="000000"/>
                <w:kern w:val="0"/>
                <w:sz w:val="20"/>
              </w:rPr>
              <w:t>施工中必要的成品保护及保护性拆除</w:t>
            </w:r>
          </w:p>
          <w:p>
            <w:pPr>
              <w:autoSpaceDE w:val="0"/>
              <w:autoSpaceDN w:val="0"/>
              <w:ind w:firstLine="400"/>
              <w:rPr>
                <w:rFonts w:ascii="宋体" w:cs="宋体"/>
                <w:color w:val="000000"/>
                <w:kern w:val="0"/>
                <w:sz w:val="20"/>
              </w:rPr>
            </w:pPr>
            <w:r>
              <w:rPr>
                <w:rFonts w:hint="eastAsia" w:ascii="宋体" w:cs="宋体"/>
                <w:color w:val="000000"/>
                <w:kern w:val="0"/>
                <w:sz w:val="20"/>
              </w:rPr>
              <w:t>2. 对现有部分灯具和吊顶支架的调整</w:t>
            </w:r>
          </w:p>
        </w:tc>
        <w:tc>
          <w:tcPr>
            <w:tcW w:w="992"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项</w:t>
            </w:r>
          </w:p>
        </w:tc>
        <w:tc>
          <w:tcPr>
            <w:tcW w:w="993" w:type="dxa"/>
            <w:shd w:val="solid" w:color="FFFFFF" w:fill="FFFFFF"/>
          </w:tcPr>
          <w:p>
            <w:pPr>
              <w:autoSpaceDE w:val="0"/>
              <w:autoSpaceDN w:val="0"/>
              <w:ind w:firstLine="400"/>
              <w:rPr>
                <w:rFonts w:ascii="宋体" w:cs="宋体"/>
                <w:color w:val="000000"/>
                <w:kern w:val="0"/>
                <w:sz w:val="20"/>
              </w:rPr>
            </w:pPr>
            <w:r>
              <w:rPr>
                <w:rFonts w:ascii="宋体" w:cs="宋体"/>
                <w:color w:val="000000"/>
                <w:kern w:val="0"/>
                <w:sz w:val="20"/>
              </w:rPr>
              <w:t>1</w:t>
            </w:r>
          </w:p>
        </w:tc>
        <w:tc>
          <w:tcPr>
            <w:tcW w:w="113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1152" w:type="dxa"/>
            <w:shd w:val="solid" w:color="FFFFFF" w:fill="FFFFFF"/>
          </w:tcPr>
          <w:p>
            <w:pPr>
              <w:autoSpaceDE w:val="0"/>
              <w:autoSpaceDN w:val="0"/>
              <w:ind w:firstLine="400"/>
              <w:rPr>
                <w:rFonts w:ascii="宋体" w:cs="宋体"/>
                <w:color w:val="000000"/>
                <w:kern w:val="0"/>
                <w:sz w:val="20"/>
              </w:rPr>
            </w:pPr>
          </w:p>
          <w:p>
            <w:pPr>
              <w:autoSpaceDE w:val="0"/>
              <w:autoSpaceDN w:val="0"/>
              <w:ind w:firstLine="400"/>
              <w:rPr>
                <w:rFonts w:ascii="宋体" w:cs="宋体"/>
                <w:color w:val="000000"/>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571" w:hRule="atLeast"/>
        </w:trPr>
        <w:tc>
          <w:tcPr>
            <w:tcW w:w="709" w:type="dxa"/>
            <w:shd w:val="solid" w:color="FFFFFF" w:fill="FFFFFF"/>
          </w:tcPr>
          <w:p>
            <w:pPr>
              <w:autoSpaceDE w:val="0"/>
              <w:autoSpaceDN w:val="0"/>
              <w:ind w:firstLine="402"/>
              <w:rPr>
                <w:rFonts w:ascii="宋体" w:cs="宋体"/>
                <w:b/>
                <w:color w:val="000000"/>
                <w:kern w:val="0"/>
                <w:sz w:val="20"/>
              </w:rPr>
            </w:pPr>
            <w:r>
              <w:rPr>
                <w:rFonts w:hint="eastAsia" w:ascii="宋体" w:cs="宋体"/>
                <w:b/>
                <w:color w:val="000000"/>
                <w:kern w:val="0"/>
                <w:sz w:val="20"/>
              </w:rPr>
              <w:t>四</w:t>
            </w:r>
          </w:p>
        </w:tc>
        <w:tc>
          <w:tcPr>
            <w:tcW w:w="1418" w:type="dxa"/>
            <w:shd w:val="solid" w:color="FFFFFF" w:fill="FFFFFF"/>
          </w:tcPr>
          <w:p>
            <w:pPr>
              <w:autoSpaceDE w:val="0"/>
              <w:autoSpaceDN w:val="0"/>
              <w:ind w:firstLine="402"/>
              <w:rPr>
                <w:rFonts w:ascii="宋体" w:cs="宋体"/>
                <w:b/>
                <w:color w:val="000000"/>
                <w:kern w:val="0"/>
                <w:sz w:val="20"/>
              </w:rPr>
            </w:pPr>
            <w:r>
              <w:rPr>
                <w:rFonts w:hint="eastAsia" w:ascii="宋体" w:cs="宋体"/>
                <w:b/>
                <w:color w:val="000000"/>
                <w:kern w:val="0"/>
                <w:sz w:val="20"/>
              </w:rPr>
              <w:t>测试</w:t>
            </w:r>
          </w:p>
        </w:tc>
        <w:tc>
          <w:tcPr>
            <w:tcW w:w="1984" w:type="dxa"/>
          </w:tcPr>
          <w:p>
            <w:pPr>
              <w:autoSpaceDE w:val="0"/>
              <w:autoSpaceDN w:val="0"/>
              <w:ind w:firstLine="440"/>
              <w:rPr>
                <w:rFonts w:ascii="宋体" w:cs="宋体"/>
                <w:color w:val="000000"/>
                <w:kern w:val="0"/>
                <w:sz w:val="22"/>
              </w:rPr>
            </w:pPr>
          </w:p>
        </w:tc>
        <w:tc>
          <w:tcPr>
            <w:tcW w:w="992" w:type="dxa"/>
            <w:shd w:val="solid" w:color="FFFFFF" w:fill="FFFFFF"/>
          </w:tcPr>
          <w:p>
            <w:pPr>
              <w:autoSpaceDE w:val="0"/>
              <w:autoSpaceDN w:val="0"/>
              <w:ind w:firstLine="400"/>
              <w:rPr>
                <w:rFonts w:ascii="宋体" w:cs="宋体"/>
                <w:color w:val="000000"/>
                <w:kern w:val="0"/>
                <w:sz w:val="20"/>
              </w:rPr>
            </w:pPr>
          </w:p>
        </w:tc>
        <w:tc>
          <w:tcPr>
            <w:tcW w:w="993" w:type="dxa"/>
            <w:shd w:val="solid" w:color="FFFFFF" w:fill="FFFFFF"/>
          </w:tcPr>
          <w:p>
            <w:pPr>
              <w:autoSpaceDE w:val="0"/>
              <w:autoSpaceDN w:val="0"/>
              <w:ind w:firstLine="400"/>
              <w:rPr>
                <w:rFonts w:ascii="宋体" w:cs="宋体"/>
                <w:color w:val="000000"/>
                <w:kern w:val="0"/>
                <w:sz w:val="20"/>
              </w:rPr>
            </w:pPr>
          </w:p>
        </w:tc>
        <w:tc>
          <w:tcPr>
            <w:tcW w:w="113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1152" w:type="dxa"/>
            <w:shd w:val="solid" w:color="FFFFFF" w:fill="FFFFFF"/>
          </w:tcPr>
          <w:p>
            <w:pPr>
              <w:autoSpaceDE w:val="0"/>
              <w:autoSpaceDN w:val="0"/>
              <w:ind w:firstLine="400"/>
              <w:rPr>
                <w:rFonts w:ascii="宋体" w:cs="宋体"/>
                <w:color w:val="000000"/>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571" w:hRule="atLeast"/>
        </w:trPr>
        <w:tc>
          <w:tcPr>
            <w:tcW w:w="709" w:type="dxa"/>
            <w:shd w:val="solid" w:color="FFFFFF" w:fill="FFFFFF"/>
          </w:tcPr>
          <w:p>
            <w:pPr>
              <w:autoSpaceDE w:val="0"/>
              <w:autoSpaceDN w:val="0"/>
              <w:ind w:firstLine="400"/>
              <w:rPr>
                <w:rFonts w:ascii="宋体" w:cs="宋体"/>
                <w:color w:val="000000"/>
                <w:kern w:val="0"/>
                <w:sz w:val="20"/>
              </w:rPr>
            </w:pPr>
          </w:p>
        </w:tc>
        <w:tc>
          <w:tcPr>
            <w:tcW w:w="1418" w:type="dxa"/>
            <w:shd w:val="solid" w:color="FFFFFF" w:fill="FFFFFF"/>
          </w:tcPr>
          <w:p>
            <w:pPr>
              <w:autoSpaceDE w:val="0"/>
              <w:autoSpaceDN w:val="0"/>
              <w:ind w:firstLine="0" w:firstLineChars="0"/>
              <w:rPr>
                <w:rFonts w:ascii="宋体" w:cs="宋体"/>
                <w:color w:val="000000"/>
                <w:kern w:val="0"/>
                <w:sz w:val="20"/>
              </w:rPr>
            </w:pPr>
            <w:r>
              <w:rPr>
                <w:rFonts w:hint="eastAsia" w:ascii="宋体" w:cs="宋体"/>
                <w:color w:val="000000"/>
                <w:kern w:val="0"/>
                <w:sz w:val="20"/>
              </w:rPr>
              <w:t>配合进行柴油发电机带载测试</w:t>
            </w:r>
          </w:p>
        </w:tc>
        <w:tc>
          <w:tcPr>
            <w:tcW w:w="1984" w:type="dxa"/>
          </w:tcPr>
          <w:p>
            <w:pPr>
              <w:autoSpaceDE w:val="0"/>
              <w:autoSpaceDN w:val="0"/>
              <w:ind w:firstLine="400"/>
              <w:rPr>
                <w:rFonts w:ascii="宋体" w:cs="宋体"/>
                <w:color w:val="000000"/>
                <w:kern w:val="0"/>
                <w:sz w:val="20"/>
              </w:rPr>
            </w:pPr>
            <w:r>
              <w:rPr>
                <w:rFonts w:hint="eastAsia" w:ascii="宋体" w:cs="宋体"/>
                <w:color w:val="000000"/>
                <w:kern w:val="0"/>
                <w:sz w:val="20"/>
              </w:rPr>
              <w:t>带载测试要求见合同附件1</w:t>
            </w:r>
          </w:p>
        </w:tc>
        <w:tc>
          <w:tcPr>
            <w:tcW w:w="992"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项</w:t>
            </w:r>
          </w:p>
        </w:tc>
        <w:tc>
          <w:tcPr>
            <w:tcW w:w="993" w:type="dxa"/>
            <w:shd w:val="solid" w:color="FFFFFF" w:fill="FFFFFF"/>
          </w:tcPr>
          <w:p>
            <w:pPr>
              <w:autoSpaceDE w:val="0"/>
              <w:autoSpaceDN w:val="0"/>
              <w:ind w:firstLine="400"/>
              <w:rPr>
                <w:rFonts w:ascii="宋体" w:cs="宋体"/>
                <w:color w:val="000000"/>
                <w:kern w:val="0"/>
                <w:sz w:val="20"/>
              </w:rPr>
            </w:pPr>
            <w:r>
              <w:rPr>
                <w:rFonts w:hint="eastAsia" w:ascii="宋体" w:cs="宋体"/>
                <w:color w:val="000000"/>
                <w:kern w:val="0"/>
                <w:sz w:val="20"/>
              </w:rPr>
              <w:t>1</w:t>
            </w:r>
          </w:p>
        </w:tc>
        <w:tc>
          <w:tcPr>
            <w:tcW w:w="113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1152" w:type="dxa"/>
            <w:shd w:val="solid" w:color="FFFFFF" w:fill="FFFFFF"/>
          </w:tcPr>
          <w:p>
            <w:pPr>
              <w:autoSpaceDE w:val="0"/>
              <w:autoSpaceDN w:val="0"/>
              <w:ind w:firstLine="400"/>
              <w:rPr>
                <w:rFonts w:ascii="宋体" w:cs="宋体"/>
                <w:color w:val="000000"/>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571" w:hRule="atLeast"/>
        </w:trPr>
        <w:tc>
          <w:tcPr>
            <w:tcW w:w="709" w:type="dxa"/>
            <w:shd w:val="solid" w:color="FFFFFF" w:fill="FFFFFF"/>
          </w:tcPr>
          <w:p>
            <w:pPr>
              <w:autoSpaceDE w:val="0"/>
              <w:autoSpaceDN w:val="0"/>
              <w:ind w:firstLine="402"/>
              <w:rPr>
                <w:rFonts w:ascii="宋体" w:cs="宋体"/>
                <w:b/>
                <w:color w:val="000000"/>
                <w:kern w:val="0"/>
                <w:sz w:val="20"/>
              </w:rPr>
            </w:pPr>
            <w:r>
              <w:rPr>
                <w:rFonts w:hint="eastAsia" w:ascii="宋体" w:cs="宋体"/>
                <w:b/>
                <w:color w:val="000000"/>
                <w:kern w:val="0"/>
                <w:sz w:val="20"/>
              </w:rPr>
              <w:t>五</w:t>
            </w:r>
          </w:p>
        </w:tc>
        <w:tc>
          <w:tcPr>
            <w:tcW w:w="1418" w:type="dxa"/>
            <w:shd w:val="solid" w:color="FFFFFF" w:fill="FFFFFF"/>
          </w:tcPr>
          <w:p>
            <w:pPr>
              <w:autoSpaceDE w:val="0"/>
              <w:autoSpaceDN w:val="0"/>
              <w:ind w:firstLine="402"/>
              <w:rPr>
                <w:rFonts w:ascii="宋体" w:cs="宋体"/>
                <w:b/>
                <w:color w:val="000000"/>
                <w:kern w:val="0"/>
                <w:sz w:val="20"/>
              </w:rPr>
            </w:pPr>
            <w:r>
              <w:rPr>
                <w:rFonts w:hint="eastAsia" w:ascii="宋体" w:cs="宋体"/>
                <w:b/>
                <w:color w:val="000000"/>
                <w:kern w:val="0"/>
                <w:sz w:val="20"/>
              </w:rPr>
              <w:t>其它</w:t>
            </w:r>
          </w:p>
        </w:tc>
        <w:tc>
          <w:tcPr>
            <w:tcW w:w="1984" w:type="dxa"/>
          </w:tcPr>
          <w:p>
            <w:pPr>
              <w:autoSpaceDE w:val="0"/>
              <w:autoSpaceDN w:val="0"/>
              <w:ind w:firstLine="440"/>
              <w:rPr>
                <w:rFonts w:ascii="宋体" w:cs="宋体"/>
                <w:color w:val="000000"/>
                <w:kern w:val="0"/>
                <w:sz w:val="22"/>
              </w:rPr>
            </w:pPr>
          </w:p>
        </w:tc>
        <w:tc>
          <w:tcPr>
            <w:tcW w:w="992" w:type="dxa"/>
            <w:shd w:val="solid" w:color="FFFFFF" w:fill="FFFFFF"/>
          </w:tcPr>
          <w:p>
            <w:pPr>
              <w:autoSpaceDE w:val="0"/>
              <w:autoSpaceDN w:val="0"/>
              <w:ind w:firstLine="400"/>
              <w:rPr>
                <w:rFonts w:ascii="宋体" w:cs="宋体"/>
                <w:color w:val="000000"/>
                <w:kern w:val="0"/>
                <w:sz w:val="20"/>
              </w:rPr>
            </w:pPr>
          </w:p>
        </w:tc>
        <w:tc>
          <w:tcPr>
            <w:tcW w:w="993" w:type="dxa"/>
            <w:shd w:val="solid" w:color="FFFFFF" w:fill="FFFFFF"/>
          </w:tcPr>
          <w:p>
            <w:pPr>
              <w:autoSpaceDE w:val="0"/>
              <w:autoSpaceDN w:val="0"/>
              <w:ind w:firstLine="400"/>
              <w:rPr>
                <w:rFonts w:ascii="宋体" w:cs="宋体"/>
                <w:color w:val="000000"/>
                <w:kern w:val="0"/>
                <w:sz w:val="20"/>
              </w:rPr>
            </w:pPr>
          </w:p>
        </w:tc>
        <w:tc>
          <w:tcPr>
            <w:tcW w:w="113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1152" w:type="dxa"/>
            <w:shd w:val="solid" w:color="FFFFFF" w:fill="FFFFFF"/>
          </w:tcPr>
          <w:p>
            <w:pPr>
              <w:autoSpaceDE w:val="0"/>
              <w:autoSpaceDN w:val="0"/>
              <w:ind w:firstLine="400"/>
              <w:rPr>
                <w:rFonts w:ascii="宋体" w:cs="宋体"/>
                <w:color w:val="000000"/>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482" w:hRule="atLeast"/>
        </w:trPr>
        <w:tc>
          <w:tcPr>
            <w:tcW w:w="709" w:type="dxa"/>
            <w:shd w:val="solid" w:color="FFFFFF" w:fill="FFFFFF"/>
          </w:tcPr>
          <w:p>
            <w:pPr>
              <w:autoSpaceDE w:val="0"/>
              <w:autoSpaceDN w:val="0"/>
              <w:ind w:firstLine="402"/>
              <w:rPr>
                <w:rFonts w:ascii="宋体" w:cs="宋体"/>
                <w:b/>
                <w:color w:val="000000"/>
                <w:kern w:val="0"/>
                <w:sz w:val="20"/>
              </w:rPr>
            </w:pPr>
            <w:r>
              <w:rPr>
                <w:rFonts w:hint="eastAsia" w:ascii="宋体" w:cs="宋体"/>
                <w:b/>
                <w:color w:val="000000"/>
                <w:kern w:val="0"/>
                <w:sz w:val="20"/>
              </w:rPr>
              <w:t>六</w:t>
            </w:r>
          </w:p>
        </w:tc>
        <w:tc>
          <w:tcPr>
            <w:tcW w:w="1418" w:type="dxa"/>
            <w:shd w:val="solid" w:color="FFFFFF" w:fill="FFFFFF"/>
          </w:tcPr>
          <w:p>
            <w:pPr>
              <w:autoSpaceDE w:val="0"/>
              <w:autoSpaceDN w:val="0"/>
              <w:ind w:firstLine="402"/>
              <w:rPr>
                <w:rFonts w:ascii="宋体" w:cs="宋体"/>
                <w:b/>
                <w:color w:val="000000"/>
                <w:kern w:val="0"/>
                <w:sz w:val="20"/>
              </w:rPr>
            </w:pPr>
            <w:r>
              <w:rPr>
                <w:rFonts w:hint="eastAsia" w:ascii="宋体" w:cs="宋体"/>
                <w:b/>
                <w:color w:val="000000"/>
                <w:kern w:val="0"/>
                <w:sz w:val="20"/>
              </w:rPr>
              <w:t>税金</w:t>
            </w:r>
          </w:p>
        </w:tc>
        <w:tc>
          <w:tcPr>
            <w:tcW w:w="198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993" w:type="dxa"/>
            <w:shd w:val="solid" w:color="FFFFFF" w:fill="FFFFFF"/>
          </w:tcPr>
          <w:p>
            <w:pPr>
              <w:autoSpaceDE w:val="0"/>
              <w:autoSpaceDN w:val="0"/>
              <w:ind w:firstLine="400"/>
              <w:rPr>
                <w:rFonts w:ascii="宋体" w:cs="宋体"/>
                <w:color w:val="000000"/>
                <w:kern w:val="0"/>
                <w:sz w:val="20"/>
              </w:rPr>
            </w:pPr>
          </w:p>
        </w:tc>
        <w:tc>
          <w:tcPr>
            <w:tcW w:w="1134" w:type="dxa"/>
            <w:shd w:val="solid" w:color="FFFFFF" w:fill="FFFFFF"/>
          </w:tcPr>
          <w:p>
            <w:pPr>
              <w:autoSpaceDE w:val="0"/>
              <w:autoSpaceDN w:val="0"/>
              <w:ind w:firstLine="400"/>
              <w:rPr>
                <w:rFonts w:ascii="宋体" w:cs="宋体"/>
                <w:color w:val="000000"/>
                <w:kern w:val="0"/>
                <w:sz w:val="20"/>
              </w:rPr>
            </w:pPr>
          </w:p>
        </w:tc>
        <w:tc>
          <w:tcPr>
            <w:tcW w:w="992" w:type="dxa"/>
            <w:shd w:val="solid" w:color="FFFFFF" w:fill="FFFFFF"/>
          </w:tcPr>
          <w:p>
            <w:pPr>
              <w:autoSpaceDE w:val="0"/>
              <w:autoSpaceDN w:val="0"/>
              <w:ind w:firstLine="400"/>
              <w:rPr>
                <w:rFonts w:ascii="宋体" w:cs="宋体"/>
                <w:color w:val="000000"/>
                <w:kern w:val="0"/>
                <w:sz w:val="20"/>
              </w:rPr>
            </w:pPr>
          </w:p>
        </w:tc>
        <w:tc>
          <w:tcPr>
            <w:tcW w:w="1152" w:type="dxa"/>
            <w:shd w:val="solid" w:color="FFFFFF" w:fill="FFFFFF"/>
          </w:tcPr>
          <w:p>
            <w:pPr>
              <w:autoSpaceDE w:val="0"/>
              <w:autoSpaceDN w:val="0"/>
              <w:ind w:firstLine="400"/>
              <w:rPr>
                <w:rFonts w:ascii="宋体" w:cs="宋体"/>
                <w:color w:val="000000"/>
                <w:kern w:val="0"/>
                <w:sz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30" w:type="dxa"/>
            <w:bottom w:w="0" w:type="dxa"/>
            <w:right w:w="30" w:type="dxa"/>
          </w:tblCellMar>
        </w:tblPrEx>
        <w:trPr>
          <w:trHeight w:val="497" w:hRule="atLeast"/>
        </w:trPr>
        <w:tc>
          <w:tcPr>
            <w:tcW w:w="7230" w:type="dxa"/>
            <w:gridSpan w:val="6"/>
            <w:shd w:val="solid" w:color="FFFFFF" w:fill="FFFFFF"/>
          </w:tcPr>
          <w:p>
            <w:pPr>
              <w:autoSpaceDE w:val="0"/>
              <w:autoSpaceDN w:val="0"/>
              <w:ind w:firstLine="400"/>
              <w:jc w:val="center"/>
              <w:rPr>
                <w:rFonts w:ascii="宋体" w:cs="宋体"/>
                <w:color w:val="000000"/>
                <w:kern w:val="0"/>
                <w:sz w:val="20"/>
              </w:rPr>
            </w:pPr>
            <w:r>
              <w:rPr>
                <w:rFonts w:hint="eastAsia" w:ascii="宋体" w:cs="宋体"/>
                <w:color w:val="000000"/>
                <w:kern w:val="0"/>
                <w:sz w:val="20"/>
              </w:rPr>
              <w:t>合</w:t>
            </w:r>
            <w:r>
              <w:rPr>
                <w:rFonts w:ascii="宋体" w:cs="宋体"/>
                <w:color w:val="000000"/>
                <w:kern w:val="0"/>
                <w:sz w:val="20"/>
              </w:rPr>
              <w:t xml:space="preserve">   </w:t>
            </w:r>
            <w:r>
              <w:rPr>
                <w:rFonts w:hint="eastAsia" w:ascii="宋体" w:cs="宋体"/>
                <w:color w:val="000000"/>
                <w:kern w:val="0"/>
                <w:sz w:val="20"/>
              </w:rPr>
              <w:t>计</w:t>
            </w:r>
          </w:p>
        </w:tc>
        <w:tc>
          <w:tcPr>
            <w:tcW w:w="992" w:type="dxa"/>
            <w:shd w:val="solid" w:color="FFFFFF" w:fill="FFFFFF"/>
          </w:tcPr>
          <w:p>
            <w:pPr>
              <w:autoSpaceDE w:val="0"/>
              <w:autoSpaceDN w:val="0"/>
              <w:ind w:firstLine="400"/>
              <w:rPr>
                <w:rFonts w:ascii="宋体" w:cs="宋体"/>
                <w:color w:val="000000"/>
                <w:kern w:val="0"/>
                <w:sz w:val="20"/>
              </w:rPr>
            </w:pPr>
          </w:p>
        </w:tc>
        <w:tc>
          <w:tcPr>
            <w:tcW w:w="1152" w:type="dxa"/>
            <w:shd w:val="solid" w:color="FFFFFF" w:fill="FFFFFF"/>
          </w:tcPr>
          <w:p>
            <w:pPr>
              <w:autoSpaceDE w:val="0"/>
              <w:autoSpaceDN w:val="0"/>
              <w:ind w:firstLine="400"/>
              <w:rPr>
                <w:rFonts w:ascii="宋体" w:cs="宋体"/>
                <w:color w:val="000000"/>
                <w:kern w:val="0"/>
                <w:sz w:val="20"/>
              </w:rPr>
            </w:pPr>
          </w:p>
          <w:p>
            <w:pPr>
              <w:autoSpaceDE w:val="0"/>
              <w:autoSpaceDN w:val="0"/>
              <w:ind w:firstLine="400"/>
              <w:rPr>
                <w:rFonts w:ascii="宋体" w:cs="宋体"/>
                <w:color w:val="000000"/>
                <w:kern w:val="0"/>
                <w:sz w:val="20"/>
              </w:rPr>
            </w:pPr>
          </w:p>
        </w:tc>
      </w:tr>
    </w:tbl>
    <w:p>
      <w:pPr>
        <w:ind w:firstLine="562"/>
        <w:rPr>
          <w:rFonts w:ascii="宋体" w:hAnsi="宋体"/>
          <w:b/>
          <w:color w:val="000000"/>
          <w:sz w:val="28"/>
          <w:szCs w:val="28"/>
        </w:rPr>
      </w:pPr>
    </w:p>
    <w:p>
      <w:pPr>
        <w:ind w:firstLine="480"/>
        <w:rPr>
          <w:rFonts w:ascii="宋体" w:hAnsi="宋体"/>
          <w:szCs w:val="24"/>
        </w:rPr>
      </w:pPr>
      <w:r>
        <w:rPr>
          <w:rFonts w:hint="eastAsia" w:ascii="宋体" w:hAnsi="宋体"/>
          <w:szCs w:val="24"/>
        </w:rPr>
        <w:t>（一）本项目使用无卤低烟阻燃耐火电力电缆替代原有氧化镁电缆，对更换的电缆要求如下：</w:t>
      </w:r>
    </w:p>
    <w:p>
      <w:pPr>
        <w:ind w:firstLine="480"/>
        <w:rPr>
          <w:rFonts w:ascii="宋体" w:hAnsi="宋体"/>
          <w:szCs w:val="24"/>
        </w:rPr>
      </w:pPr>
      <w:r>
        <w:rPr>
          <w:rFonts w:hint="eastAsia" w:ascii="宋体" w:hAnsi="宋体"/>
        </w:rPr>
        <w:t>1、</w:t>
      </w:r>
      <w:r>
        <w:rPr>
          <w:rFonts w:hint="eastAsia" w:ascii="宋体" w:hAnsi="宋体"/>
          <w:szCs w:val="24"/>
        </w:rPr>
        <w:t>应适用于额定电压600/1000V及以下低烟无卤要求的电力系统或控制及监控回路中；</w:t>
      </w:r>
    </w:p>
    <w:p>
      <w:pPr>
        <w:ind w:firstLine="480"/>
        <w:rPr>
          <w:rFonts w:ascii="宋体" w:hAnsi="宋体"/>
          <w:szCs w:val="24"/>
        </w:rPr>
      </w:pPr>
      <w:r>
        <w:rPr>
          <w:rFonts w:hint="eastAsia" w:ascii="宋体" w:hAnsi="宋体"/>
        </w:rPr>
        <w:t>2、</w:t>
      </w:r>
      <w:r>
        <w:rPr>
          <w:rFonts w:hint="eastAsia" w:ascii="宋体" w:hAnsi="宋体"/>
          <w:szCs w:val="24"/>
        </w:rPr>
        <w:t>电缆长期工作允许最高温度90℃；</w:t>
      </w:r>
    </w:p>
    <w:p>
      <w:pPr>
        <w:ind w:firstLine="480"/>
        <w:rPr>
          <w:rFonts w:ascii="宋体" w:hAnsi="宋体"/>
          <w:szCs w:val="24"/>
        </w:rPr>
      </w:pPr>
      <w:r>
        <w:rPr>
          <w:rFonts w:hint="eastAsia" w:ascii="宋体" w:hAnsi="宋体"/>
        </w:rPr>
        <w:t>3、</w:t>
      </w:r>
      <w:r>
        <w:rPr>
          <w:rFonts w:hint="eastAsia" w:ascii="宋体" w:hAnsi="宋体"/>
          <w:szCs w:val="24"/>
        </w:rPr>
        <w:t>短路时(最长持续时间不超过5s)电缆导体最高允许温度250℃；</w:t>
      </w:r>
    </w:p>
    <w:p>
      <w:pPr>
        <w:ind w:firstLine="480"/>
        <w:rPr>
          <w:rFonts w:ascii="宋体" w:hAnsi="宋体"/>
          <w:szCs w:val="24"/>
        </w:rPr>
      </w:pPr>
      <w:r>
        <w:rPr>
          <w:rFonts w:hint="eastAsia" w:ascii="宋体" w:hAnsi="宋体"/>
        </w:rPr>
        <w:t>4、</w:t>
      </w:r>
      <w:r>
        <w:rPr>
          <w:rFonts w:hint="eastAsia" w:ascii="宋体" w:hAnsi="宋体"/>
          <w:szCs w:val="24"/>
        </w:rPr>
        <w:t>单芯电缆其弯曲半径不小于电缆外径的20倍；</w:t>
      </w:r>
    </w:p>
    <w:p>
      <w:pPr>
        <w:ind w:firstLine="480"/>
        <w:rPr>
          <w:rFonts w:ascii="宋体" w:hAnsi="宋体"/>
          <w:szCs w:val="24"/>
        </w:rPr>
      </w:pPr>
      <w:r>
        <w:rPr>
          <w:rFonts w:hint="eastAsia" w:ascii="宋体" w:hAnsi="宋体"/>
          <w:szCs w:val="24"/>
        </w:rPr>
        <w:t>（二）本工程所有电缆桥架、线槽及其配件须符合有关国家标准的规定，全部采用热浸镀锌工艺处理。</w:t>
      </w:r>
    </w:p>
    <w:p>
      <w:pPr>
        <w:ind w:firstLine="480"/>
        <w:rPr>
          <w:rFonts w:ascii="宋体" w:hAnsi="宋体"/>
          <w:szCs w:val="24"/>
        </w:rPr>
      </w:pPr>
      <w:r>
        <w:rPr>
          <w:rFonts w:hint="eastAsia" w:ascii="宋体" w:hAnsi="宋体"/>
          <w:szCs w:val="24"/>
        </w:rPr>
        <w:t>1．防火桥架、线槽防火时间≥1小时，须具有不燃爆、防水、隔热、抗潮、重量轻等特性。</w:t>
      </w:r>
    </w:p>
    <w:p>
      <w:pPr>
        <w:ind w:firstLine="480"/>
        <w:rPr>
          <w:rFonts w:ascii="宋体" w:hAnsi="宋体"/>
          <w:szCs w:val="24"/>
        </w:rPr>
      </w:pPr>
      <w:r>
        <w:rPr>
          <w:rFonts w:hint="eastAsia" w:ascii="宋体" w:hAnsi="宋体"/>
          <w:szCs w:val="24"/>
        </w:rPr>
        <w:t>2．防火桥架及线槽材质要求为优质热浸镀锌钢板或更好性能的钢制防护方式，板材符合GB700《普通碳素结构钢技术要求》，并符合GB912《普通碳素钢薄板技术条件》，厚度须满足JB/T10216-2013标准。</w:t>
      </w:r>
    </w:p>
    <w:p>
      <w:pPr>
        <w:ind w:firstLine="480"/>
        <w:rPr>
          <w:rFonts w:ascii="宋体" w:hAnsi="宋体"/>
          <w:szCs w:val="24"/>
        </w:rPr>
      </w:pPr>
      <w:r>
        <w:rPr>
          <w:rFonts w:hint="eastAsia" w:ascii="宋体" w:hAnsi="宋体"/>
          <w:szCs w:val="24"/>
        </w:rPr>
        <w:t>3．防火桥架、线槽的各类配件（螺栓、螺母、接地线、隔板等）应齐全、配套，均为热浸镀锌制品，并应与桥架、线槽本体结构强度相适应。同时连接处也应符合防火要求。</w:t>
      </w:r>
    </w:p>
    <w:p>
      <w:pPr>
        <w:ind w:firstLine="480"/>
        <w:rPr>
          <w:rFonts w:ascii="宋体" w:hAnsi="宋体"/>
          <w:szCs w:val="24"/>
        </w:rPr>
      </w:pPr>
      <w:r>
        <w:rPr>
          <w:rFonts w:hint="eastAsia" w:ascii="宋体" w:hAnsi="宋体"/>
          <w:szCs w:val="24"/>
        </w:rPr>
        <w:t>4．防火桥架、线槽内外喷防火粉末做阻燃防火处理，防火涂层厚度符合国家相关规范要求，并有出厂检验报告。</w:t>
      </w:r>
    </w:p>
    <w:p>
      <w:pPr>
        <w:ind w:firstLine="480"/>
        <w:rPr>
          <w:rFonts w:ascii="宋体" w:hAnsi="宋体"/>
          <w:szCs w:val="24"/>
        </w:rPr>
      </w:pPr>
      <w:r>
        <w:rPr>
          <w:rFonts w:hint="eastAsia" w:ascii="宋体" w:hAnsi="宋体"/>
          <w:szCs w:val="24"/>
        </w:rPr>
        <w:t>5．盖板、连接头、片（板）也应符合防火要求。</w:t>
      </w:r>
    </w:p>
    <w:p>
      <w:pPr>
        <w:ind w:firstLine="480"/>
        <w:rPr>
          <w:bCs/>
          <w:color w:val="000000"/>
          <w:sz w:val="21"/>
          <w:szCs w:val="21"/>
        </w:rPr>
      </w:pPr>
      <w:r>
        <w:rPr>
          <w:rFonts w:hint="eastAsia" w:ascii="宋体" w:hAnsi="宋体"/>
          <w:szCs w:val="24"/>
        </w:rPr>
        <w:t>6．防火桥架及线槽的外观光滑、平整、无外伤、无裂痕、无扭曲变形，内壁应光滑、无锐边、毛刺和损伤。内外涂层均匀、光亮无气泡。有良好的防腐性能，外观平整。</w:t>
      </w:r>
    </w:p>
    <w:p>
      <w:pPr>
        <w:ind w:firstLine="562"/>
        <w:rPr>
          <w:rFonts w:ascii="宋体" w:hAnsi="宋体"/>
          <w:b/>
          <w:color w:val="000000"/>
          <w:sz w:val="28"/>
          <w:szCs w:val="28"/>
        </w:rPr>
      </w:pPr>
    </w:p>
    <w:p>
      <w:pPr>
        <w:ind w:firstLine="562"/>
        <w:rPr>
          <w:rFonts w:ascii="宋体" w:hAnsi="宋体"/>
          <w:b/>
          <w:color w:val="000000"/>
          <w:sz w:val="28"/>
          <w:szCs w:val="28"/>
        </w:rPr>
      </w:pPr>
    </w:p>
    <w:p>
      <w:pPr>
        <w:ind w:firstLine="562"/>
        <w:rPr>
          <w:rFonts w:ascii="宋体" w:hAnsi="宋体"/>
          <w:b/>
          <w:color w:val="000000"/>
          <w:sz w:val="28"/>
          <w:szCs w:val="28"/>
        </w:rPr>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8"/>
        <w:spacing w:before="120"/>
        <w:rPr>
          <w:sz w:val="24"/>
          <w:szCs w:val="24"/>
        </w:rPr>
      </w:pPr>
      <w:bookmarkStart w:id="100" w:name="_Toc4155349"/>
      <w:r>
        <w:t>第</w:t>
      </w:r>
      <w:r>
        <w:rPr>
          <w:rFonts w:hint="eastAsia"/>
        </w:rPr>
        <w:t>六</w:t>
      </w:r>
      <w:r>
        <w:t>章 响应文件格式</w:t>
      </w:r>
      <w:bookmarkEnd w:id="100"/>
    </w:p>
    <w:p>
      <w:pPr>
        <w:ind w:firstLine="480"/>
        <w:rPr>
          <w:rFonts w:ascii="宋体" w:hAnsi="宋体"/>
          <w:szCs w:val="24"/>
        </w:rPr>
      </w:pPr>
    </w:p>
    <w:p>
      <w:pPr>
        <w:ind w:firstLine="480"/>
        <w:rPr>
          <w:rFonts w:ascii="宋体" w:hAnsi="宋体"/>
          <w:szCs w:val="24"/>
        </w:rPr>
      </w:pPr>
      <w:r>
        <w:rPr>
          <w:rFonts w:hint="eastAsia" w:ascii="宋体" w:hAnsi="宋体"/>
          <w:szCs w:val="24"/>
        </w:rPr>
        <w:t xml:space="preserve"> </w:t>
      </w:r>
    </w:p>
    <w:p>
      <w:pPr>
        <w:pStyle w:val="16"/>
        <w:spacing w:beforeLines="50"/>
        <w:ind w:firstLine="480"/>
        <w:rPr>
          <w:rFonts w:ascii="宋体" w:hAnsi="宋体"/>
          <w:szCs w:val="24"/>
        </w:rPr>
      </w:pPr>
      <w:r>
        <w:rPr>
          <w:rFonts w:ascii="宋体" w:hAnsi="宋体"/>
          <w:szCs w:val="24"/>
        </w:rPr>
        <w:br w:type="page"/>
      </w:r>
    </w:p>
    <w:p>
      <w:pPr>
        <w:pStyle w:val="16"/>
        <w:spacing w:beforeLines="50"/>
        <w:ind w:firstLine="480"/>
        <w:rPr>
          <w:rFonts w:ascii="宋体" w:hAnsi="宋体"/>
          <w:szCs w:val="24"/>
        </w:rPr>
      </w:pPr>
    </w:p>
    <w:p>
      <w:pPr>
        <w:pStyle w:val="16"/>
        <w:spacing w:beforeLines="50"/>
        <w:ind w:firstLine="480"/>
        <w:rPr>
          <w:rFonts w:ascii="宋体" w:hAnsi="宋体"/>
          <w:szCs w:val="24"/>
        </w:rPr>
      </w:pPr>
    </w:p>
    <w:p>
      <w:pPr>
        <w:pStyle w:val="16"/>
        <w:ind w:firstLine="0" w:firstLineChars="0"/>
        <w:jc w:val="center"/>
        <w:rPr>
          <w:rFonts w:ascii="宋体" w:hAnsi="宋体"/>
          <w:b/>
          <w:sz w:val="32"/>
          <w:szCs w:val="32"/>
        </w:rPr>
      </w:pPr>
      <w:bookmarkStart w:id="101" w:name="_Toc453079648"/>
      <w:bookmarkStart w:id="102" w:name="_Toc453162622"/>
      <w:bookmarkStart w:id="103" w:name="_Toc453162709"/>
      <w:r>
        <w:rPr>
          <w:rFonts w:hint="eastAsia" w:ascii="宋体" w:hAnsi="宋体"/>
          <w:b/>
          <w:sz w:val="32"/>
          <w:szCs w:val="32"/>
          <w:u w:val="single"/>
        </w:rPr>
        <w:t xml:space="preserve">    华能大厦柴油发电机房至副配电室电缆更换    </w:t>
      </w:r>
      <w:r>
        <w:rPr>
          <w:rFonts w:hint="eastAsia" w:ascii="宋体" w:hAnsi="宋体" w:cs="Arial"/>
          <w:b/>
          <w:sz w:val="48"/>
          <w:u w:val="single"/>
        </w:rPr>
        <w:t xml:space="preserve">     </w:t>
      </w:r>
      <w:r>
        <w:rPr>
          <w:rFonts w:hint="eastAsia" w:ascii="宋体" w:hAnsi="宋体" w:cs="Arial"/>
          <w:b/>
          <w:sz w:val="48"/>
        </w:rPr>
        <w:t>项目采购</w:t>
      </w:r>
    </w:p>
    <w:p>
      <w:pPr>
        <w:spacing w:line="360" w:lineRule="auto"/>
        <w:ind w:firstLine="0" w:firstLineChars="0"/>
        <w:rPr>
          <w:rFonts w:ascii="宋体" w:hAnsi="宋体"/>
          <w:color w:val="000000"/>
          <w:szCs w:val="24"/>
        </w:rPr>
      </w:pPr>
    </w:p>
    <w:p>
      <w:pPr>
        <w:spacing w:line="360" w:lineRule="auto"/>
        <w:ind w:firstLine="0" w:firstLineChars="0"/>
        <w:rPr>
          <w:rFonts w:ascii="宋体" w:hAnsi="宋体"/>
          <w:sz w:val="32"/>
          <w:szCs w:val="32"/>
        </w:rPr>
      </w:pPr>
    </w:p>
    <w:p>
      <w:pPr>
        <w:spacing w:line="360" w:lineRule="auto"/>
        <w:ind w:firstLine="0" w:firstLineChars="0"/>
        <w:rPr>
          <w:rFonts w:ascii="宋体" w:hAnsi="宋体"/>
          <w:sz w:val="32"/>
          <w:szCs w:val="32"/>
        </w:rPr>
      </w:pPr>
    </w:p>
    <w:p>
      <w:pPr>
        <w:pStyle w:val="16"/>
        <w:ind w:firstLine="0" w:firstLineChars="0"/>
        <w:jc w:val="center"/>
        <w:rPr>
          <w:rFonts w:ascii="黑体" w:hAnsi="黑体" w:eastAsia="黑体" w:cs="Arial"/>
          <w:sz w:val="84"/>
          <w:szCs w:val="84"/>
        </w:rPr>
      </w:pPr>
      <w:r>
        <w:rPr>
          <w:rFonts w:hint="eastAsia" w:ascii="黑体" w:hAnsi="黑体" w:eastAsia="黑体" w:cs="Arial"/>
          <w:sz w:val="84"/>
          <w:szCs w:val="84"/>
        </w:rPr>
        <w:t xml:space="preserve">响 应 </w:t>
      </w:r>
      <w:r>
        <w:rPr>
          <w:rFonts w:ascii="黑体" w:hAnsi="黑体" w:eastAsia="黑体" w:cs="Arial"/>
          <w:sz w:val="84"/>
          <w:szCs w:val="84"/>
        </w:rPr>
        <w:t>文</w:t>
      </w:r>
      <w:r>
        <w:rPr>
          <w:rFonts w:hint="eastAsia" w:ascii="黑体" w:hAnsi="黑体" w:eastAsia="黑体" w:cs="Arial"/>
          <w:sz w:val="84"/>
          <w:szCs w:val="84"/>
        </w:rPr>
        <w:t xml:space="preserve"> </w:t>
      </w:r>
      <w:r>
        <w:rPr>
          <w:rFonts w:ascii="黑体" w:hAnsi="黑体" w:eastAsia="黑体" w:cs="Arial"/>
          <w:sz w:val="84"/>
          <w:szCs w:val="84"/>
        </w:rPr>
        <w:t>件</w:t>
      </w:r>
    </w:p>
    <w:p>
      <w:pPr>
        <w:spacing w:line="360" w:lineRule="auto"/>
        <w:ind w:firstLine="0" w:firstLineChars="0"/>
        <w:rPr>
          <w:rFonts w:ascii="宋体" w:hAnsi="宋体"/>
          <w:color w:val="000000"/>
          <w:szCs w:val="24"/>
        </w:rPr>
      </w:pPr>
    </w:p>
    <w:p>
      <w:pPr>
        <w:spacing w:line="360" w:lineRule="auto"/>
        <w:ind w:firstLine="0" w:firstLineChars="0"/>
        <w:rPr>
          <w:rFonts w:ascii="宋体" w:hAnsi="宋体"/>
          <w:color w:val="000000"/>
          <w:szCs w:val="24"/>
        </w:rPr>
      </w:pPr>
    </w:p>
    <w:p>
      <w:pPr>
        <w:spacing w:line="360" w:lineRule="auto"/>
        <w:ind w:firstLine="0" w:firstLineChars="0"/>
        <w:rPr>
          <w:rFonts w:ascii="宋体" w:hAnsi="宋体"/>
          <w:color w:val="000000"/>
          <w:szCs w:val="24"/>
        </w:rPr>
      </w:pPr>
    </w:p>
    <w:p>
      <w:pPr>
        <w:spacing w:line="360" w:lineRule="auto"/>
        <w:ind w:firstLine="0" w:firstLineChars="0"/>
        <w:rPr>
          <w:rFonts w:ascii="宋体" w:hAnsi="宋体"/>
          <w:color w:val="000000"/>
          <w:szCs w:val="24"/>
        </w:rPr>
      </w:pPr>
    </w:p>
    <w:p>
      <w:pPr>
        <w:spacing w:line="360" w:lineRule="auto"/>
        <w:ind w:firstLine="0" w:firstLineChars="0"/>
        <w:rPr>
          <w:rFonts w:ascii="宋体" w:hAnsi="宋体"/>
          <w:color w:val="000000"/>
          <w:szCs w:val="24"/>
        </w:rPr>
      </w:pPr>
    </w:p>
    <w:p>
      <w:pPr>
        <w:spacing w:line="360" w:lineRule="auto"/>
        <w:ind w:firstLine="0" w:firstLineChars="0"/>
        <w:rPr>
          <w:rFonts w:ascii="宋体" w:hAnsi="宋体"/>
          <w:color w:val="000000"/>
          <w:szCs w:val="24"/>
        </w:rPr>
      </w:pPr>
    </w:p>
    <w:p>
      <w:pPr>
        <w:spacing w:line="360" w:lineRule="auto"/>
        <w:ind w:firstLine="0" w:firstLineChars="0"/>
        <w:rPr>
          <w:rFonts w:ascii="宋体" w:hAnsi="宋体"/>
          <w:color w:val="000000"/>
          <w:szCs w:val="24"/>
        </w:rPr>
      </w:pPr>
    </w:p>
    <w:p>
      <w:pPr>
        <w:spacing w:line="360" w:lineRule="auto"/>
        <w:ind w:firstLine="0" w:firstLineChars="0"/>
        <w:rPr>
          <w:rFonts w:ascii="宋体" w:hAnsi="宋体"/>
          <w:color w:val="000000"/>
          <w:szCs w:val="24"/>
        </w:rPr>
      </w:pPr>
    </w:p>
    <w:p>
      <w:pPr>
        <w:spacing w:line="360" w:lineRule="auto"/>
        <w:ind w:firstLine="0" w:firstLineChars="0"/>
        <w:rPr>
          <w:rFonts w:ascii="宋体" w:hAnsi="宋体"/>
          <w:color w:val="000000"/>
          <w:szCs w:val="24"/>
        </w:rPr>
      </w:pPr>
    </w:p>
    <w:p>
      <w:pPr>
        <w:spacing w:line="360" w:lineRule="auto"/>
        <w:ind w:firstLine="0" w:firstLineChars="0"/>
        <w:rPr>
          <w:rFonts w:ascii="宋体" w:hAnsi="宋体"/>
          <w:color w:val="000000"/>
          <w:szCs w:val="24"/>
        </w:rPr>
      </w:pPr>
    </w:p>
    <w:p>
      <w:pPr>
        <w:spacing w:line="360" w:lineRule="auto"/>
        <w:ind w:firstLine="0" w:firstLineChars="0"/>
        <w:rPr>
          <w:rFonts w:ascii="宋体" w:hAnsi="宋体"/>
          <w:color w:val="000000"/>
          <w:szCs w:val="24"/>
        </w:rPr>
      </w:pPr>
      <w:r>
        <w:rPr>
          <w:rFonts w:hint="eastAsia" w:ascii="宋体" w:hAnsi="宋体"/>
          <w:color w:val="000000"/>
          <w:szCs w:val="24"/>
        </w:rPr>
        <w:t xml:space="preserve">  </w:t>
      </w:r>
    </w:p>
    <w:p>
      <w:pPr>
        <w:spacing w:line="360" w:lineRule="auto"/>
        <w:ind w:firstLine="0" w:firstLineChars="0"/>
        <w:jc w:val="center"/>
        <w:rPr>
          <w:rFonts w:ascii="黑体" w:hAnsi="黑体" w:eastAsia="黑体"/>
          <w:color w:val="000000"/>
          <w:sz w:val="28"/>
          <w:szCs w:val="24"/>
          <w:u w:val="single"/>
        </w:rPr>
      </w:pPr>
      <w:r>
        <w:rPr>
          <w:rFonts w:ascii="黑体" w:hAnsi="黑体" w:eastAsia="黑体"/>
          <w:color w:val="000000"/>
          <w:sz w:val="28"/>
          <w:szCs w:val="24"/>
        </w:rPr>
        <w:t>供应商：</w:t>
      </w:r>
      <w:r>
        <w:rPr>
          <w:rFonts w:ascii="黑体" w:hAnsi="黑体" w:eastAsia="黑体"/>
          <w:color w:val="000000"/>
          <w:sz w:val="28"/>
          <w:szCs w:val="24"/>
          <w:u w:val="single"/>
        </w:rPr>
        <w:t>（</w:t>
      </w:r>
      <w:r>
        <w:rPr>
          <w:rFonts w:hint="eastAsia" w:ascii="黑体" w:hAnsi="黑体" w:eastAsia="黑体"/>
          <w:color w:val="000000"/>
          <w:sz w:val="28"/>
          <w:szCs w:val="24"/>
          <w:u w:val="single"/>
        </w:rPr>
        <w:t>盖</w:t>
      </w:r>
      <w:r>
        <w:rPr>
          <w:rFonts w:ascii="黑体" w:hAnsi="黑体" w:eastAsia="黑体"/>
          <w:color w:val="000000"/>
          <w:sz w:val="28"/>
          <w:szCs w:val="24"/>
          <w:u w:val="single"/>
        </w:rPr>
        <w:t>单位章）</w:t>
      </w:r>
    </w:p>
    <w:p>
      <w:pPr>
        <w:spacing w:line="360" w:lineRule="auto"/>
        <w:ind w:firstLine="0" w:firstLineChars="0"/>
        <w:rPr>
          <w:rFonts w:ascii="黑体" w:hAnsi="黑体" w:eastAsia="黑体"/>
          <w:color w:val="000000"/>
          <w:sz w:val="28"/>
          <w:szCs w:val="24"/>
        </w:rPr>
      </w:pPr>
    </w:p>
    <w:p>
      <w:pPr>
        <w:pStyle w:val="16"/>
        <w:ind w:firstLine="0" w:firstLineChars="0"/>
        <w:jc w:val="center"/>
        <w:rPr>
          <w:rFonts w:ascii="黑体" w:hAnsi="黑体" w:eastAsia="黑体"/>
          <w:color w:val="000000"/>
          <w:sz w:val="28"/>
          <w:szCs w:val="24"/>
        </w:rPr>
      </w:pPr>
      <w:r>
        <w:rPr>
          <w:rFonts w:hint="eastAsia" w:ascii="黑体" w:hAnsi="黑体" w:eastAsia="黑体"/>
          <w:color w:val="000000"/>
          <w:sz w:val="28"/>
          <w:szCs w:val="24"/>
          <w:u w:val="single"/>
        </w:rPr>
        <w:t xml:space="preserve">     </w:t>
      </w:r>
      <w:r>
        <w:rPr>
          <w:rFonts w:ascii="黑体" w:hAnsi="黑体" w:eastAsia="黑体"/>
          <w:color w:val="000000"/>
          <w:sz w:val="28"/>
          <w:szCs w:val="24"/>
        </w:rPr>
        <w:t>年</w:t>
      </w:r>
      <w:r>
        <w:rPr>
          <w:rFonts w:hint="eastAsia" w:ascii="黑体" w:hAnsi="黑体" w:eastAsia="黑体"/>
          <w:color w:val="000000"/>
          <w:sz w:val="28"/>
          <w:szCs w:val="24"/>
          <w:u w:val="single"/>
        </w:rPr>
        <w:t xml:space="preserve">   </w:t>
      </w:r>
      <w:r>
        <w:rPr>
          <w:rFonts w:ascii="黑体" w:hAnsi="黑体" w:eastAsia="黑体"/>
          <w:color w:val="000000"/>
          <w:sz w:val="28"/>
          <w:szCs w:val="24"/>
        </w:rPr>
        <w:t>月</w:t>
      </w:r>
      <w:r>
        <w:rPr>
          <w:rFonts w:hint="eastAsia" w:ascii="黑体" w:hAnsi="黑体" w:eastAsia="黑体"/>
          <w:color w:val="000000"/>
          <w:sz w:val="28"/>
          <w:szCs w:val="24"/>
          <w:u w:val="single"/>
        </w:rPr>
        <w:t xml:space="preserve">     </w:t>
      </w:r>
      <w:r>
        <w:rPr>
          <w:rFonts w:ascii="黑体" w:hAnsi="黑体" w:eastAsia="黑体"/>
          <w:color w:val="000000"/>
          <w:sz w:val="28"/>
          <w:szCs w:val="24"/>
        </w:rPr>
        <w:t>日</w:t>
      </w:r>
    </w:p>
    <w:p>
      <w:pPr>
        <w:ind w:firstLine="600" w:firstLineChars="250"/>
        <w:rPr>
          <w:rFonts w:ascii="宋体" w:hAnsi="宋体"/>
          <w:color w:val="000000"/>
          <w:szCs w:val="24"/>
        </w:rPr>
      </w:pPr>
      <w:r>
        <w:rPr>
          <w:rFonts w:ascii="宋体" w:hAnsi="宋体"/>
          <w:color w:val="000000"/>
          <w:szCs w:val="24"/>
        </w:rPr>
        <w:br w:type="page"/>
      </w:r>
      <w:bookmarkEnd w:id="101"/>
      <w:bookmarkEnd w:id="102"/>
      <w:bookmarkEnd w:id="103"/>
    </w:p>
    <w:p>
      <w:pPr>
        <w:ind w:firstLine="600" w:firstLineChars="250"/>
        <w:rPr>
          <w:rFonts w:ascii="宋体" w:hAnsi="宋体"/>
          <w:color w:val="000000"/>
          <w:szCs w:val="24"/>
        </w:rPr>
      </w:pPr>
    </w:p>
    <w:p>
      <w:pPr>
        <w:ind w:firstLine="0" w:firstLineChars="0"/>
        <w:jc w:val="center"/>
        <w:rPr>
          <w:rFonts w:ascii="黑体" w:hAnsi="黑体" w:eastAsia="黑体"/>
          <w:color w:val="000000"/>
          <w:sz w:val="36"/>
          <w:szCs w:val="32"/>
        </w:rPr>
      </w:pPr>
      <w:r>
        <w:rPr>
          <w:rFonts w:hint="eastAsia" w:ascii="黑体" w:hAnsi="黑体" w:eastAsia="黑体"/>
          <w:color w:val="000000"/>
          <w:sz w:val="36"/>
          <w:szCs w:val="32"/>
        </w:rPr>
        <w:t>目</w:t>
      </w:r>
      <w:r>
        <w:rPr>
          <w:rFonts w:ascii="黑体" w:hAnsi="黑体" w:eastAsia="黑体"/>
          <w:color w:val="000000"/>
          <w:sz w:val="36"/>
          <w:szCs w:val="32"/>
        </w:rPr>
        <w:t xml:space="preserve">  </w:t>
      </w:r>
      <w:r>
        <w:rPr>
          <w:rFonts w:hint="eastAsia" w:ascii="黑体" w:hAnsi="黑体" w:eastAsia="黑体"/>
          <w:color w:val="000000"/>
          <w:sz w:val="36"/>
          <w:szCs w:val="32"/>
        </w:rPr>
        <w:t>录</w:t>
      </w:r>
    </w:p>
    <w:p>
      <w:pPr>
        <w:ind w:firstLine="480"/>
        <w:rPr>
          <w:rFonts w:ascii="宋体" w:hAnsi="宋体"/>
          <w:color w:val="000000"/>
        </w:rPr>
      </w:pPr>
    </w:p>
    <w:p>
      <w:pPr>
        <w:ind w:firstLine="480"/>
      </w:pPr>
      <w:r>
        <w:rPr>
          <w:rFonts w:hint="eastAsia"/>
        </w:rPr>
        <w:t>一、授权委托书</w:t>
      </w:r>
    </w:p>
    <w:p>
      <w:pPr>
        <w:ind w:firstLine="480"/>
      </w:pPr>
      <w:r>
        <w:rPr>
          <w:rFonts w:hint="eastAsia"/>
        </w:rPr>
        <w:t>二、报价部分</w:t>
      </w:r>
    </w:p>
    <w:p>
      <w:pPr>
        <w:ind w:firstLine="480"/>
      </w:pPr>
      <w:r>
        <w:rPr>
          <w:rFonts w:hint="eastAsia"/>
        </w:rPr>
        <w:t>三、商务部分</w:t>
      </w:r>
    </w:p>
    <w:p>
      <w:pPr>
        <w:ind w:firstLine="480"/>
      </w:pPr>
      <w:r>
        <w:rPr>
          <w:rFonts w:hint="eastAsia"/>
        </w:rPr>
        <w:t>四、技术部分</w:t>
      </w:r>
    </w:p>
    <w:p>
      <w:pPr>
        <w:ind w:firstLine="480"/>
      </w:pPr>
      <w:r>
        <w:rPr>
          <w:rFonts w:hint="eastAsia"/>
        </w:rPr>
        <w:t>五、偏差表</w:t>
      </w:r>
    </w:p>
    <w:p>
      <w:pPr>
        <w:ind w:firstLine="480"/>
      </w:pPr>
    </w:p>
    <w:p>
      <w:pPr>
        <w:ind w:firstLine="480"/>
      </w:pPr>
      <w:r>
        <w:rPr>
          <w:rFonts w:hint="eastAsia"/>
        </w:rPr>
        <w:t>说明：未提供格式的响应文件内容，由供应商自拟。</w:t>
      </w:r>
    </w:p>
    <w:p>
      <w:pPr>
        <w:ind w:firstLine="480"/>
        <w:rPr>
          <w:rFonts w:ascii="宋体" w:hAnsi="宋体"/>
          <w:color w:val="000000"/>
        </w:rPr>
      </w:pPr>
    </w:p>
    <w:p>
      <w:pPr>
        <w:ind w:firstLine="480"/>
        <w:rPr>
          <w:rFonts w:ascii="宋体" w:hAnsi="宋体"/>
          <w:color w:val="000000"/>
          <w:szCs w:val="24"/>
        </w:rPr>
      </w:pPr>
    </w:p>
    <w:p>
      <w:pPr>
        <w:pStyle w:val="3"/>
        <w:spacing w:before="120"/>
      </w:pPr>
      <w:r>
        <w:rPr>
          <w:rFonts w:ascii="宋体" w:hAnsi="宋体"/>
          <w:color w:val="000000"/>
          <w:sz w:val="24"/>
          <w:szCs w:val="24"/>
        </w:rPr>
        <w:br w:type="page"/>
      </w:r>
      <w:bookmarkStart w:id="104" w:name="_Toc527560962"/>
      <w:bookmarkStart w:id="105" w:name="_Toc4155350"/>
      <w:r>
        <w:rPr>
          <w:rFonts w:hint="eastAsia"/>
        </w:rPr>
        <w:t>一</w:t>
      </w:r>
      <w:r>
        <w:t>、授权委托书</w:t>
      </w:r>
      <w:bookmarkEnd w:id="104"/>
      <w:bookmarkEnd w:id="105"/>
    </w:p>
    <w:p>
      <w:pPr>
        <w:ind w:firstLine="0" w:firstLineChars="0"/>
        <w:rPr>
          <w:rFonts w:eastAsia="黑体"/>
          <w:color w:val="000000"/>
        </w:rPr>
      </w:pPr>
      <w:r>
        <w:rPr>
          <w:rFonts w:hint="eastAsia" w:eastAsia="黑体"/>
          <w:color w:val="000000"/>
          <w:lang w:eastAsia="zh-CN"/>
        </w:rPr>
        <w:t>华能置业有限</w:t>
      </w:r>
      <w:r>
        <w:rPr>
          <w:rFonts w:hint="eastAsia" w:eastAsia="黑体"/>
          <w:color w:val="000000"/>
        </w:rPr>
        <w:t>公司：</w:t>
      </w:r>
    </w:p>
    <w:p>
      <w:pPr>
        <w:ind w:firstLine="480"/>
      </w:pPr>
      <w:r>
        <w:rPr>
          <w:rFonts w:hint="eastAsia"/>
        </w:rPr>
        <w:t>本人</w:t>
      </w:r>
      <w:r>
        <w:rPr>
          <w:u w:val="single"/>
        </w:rPr>
        <w:t>（姓名）</w:t>
      </w:r>
      <w:r>
        <w:t>系</w:t>
      </w:r>
      <w:r>
        <w:rPr>
          <w:rFonts w:hint="eastAsia"/>
          <w:u w:val="single"/>
        </w:rPr>
        <w:t>（供应商名称）</w:t>
      </w:r>
      <w:r>
        <w:t>的</w:t>
      </w:r>
      <w:r>
        <w:rPr>
          <w:rFonts w:hint="eastAsia"/>
        </w:rPr>
        <w:t>法定代表人</w:t>
      </w:r>
      <w:r>
        <w:rPr>
          <w:rFonts w:hint="eastAsia"/>
          <w:u w:val="single"/>
        </w:rPr>
        <w:t>（单位负责人）</w:t>
      </w:r>
      <w:r>
        <w:rPr>
          <w:rFonts w:hint="eastAsia"/>
        </w:rPr>
        <w:t>，</w:t>
      </w:r>
      <w:r>
        <w:t>现委托</w:t>
      </w:r>
      <w:r>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 xml:space="preserve"> </w:t>
      </w:r>
      <w:r>
        <w:rPr>
          <w:rFonts w:hint="eastAsia"/>
          <w:u w:val="single"/>
        </w:rPr>
        <w:t xml:space="preserve">       </w:t>
      </w:r>
      <w:r>
        <w:rPr>
          <w:rFonts w:hint="eastAsia"/>
        </w:rPr>
        <w:t>采购项目</w:t>
      </w:r>
      <w:r>
        <w:t>响应文件、签订合同和处理有关事宜，其法律后果由我方承担。</w:t>
      </w:r>
    </w:p>
    <w:p>
      <w:pPr>
        <w:ind w:firstLine="480"/>
      </w:pPr>
      <w:r>
        <w:t>委托期限：</w:t>
      </w:r>
      <w:r>
        <w:rPr>
          <w:rFonts w:hint="eastAsia"/>
          <w:u w:val="single"/>
        </w:rPr>
        <w:t xml:space="preserve"> </w:t>
      </w:r>
      <w:r>
        <w:rPr>
          <w:u w:val="single"/>
        </w:rPr>
        <w:t xml:space="preserve">                  </w:t>
      </w:r>
      <w:r>
        <w:rPr>
          <w:rFonts w:hint="eastAsia"/>
        </w:rPr>
        <w:t>。</w:t>
      </w:r>
    </w:p>
    <w:p>
      <w:pPr>
        <w:ind w:firstLine="480"/>
      </w:pPr>
      <w:r>
        <w:t>代理人无转委托权。</w:t>
      </w:r>
    </w:p>
    <w:p>
      <w:pPr>
        <w:ind w:firstLine="480"/>
      </w:pPr>
      <w:r>
        <w:rPr>
          <w:rFonts w:hint="eastAsia"/>
        </w:rPr>
        <w:t>附：法定代表人（单位负责人）身份证复印件及委托代理人身份证复印件</w:t>
      </w:r>
    </w:p>
    <w:p>
      <w:pPr>
        <w:ind w:firstLine="480"/>
      </w:pPr>
    </w:p>
    <w:p>
      <w:pPr>
        <w:ind w:firstLine="480"/>
      </w:pPr>
      <w:r>
        <w:rPr>
          <w:rFonts w:hint="eastAsia"/>
        </w:rPr>
        <w:t>注：本授权委托书需由供应商加盖单位公章并由其法定代表人（单位负责人）签字。</w:t>
      </w:r>
    </w:p>
    <w:p>
      <w:pPr>
        <w:ind w:firstLine="480"/>
        <w:rPr>
          <w:color w:val="000000"/>
        </w:rPr>
      </w:pPr>
    </w:p>
    <w:p>
      <w:pPr>
        <w:ind w:left="2880" w:leftChars="1200" w:firstLine="480"/>
        <w:rPr>
          <w:color w:val="000000"/>
          <w:u w:val="single"/>
        </w:rPr>
      </w:pPr>
      <w:r>
        <w:rPr>
          <w:color w:val="000000"/>
        </w:rPr>
        <w:t>供应商：</w:t>
      </w:r>
      <w:r>
        <w:rPr>
          <w:color w:val="000000"/>
          <w:u w:val="single"/>
        </w:rPr>
        <w:t>（单位公章）</w:t>
      </w:r>
      <w:r>
        <w:rPr>
          <w:rFonts w:hint="eastAsia"/>
          <w:color w:val="000000"/>
          <w:u w:val="single"/>
        </w:rPr>
        <w:t xml:space="preserve"> </w:t>
      </w:r>
      <w:r>
        <w:rPr>
          <w:color w:val="000000"/>
          <w:u w:val="single"/>
        </w:rPr>
        <w:t xml:space="preserve">                          </w:t>
      </w:r>
    </w:p>
    <w:p>
      <w:pPr>
        <w:ind w:left="2880" w:leftChars="1200" w:firstLine="480"/>
        <w:rPr>
          <w:color w:val="000000"/>
        </w:rPr>
      </w:pPr>
    </w:p>
    <w:p>
      <w:pPr>
        <w:ind w:left="2880" w:leftChars="1200" w:firstLine="480"/>
        <w:rPr>
          <w:color w:val="000000"/>
        </w:rPr>
      </w:pPr>
      <w:r>
        <w:rPr>
          <w:rFonts w:hint="eastAsia"/>
          <w:color w:val="000000"/>
        </w:rPr>
        <w:t>法定代表人（单位负责人）</w:t>
      </w:r>
      <w:r>
        <w:rPr>
          <w:color w:val="000000"/>
        </w:rPr>
        <w:t>：</w:t>
      </w:r>
      <w:r>
        <w:rPr>
          <w:color w:val="000000"/>
          <w:u w:val="single"/>
        </w:rPr>
        <w:t xml:space="preserve">（签字）              </w:t>
      </w:r>
    </w:p>
    <w:p>
      <w:pPr>
        <w:ind w:left="2880" w:leftChars="1200" w:firstLine="480"/>
        <w:rPr>
          <w:color w:val="000000"/>
        </w:rPr>
      </w:pPr>
    </w:p>
    <w:p>
      <w:pPr>
        <w:ind w:left="2880" w:leftChars="1200" w:firstLine="480"/>
        <w:rPr>
          <w:color w:val="000000"/>
          <w:u w:val="single"/>
        </w:rPr>
      </w:pPr>
      <w:r>
        <w:rPr>
          <w:color w:val="000000"/>
        </w:rPr>
        <w:t>委托代理人：</w:t>
      </w:r>
      <w:r>
        <w:rPr>
          <w:color w:val="000000"/>
          <w:u w:val="single"/>
        </w:rPr>
        <w:t xml:space="preserve">（签字）                           </w:t>
      </w:r>
    </w:p>
    <w:p>
      <w:pPr>
        <w:ind w:left="2880" w:leftChars="1200" w:firstLine="480"/>
        <w:rPr>
          <w:color w:val="000000"/>
        </w:rPr>
      </w:pPr>
    </w:p>
    <w:p>
      <w:pPr>
        <w:ind w:left="2880" w:leftChars="1200" w:firstLine="480"/>
        <w:rPr>
          <w:color w:val="000000"/>
        </w:rPr>
      </w:pPr>
    </w:p>
    <w:p>
      <w:pPr>
        <w:ind w:left="2880" w:leftChars="1200" w:firstLine="480"/>
        <w:rPr>
          <w:color w:val="000000"/>
        </w:rPr>
      </w:pP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pPr>
        <w:ind w:firstLine="480"/>
        <w:rPr>
          <w:color w:val="000000"/>
        </w:rPr>
      </w:pPr>
    </w:p>
    <w:p>
      <w:pPr>
        <w:ind w:firstLine="480"/>
      </w:pPr>
      <w:r>
        <w:rPr>
          <w:rFonts w:hint="eastAsia"/>
        </w:rPr>
        <w:t>注：如供应商法定代表人参加采购行为，只需附其身份证复印件。</w:t>
      </w:r>
    </w:p>
    <w:p>
      <w:pPr>
        <w:ind w:firstLine="480"/>
        <w:rPr>
          <w:rFonts w:cs="Arial"/>
          <w:color w:val="000000"/>
        </w:rPr>
      </w:pPr>
    </w:p>
    <w:p>
      <w:pPr>
        <w:ind w:firstLine="480"/>
        <w:rPr>
          <w:rFonts w:cs="Arial"/>
          <w:color w:val="000000"/>
        </w:rPr>
      </w:pPr>
    </w:p>
    <w:p>
      <w:pPr>
        <w:ind w:firstLine="480"/>
        <w:rPr>
          <w:rFonts w:cs="Arial"/>
          <w:color w:val="000000"/>
        </w:rPr>
      </w:pPr>
    </w:p>
    <w:p>
      <w:pPr>
        <w:spacing w:line="480" w:lineRule="auto"/>
        <w:ind w:firstLine="480"/>
        <w:textAlignment w:val="baseline"/>
        <w:rPr>
          <w:rFonts w:ascii="宋体" w:hAnsi="宋体"/>
          <w:color w:val="000000"/>
        </w:rPr>
      </w:pPr>
    </w:p>
    <w:p>
      <w:pPr>
        <w:pStyle w:val="3"/>
        <w:spacing w:before="120"/>
      </w:pPr>
      <w:r>
        <w:rPr>
          <w:rFonts w:ascii="宋体" w:hAnsi="宋体"/>
          <w:color w:val="000000"/>
          <w:sz w:val="24"/>
        </w:rPr>
        <w:br w:type="page"/>
      </w:r>
      <w:bookmarkStart w:id="106" w:name="_Toc4155351"/>
      <w:r>
        <w:rPr>
          <w:rFonts w:hint="eastAsia"/>
        </w:rPr>
        <w:t>二、报价部分</w:t>
      </w:r>
      <w:bookmarkEnd w:id="106"/>
    </w:p>
    <w:p>
      <w:pPr>
        <w:ind w:firstLine="480"/>
      </w:pPr>
      <w:r>
        <w:rPr>
          <w:rFonts w:hint="eastAsia"/>
        </w:rPr>
        <w:t>1.报价说明</w:t>
      </w:r>
    </w:p>
    <w:p>
      <w:pPr>
        <w:ind w:firstLine="480"/>
      </w:pPr>
      <w:r>
        <w:rPr>
          <w:rFonts w:hint="eastAsia"/>
        </w:rPr>
        <w:t>1.1 本说明应与供应商须知、合同条款等文件一起参照阅读。</w:t>
      </w:r>
    </w:p>
    <w:p>
      <w:pPr>
        <w:ind w:firstLine="480"/>
      </w:pPr>
      <w:r>
        <w:rPr>
          <w:rFonts w:hint="eastAsia"/>
        </w:rPr>
        <w:t>1.2 除合同另有规定外，报价应包括供应商为完成本合同规定的工作所承担的全部费用，包括成本、税金、利润等，并考虑了应由供应商承担的义务、责任和风险所发生的费用。</w:t>
      </w:r>
    </w:p>
    <w:p>
      <w:pPr>
        <w:ind w:firstLine="480"/>
      </w:pPr>
      <w:r>
        <w:rPr>
          <w:rFonts w:hint="eastAsia"/>
        </w:rPr>
        <w:t>1.3 供应商报价须与中国华能集团电子商务平台的报价一致。</w:t>
      </w:r>
    </w:p>
    <w:p>
      <w:pPr>
        <w:ind w:firstLine="480"/>
      </w:pPr>
      <w:bookmarkStart w:id="107" w:name="_Toc354089004"/>
      <w:r>
        <w:rPr>
          <w:rFonts w:hint="eastAsia"/>
        </w:rPr>
        <w:t>2</w:t>
      </w:r>
      <w:r>
        <w:t>.</w:t>
      </w:r>
      <w:r>
        <w:rPr>
          <w:rFonts w:hint="eastAsia"/>
        </w:rPr>
        <w:t>响应报价表</w:t>
      </w:r>
      <w:bookmarkEnd w:id="107"/>
    </w:p>
    <w:p>
      <w:pPr>
        <w:ind w:firstLine="480"/>
      </w:pPr>
      <w:r>
        <w:rPr>
          <w:rFonts w:hint="eastAsia"/>
        </w:rPr>
        <w:t>2.1报价汇总表（格式）</w:t>
      </w:r>
    </w:p>
    <w:p>
      <w:pPr>
        <w:pStyle w:val="68"/>
        <w:tabs>
          <w:tab w:val="left" w:pos="0"/>
          <w:tab w:val="left" w:pos="240"/>
          <w:tab w:val="left" w:pos="840"/>
          <w:tab w:val="left" w:pos="1080"/>
        </w:tabs>
        <w:spacing w:line="360" w:lineRule="auto"/>
        <w:ind w:firstLine="0" w:firstLineChars="0"/>
        <w:jc w:val="center"/>
        <w:rPr>
          <w:rFonts w:ascii="黑体" w:hAnsi="黑体" w:eastAsia="黑体" w:cs="Arial"/>
          <w:sz w:val="22"/>
          <w:szCs w:val="21"/>
        </w:rPr>
      </w:pPr>
      <w:r>
        <w:rPr>
          <w:rFonts w:hint="eastAsia" w:ascii="黑体" w:hAnsi="黑体" w:eastAsia="黑体"/>
          <w:sz w:val="28"/>
          <w:szCs w:val="21"/>
        </w:rPr>
        <w:t>报价表</w:t>
      </w:r>
    </w:p>
    <w:p>
      <w:pPr>
        <w:ind w:firstLine="420"/>
        <w:jc w:val="right"/>
        <w:rPr>
          <w:b/>
          <w:szCs w:val="21"/>
          <w:u w:val="single"/>
        </w:rPr>
      </w:pPr>
      <w:r>
        <w:rPr>
          <w:rFonts w:hint="eastAsia" w:cs="Arial"/>
          <w:sz w:val="21"/>
          <w:szCs w:val="21"/>
        </w:rPr>
        <w:t>单位：人民币元</w:t>
      </w:r>
    </w:p>
    <w:tbl>
      <w:tblPr>
        <w:tblStyle w:val="35"/>
        <w:tblW w:w="92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3869"/>
        <w:gridCol w:w="2305"/>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76" w:type="dxa"/>
            <w:vAlign w:val="center"/>
          </w:tcPr>
          <w:p>
            <w:pPr>
              <w:pStyle w:val="48"/>
              <w:jc w:val="center"/>
            </w:pPr>
            <w:r>
              <w:rPr>
                <w:rFonts w:hint="eastAsia"/>
              </w:rPr>
              <w:t>序号</w:t>
            </w:r>
          </w:p>
        </w:tc>
        <w:tc>
          <w:tcPr>
            <w:tcW w:w="3869" w:type="dxa"/>
            <w:vAlign w:val="center"/>
          </w:tcPr>
          <w:p>
            <w:pPr>
              <w:pStyle w:val="48"/>
              <w:jc w:val="center"/>
            </w:pPr>
            <w:r>
              <w:rPr>
                <w:rFonts w:hint="eastAsia"/>
              </w:rPr>
              <w:t>项目</w:t>
            </w:r>
          </w:p>
        </w:tc>
        <w:tc>
          <w:tcPr>
            <w:tcW w:w="2305" w:type="dxa"/>
            <w:vAlign w:val="center"/>
          </w:tcPr>
          <w:p>
            <w:pPr>
              <w:pStyle w:val="48"/>
              <w:jc w:val="center"/>
            </w:pPr>
            <w:r>
              <w:rPr>
                <w:rFonts w:hint="eastAsia"/>
              </w:rPr>
              <w:t>报价（元）</w:t>
            </w:r>
          </w:p>
        </w:tc>
        <w:tc>
          <w:tcPr>
            <w:tcW w:w="2336" w:type="dxa"/>
            <w:vAlign w:val="center"/>
          </w:tcPr>
          <w:p>
            <w:pPr>
              <w:pStyle w:val="48"/>
              <w:jc w:val="center"/>
            </w:pPr>
            <w:r>
              <w:rPr>
                <w:rFonts w:hint="eastAsia"/>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776" w:type="dxa"/>
            <w:vAlign w:val="center"/>
          </w:tcPr>
          <w:p>
            <w:pPr>
              <w:pStyle w:val="48"/>
              <w:jc w:val="center"/>
            </w:pPr>
            <w:r>
              <w:rPr>
                <w:rFonts w:hint="eastAsia"/>
              </w:rPr>
              <w:t>1</w:t>
            </w:r>
          </w:p>
        </w:tc>
        <w:tc>
          <w:tcPr>
            <w:tcW w:w="3869" w:type="dxa"/>
            <w:vAlign w:val="center"/>
          </w:tcPr>
          <w:p>
            <w:pPr>
              <w:pStyle w:val="48"/>
              <w:jc w:val="center"/>
            </w:pPr>
          </w:p>
        </w:tc>
        <w:tc>
          <w:tcPr>
            <w:tcW w:w="2305" w:type="dxa"/>
            <w:vAlign w:val="center"/>
          </w:tcPr>
          <w:p>
            <w:pPr>
              <w:pStyle w:val="48"/>
              <w:jc w:val="center"/>
            </w:pPr>
          </w:p>
        </w:tc>
        <w:tc>
          <w:tcPr>
            <w:tcW w:w="2336" w:type="dxa"/>
            <w:vAlign w:val="center"/>
          </w:tcPr>
          <w:p>
            <w:pPr>
              <w:pStyle w:val="48"/>
              <w:jc w:val="center"/>
            </w:pPr>
            <w:r>
              <w:rPr>
                <w:rFonts w:hint="eastAsia"/>
              </w:rPr>
              <w:t>报价为含税价</w:t>
            </w:r>
          </w:p>
          <w:p>
            <w:pPr>
              <w:pStyle w:val="48"/>
              <w:jc w:val="center"/>
            </w:pPr>
            <w:r>
              <w:rPr>
                <w:rFonts w:hint="eastAsia"/>
              </w:rPr>
              <w:t>税率</w:t>
            </w:r>
            <w:r>
              <w:rPr>
                <w:rFonts w:hint="eastAsia"/>
                <w:u w:val="single"/>
              </w:rPr>
              <w:t xml:space="preserve">   </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9286" w:type="dxa"/>
            <w:gridSpan w:val="4"/>
            <w:vAlign w:val="center"/>
          </w:tcPr>
          <w:p>
            <w:pPr>
              <w:pStyle w:val="48"/>
            </w:pPr>
            <w:r>
              <w:rPr>
                <w:rFonts w:hint="eastAsia"/>
              </w:rPr>
              <w:t>备注：报价含税费。</w:t>
            </w:r>
          </w:p>
        </w:tc>
      </w:tr>
    </w:tbl>
    <w:p>
      <w:pPr>
        <w:spacing w:line="360" w:lineRule="auto"/>
        <w:ind w:firstLine="480"/>
        <w:jc w:val="center"/>
        <w:rPr>
          <w:rFonts w:cs="Arial"/>
          <w:szCs w:val="21"/>
        </w:rPr>
      </w:pPr>
      <w:r>
        <w:rPr>
          <w:rFonts w:hint="eastAsia" w:cs="Arial"/>
          <w:szCs w:val="21"/>
        </w:rPr>
        <w:t xml:space="preserve">                        </w:t>
      </w:r>
    </w:p>
    <w:p>
      <w:pPr>
        <w:spacing w:line="360" w:lineRule="auto"/>
        <w:ind w:firstLine="480"/>
        <w:jc w:val="center"/>
        <w:rPr>
          <w:rFonts w:cs="Arial"/>
          <w:szCs w:val="21"/>
        </w:rPr>
      </w:pPr>
    </w:p>
    <w:p>
      <w:pPr>
        <w:wordWrap w:val="0"/>
        <w:spacing w:line="360" w:lineRule="auto"/>
        <w:ind w:firstLine="480"/>
        <w:jc w:val="right"/>
        <w:rPr>
          <w:rFonts w:cs="Arial"/>
          <w:szCs w:val="21"/>
          <w:u w:val="single"/>
        </w:rPr>
      </w:pPr>
      <w:r>
        <w:rPr>
          <w:rFonts w:hint="eastAsia" w:cs="Arial"/>
          <w:szCs w:val="21"/>
        </w:rPr>
        <w:t>供应商名称：</w:t>
      </w:r>
      <w:r>
        <w:rPr>
          <w:rFonts w:hint="eastAsia" w:cs="Arial"/>
          <w:szCs w:val="21"/>
          <w:u w:val="single"/>
        </w:rPr>
        <w:t xml:space="preserve"> </w:t>
      </w:r>
      <w:r>
        <w:rPr>
          <w:rFonts w:cs="Arial"/>
          <w:szCs w:val="21"/>
          <w:u w:val="single"/>
        </w:rPr>
        <w:t xml:space="preserve">  </w:t>
      </w:r>
      <w:r>
        <w:rPr>
          <w:rFonts w:hint="eastAsia" w:cs="Arial"/>
          <w:szCs w:val="21"/>
          <w:u w:val="single"/>
        </w:rPr>
        <w:t xml:space="preserve">（盖章） </w:t>
      </w:r>
      <w:r>
        <w:rPr>
          <w:rFonts w:cs="Arial"/>
          <w:szCs w:val="21"/>
          <w:u w:val="single"/>
        </w:rPr>
        <w:t xml:space="preserve">  </w:t>
      </w:r>
    </w:p>
    <w:p>
      <w:pPr>
        <w:spacing w:line="360" w:lineRule="auto"/>
        <w:ind w:firstLine="480"/>
        <w:jc w:val="right"/>
        <w:rPr>
          <w:rFonts w:cs="Arial"/>
          <w:szCs w:val="21"/>
        </w:rPr>
      </w:pPr>
      <w:r>
        <w:rPr>
          <w:rFonts w:hint="eastAsia" w:cs="Arial"/>
          <w:szCs w:val="21"/>
          <w:u w:val="single"/>
        </w:rPr>
        <w:t xml:space="preserve"> </w:t>
      </w:r>
      <w:r>
        <w:rPr>
          <w:rFonts w:cs="Arial"/>
          <w:szCs w:val="21"/>
          <w:u w:val="single"/>
        </w:rPr>
        <w:t xml:space="preserve">           </w:t>
      </w:r>
      <w:r>
        <w:rPr>
          <w:rFonts w:hint="eastAsia" w:cs="Arial"/>
          <w:szCs w:val="21"/>
        </w:rPr>
        <w:t>年</w:t>
      </w:r>
      <w:r>
        <w:rPr>
          <w:rFonts w:hint="eastAsia" w:cs="Arial"/>
          <w:szCs w:val="21"/>
          <w:u w:val="single"/>
        </w:rPr>
        <w:t xml:space="preserve">     </w:t>
      </w:r>
      <w:r>
        <w:rPr>
          <w:rFonts w:hint="eastAsia" w:cs="Arial"/>
          <w:szCs w:val="21"/>
        </w:rPr>
        <w:t>月</w:t>
      </w:r>
      <w:r>
        <w:rPr>
          <w:rFonts w:hint="eastAsia" w:cs="Arial"/>
          <w:szCs w:val="21"/>
          <w:u w:val="single"/>
        </w:rPr>
        <w:t xml:space="preserve">     </w:t>
      </w:r>
      <w:r>
        <w:rPr>
          <w:rFonts w:hint="eastAsia" w:cs="Arial"/>
          <w:szCs w:val="21"/>
        </w:rPr>
        <w:t>日</w:t>
      </w:r>
    </w:p>
    <w:p>
      <w:pPr>
        <w:spacing w:line="360" w:lineRule="auto"/>
        <w:ind w:firstLine="480"/>
        <w:rPr>
          <w:rFonts w:cs="Arial"/>
          <w:szCs w:val="21"/>
        </w:rPr>
      </w:pPr>
    </w:p>
    <w:p>
      <w:pPr>
        <w:spacing w:line="360" w:lineRule="auto"/>
        <w:ind w:firstLine="480"/>
        <w:rPr>
          <w:rFonts w:cs="Arial"/>
          <w:szCs w:val="21"/>
        </w:rPr>
      </w:pPr>
    </w:p>
    <w:p>
      <w:pPr>
        <w:ind w:firstLine="480"/>
      </w:pPr>
      <w:r>
        <w:rPr>
          <w:rFonts w:hint="eastAsia"/>
        </w:rPr>
        <w:t>2.2分项报价表</w:t>
      </w:r>
    </w:p>
    <w:p>
      <w:pPr>
        <w:ind w:firstLine="480"/>
      </w:pPr>
      <w:r>
        <w:rPr>
          <w:rFonts w:hint="eastAsia"/>
        </w:rPr>
        <w:t>格式自拟。</w:t>
      </w:r>
    </w:p>
    <w:p>
      <w:pPr>
        <w:pStyle w:val="3"/>
        <w:spacing w:before="120"/>
        <w:rPr>
          <w:rFonts w:ascii="宋体" w:hAnsi="宋体"/>
        </w:rPr>
      </w:pPr>
      <w:r>
        <w:br w:type="page"/>
      </w:r>
      <w:bookmarkStart w:id="108" w:name="_Toc4155352"/>
      <w:r>
        <w:rPr>
          <w:rFonts w:hint="eastAsia"/>
        </w:rPr>
        <w:t>三、商务部分</w:t>
      </w:r>
      <w:bookmarkEnd w:id="108"/>
    </w:p>
    <w:p>
      <w:pPr>
        <w:ind w:firstLine="0" w:firstLineChars="0"/>
        <w:jc w:val="center"/>
        <w:rPr>
          <w:sz w:val="28"/>
        </w:rPr>
      </w:pPr>
      <w:r>
        <w:rPr>
          <w:rFonts w:hint="eastAsia"/>
          <w:sz w:val="28"/>
        </w:rPr>
        <w:t>供应商综合情况表</w:t>
      </w:r>
    </w:p>
    <w:p>
      <w:pPr>
        <w:ind w:firstLine="560"/>
        <w:jc w:val="center"/>
        <w:rPr>
          <w:sz w:val="28"/>
        </w:rPr>
      </w:pPr>
    </w:p>
    <w:tbl>
      <w:tblPr>
        <w:tblStyle w:val="35"/>
        <w:tblW w:w="9286" w:type="dxa"/>
        <w:jc w:val="center"/>
        <w:tblInd w:w="0" w:type="dxa"/>
        <w:tblLayout w:type="fixed"/>
        <w:tblCellMar>
          <w:top w:w="0" w:type="dxa"/>
          <w:left w:w="108" w:type="dxa"/>
          <w:bottom w:w="0" w:type="dxa"/>
          <w:right w:w="108" w:type="dxa"/>
        </w:tblCellMar>
      </w:tblPr>
      <w:tblGrid>
        <w:gridCol w:w="1207"/>
        <w:gridCol w:w="2528"/>
        <w:gridCol w:w="4292"/>
        <w:gridCol w:w="1259"/>
      </w:tblGrid>
      <w:tr>
        <w:tblPrEx>
          <w:tblLayout w:type="fixed"/>
          <w:tblCellMar>
            <w:top w:w="0" w:type="dxa"/>
            <w:left w:w="108" w:type="dxa"/>
            <w:bottom w:w="0" w:type="dxa"/>
            <w:right w:w="108" w:type="dxa"/>
          </w:tblCellMar>
        </w:tblPrEx>
        <w:trPr>
          <w:trHeight w:val="567" w:hRule="atLeast"/>
          <w:tblHeader/>
          <w:jc w:val="center"/>
        </w:trPr>
        <w:tc>
          <w:tcPr>
            <w:tcW w:w="1207" w:type="dxa"/>
            <w:tcBorders>
              <w:top w:val="single" w:color="auto" w:sz="4" w:space="0"/>
              <w:left w:val="single" w:color="auto" w:sz="4" w:space="0"/>
              <w:bottom w:val="single" w:color="auto" w:sz="4" w:space="0"/>
              <w:right w:val="single" w:color="auto" w:sz="4" w:space="0"/>
            </w:tcBorders>
            <w:vAlign w:val="center"/>
          </w:tcPr>
          <w:p>
            <w:pPr>
              <w:pStyle w:val="48"/>
            </w:pPr>
            <w:r>
              <w:rPr>
                <w:rFonts w:hint="eastAsia"/>
              </w:rPr>
              <w:t>评审因素</w:t>
            </w:r>
          </w:p>
        </w:tc>
        <w:tc>
          <w:tcPr>
            <w:tcW w:w="2528" w:type="dxa"/>
            <w:tcBorders>
              <w:top w:val="single" w:color="auto" w:sz="4" w:space="0"/>
              <w:left w:val="nil"/>
              <w:bottom w:val="single" w:color="auto" w:sz="4" w:space="0"/>
              <w:right w:val="single" w:color="auto" w:sz="4" w:space="0"/>
            </w:tcBorders>
            <w:vAlign w:val="center"/>
          </w:tcPr>
          <w:p>
            <w:pPr>
              <w:pStyle w:val="48"/>
            </w:pPr>
            <w:r>
              <w:rPr>
                <w:rFonts w:hint="eastAsia"/>
              </w:rPr>
              <w:t>评审项目</w:t>
            </w:r>
          </w:p>
        </w:tc>
        <w:tc>
          <w:tcPr>
            <w:tcW w:w="4292" w:type="dxa"/>
            <w:tcBorders>
              <w:top w:val="single" w:color="auto" w:sz="4" w:space="0"/>
              <w:left w:val="nil"/>
              <w:bottom w:val="single" w:color="auto" w:sz="4" w:space="0"/>
              <w:right w:val="single" w:color="000000" w:sz="4" w:space="0"/>
            </w:tcBorders>
            <w:vAlign w:val="center"/>
          </w:tcPr>
          <w:p>
            <w:pPr>
              <w:pStyle w:val="48"/>
            </w:pPr>
            <w:r>
              <w:rPr>
                <w:rFonts w:hint="eastAsia"/>
              </w:rPr>
              <w:t xml:space="preserve"> 具体内容</w:t>
            </w:r>
          </w:p>
        </w:tc>
        <w:tc>
          <w:tcPr>
            <w:tcW w:w="1259" w:type="dxa"/>
            <w:tcBorders>
              <w:top w:val="single" w:color="auto" w:sz="4" w:space="0"/>
              <w:left w:val="nil"/>
              <w:bottom w:val="single" w:color="auto" w:sz="4" w:space="0"/>
              <w:right w:val="single" w:color="auto" w:sz="4" w:space="0"/>
            </w:tcBorders>
            <w:vAlign w:val="center"/>
          </w:tcPr>
          <w:p>
            <w:pPr>
              <w:pStyle w:val="48"/>
              <w:rPr>
                <w:sz w:val="20"/>
              </w:rPr>
            </w:pPr>
            <w:r>
              <w:rPr>
                <w:rFonts w:hint="eastAsia"/>
                <w:sz w:val="20"/>
              </w:rPr>
              <w:t>备注</w:t>
            </w:r>
          </w:p>
        </w:tc>
      </w:tr>
      <w:tr>
        <w:tblPrEx>
          <w:tblLayout w:type="fixed"/>
          <w:tblCellMar>
            <w:top w:w="0" w:type="dxa"/>
            <w:left w:w="108" w:type="dxa"/>
            <w:bottom w:w="0" w:type="dxa"/>
            <w:right w:w="108" w:type="dxa"/>
          </w:tblCellMar>
        </w:tblPrEx>
        <w:trPr>
          <w:trHeight w:val="567" w:hRule="atLeast"/>
          <w:jc w:val="center"/>
        </w:trPr>
        <w:tc>
          <w:tcPr>
            <w:tcW w:w="1207" w:type="dxa"/>
            <w:vMerge w:val="restart"/>
            <w:tcBorders>
              <w:top w:val="nil"/>
              <w:left w:val="single" w:color="auto" w:sz="4" w:space="0"/>
              <w:bottom w:val="nil"/>
              <w:right w:val="single" w:color="auto" w:sz="4" w:space="0"/>
            </w:tcBorders>
            <w:vAlign w:val="center"/>
          </w:tcPr>
          <w:p>
            <w:pPr>
              <w:pStyle w:val="48"/>
              <w:rPr>
                <w:sz w:val="20"/>
              </w:rPr>
            </w:pPr>
            <w:r>
              <w:rPr>
                <w:rFonts w:hint="eastAsia"/>
                <w:color w:val="FF0000"/>
                <w:sz w:val="20"/>
                <w:lang w:val="en-US" w:eastAsia="zh-CN"/>
              </w:rPr>
              <w:t>*</w:t>
            </w:r>
            <w:r>
              <w:rPr>
                <w:rFonts w:hint="eastAsia"/>
                <w:sz w:val="20"/>
              </w:rPr>
              <w:t>营业执照</w:t>
            </w: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供应商名称</w:t>
            </w:r>
          </w:p>
        </w:tc>
        <w:tc>
          <w:tcPr>
            <w:tcW w:w="4292" w:type="dxa"/>
            <w:tcBorders>
              <w:top w:val="single" w:color="auto" w:sz="4" w:space="0"/>
              <w:left w:val="nil"/>
              <w:bottom w:val="single" w:color="auto" w:sz="4" w:space="0"/>
              <w:right w:val="single" w:color="000000" w:sz="4" w:space="0"/>
            </w:tcBorders>
            <w:vAlign w:val="center"/>
          </w:tcPr>
          <w:p>
            <w:pPr>
              <w:pStyle w:val="48"/>
              <w:rPr>
                <w:sz w:val="20"/>
              </w:rPr>
            </w:pPr>
            <w:r>
              <w:rPr>
                <w:rFonts w:hint="eastAsia"/>
                <w:sz w:val="20"/>
              </w:rPr>
              <w:t>　</w:t>
            </w:r>
          </w:p>
        </w:tc>
        <w:tc>
          <w:tcPr>
            <w:tcW w:w="1259" w:type="dxa"/>
            <w:tcBorders>
              <w:top w:val="nil"/>
              <w:left w:val="nil"/>
              <w:bottom w:val="single" w:color="auto" w:sz="4" w:space="0"/>
              <w:right w:val="single" w:color="auto" w:sz="4" w:space="0"/>
            </w:tcBorders>
            <w:vAlign w:val="center"/>
          </w:tcPr>
          <w:p>
            <w:pPr>
              <w:pStyle w:val="48"/>
              <w:rPr>
                <w:sz w:val="20"/>
              </w:rPr>
            </w:pPr>
            <w:r>
              <w:rPr>
                <w:rFonts w:hint="eastAsia"/>
                <w:sz w:val="20"/>
              </w:rPr>
              <w:t>　</w:t>
            </w: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nil"/>
              <w:left w:val="single" w:color="auto" w:sz="4" w:space="0"/>
              <w:bottom w:val="nil"/>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注册资本</w:t>
            </w:r>
          </w:p>
        </w:tc>
        <w:tc>
          <w:tcPr>
            <w:tcW w:w="4292" w:type="dxa"/>
            <w:tcBorders>
              <w:top w:val="single" w:color="auto" w:sz="4" w:space="0"/>
              <w:left w:val="nil"/>
              <w:bottom w:val="single" w:color="auto" w:sz="4" w:space="0"/>
              <w:right w:val="single" w:color="000000" w:sz="4" w:space="0"/>
            </w:tcBorders>
          </w:tcPr>
          <w:p>
            <w:pPr>
              <w:pStyle w:val="48"/>
              <w:rPr>
                <w:sz w:val="20"/>
              </w:rPr>
            </w:pPr>
          </w:p>
        </w:tc>
        <w:tc>
          <w:tcPr>
            <w:tcW w:w="1259" w:type="dxa"/>
            <w:vMerge w:val="restart"/>
            <w:tcBorders>
              <w:top w:val="nil"/>
              <w:left w:val="single" w:color="auto" w:sz="4" w:space="0"/>
              <w:bottom w:val="single" w:color="000000" w:sz="4" w:space="0"/>
              <w:right w:val="single" w:color="auto" w:sz="4" w:space="0"/>
            </w:tcBorders>
            <w:vAlign w:val="center"/>
          </w:tcPr>
          <w:p>
            <w:pPr>
              <w:pStyle w:val="48"/>
              <w:rPr>
                <w:sz w:val="20"/>
              </w:rPr>
            </w:pPr>
            <w:r>
              <w:rPr>
                <w:rFonts w:hint="eastAsia"/>
                <w:sz w:val="20"/>
              </w:rPr>
              <w:t>附件1：后附企业法人营业执照副本扫描件。</w:t>
            </w: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nil"/>
              <w:left w:val="single" w:color="auto" w:sz="4" w:space="0"/>
              <w:bottom w:val="nil"/>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企业类型</w:t>
            </w:r>
          </w:p>
        </w:tc>
        <w:tc>
          <w:tcPr>
            <w:tcW w:w="4292" w:type="dxa"/>
            <w:tcBorders>
              <w:top w:val="single" w:color="auto" w:sz="4" w:space="0"/>
              <w:left w:val="nil"/>
              <w:bottom w:val="single" w:color="auto" w:sz="4" w:space="0"/>
              <w:right w:val="single" w:color="000000" w:sz="4" w:space="0"/>
            </w:tcBorders>
          </w:tcPr>
          <w:p>
            <w:pPr>
              <w:pStyle w:val="48"/>
              <w:rPr>
                <w:sz w:val="20"/>
              </w:rPr>
            </w:pP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nil"/>
              <w:left w:val="single" w:color="auto" w:sz="4" w:space="0"/>
              <w:bottom w:val="nil"/>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统一社会信用代码</w:t>
            </w:r>
          </w:p>
        </w:tc>
        <w:tc>
          <w:tcPr>
            <w:tcW w:w="4292" w:type="dxa"/>
            <w:tcBorders>
              <w:top w:val="single" w:color="auto" w:sz="4" w:space="0"/>
              <w:left w:val="nil"/>
              <w:bottom w:val="single" w:color="auto" w:sz="4" w:space="0"/>
              <w:right w:val="single" w:color="000000" w:sz="4" w:space="0"/>
            </w:tcBorders>
            <w:vAlign w:val="center"/>
          </w:tcPr>
          <w:p>
            <w:pPr>
              <w:pStyle w:val="48"/>
              <w:rPr>
                <w:sz w:val="20"/>
              </w:rPr>
            </w:pP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nil"/>
              <w:left w:val="single" w:color="auto" w:sz="4" w:space="0"/>
              <w:bottom w:val="nil"/>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法定代表人（负责人）</w:t>
            </w:r>
          </w:p>
        </w:tc>
        <w:tc>
          <w:tcPr>
            <w:tcW w:w="4292" w:type="dxa"/>
            <w:tcBorders>
              <w:top w:val="single" w:color="auto" w:sz="4" w:space="0"/>
              <w:left w:val="nil"/>
              <w:bottom w:val="single" w:color="auto" w:sz="4" w:space="0"/>
              <w:right w:val="single" w:color="000000" w:sz="4" w:space="0"/>
            </w:tcBorders>
          </w:tcPr>
          <w:p>
            <w:pPr>
              <w:pStyle w:val="48"/>
              <w:rPr>
                <w:sz w:val="20"/>
              </w:rPr>
            </w:pP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nil"/>
              <w:left w:val="single" w:color="auto" w:sz="4" w:space="0"/>
              <w:bottom w:val="nil"/>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业务范围</w:t>
            </w:r>
          </w:p>
        </w:tc>
        <w:tc>
          <w:tcPr>
            <w:tcW w:w="4292" w:type="dxa"/>
            <w:tcBorders>
              <w:top w:val="single" w:color="auto" w:sz="4" w:space="0"/>
              <w:left w:val="nil"/>
              <w:bottom w:val="single" w:color="auto" w:sz="4" w:space="0"/>
              <w:right w:val="single" w:color="000000" w:sz="4" w:space="0"/>
            </w:tcBorders>
            <w:vAlign w:val="center"/>
          </w:tcPr>
          <w:p>
            <w:pPr>
              <w:pStyle w:val="48"/>
              <w:rPr>
                <w:sz w:val="20"/>
              </w:rPr>
            </w:pP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tcBorders>
              <w:top w:val="nil"/>
              <w:left w:val="single" w:color="auto" w:sz="4" w:space="0"/>
              <w:bottom w:val="single" w:color="auto" w:sz="4" w:space="0"/>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其他（投标人认为有必要填写的资料）</w:t>
            </w:r>
          </w:p>
        </w:tc>
        <w:tc>
          <w:tcPr>
            <w:tcW w:w="4292" w:type="dxa"/>
            <w:tcBorders>
              <w:top w:val="single" w:color="auto" w:sz="4" w:space="0"/>
              <w:left w:val="nil"/>
              <w:bottom w:val="single" w:color="auto" w:sz="4" w:space="0"/>
              <w:right w:val="single" w:color="000000" w:sz="4" w:space="0"/>
            </w:tcBorders>
            <w:vAlign w:val="center"/>
          </w:tcPr>
          <w:p>
            <w:pPr>
              <w:pStyle w:val="48"/>
              <w:rPr>
                <w:sz w:val="20"/>
              </w:rPr>
            </w:pPr>
          </w:p>
        </w:tc>
        <w:tc>
          <w:tcPr>
            <w:tcW w:w="1259" w:type="dxa"/>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vMerge w:val="restart"/>
            <w:tcBorders>
              <w:top w:val="single" w:color="auto" w:sz="4" w:space="0"/>
              <w:left w:val="single" w:color="auto" w:sz="4" w:space="0"/>
              <w:bottom w:val="single" w:color="000000" w:sz="4" w:space="0"/>
              <w:right w:val="single" w:color="auto" w:sz="4" w:space="0"/>
            </w:tcBorders>
            <w:vAlign w:val="center"/>
          </w:tcPr>
          <w:p>
            <w:pPr>
              <w:pStyle w:val="48"/>
              <w:rPr>
                <w:sz w:val="20"/>
              </w:rPr>
            </w:pPr>
            <w:r>
              <w:rPr>
                <w:rFonts w:hint="eastAsia"/>
                <w:color w:val="FF0000"/>
                <w:sz w:val="20"/>
                <w:lang w:val="en-US" w:eastAsia="zh-CN"/>
              </w:rPr>
              <w:t>*</w:t>
            </w:r>
            <w:r>
              <w:rPr>
                <w:rFonts w:hint="eastAsia"/>
                <w:sz w:val="20"/>
              </w:rPr>
              <w:t>采购要求的企业资质情况</w:t>
            </w: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资质情况1(发证机关、资质等级、有效期等)</w:t>
            </w:r>
          </w:p>
        </w:tc>
        <w:tc>
          <w:tcPr>
            <w:tcW w:w="4292" w:type="dxa"/>
            <w:tcBorders>
              <w:top w:val="single" w:color="auto" w:sz="4" w:space="0"/>
              <w:left w:val="nil"/>
              <w:bottom w:val="single" w:color="auto" w:sz="4" w:space="0"/>
              <w:right w:val="single" w:color="000000" w:sz="4" w:space="0"/>
            </w:tcBorders>
            <w:vAlign w:val="center"/>
          </w:tcPr>
          <w:p>
            <w:pPr>
              <w:pStyle w:val="48"/>
              <w:rPr>
                <w:sz w:val="20"/>
              </w:rPr>
            </w:pPr>
          </w:p>
        </w:tc>
        <w:tc>
          <w:tcPr>
            <w:tcW w:w="1259" w:type="dxa"/>
            <w:vMerge w:val="restart"/>
            <w:tcBorders>
              <w:top w:val="nil"/>
              <w:left w:val="single" w:color="auto" w:sz="4" w:space="0"/>
              <w:bottom w:val="single" w:color="000000" w:sz="4" w:space="0"/>
              <w:right w:val="single" w:color="auto" w:sz="4" w:space="0"/>
            </w:tcBorders>
            <w:vAlign w:val="center"/>
          </w:tcPr>
          <w:p>
            <w:pPr>
              <w:pStyle w:val="48"/>
              <w:rPr>
                <w:sz w:val="20"/>
              </w:rPr>
            </w:pPr>
            <w:r>
              <w:rPr>
                <w:rFonts w:hint="eastAsia"/>
                <w:sz w:val="20"/>
              </w:rPr>
              <w:t xml:space="preserve">附件2：后附采购要求的资质证书、生产许可证（如有）扫描件等。 </w:t>
            </w: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资质情况2(发证机关、资质等级、有效期等)</w:t>
            </w:r>
          </w:p>
        </w:tc>
        <w:tc>
          <w:tcPr>
            <w:tcW w:w="4292" w:type="dxa"/>
            <w:tcBorders>
              <w:top w:val="single" w:color="auto" w:sz="4" w:space="0"/>
              <w:left w:val="nil"/>
              <w:bottom w:val="single" w:color="auto" w:sz="4" w:space="0"/>
              <w:right w:val="single" w:color="000000" w:sz="4" w:space="0"/>
            </w:tcBorders>
            <w:vAlign w:val="center"/>
          </w:tcPr>
          <w:p>
            <w:pPr>
              <w:pStyle w:val="48"/>
              <w:rPr>
                <w:sz w:val="20"/>
              </w:rPr>
            </w:pP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w:t>
            </w:r>
          </w:p>
        </w:tc>
        <w:tc>
          <w:tcPr>
            <w:tcW w:w="4292" w:type="dxa"/>
            <w:tcBorders>
              <w:top w:val="single" w:color="auto" w:sz="4" w:space="0"/>
              <w:left w:val="nil"/>
              <w:bottom w:val="single" w:color="auto" w:sz="4" w:space="0"/>
              <w:right w:val="single" w:color="000000" w:sz="4" w:space="0"/>
            </w:tcBorders>
            <w:vAlign w:val="center"/>
          </w:tcPr>
          <w:p>
            <w:pPr>
              <w:pStyle w:val="48"/>
              <w:rPr>
                <w:sz w:val="20"/>
              </w:rPr>
            </w:pPr>
            <w:r>
              <w:rPr>
                <w:rFonts w:hint="eastAsia"/>
                <w:sz w:val="20"/>
              </w:rPr>
              <w:t>　</w:t>
            </w: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安全生产许可证(发证机关、有效期等)</w:t>
            </w:r>
          </w:p>
        </w:tc>
        <w:tc>
          <w:tcPr>
            <w:tcW w:w="4292" w:type="dxa"/>
            <w:tcBorders>
              <w:top w:val="single" w:color="auto" w:sz="4" w:space="0"/>
              <w:left w:val="nil"/>
              <w:bottom w:val="single" w:color="auto" w:sz="4" w:space="0"/>
              <w:right w:val="single" w:color="000000" w:sz="4" w:space="0"/>
            </w:tcBorders>
            <w:vAlign w:val="center"/>
          </w:tcPr>
          <w:p>
            <w:pPr>
              <w:pStyle w:val="48"/>
              <w:rPr>
                <w:sz w:val="20"/>
              </w:rPr>
            </w:pPr>
            <w:r>
              <w:rPr>
                <w:rFonts w:hint="eastAsia"/>
                <w:sz w:val="20"/>
              </w:rPr>
              <w:t>　</w:t>
            </w: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全国工业生产许可证(发证机关、许可范围、有效期等)</w:t>
            </w:r>
          </w:p>
        </w:tc>
        <w:tc>
          <w:tcPr>
            <w:tcW w:w="4292" w:type="dxa"/>
            <w:tcBorders>
              <w:top w:val="single" w:color="auto" w:sz="4" w:space="0"/>
              <w:left w:val="nil"/>
              <w:bottom w:val="single" w:color="auto" w:sz="4" w:space="0"/>
              <w:right w:val="single" w:color="000000" w:sz="4" w:space="0"/>
            </w:tcBorders>
            <w:vAlign w:val="center"/>
          </w:tcPr>
          <w:p>
            <w:pPr>
              <w:pStyle w:val="48"/>
              <w:rPr>
                <w:sz w:val="20"/>
              </w:rPr>
            </w:pPr>
            <w:r>
              <w:rPr>
                <w:rFonts w:hint="eastAsia"/>
                <w:sz w:val="20"/>
              </w:rPr>
              <w:t>　</w:t>
            </w: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其他资格情况</w:t>
            </w:r>
          </w:p>
        </w:tc>
        <w:tc>
          <w:tcPr>
            <w:tcW w:w="4292" w:type="dxa"/>
            <w:tcBorders>
              <w:top w:val="single" w:color="auto" w:sz="4" w:space="0"/>
              <w:left w:val="nil"/>
              <w:bottom w:val="single" w:color="auto" w:sz="4" w:space="0"/>
              <w:right w:val="single" w:color="000000" w:sz="4" w:space="0"/>
            </w:tcBorders>
            <w:vAlign w:val="center"/>
          </w:tcPr>
          <w:p>
            <w:pPr>
              <w:pStyle w:val="48"/>
              <w:rPr>
                <w:sz w:val="20"/>
              </w:rPr>
            </w:pPr>
            <w:r>
              <w:rPr>
                <w:rFonts w:hint="eastAsia"/>
                <w:sz w:val="20"/>
              </w:rPr>
              <w:t>　</w:t>
            </w: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tcBorders>
              <w:top w:val="nil"/>
              <w:left w:val="single" w:color="auto" w:sz="4" w:space="0"/>
              <w:bottom w:val="single" w:color="auto" w:sz="4" w:space="0"/>
              <w:right w:val="single" w:color="auto" w:sz="4" w:space="0"/>
            </w:tcBorders>
            <w:vAlign w:val="center"/>
          </w:tcPr>
          <w:p>
            <w:pPr>
              <w:pStyle w:val="48"/>
              <w:rPr>
                <w:sz w:val="20"/>
              </w:rPr>
            </w:pPr>
            <w:r>
              <w:rPr>
                <w:rFonts w:hint="eastAsia"/>
                <w:color w:val="FF0000"/>
                <w:sz w:val="20"/>
                <w:lang w:val="en-US" w:eastAsia="zh-CN"/>
              </w:rPr>
              <w:t>*</w:t>
            </w:r>
            <w:r>
              <w:rPr>
                <w:rFonts w:hint="eastAsia"/>
                <w:sz w:val="20"/>
              </w:rPr>
              <w:t>认证体系（如有）</w:t>
            </w: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质量、环境、职业健康安全或等同体系(认证机关、有效期等)</w:t>
            </w:r>
          </w:p>
        </w:tc>
        <w:tc>
          <w:tcPr>
            <w:tcW w:w="4292" w:type="dxa"/>
            <w:tcBorders>
              <w:top w:val="single" w:color="auto" w:sz="4" w:space="0"/>
              <w:left w:val="nil"/>
              <w:bottom w:val="single" w:color="auto" w:sz="4" w:space="0"/>
              <w:right w:val="single" w:color="000000" w:sz="4" w:space="0"/>
            </w:tcBorders>
          </w:tcPr>
          <w:p>
            <w:pPr>
              <w:pStyle w:val="48"/>
              <w:rPr>
                <w:sz w:val="20"/>
              </w:rPr>
            </w:pPr>
          </w:p>
        </w:tc>
        <w:tc>
          <w:tcPr>
            <w:tcW w:w="1259" w:type="dxa"/>
            <w:tcBorders>
              <w:top w:val="nil"/>
              <w:left w:val="nil"/>
              <w:bottom w:val="single" w:color="auto" w:sz="4" w:space="0"/>
              <w:right w:val="single" w:color="auto" w:sz="4" w:space="0"/>
            </w:tcBorders>
            <w:vAlign w:val="center"/>
          </w:tcPr>
          <w:p>
            <w:pPr>
              <w:pStyle w:val="48"/>
              <w:rPr>
                <w:sz w:val="20"/>
              </w:rPr>
            </w:pPr>
            <w:r>
              <w:rPr>
                <w:rFonts w:hint="eastAsia"/>
                <w:sz w:val="20"/>
              </w:rPr>
              <w:t>附件3：后附认证体系证书扫描件。</w:t>
            </w:r>
          </w:p>
        </w:tc>
      </w:tr>
      <w:tr>
        <w:tblPrEx>
          <w:tblLayout w:type="fixed"/>
          <w:tblCellMar>
            <w:top w:w="0" w:type="dxa"/>
            <w:left w:w="108" w:type="dxa"/>
            <w:bottom w:w="0" w:type="dxa"/>
            <w:right w:w="108" w:type="dxa"/>
          </w:tblCellMar>
        </w:tblPrEx>
        <w:trPr>
          <w:trHeight w:val="567" w:hRule="atLeast"/>
          <w:jc w:val="center"/>
        </w:trPr>
        <w:tc>
          <w:tcPr>
            <w:tcW w:w="1207" w:type="dxa"/>
            <w:tcBorders>
              <w:top w:val="nil"/>
              <w:left w:val="single" w:color="auto" w:sz="4" w:space="0"/>
              <w:bottom w:val="single" w:color="auto" w:sz="4" w:space="0"/>
              <w:right w:val="single" w:color="auto" w:sz="4" w:space="0"/>
            </w:tcBorders>
            <w:vAlign w:val="center"/>
          </w:tcPr>
          <w:p>
            <w:pPr>
              <w:pStyle w:val="48"/>
              <w:rPr>
                <w:sz w:val="20"/>
              </w:rPr>
            </w:pPr>
            <w:r>
              <w:rPr>
                <w:rFonts w:hint="eastAsia"/>
                <w:sz w:val="20"/>
              </w:rPr>
              <w:t>股权结构</w:t>
            </w: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股权结构</w:t>
            </w:r>
          </w:p>
        </w:tc>
        <w:tc>
          <w:tcPr>
            <w:tcW w:w="4292" w:type="dxa"/>
            <w:tcBorders>
              <w:top w:val="single" w:color="auto" w:sz="4" w:space="0"/>
              <w:left w:val="nil"/>
              <w:bottom w:val="single" w:color="auto" w:sz="4" w:space="0"/>
              <w:right w:val="single" w:color="000000" w:sz="4" w:space="0"/>
            </w:tcBorders>
            <w:vAlign w:val="center"/>
          </w:tcPr>
          <w:p>
            <w:pPr>
              <w:pStyle w:val="48"/>
              <w:rPr>
                <w:sz w:val="20"/>
              </w:rPr>
            </w:pPr>
          </w:p>
        </w:tc>
        <w:tc>
          <w:tcPr>
            <w:tcW w:w="1259" w:type="dxa"/>
            <w:tcBorders>
              <w:top w:val="nil"/>
              <w:left w:val="nil"/>
              <w:bottom w:val="single" w:color="auto" w:sz="4" w:space="0"/>
              <w:right w:val="single" w:color="auto" w:sz="4" w:space="0"/>
            </w:tcBorders>
            <w:vAlign w:val="center"/>
          </w:tcPr>
          <w:p>
            <w:pPr>
              <w:pStyle w:val="48"/>
              <w:rPr>
                <w:sz w:val="20"/>
              </w:rPr>
            </w:pPr>
            <w:r>
              <w:rPr>
                <w:rFonts w:hint="eastAsia"/>
                <w:sz w:val="20"/>
              </w:rPr>
              <w:t>附件4：后附权结构说明。</w:t>
            </w:r>
          </w:p>
        </w:tc>
      </w:tr>
      <w:tr>
        <w:tblPrEx>
          <w:tblLayout w:type="fixed"/>
          <w:tblCellMar>
            <w:top w:w="0" w:type="dxa"/>
            <w:left w:w="108" w:type="dxa"/>
            <w:bottom w:w="0" w:type="dxa"/>
            <w:right w:w="108" w:type="dxa"/>
          </w:tblCellMar>
        </w:tblPrEx>
        <w:trPr>
          <w:trHeight w:val="567" w:hRule="atLeast"/>
          <w:jc w:val="center"/>
        </w:trPr>
        <w:tc>
          <w:tcPr>
            <w:tcW w:w="1207" w:type="dxa"/>
            <w:vMerge w:val="restart"/>
            <w:tcBorders>
              <w:top w:val="nil"/>
              <w:left w:val="single" w:color="auto" w:sz="4" w:space="0"/>
              <w:bottom w:val="single" w:color="auto" w:sz="4" w:space="0"/>
              <w:right w:val="single" w:color="auto" w:sz="4" w:space="0"/>
            </w:tcBorders>
            <w:vAlign w:val="center"/>
          </w:tcPr>
          <w:p>
            <w:pPr>
              <w:pStyle w:val="48"/>
              <w:rPr>
                <w:sz w:val="20"/>
              </w:rPr>
            </w:pPr>
            <w:r>
              <w:rPr>
                <w:rFonts w:hint="eastAsia"/>
                <w:sz w:val="20"/>
              </w:rPr>
              <w:t>企业规模、生产（施工安装）能力</w:t>
            </w: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企业总人数及技术人员数量</w:t>
            </w:r>
          </w:p>
        </w:tc>
        <w:tc>
          <w:tcPr>
            <w:tcW w:w="4292" w:type="dxa"/>
            <w:tcBorders>
              <w:top w:val="single" w:color="auto" w:sz="4" w:space="0"/>
              <w:left w:val="nil"/>
              <w:bottom w:val="single" w:color="auto" w:sz="4" w:space="0"/>
              <w:right w:val="single" w:color="000000" w:sz="4" w:space="0"/>
            </w:tcBorders>
          </w:tcPr>
          <w:p>
            <w:pPr>
              <w:pStyle w:val="48"/>
              <w:rPr>
                <w:sz w:val="20"/>
              </w:rPr>
            </w:pPr>
            <w:r>
              <w:rPr>
                <w:rFonts w:hint="eastAsia"/>
                <w:sz w:val="20"/>
              </w:rPr>
              <w:t>总人数：</w:t>
            </w:r>
          </w:p>
          <w:p>
            <w:pPr>
              <w:pStyle w:val="48"/>
              <w:rPr>
                <w:sz w:val="20"/>
              </w:rPr>
            </w:pPr>
            <w:r>
              <w:rPr>
                <w:rFonts w:hint="eastAsia"/>
                <w:sz w:val="20"/>
              </w:rPr>
              <w:t>高级职称人数：</w:t>
            </w:r>
          </w:p>
          <w:p>
            <w:pPr>
              <w:pStyle w:val="48"/>
              <w:rPr>
                <w:sz w:val="20"/>
              </w:rPr>
            </w:pPr>
            <w:r>
              <w:rPr>
                <w:rFonts w:hint="eastAsia"/>
                <w:sz w:val="20"/>
              </w:rPr>
              <w:t>中级职称人数：</w:t>
            </w:r>
          </w:p>
        </w:tc>
        <w:tc>
          <w:tcPr>
            <w:tcW w:w="1259" w:type="dxa"/>
            <w:vMerge w:val="restart"/>
            <w:tcBorders>
              <w:top w:val="nil"/>
              <w:left w:val="single" w:color="auto" w:sz="4" w:space="0"/>
              <w:bottom w:val="single" w:color="000000" w:sz="4" w:space="0"/>
              <w:right w:val="single" w:color="auto" w:sz="4" w:space="0"/>
            </w:tcBorders>
            <w:vAlign w:val="center"/>
          </w:tcPr>
          <w:p>
            <w:pPr>
              <w:pStyle w:val="48"/>
              <w:rPr>
                <w:sz w:val="20"/>
              </w:rPr>
            </w:pPr>
            <w:r>
              <w:rPr>
                <w:rFonts w:hint="eastAsia"/>
                <w:sz w:val="20"/>
              </w:rPr>
              <w:t>附件5：后附企业组织机构图、企业规模、服务能力简介等。</w:t>
            </w: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nil"/>
              <w:left w:val="single" w:color="auto" w:sz="4" w:space="0"/>
              <w:bottom w:val="single" w:color="auto" w:sz="4" w:space="0"/>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服务能力</w:t>
            </w:r>
          </w:p>
        </w:tc>
        <w:tc>
          <w:tcPr>
            <w:tcW w:w="4292" w:type="dxa"/>
            <w:tcBorders>
              <w:top w:val="single" w:color="auto" w:sz="4" w:space="0"/>
              <w:left w:val="nil"/>
              <w:bottom w:val="single" w:color="auto" w:sz="4" w:space="0"/>
              <w:right w:val="single" w:color="000000" w:sz="4" w:space="0"/>
            </w:tcBorders>
          </w:tcPr>
          <w:p>
            <w:pPr>
              <w:pStyle w:val="48"/>
              <w:rPr>
                <w:sz w:val="20"/>
              </w:rPr>
            </w:pP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nil"/>
              <w:left w:val="single" w:color="auto" w:sz="4" w:space="0"/>
              <w:bottom w:val="single" w:color="auto" w:sz="4" w:space="0"/>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拟投入本项目设备</w:t>
            </w:r>
          </w:p>
        </w:tc>
        <w:tc>
          <w:tcPr>
            <w:tcW w:w="4292" w:type="dxa"/>
            <w:tcBorders>
              <w:top w:val="single" w:color="auto" w:sz="4" w:space="0"/>
              <w:left w:val="nil"/>
              <w:bottom w:val="single" w:color="auto" w:sz="4" w:space="0"/>
              <w:right w:val="single" w:color="000000" w:sz="4" w:space="0"/>
            </w:tcBorders>
            <w:vAlign w:val="center"/>
          </w:tcPr>
          <w:p>
            <w:pPr>
              <w:pStyle w:val="48"/>
              <w:rPr>
                <w:sz w:val="20"/>
              </w:rPr>
            </w:pPr>
            <w:r>
              <w:rPr>
                <w:rFonts w:hint="eastAsia"/>
                <w:sz w:val="20"/>
              </w:rPr>
              <w:t>名称：    数量：</w:t>
            </w:r>
          </w:p>
          <w:p>
            <w:pPr>
              <w:pStyle w:val="48"/>
              <w:rPr>
                <w:sz w:val="20"/>
              </w:rPr>
            </w:pPr>
            <w:r>
              <w:rPr>
                <w:rFonts w:hint="eastAsia"/>
                <w:sz w:val="20"/>
              </w:rPr>
              <w:t>名称：    数量：</w:t>
            </w:r>
          </w:p>
          <w:p>
            <w:pPr>
              <w:pStyle w:val="48"/>
              <w:rPr>
                <w:sz w:val="20"/>
              </w:rPr>
            </w:pPr>
            <w:r>
              <w:rPr>
                <w:rFonts w:hint="eastAsia"/>
                <w:sz w:val="20"/>
              </w:rPr>
              <w:t>名称：    数量：</w:t>
            </w:r>
          </w:p>
          <w:p>
            <w:pPr>
              <w:pStyle w:val="48"/>
              <w:rPr>
                <w:sz w:val="20"/>
              </w:rPr>
            </w:pPr>
            <w:r>
              <w:rPr>
                <w:rFonts w:hint="eastAsia"/>
                <w:sz w:val="20"/>
              </w:rPr>
              <w:t>名称：    数量：</w:t>
            </w:r>
          </w:p>
          <w:p>
            <w:pPr>
              <w:pStyle w:val="48"/>
              <w:rPr>
                <w:sz w:val="20"/>
              </w:rPr>
            </w:pPr>
            <w:r>
              <w:rPr>
                <w:rFonts w:hint="eastAsia"/>
                <w:sz w:val="20"/>
              </w:rPr>
              <w:t>名称：    数量：</w:t>
            </w:r>
          </w:p>
          <w:p>
            <w:pPr>
              <w:pStyle w:val="48"/>
              <w:rPr>
                <w:sz w:val="20"/>
              </w:rPr>
            </w:pP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3735" w:type="dxa"/>
            <w:gridSpan w:val="2"/>
            <w:tcBorders>
              <w:top w:val="single" w:color="auto" w:sz="4" w:space="0"/>
              <w:left w:val="single" w:color="auto" w:sz="4" w:space="0"/>
              <w:bottom w:val="nil"/>
              <w:right w:val="single" w:color="000000" w:sz="4" w:space="0"/>
            </w:tcBorders>
            <w:vAlign w:val="center"/>
          </w:tcPr>
          <w:p>
            <w:pPr>
              <w:pStyle w:val="48"/>
              <w:rPr>
                <w:sz w:val="20"/>
              </w:rPr>
            </w:pPr>
            <w:r>
              <w:rPr>
                <w:rFonts w:hint="eastAsia"/>
                <w:sz w:val="20"/>
              </w:rPr>
              <w:t>工程或产品获奖情况</w:t>
            </w:r>
          </w:p>
        </w:tc>
        <w:tc>
          <w:tcPr>
            <w:tcW w:w="4292" w:type="dxa"/>
            <w:tcBorders>
              <w:top w:val="single" w:color="auto" w:sz="4" w:space="0"/>
              <w:left w:val="nil"/>
              <w:bottom w:val="single" w:color="auto" w:sz="4" w:space="0"/>
              <w:right w:val="single" w:color="000000" w:sz="4" w:space="0"/>
            </w:tcBorders>
          </w:tcPr>
          <w:p>
            <w:pPr>
              <w:pStyle w:val="48"/>
              <w:rPr>
                <w:sz w:val="20"/>
              </w:rPr>
            </w:pPr>
            <w:r>
              <w:rPr>
                <w:rFonts w:hint="eastAsia"/>
                <w:sz w:val="20"/>
              </w:rPr>
              <w:t>国家级</w:t>
            </w:r>
            <w:r>
              <w:rPr>
                <w:rFonts w:hint="eastAsia"/>
                <w:sz w:val="20"/>
                <w:u w:val="single"/>
              </w:rPr>
              <w:t xml:space="preserve">   </w:t>
            </w:r>
            <w:r>
              <w:rPr>
                <w:rFonts w:hint="eastAsia"/>
                <w:sz w:val="20"/>
              </w:rPr>
              <w:t>项，分别为：</w:t>
            </w:r>
            <w:r>
              <w:rPr>
                <w:rFonts w:hint="eastAsia"/>
                <w:sz w:val="20"/>
                <w:u w:val="single"/>
              </w:rPr>
              <w:t xml:space="preserve">                         </w:t>
            </w:r>
            <w:r>
              <w:rPr>
                <w:rFonts w:hint="eastAsia"/>
                <w:sz w:val="20"/>
              </w:rPr>
              <w:t>。</w:t>
            </w:r>
            <w:r>
              <w:rPr>
                <w:rFonts w:hint="eastAsia"/>
                <w:sz w:val="20"/>
                <w:u w:val="single"/>
              </w:rPr>
              <w:br w:type="textWrapping"/>
            </w:r>
            <w:r>
              <w:rPr>
                <w:rFonts w:hint="eastAsia"/>
                <w:sz w:val="20"/>
              </w:rPr>
              <w:t>省、直辖市级</w:t>
            </w:r>
            <w:r>
              <w:rPr>
                <w:rFonts w:hint="eastAsia"/>
                <w:sz w:val="20"/>
                <w:u w:val="single"/>
              </w:rPr>
              <w:t xml:space="preserve">   </w:t>
            </w:r>
            <w:r>
              <w:rPr>
                <w:rFonts w:hint="eastAsia"/>
                <w:sz w:val="20"/>
              </w:rPr>
              <w:t>项，分别为：</w:t>
            </w:r>
            <w:r>
              <w:rPr>
                <w:rFonts w:hint="eastAsia"/>
                <w:sz w:val="20"/>
                <w:u w:val="single"/>
              </w:rPr>
              <w:t xml:space="preserve">                  </w:t>
            </w:r>
            <w:r>
              <w:rPr>
                <w:rFonts w:hint="eastAsia"/>
                <w:sz w:val="20"/>
              </w:rPr>
              <w:t>。</w:t>
            </w:r>
            <w:r>
              <w:rPr>
                <w:rFonts w:hint="eastAsia"/>
                <w:sz w:val="20"/>
                <w:u w:val="single"/>
              </w:rPr>
              <w:br w:type="textWrapping"/>
            </w:r>
            <w:r>
              <w:rPr>
                <w:rFonts w:hint="eastAsia"/>
                <w:sz w:val="20"/>
              </w:rPr>
              <w:t>地市</w:t>
            </w:r>
            <w:r>
              <w:rPr>
                <w:rFonts w:hint="eastAsia"/>
                <w:sz w:val="20"/>
                <w:u w:val="single"/>
              </w:rPr>
              <w:t xml:space="preserve">   </w:t>
            </w:r>
            <w:r>
              <w:rPr>
                <w:rFonts w:hint="eastAsia"/>
                <w:sz w:val="20"/>
              </w:rPr>
              <w:t xml:space="preserve"> 项，分别为：</w:t>
            </w:r>
            <w:r>
              <w:rPr>
                <w:rFonts w:hint="eastAsia"/>
                <w:sz w:val="20"/>
                <w:u w:val="single"/>
              </w:rPr>
              <w:t xml:space="preserve">                             </w:t>
            </w:r>
            <w:r>
              <w:rPr>
                <w:rFonts w:hint="eastAsia"/>
                <w:sz w:val="20"/>
              </w:rPr>
              <w:t>。</w:t>
            </w:r>
          </w:p>
        </w:tc>
        <w:tc>
          <w:tcPr>
            <w:tcW w:w="1259" w:type="dxa"/>
            <w:tcBorders>
              <w:top w:val="nil"/>
              <w:left w:val="nil"/>
              <w:bottom w:val="single" w:color="auto" w:sz="4" w:space="0"/>
              <w:right w:val="single" w:color="auto" w:sz="4" w:space="0"/>
            </w:tcBorders>
            <w:vAlign w:val="center"/>
          </w:tcPr>
          <w:p>
            <w:pPr>
              <w:pStyle w:val="48"/>
              <w:rPr>
                <w:sz w:val="20"/>
              </w:rPr>
            </w:pPr>
            <w:r>
              <w:rPr>
                <w:rFonts w:hint="eastAsia"/>
                <w:sz w:val="20"/>
              </w:rPr>
              <w:t>　</w:t>
            </w:r>
          </w:p>
        </w:tc>
      </w:tr>
      <w:tr>
        <w:tblPrEx>
          <w:tblLayout w:type="fixed"/>
          <w:tblCellMar>
            <w:top w:w="0" w:type="dxa"/>
            <w:left w:w="108" w:type="dxa"/>
            <w:bottom w:w="0" w:type="dxa"/>
            <w:right w:w="108" w:type="dxa"/>
          </w:tblCellMar>
        </w:tblPrEx>
        <w:trPr>
          <w:trHeight w:val="567" w:hRule="atLeast"/>
          <w:jc w:val="center"/>
        </w:trPr>
        <w:tc>
          <w:tcPr>
            <w:tcW w:w="1207" w:type="dxa"/>
            <w:vMerge w:val="restart"/>
            <w:tcBorders>
              <w:top w:val="single" w:color="auto" w:sz="4" w:space="0"/>
              <w:left w:val="single" w:color="auto" w:sz="4" w:space="0"/>
              <w:bottom w:val="single" w:color="auto" w:sz="4" w:space="0"/>
              <w:right w:val="single" w:color="auto" w:sz="4" w:space="0"/>
            </w:tcBorders>
            <w:vAlign w:val="center"/>
          </w:tcPr>
          <w:p>
            <w:pPr>
              <w:pStyle w:val="48"/>
              <w:rPr>
                <w:sz w:val="20"/>
              </w:rPr>
            </w:pPr>
            <w:r>
              <w:rPr>
                <w:rFonts w:hint="eastAsia"/>
                <w:sz w:val="20"/>
              </w:rPr>
              <w:t>上一年财务状况</w:t>
            </w:r>
          </w:p>
        </w:tc>
        <w:tc>
          <w:tcPr>
            <w:tcW w:w="2528" w:type="dxa"/>
            <w:tcBorders>
              <w:top w:val="single" w:color="auto" w:sz="4" w:space="0"/>
              <w:left w:val="nil"/>
              <w:bottom w:val="single" w:color="auto" w:sz="4" w:space="0"/>
              <w:right w:val="single" w:color="auto" w:sz="4" w:space="0"/>
            </w:tcBorders>
            <w:vAlign w:val="center"/>
          </w:tcPr>
          <w:p>
            <w:pPr>
              <w:pStyle w:val="48"/>
              <w:rPr>
                <w:sz w:val="20"/>
              </w:rPr>
            </w:pPr>
            <w:r>
              <w:rPr>
                <w:rFonts w:hint="eastAsia"/>
                <w:sz w:val="20"/>
              </w:rPr>
              <w:t>财务指标</w:t>
            </w:r>
          </w:p>
        </w:tc>
        <w:tc>
          <w:tcPr>
            <w:tcW w:w="4292" w:type="dxa"/>
            <w:tcBorders>
              <w:top w:val="nil"/>
              <w:left w:val="nil"/>
              <w:bottom w:val="single" w:color="auto" w:sz="4" w:space="0"/>
              <w:right w:val="single" w:color="auto" w:sz="4" w:space="0"/>
            </w:tcBorders>
            <w:vAlign w:val="center"/>
          </w:tcPr>
          <w:p>
            <w:pPr>
              <w:pStyle w:val="48"/>
            </w:pPr>
            <w:r>
              <w:rPr>
                <w:rFonts w:hint="eastAsia"/>
                <w:sz w:val="20"/>
              </w:rPr>
              <w:t xml:space="preserve"> </w:t>
            </w:r>
            <w:r>
              <w:rPr>
                <w:rFonts w:hint="eastAsia"/>
                <w:sz w:val="20"/>
                <w:u w:val="single"/>
              </w:rPr>
              <w:t xml:space="preserve">    </w:t>
            </w:r>
            <w:r>
              <w:rPr>
                <w:rFonts w:hint="eastAsia"/>
                <w:sz w:val="20"/>
              </w:rPr>
              <w:t>年</w:t>
            </w:r>
          </w:p>
        </w:tc>
        <w:tc>
          <w:tcPr>
            <w:tcW w:w="1259" w:type="dxa"/>
            <w:vMerge w:val="restart"/>
            <w:tcBorders>
              <w:top w:val="nil"/>
              <w:left w:val="single" w:color="auto" w:sz="4" w:space="0"/>
              <w:bottom w:val="single" w:color="000000" w:sz="4" w:space="0"/>
              <w:right w:val="single" w:color="auto" w:sz="4" w:space="0"/>
            </w:tcBorders>
            <w:vAlign w:val="center"/>
          </w:tcPr>
          <w:p>
            <w:pPr>
              <w:pStyle w:val="48"/>
              <w:rPr>
                <w:sz w:val="20"/>
              </w:rPr>
            </w:pPr>
            <w:r>
              <w:rPr>
                <w:rFonts w:hint="eastAsia"/>
                <w:sz w:val="20"/>
              </w:rPr>
              <w:t>　</w:t>
            </w: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营业收入（万元）</w:t>
            </w:r>
          </w:p>
        </w:tc>
        <w:tc>
          <w:tcPr>
            <w:tcW w:w="4292" w:type="dxa"/>
            <w:tcBorders>
              <w:top w:val="nil"/>
              <w:left w:val="nil"/>
              <w:bottom w:val="single" w:color="auto" w:sz="4" w:space="0"/>
              <w:right w:val="single" w:color="auto" w:sz="4" w:space="0"/>
            </w:tcBorders>
          </w:tcPr>
          <w:p>
            <w:pPr>
              <w:pStyle w:val="48"/>
            </w:pP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资产总额（万元）</w:t>
            </w:r>
          </w:p>
        </w:tc>
        <w:tc>
          <w:tcPr>
            <w:tcW w:w="4292" w:type="dxa"/>
            <w:tcBorders>
              <w:top w:val="nil"/>
              <w:left w:val="nil"/>
              <w:bottom w:val="single" w:color="auto" w:sz="4" w:space="0"/>
              <w:right w:val="single" w:color="auto" w:sz="4" w:space="0"/>
            </w:tcBorders>
          </w:tcPr>
          <w:p>
            <w:pPr>
              <w:pStyle w:val="48"/>
            </w:pP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资产负债率（%）</w:t>
            </w:r>
          </w:p>
        </w:tc>
        <w:tc>
          <w:tcPr>
            <w:tcW w:w="4292" w:type="dxa"/>
            <w:tcBorders>
              <w:top w:val="nil"/>
              <w:left w:val="nil"/>
              <w:bottom w:val="single" w:color="auto" w:sz="4" w:space="0"/>
              <w:right w:val="single" w:color="auto" w:sz="4" w:space="0"/>
            </w:tcBorders>
          </w:tcPr>
          <w:p>
            <w:pPr>
              <w:pStyle w:val="48"/>
            </w:pP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速动比率</w:t>
            </w:r>
          </w:p>
        </w:tc>
        <w:tc>
          <w:tcPr>
            <w:tcW w:w="4292" w:type="dxa"/>
            <w:tcBorders>
              <w:top w:val="nil"/>
              <w:left w:val="nil"/>
              <w:bottom w:val="single" w:color="auto" w:sz="4" w:space="0"/>
              <w:right w:val="single" w:color="auto" w:sz="4" w:space="0"/>
            </w:tcBorders>
          </w:tcPr>
          <w:p>
            <w:pPr>
              <w:pStyle w:val="48"/>
            </w:pP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纳税金额（万元）</w:t>
            </w:r>
          </w:p>
        </w:tc>
        <w:tc>
          <w:tcPr>
            <w:tcW w:w="4292" w:type="dxa"/>
            <w:tcBorders>
              <w:top w:val="nil"/>
              <w:left w:val="nil"/>
              <w:bottom w:val="single" w:color="auto" w:sz="4" w:space="0"/>
              <w:right w:val="single" w:color="auto" w:sz="4" w:space="0"/>
            </w:tcBorders>
          </w:tcPr>
          <w:p>
            <w:pPr>
              <w:pStyle w:val="48"/>
            </w:pP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vMerge w:val="restart"/>
            <w:tcBorders>
              <w:top w:val="nil"/>
              <w:left w:val="single" w:color="auto" w:sz="4" w:space="0"/>
              <w:bottom w:val="single" w:color="auto" w:sz="4" w:space="0"/>
              <w:right w:val="single" w:color="auto" w:sz="4" w:space="0"/>
            </w:tcBorders>
            <w:vAlign w:val="center"/>
          </w:tcPr>
          <w:p>
            <w:pPr>
              <w:pStyle w:val="48"/>
              <w:rPr>
                <w:sz w:val="18"/>
                <w:szCs w:val="18"/>
              </w:rPr>
            </w:pPr>
            <w:r>
              <w:rPr>
                <w:rFonts w:hint="eastAsia"/>
                <w:color w:val="FF0000"/>
                <w:sz w:val="20"/>
                <w:lang w:val="en-US" w:eastAsia="zh-CN"/>
              </w:rPr>
              <w:t>*</w:t>
            </w:r>
            <w:r>
              <w:rPr>
                <w:rFonts w:hint="eastAsia"/>
                <w:sz w:val="18"/>
                <w:szCs w:val="18"/>
              </w:rPr>
              <w:t>类似业绩</w:t>
            </w:r>
          </w:p>
        </w:tc>
        <w:tc>
          <w:tcPr>
            <w:tcW w:w="2528" w:type="dxa"/>
            <w:tcBorders>
              <w:top w:val="single" w:color="auto" w:sz="4" w:space="0"/>
              <w:left w:val="nil"/>
              <w:bottom w:val="single" w:color="auto" w:sz="4" w:space="0"/>
              <w:right w:val="single" w:color="000000" w:sz="4" w:space="0"/>
            </w:tcBorders>
          </w:tcPr>
          <w:p>
            <w:pPr>
              <w:pStyle w:val="48"/>
              <w:rPr>
                <w:sz w:val="20"/>
              </w:rPr>
            </w:pPr>
            <w:r>
              <w:rPr>
                <w:rFonts w:hint="eastAsia"/>
                <w:sz w:val="20"/>
              </w:rPr>
              <w:t>近年来类似业绩共计</w:t>
            </w:r>
            <w:r>
              <w:rPr>
                <w:rFonts w:hint="eastAsia"/>
                <w:sz w:val="20"/>
                <w:u w:val="single"/>
              </w:rPr>
              <w:t xml:space="preserve">    </w:t>
            </w:r>
            <w:r>
              <w:rPr>
                <w:rFonts w:hint="eastAsia"/>
                <w:sz w:val="20"/>
              </w:rPr>
              <w:t>[台/项/个（选一单位）]</w:t>
            </w:r>
            <w:r>
              <w:rPr>
                <w:sz w:val="20"/>
              </w:rPr>
              <w:t xml:space="preserve"> </w:t>
            </w:r>
          </w:p>
        </w:tc>
        <w:tc>
          <w:tcPr>
            <w:tcW w:w="4292" w:type="dxa"/>
            <w:tcBorders>
              <w:top w:val="nil"/>
              <w:left w:val="nil"/>
              <w:bottom w:val="single" w:color="auto" w:sz="4" w:space="0"/>
              <w:right w:val="single" w:color="auto" w:sz="4" w:space="0"/>
            </w:tcBorders>
            <w:vAlign w:val="center"/>
          </w:tcPr>
          <w:p>
            <w:pPr>
              <w:pStyle w:val="48"/>
            </w:pPr>
            <w:r>
              <w:rPr>
                <w:rFonts w:hint="eastAsia"/>
              </w:rPr>
              <w:t>　</w:t>
            </w:r>
          </w:p>
          <w:p>
            <w:pPr>
              <w:pStyle w:val="48"/>
            </w:pPr>
            <w:r>
              <w:rPr>
                <w:rFonts w:hint="eastAsia"/>
              </w:rPr>
              <w:t>　</w:t>
            </w:r>
          </w:p>
        </w:tc>
        <w:tc>
          <w:tcPr>
            <w:tcW w:w="1259" w:type="dxa"/>
            <w:vMerge w:val="restart"/>
            <w:tcBorders>
              <w:top w:val="nil"/>
              <w:left w:val="single" w:color="auto" w:sz="4" w:space="0"/>
              <w:bottom w:val="single" w:color="000000" w:sz="4" w:space="0"/>
              <w:right w:val="single" w:color="auto" w:sz="4" w:space="0"/>
            </w:tcBorders>
            <w:vAlign w:val="center"/>
          </w:tcPr>
          <w:p>
            <w:pPr>
              <w:pStyle w:val="48"/>
              <w:rPr>
                <w:sz w:val="20"/>
              </w:rPr>
            </w:pPr>
            <w:r>
              <w:rPr>
                <w:rFonts w:hint="eastAsia"/>
                <w:sz w:val="20"/>
              </w:rPr>
              <w:t>　</w:t>
            </w: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nil"/>
              <w:left w:val="single" w:color="auto" w:sz="4" w:space="0"/>
              <w:bottom w:val="single" w:color="auto" w:sz="4" w:space="0"/>
              <w:right w:val="single" w:color="auto" w:sz="4" w:space="0"/>
            </w:tcBorders>
            <w:vAlign w:val="center"/>
          </w:tcPr>
          <w:p>
            <w:pPr>
              <w:pStyle w:val="48"/>
              <w:rPr>
                <w:sz w:val="18"/>
                <w:szCs w:val="18"/>
              </w:rPr>
            </w:pPr>
          </w:p>
        </w:tc>
        <w:tc>
          <w:tcPr>
            <w:tcW w:w="2528" w:type="dxa"/>
            <w:tcBorders>
              <w:top w:val="single" w:color="auto" w:sz="4" w:space="0"/>
              <w:left w:val="nil"/>
              <w:bottom w:val="single" w:color="auto" w:sz="4" w:space="0"/>
              <w:right w:val="single" w:color="000000" w:sz="4" w:space="0"/>
            </w:tcBorders>
          </w:tcPr>
          <w:p>
            <w:pPr>
              <w:pStyle w:val="48"/>
              <w:rPr>
                <w:sz w:val="20"/>
              </w:rPr>
            </w:pPr>
            <w:r>
              <w:rPr>
                <w:rFonts w:hint="eastAsia"/>
                <w:sz w:val="20"/>
              </w:rPr>
              <w:t>业绩1：签订时间+合同名称+工作范围及主要内容+交工（竣工）时间</w:t>
            </w:r>
          </w:p>
        </w:tc>
        <w:tc>
          <w:tcPr>
            <w:tcW w:w="4292" w:type="dxa"/>
            <w:tcBorders>
              <w:top w:val="nil"/>
              <w:left w:val="nil"/>
              <w:bottom w:val="single" w:color="auto" w:sz="4" w:space="0"/>
              <w:right w:val="single" w:color="auto" w:sz="4" w:space="0"/>
            </w:tcBorders>
            <w:vAlign w:val="center"/>
          </w:tcPr>
          <w:p>
            <w:pPr>
              <w:pStyle w:val="48"/>
            </w:pPr>
            <w:r>
              <w:rPr>
                <w:rFonts w:hint="eastAsia"/>
              </w:rPr>
              <w:t>　</w:t>
            </w:r>
          </w:p>
          <w:p>
            <w:pPr>
              <w:pStyle w:val="48"/>
            </w:pPr>
            <w:r>
              <w:rPr>
                <w:rFonts w:hint="eastAsia"/>
              </w:rPr>
              <w:t>　</w:t>
            </w: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nil"/>
              <w:left w:val="single" w:color="auto" w:sz="4" w:space="0"/>
              <w:bottom w:val="single" w:color="auto" w:sz="4" w:space="0"/>
              <w:right w:val="single" w:color="auto" w:sz="4" w:space="0"/>
            </w:tcBorders>
            <w:vAlign w:val="center"/>
          </w:tcPr>
          <w:p>
            <w:pPr>
              <w:pStyle w:val="48"/>
              <w:rPr>
                <w:sz w:val="18"/>
                <w:szCs w:val="18"/>
              </w:rPr>
            </w:pPr>
          </w:p>
        </w:tc>
        <w:tc>
          <w:tcPr>
            <w:tcW w:w="2528" w:type="dxa"/>
            <w:tcBorders>
              <w:top w:val="single" w:color="auto" w:sz="4" w:space="0"/>
              <w:left w:val="nil"/>
              <w:bottom w:val="single" w:color="auto" w:sz="4" w:space="0"/>
              <w:right w:val="single" w:color="000000" w:sz="4" w:space="0"/>
            </w:tcBorders>
          </w:tcPr>
          <w:p>
            <w:pPr>
              <w:pStyle w:val="48"/>
              <w:rPr>
                <w:sz w:val="20"/>
              </w:rPr>
            </w:pPr>
            <w:r>
              <w:rPr>
                <w:rFonts w:hint="eastAsia"/>
                <w:sz w:val="20"/>
              </w:rPr>
              <w:t>业绩2：签订时间+合同名称+工作范围及主要内容+交工（竣工）时间</w:t>
            </w:r>
          </w:p>
        </w:tc>
        <w:tc>
          <w:tcPr>
            <w:tcW w:w="4292" w:type="dxa"/>
            <w:tcBorders>
              <w:top w:val="nil"/>
              <w:left w:val="nil"/>
              <w:bottom w:val="single" w:color="auto" w:sz="4" w:space="0"/>
              <w:right w:val="single" w:color="auto" w:sz="4" w:space="0"/>
            </w:tcBorders>
            <w:vAlign w:val="center"/>
          </w:tcPr>
          <w:p>
            <w:pPr>
              <w:pStyle w:val="48"/>
            </w:pPr>
            <w:r>
              <w:rPr>
                <w:rFonts w:hint="eastAsia"/>
              </w:rPr>
              <w:t>　</w:t>
            </w:r>
          </w:p>
          <w:p>
            <w:pPr>
              <w:pStyle w:val="48"/>
            </w:pPr>
            <w:r>
              <w:rPr>
                <w:rFonts w:hint="eastAsia"/>
              </w:rPr>
              <w:t>　</w:t>
            </w: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nil"/>
              <w:left w:val="single" w:color="auto" w:sz="4" w:space="0"/>
              <w:bottom w:val="single" w:color="auto" w:sz="4" w:space="0"/>
              <w:right w:val="single" w:color="auto" w:sz="4" w:space="0"/>
            </w:tcBorders>
            <w:vAlign w:val="center"/>
          </w:tcPr>
          <w:p>
            <w:pPr>
              <w:pStyle w:val="48"/>
              <w:rPr>
                <w:sz w:val="18"/>
                <w:szCs w:val="18"/>
              </w:rPr>
            </w:pPr>
          </w:p>
        </w:tc>
        <w:tc>
          <w:tcPr>
            <w:tcW w:w="2528" w:type="dxa"/>
            <w:tcBorders>
              <w:top w:val="single" w:color="auto" w:sz="4" w:space="0"/>
              <w:left w:val="nil"/>
              <w:bottom w:val="single" w:color="auto" w:sz="4" w:space="0"/>
              <w:right w:val="single" w:color="000000" w:sz="4" w:space="0"/>
            </w:tcBorders>
          </w:tcPr>
          <w:p>
            <w:pPr>
              <w:pStyle w:val="48"/>
              <w:rPr>
                <w:sz w:val="20"/>
              </w:rPr>
            </w:pPr>
            <w:r>
              <w:rPr>
                <w:rFonts w:hint="eastAsia"/>
                <w:sz w:val="20"/>
              </w:rPr>
              <w:t>……</w:t>
            </w:r>
          </w:p>
        </w:tc>
        <w:tc>
          <w:tcPr>
            <w:tcW w:w="4292" w:type="dxa"/>
            <w:tcBorders>
              <w:top w:val="nil"/>
              <w:left w:val="nil"/>
              <w:bottom w:val="single" w:color="auto" w:sz="4" w:space="0"/>
              <w:right w:val="single" w:color="auto" w:sz="4" w:space="0"/>
            </w:tcBorders>
            <w:vAlign w:val="center"/>
          </w:tcPr>
          <w:p>
            <w:pPr>
              <w:pStyle w:val="48"/>
            </w:pPr>
            <w:r>
              <w:rPr>
                <w:rFonts w:hint="eastAsia"/>
              </w:rPr>
              <w:t>　　</w:t>
            </w:r>
          </w:p>
        </w:tc>
        <w:tc>
          <w:tcPr>
            <w:tcW w:w="1259" w:type="dxa"/>
            <w:vMerge w:val="continue"/>
            <w:tcBorders>
              <w:top w:val="nil"/>
              <w:left w:val="single" w:color="auto" w:sz="4" w:space="0"/>
              <w:bottom w:val="single" w:color="000000" w:sz="4" w:space="0"/>
              <w:right w:val="single" w:color="auto" w:sz="4" w:space="0"/>
            </w:tcBorders>
            <w:vAlign w:val="center"/>
          </w:tcPr>
          <w:p>
            <w:pPr>
              <w:pStyle w:val="48"/>
              <w:rPr>
                <w:sz w:val="20"/>
              </w:rPr>
            </w:pPr>
          </w:p>
        </w:tc>
      </w:tr>
      <w:tr>
        <w:tblPrEx>
          <w:tblLayout w:type="fixed"/>
          <w:tblCellMar>
            <w:top w:w="0" w:type="dxa"/>
            <w:left w:w="108" w:type="dxa"/>
            <w:bottom w:w="0" w:type="dxa"/>
            <w:right w:w="108" w:type="dxa"/>
          </w:tblCellMar>
        </w:tblPrEx>
        <w:trPr>
          <w:trHeight w:val="567" w:hRule="atLeast"/>
          <w:jc w:val="center"/>
        </w:trPr>
        <w:tc>
          <w:tcPr>
            <w:tcW w:w="1207" w:type="dxa"/>
            <w:vMerge w:val="restart"/>
            <w:tcBorders>
              <w:top w:val="nil"/>
              <w:left w:val="single" w:color="auto" w:sz="4" w:space="0"/>
              <w:bottom w:val="single" w:color="000000" w:sz="4" w:space="0"/>
              <w:right w:val="single" w:color="auto" w:sz="4" w:space="0"/>
            </w:tcBorders>
            <w:vAlign w:val="center"/>
          </w:tcPr>
          <w:p>
            <w:pPr>
              <w:pStyle w:val="48"/>
              <w:rPr>
                <w:sz w:val="20"/>
              </w:rPr>
            </w:pPr>
            <w:r>
              <w:rPr>
                <w:rFonts w:hint="eastAsia"/>
                <w:color w:val="FF0000"/>
                <w:sz w:val="20"/>
                <w:lang w:val="en-US" w:eastAsia="zh-CN"/>
              </w:rPr>
              <w:t>*</w:t>
            </w:r>
            <w:r>
              <w:rPr>
                <w:rFonts w:hint="eastAsia"/>
                <w:sz w:val="20"/>
              </w:rPr>
              <w:t>其他商务响应情况</w:t>
            </w: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服务期/工期/交货期</w:t>
            </w:r>
          </w:p>
        </w:tc>
        <w:tc>
          <w:tcPr>
            <w:tcW w:w="4292" w:type="dxa"/>
            <w:tcBorders>
              <w:top w:val="single" w:color="auto" w:sz="4" w:space="0"/>
              <w:left w:val="nil"/>
              <w:bottom w:val="single" w:color="auto" w:sz="4" w:space="0"/>
              <w:right w:val="single" w:color="auto" w:sz="4" w:space="0"/>
            </w:tcBorders>
            <w:vAlign w:val="center"/>
          </w:tcPr>
          <w:p>
            <w:pPr>
              <w:pStyle w:val="48"/>
              <w:rPr>
                <w:sz w:val="20"/>
              </w:rPr>
            </w:pPr>
            <w:r>
              <w:rPr>
                <w:rFonts w:hint="eastAsia"/>
                <w:sz w:val="20"/>
              </w:rPr>
              <w:t>　</w:t>
            </w:r>
          </w:p>
        </w:tc>
        <w:tc>
          <w:tcPr>
            <w:tcW w:w="1259" w:type="dxa"/>
            <w:tcBorders>
              <w:top w:val="nil"/>
              <w:left w:val="nil"/>
              <w:bottom w:val="single" w:color="auto" w:sz="4" w:space="0"/>
              <w:right w:val="single" w:color="auto" w:sz="4" w:space="0"/>
            </w:tcBorders>
            <w:vAlign w:val="center"/>
          </w:tcPr>
          <w:p>
            <w:pPr>
              <w:pStyle w:val="48"/>
              <w:rPr>
                <w:sz w:val="20"/>
              </w:rPr>
            </w:pPr>
            <w:r>
              <w:rPr>
                <w:rFonts w:hint="eastAsia"/>
                <w:sz w:val="20"/>
              </w:rPr>
              <w:t>　</w:t>
            </w:r>
          </w:p>
        </w:tc>
      </w:tr>
      <w:tr>
        <w:tblPrEx>
          <w:tblLayout w:type="fixed"/>
          <w:tblCellMar>
            <w:top w:w="0" w:type="dxa"/>
            <w:left w:w="108" w:type="dxa"/>
            <w:bottom w:w="0" w:type="dxa"/>
            <w:right w:w="108" w:type="dxa"/>
          </w:tblCellMar>
        </w:tblPrEx>
        <w:trPr>
          <w:trHeight w:val="567" w:hRule="atLeast"/>
          <w:jc w:val="center"/>
        </w:trPr>
        <w:tc>
          <w:tcPr>
            <w:tcW w:w="1207" w:type="dxa"/>
            <w:vMerge w:val="continue"/>
            <w:tcBorders>
              <w:top w:val="nil"/>
              <w:left w:val="single" w:color="auto" w:sz="4" w:space="0"/>
              <w:bottom w:val="single" w:color="000000" w:sz="4" w:space="0"/>
              <w:right w:val="single" w:color="auto" w:sz="4" w:space="0"/>
            </w:tcBorders>
            <w:vAlign w:val="center"/>
          </w:tcPr>
          <w:p>
            <w:pPr>
              <w:pStyle w:val="48"/>
              <w:rPr>
                <w:sz w:val="20"/>
              </w:rPr>
            </w:pPr>
          </w:p>
        </w:tc>
        <w:tc>
          <w:tcPr>
            <w:tcW w:w="2528" w:type="dxa"/>
            <w:tcBorders>
              <w:top w:val="nil"/>
              <w:left w:val="nil"/>
              <w:bottom w:val="single" w:color="auto" w:sz="4" w:space="0"/>
              <w:right w:val="single" w:color="auto" w:sz="4" w:space="0"/>
            </w:tcBorders>
            <w:vAlign w:val="center"/>
          </w:tcPr>
          <w:p>
            <w:pPr>
              <w:pStyle w:val="48"/>
              <w:rPr>
                <w:sz w:val="20"/>
              </w:rPr>
            </w:pPr>
            <w:r>
              <w:rPr>
                <w:rFonts w:hint="eastAsia"/>
                <w:sz w:val="20"/>
              </w:rPr>
              <w:t>付款条件</w:t>
            </w:r>
          </w:p>
        </w:tc>
        <w:tc>
          <w:tcPr>
            <w:tcW w:w="4292" w:type="dxa"/>
            <w:tcBorders>
              <w:top w:val="single" w:color="auto" w:sz="4" w:space="0"/>
              <w:left w:val="nil"/>
              <w:bottom w:val="single" w:color="auto" w:sz="4" w:space="0"/>
              <w:right w:val="single" w:color="auto" w:sz="4" w:space="0"/>
            </w:tcBorders>
            <w:vAlign w:val="center"/>
          </w:tcPr>
          <w:p>
            <w:pPr>
              <w:pStyle w:val="48"/>
              <w:rPr>
                <w:sz w:val="20"/>
              </w:rPr>
            </w:pPr>
            <w:r>
              <w:rPr>
                <w:rFonts w:hint="eastAsia"/>
                <w:sz w:val="20"/>
              </w:rPr>
              <w:t>　</w:t>
            </w:r>
          </w:p>
        </w:tc>
        <w:tc>
          <w:tcPr>
            <w:tcW w:w="1259" w:type="dxa"/>
            <w:tcBorders>
              <w:top w:val="nil"/>
              <w:left w:val="nil"/>
              <w:bottom w:val="single" w:color="auto" w:sz="4" w:space="0"/>
              <w:right w:val="single" w:color="auto" w:sz="4" w:space="0"/>
            </w:tcBorders>
            <w:vAlign w:val="center"/>
          </w:tcPr>
          <w:p>
            <w:pPr>
              <w:pStyle w:val="48"/>
              <w:rPr>
                <w:sz w:val="20"/>
              </w:rPr>
            </w:pPr>
            <w:r>
              <w:rPr>
                <w:rFonts w:hint="eastAsia"/>
                <w:sz w:val="20"/>
              </w:rPr>
              <w:t>　</w:t>
            </w:r>
          </w:p>
        </w:tc>
      </w:tr>
      <w:tr>
        <w:tblPrEx>
          <w:tblLayout w:type="fixed"/>
          <w:tblCellMar>
            <w:top w:w="0" w:type="dxa"/>
            <w:left w:w="108" w:type="dxa"/>
            <w:bottom w:w="0" w:type="dxa"/>
            <w:right w:w="108" w:type="dxa"/>
          </w:tblCellMar>
        </w:tblPrEx>
        <w:trPr>
          <w:trHeight w:val="567" w:hRule="atLeast"/>
          <w:jc w:val="center"/>
        </w:trPr>
        <w:tc>
          <w:tcPr>
            <w:tcW w:w="1207" w:type="dxa"/>
            <w:tcBorders>
              <w:top w:val="nil"/>
              <w:left w:val="single" w:color="auto" w:sz="4" w:space="0"/>
              <w:bottom w:val="single" w:color="auto" w:sz="4" w:space="0"/>
              <w:right w:val="single" w:color="auto" w:sz="4" w:space="0"/>
            </w:tcBorders>
            <w:vAlign w:val="center"/>
          </w:tcPr>
          <w:p>
            <w:pPr>
              <w:pStyle w:val="48"/>
              <w:rPr>
                <w:sz w:val="20"/>
              </w:rPr>
            </w:pPr>
            <w:r>
              <w:rPr>
                <w:rFonts w:hint="eastAsia"/>
                <w:sz w:val="20"/>
              </w:rPr>
              <w:t>投标人认为的其他因素</w:t>
            </w:r>
          </w:p>
        </w:tc>
        <w:tc>
          <w:tcPr>
            <w:tcW w:w="6820" w:type="dxa"/>
            <w:gridSpan w:val="2"/>
            <w:tcBorders>
              <w:top w:val="single" w:color="auto" w:sz="4" w:space="0"/>
              <w:left w:val="single" w:color="auto" w:sz="4" w:space="0"/>
              <w:bottom w:val="single" w:color="auto" w:sz="4" w:space="0"/>
              <w:right w:val="single" w:color="000000" w:sz="4" w:space="0"/>
            </w:tcBorders>
            <w:vAlign w:val="center"/>
          </w:tcPr>
          <w:p>
            <w:pPr>
              <w:pStyle w:val="48"/>
              <w:rPr>
                <w:sz w:val="20"/>
              </w:rPr>
            </w:pPr>
            <w:r>
              <w:rPr>
                <w:rFonts w:hint="eastAsia"/>
                <w:sz w:val="20"/>
              </w:rPr>
              <w:t>　</w:t>
            </w:r>
          </w:p>
        </w:tc>
        <w:tc>
          <w:tcPr>
            <w:tcW w:w="1259" w:type="dxa"/>
            <w:tcBorders>
              <w:top w:val="nil"/>
              <w:left w:val="nil"/>
              <w:bottom w:val="single" w:color="auto" w:sz="4" w:space="0"/>
              <w:right w:val="single" w:color="auto" w:sz="4" w:space="0"/>
            </w:tcBorders>
            <w:vAlign w:val="center"/>
          </w:tcPr>
          <w:p>
            <w:pPr>
              <w:pStyle w:val="48"/>
              <w:rPr>
                <w:sz w:val="20"/>
              </w:rPr>
            </w:pPr>
            <w:r>
              <w:rPr>
                <w:rFonts w:hint="eastAsia"/>
                <w:sz w:val="20"/>
              </w:rPr>
              <w:t>附件7：后附投标人认为的相关证明文件。</w:t>
            </w:r>
          </w:p>
        </w:tc>
      </w:tr>
    </w:tbl>
    <w:p>
      <w:pPr>
        <w:spacing w:line="240" w:lineRule="atLeast"/>
        <w:ind w:firstLine="562"/>
        <w:jc w:val="left"/>
        <w:rPr>
          <w:rFonts w:hint="eastAsia" w:ascii="黑体" w:hAnsi="黑体" w:eastAsia="黑体"/>
          <w:b/>
          <w:sz w:val="28"/>
          <w:szCs w:val="28"/>
        </w:rPr>
      </w:pPr>
      <w:r>
        <w:rPr>
          <w:rFonts w:hint="eastAsia" w:ascii="黑体" w:hAnsi="黑体" w:eastAsia="黑体"/>
          <w:b/>
          <w:color w:val="FF0000"/>
          <w:sz w:val="28"/>
          <w:szCs w:val="28"/>
        </w:rPr>
        <w:t>★</w:t>
      </w:r>
      <w:r>
        <w:rPr>
          <w:rFonts w:hint="eastAsia" w:ascii="黑体" w:hAnsi="黑体" w:eastAsia="黑体"/>
          <w:b/>
          <w:sz w:val="28"/>
          <w:szCs w:val="28"/>
        </w:rPr>
        <w:t>备注：本表作为评审的重要依据，须认真填写， 不填写或只标注页码无实质性内容，将影响评审或被扣分。</w:t>
      </w:r>
    </w:p>
    <w:p>
      <w:pPr>
        <w:spacing w:line="240" w:lineRule="atLeast"/>
        <w:ind w:firstLine="562"/>
        <w:jc w:val="left"/>
        <w:rPr>
          <w:rFonts w:hint="eastAsia" w:ascii="黑体" w:hAnsi="黑体" w:eastAsia="黑体"/>
          <w:b w:val="0"/>
          <w:bCs/>
          <w:sz w:val="28"/>
          <w:szCs w:val="28"/>
        </w:rPr>
      </w:pPr>
      <w:r>
        <w:rPr>
          <w:rFonts w:hint="eastAsia" w:ascii="黑体" w:hAnsi="黑体" w:eastAsia="黑体"/>
          <w:b/>
          <w:color w:val="FF0000"/>
          <w:sz w:val="28"/>
          <w:szCs w:val="28"/>
          <w:lang w:val="en-US" w:eastAsia="zh-CN"/>
        </w:rPr>
        <w:t>注意：*号项为必填项</w:t>
      </w:r>
    </w:p>
    <w:p>
      <w:pPr>
        <w:ind w:firstLine="482"/>
        <w:rPr>
          <w:rFonts w:ascii="宋体" w:hAnsi="宋体"/>
          <w:b/>
          <w:color w:val="000000"/>
        </w:rPr>
      </w:pPr>
      <w:r>
        <w:rPr>
          <w:rFonts w:ascii="宋体" w:hAnsi="宋体"/>
          <w:b/>
          <w:color w:val="000000"/>
        </w:rPr>
        <w:br w:type="page"/>
      </w:r>
    </w:p>
    <w:p>
      <w:pPr>
        <w:pStyle w:val="3"/>
        <w:spacing w:before="120"/>
      </w:pPr>
      <w:bookmarkStart w:id="109" w:name="_Toc527560965"/>
      <w:bookmarkStart w:id="110" w:name="_Toc4155353"/>
      <w:r>
        <w:rPr>
          <w:rFonts w:hint="eastAsia"/>
        </w:rPr>
        <w:t>四、技术部分</w:t>
      </w:r>
      <w:bookmarkEnd w:id="109"/>
      <w:bookmarkEnd w:id="110"/>
    </w:p>
    <w:p>
      <w:pPr>
        <w:ind w:firstLine="480"/>
      </w:pPr>
      <w:r>
        <w:rPr>
          <w:rFonts w:hint="eastAsia"/>
        </w:rPr>
        <w:t>供应商根据采购需求自行编制，格式自拟。</w:t>
      </w:r>
    </w:p>
    <w:p>
      <w:pPr>
        <w:ind w:firstLine="480"/>
      </w:pPr>
      <w:r>
        <w:br w:type="page"/>
      </w:r>
    </w:p>
    <w:tbl>
      <w:tblPr>
        <w:tblStyle w:val="35"/>
        <w:tblpPr w:leftFromText="180" w:rightFromText="180" w:horzAnchor="margin" w:tblpXSpec="center" w:tblpY="1223"/>
        <w:tblW w:w="9590" w:type="dxa"/>
        <w:tblInd w:w="0" w:type="dxa"/>
        <w:tblLayout w:type="fixed"/>
        <w:tblCellMar>
          <w:top w:w="0" w:type="dxa"/>
          <w:left w:w="108" w:type="dxa"/>
          <w:bottom w:w="0" w:type="dxa"/>
          <w:right w:w="108" w:type="dxa"/>
        </w:tblCellMar>
      </w:tblPr>
      <w:tblGrid>
        <w:gridCol w:w="1101"/>
        <w:gridCol w:w="3391"/>
        <w:gridCol w:w="3724"/>
        <w:gridCol w:w="1374"/>
      </w:tblGrid>
      <w:tr>
        <w:tblPrEx>
          <w:tblLayout w:type="fixed"/>
          <w:tblCellMar>
            <w:top w:w="0" w:type="dxa"/>
            <w:left w:w="108" w:type="dxa"/>
            <w:bottom w:w="0" w:type="dxa"/>
            <w:right w:w="108" w:type="dxa"/>
          </w:tblCellMar>
        </w:tblPrEx>
        <w:trPr>
          <w:trHeight w:val="510" w:hRule="atLeast"/>
        </w:trPr>
        <w:tc>
          <w:tcPr>
            <w:tcW w:w="1101" w:type="dxa"/>
            <w:tcBorders>
              <w:top w:val="single" w:color="auto" w:sz="4" w:space="0"/>
              <w:left w:val="single" w:color="auto" w:sz="4" w:space="0"/>
              <w:bottom w:val="single" w:color="000000" w:sz="4" w:space="0"/>
              <w:right w:val="single" w:color="auto" w:sz="4" w:space="0"/>
            </w:tcBorders>
            <w:vAlign w:val="center"/>
          </w:tcPr>
          <w:p>
            <w:pPr>
              <w:pStyle w:val="48"/>
              <w:jc w:val="center"/>
            </w:pPr>
            <w:bookmarkStart w:id="111" w:name="_Toc225568485"/>
            <w:bookmarkEnd w:id="111"/>
            <w:bookmarkStart w:id="112" w:name="_Toc453079670"/>
            <w:bookmarkEnd w:id="112"/>
            <w:bookmarkStart w:id="113" w:name="_Toc453162642"/>
            <w:bookmarkEnd w:id="113"/>
            <w:bookmarkStart w:id="114" w:name="_Toc453162729"/>
            <w:bookmarkEnd w:id="114"/>
            <w:r>
              <w:rPr>
                <w:rFonts w:hint="eastAsia"/>
              </w:rPr>
              <w:t>序号</w:t>
            </w:r>
          </w:p>
        </w:tc>
        <w:tc>
          <w:tcPr>
            <w:tcW w:w="3391" w:type="dxa"/>
            <w:tcBorders>
              <w:top w:val="single" w:color="auto" w:sz="4" w:space="0"/>
              <w:left w:val="nil"/>
              <w:bottom w:val="single" w:color="auto" w:sz="4" w:space="0"/>
              <w:right w:val="single" w:color="000000" w:sz="4" w:space="0"/>
            </w:tcBorders>
            <w:vAlign w:val="center"/>
          </w:tcPr>
          <w:p>
            <w:pPr>
              <w:pStyle w:val="48"/>
              <w:jc w:val="center"/>
            </w:pPr>
            <w:r>
              <w:rPr>
                <w:rFonts w:hint="eastAsia"/>
              </w:rPr>
              <w:t>招标文件（条目及简要内容）</w:t>
            </w:r>
          </w:p>
        </w:tc>
        <w:tc>
          <w:tcPr>
            <w:tcW w:w="3724" w:type="dxa"/>
            <w:tcBorders>
              <w:top w:val="single" w:color="auto" w:sz="4" w:space="0"/>
              <w:left w:val="nil"/>
              <w:bottom w:val="single" w:color="auto" w:sz="4" w:space="0"/>
              <w:right w:val="single" w:color="000000" w:sz="4" w:space="0"/>
            </w:tcBorders>
            <w:vAlign w:val="center"/>
          </w:tcPr>
          <w:p>
            <w:pPr>
              <w:pStyle w:val="48"/>
              <w:jc w:val="center"/>
            </w:pPr>
            <w:r>
              <w:rPr>
                <w:rFonts w:hint="eastAsia"/>
              </w:rPr>
              <w:t>投标文件（条目及简要内容）</w:t>
            </w:r>
          </w:p>
        </w:tc>
        <w:tc>
          <w:tcPr>
            <w:tcW w:w="1374" w:type="dxa"/>
            <w:tcBorders>
              <w:top w:val="single" w:color="auto" w:sz="4" w:space="0"/>
              <w:left w:val="nil"/>
              <w:bottom w:val="single" w:color="auto" w:sz="4" w:space="0"/>
              <w:right w:val="single" w:color="auto" w:sz="4" w:space="0"/>
            </w:tcBorders>
            <w:vAlign w:val="center"/>
          </w:tcPr>
          <w:p>
            <w:pPr>
              <w:pStyle w:val="48"/>
              <w:jc w:val="center"/>
            </w:pPr>
            <w:r>
              <w:rPr>
                <w:rFonts w:hint="eastAsia"/>
              </w:rPr>
              <w:t>备注</w:t>
            </w:r>
          </w:p>
        </w:tc>
      </w:tr>
      <w:tr>
        <w:tblPrEx>
          <w:tblLayout w:type="fixed"/>
          <w:tblCellMar>
            <w:top w:w="0" w:type="dxa"/>
            <w:left w:w="108" w:type="dxa"/>
            <w:bottom w:w="0" w:type="dxa"/>
            <w:right w:w="108" w:type="dxa"/>
          </w:tblCellMar>
        </w:tblPrEx>
        <w:trPr>
          <w:trHeight w:val="510" w:hRule="atLeast"/>
        </w:trPr>
        <w:tc>
          <w:tcPr>
            <w:tcW w:w="1101" w:type="dxa"/>
            <w:tcBorders>
              <w:top w:val="single" w:color="auto" w:sz="4" w:space="0"/>
              <w:left w:val="single" w:color="auto" w:sz="4" w:space="0"/>
              <w:bottom w:val="single" w:color="000000" w:sz="4" w:space="0"/>
              <w:right w:val="single" w:color="auto" w:sz="4" w:space="0"/>
            </w:tcBorders>
            <w:vAlign w:val="center"/>
          </w:tcPr>
          <w:p>
            <w:pPr>
              <w:pStyle w:val="48"/>
              <w:jc w:val="center"/>
            </w:pPr>
            <w:r>
              <w:rPr>
                <w:rFonts w:hint="eastAsia"/>
              </w:rPr>
              <w:t>1</w:t>
            </w:r>
          </w:p>
        </w:tc>
        <w:tc>
          <w:tcPr>
            <w:tcW w:w="3391" w:type="dxa"/>
            <w:tcBorders>
              <w:top w:val="single" w:color="auto" w:sz="4" w:space="0"/>
              <w:left w:val="nil"/>
              <w:bottom w:val="single" w:color="auto" w:sz="4" w:space="0"/>
              <w:right w:val="single" w:color="000000" w:sz="4" w:space="0"/>
            </w:tcBorders>
            <w:vAlign w:val="center"/>
          </w:tcPr>
          <w:p>
            <w:pPr>
              <w:pStyle w:val="48"/>
              <w:jc w:val="center"/>
            </w:pPr>
          </w:p>
        </w:tc>
        <w:tc>
          <w:tcPr>
            <w:tcW w:w="3724" w:type="dxa"/>
            <w:tcBorders>
              <w:top w:val="single" w:color="auto" w:sz="4" w:space="0"/>
              <w:left w:val="nil"/>
              <w:bottom w:val="single" w:color="auto" w:sz="4" w:space="0"/>
              <w:right w:val="single" w:color="000000" w:sz="4" w:space="0"/>
            </w:tcBorders>
            <w:vAlign w:val="center"/>
          </w:tcPr>
          <w:p>
            <w:pPr>
              <w:pStyle w:val="48"/>
              <w:jc w:val="center"/>
            </w:pPr>
          </w:p>
        </w:tc>
        <w:tc>
          <w:tcPr>
            <w:tcW w:w="1374" w:type="dxa"/>
            <w:vMerge w:val="restart"/>
            <w:tcBorders>
              <w:top w:val="nil"/>
              <w:left w:val="single" w:color="auto" w:sz="4" w:space="0"/>
              <w:bottom w:val="single" w:color="000000" w:sz="4" w:space="0"/>
              <w:right w:val="single" w:color="auto" w:sz="4" w:space="0"/>
            </w:tcBorders>
            <w:vAlign w:val="center"/>
          </w:tcPr>
          <w:p>
            <w:pPr>
              <w:pStyle w:val="48"/>
              <w:jc w:val="center"/>
            </w:pPr>
            <w:r>
              <w:rPr>
                <w:rFonts w:hint="eastAsia"/>
              </w:rPr>
              <w:t>如无偏差，需写：“无”；有偏差，须如实填写。</w:t>
            </w:r>
          </w:p>
        </w:tc>
      </w:tr>
      <w:tr>
        <w:tblPrEx>
          <w:tblLayout w:type="fixed"/>
          <w:tblCellMar>
            <w:top w:w="0" w:type="dxa"/>
            <w:left w:w="108" w:type="dxa"/>
            <w:bottom w:w="0" w:type="dxa"/>
            <w:right w:w="108" w:type="dxa"/>
          </w:tblCellMar>
        </w:tblPrEx>
        <w:trPr>
          <w:trHeight w:val="510" w:hRule="atLeast"/>
        </w:trPr>
        <w:tc>
          <w:tcPr>
            <w:tcW w:w="1101" w:type="dxa"/>
            <w:tcBorders>
              <w:top w:val="single" w:color="auto" w:sz="4" w:space="0"/>
              <w:left w:val="single" w:color="auto" w:sz="4" w:space="0"/>
              <w:bottom w:val="single" w:color="000000" w:sz="4" w:space="0"/>
              <w:right w:val="single" w:color="auto" w:sz="4" w:space="0"/>
            </w:tcBorders>
            <w:vAlign w:val="center"/>
          </w:tcPr>
          <w:p>
            <w:pPr>
              <w:pStyle w:val="48"/>
              <w:jc w:val="center"/>
            </w:pPr>
            <w:r>
              <w:rPr>
                <w:rFonts w:hint="eastAsia"/>
              </w:rPr>
              <w:t>2</w:t>
            </w:r>
          </w:p>
        </w:tc>
        <w:tc>
          <w:tcPr>
            <w:tcW w:w="3391" w:type="dxa"/>
            <w:tcBorders>
              <w:top w:val="single" w:color="auto" w:sz="4" w:space="0"/>
              <w:left w:val="nil"/>
              <w:bottom w:val="single" w:color="auto" w:sz="4" w:space="0"/>
              <w:right w:val="single" w:color="000000" w:sz="4" w:space="0"/>
            </w:tcBorders>
            <w:vAlign w:val="center"/>
          </w:tcPr>
          <w:p>
            <w:pPr>
              <w:pStyle w:val="48"/>
              <w:jc w:val="center"/>
            </w:pPr>
          </w:p>
        </w:tc>
        <w:tc>
          <w:tcPr>
            <w:tcW w:w="3724" w:type="dxa"/>
            <w:tcBorders>
              <w:top w:val="single" w:color="auto" w:sz="4" w:space="0"/>
              <w:left w:val="nil"/>
              <w:bottom w:val="single" w:color="auto" w:sz="4" w:space="0"/>
              <w:right w:val="single" w:color="000000" w:sz="4" w:space="0"/>
            </w:tcBorders>
            <w:vAlign w:val="center"/>
          </w:tcPr>
          <w:p>
            <w:pPr>
              <w:pStyle w:val="48"/>
              <w:jc w:val="center"/>
            </w:pPr>
          </w:p>
        </w:tc>
        <w:tc>
          <w:tcPr>
            <w:tcW w:w="1374" w:type="dxa"/>
            <w:vMerge w:val="continue"/>
            <w:tcBorders>
              <w:top w:val="nil"/>
              <w:left w:val="single" w:color="auto" w:sz="4" w:space="0"/>
              <w:bottom w:val="single" w:color="000000" w:sz="4" w:space="0"/>
              <w:right w:val="single" w:color="auto" w:sz="4" w:space="0"/>
            </w:tcBorders>
            <w:vAlign w:val="center"/>
          </w:tcPr>
          <w:p>
            <w:pPr>
              <w:pStyle w:val="48"/>
              <w:jc w:val="center"/>
            </w:pPr>
          </w:p>
        </w:tc>
      </w:tr>
      <w:tr>
        <w:tblPrEx>
          <w:tblLayout w:type="fixed"/>
          <w:tblCellMar>
            <w:top w:w="0" w:type="dxa"/>
            <w:left w:w="108" w:type="dxa"/>
            <w:bottom w:w="0" w:type="dxa"/>
            <w:right w:w="108" w:type="dxa"/>
          </w:tblCellMar>
        </w:tblPrEx>
        <w:trPr>
          <w:trHeight w:val="510" w:hRule="atLeast"/>
        </w:trPr>
        <w:tc>
          <w:tcPr>
            <w:tcW w:w="1101" w:type="dxa"/>
            <w:tcBorders>
              <w:top w:val="single" w:color="auto" w:sz="4" w:space="0"/>
              <w:left w:val="single" w:color="auto" w:sz="4" w:space="0"/>
              <w:bottom w:val="single" w:color="000000" w:sz="4" w:space="0"/>
              <w:right w:val="single" w:color="auto" w:sz="4" w:space="0"/>
            </w:tcBorders>
            <w:vAlign w:val="center"/>
          </w:tcPr>
          <w:p>
            <w:pPr>
              <w:pStyle w:val="48"/>
              <w:jc w:val="center"/>
            </w:pPr>
            <w:r>
              <w:rPr>
                <w:rFonts w:hint="eastAsia"/>
              </w:rPr>
              <w:t>3</w:t>
            </w:r>
          </w:p>
        </w:tc>
        <w:tc>
          <w:tcPr>
            <w:tcW w:w="3391" w:type="dxa"/>
            <w:tcBorders>
              <w:top w:val="single" w:color="auto" w:sz="4" w:space="0"/>
              <w:left w:val="nil"/>
              <w:bottom w:val="single" w:color="auto" w:sz="4" w:space="0"/>
              <w:right w:val="single" w:color="000000" w:sz="4" w:space="0"/>
            </w:tcBorders>
            <w:vAlign w:val="center"/>
          </w:tcPr>
          <w:p>
            <w:pPr>
              <w:pStyle w:val="48"/>
              <w:jc w:val="center"/>
            </w:pPr>
          </w:p>
        </w:tc>
        <w:tc>
          <w:tcPr>
            <w:tcW w:w="3724" w:type="dxa"/>
            <w:tcBorders>
              <w:top w:val="single" w:color="auto" w:sz="4" w:space="0"/>
              <w:left w:val="nil"/>
              <w:bottom w:val="single" w:color="auto" w:sz="4" w:space="0"/>
              <w:right w:val="single" w:color="000000" w:sz="4" w:space="0"/>
            </w:tcBorders>
            <w:vAlign w:val="center"/>
          </w:tcPr>
          <w:p>
            <w:pPr>
              <w:pStyle w:val="48"/>
              <w:jc w:val="center"/>
            </w:pPr>
          </w:p>
        </w:tc>
        <w:tc>
          <w:tcPr>
            <w:tcW w:w="1374" w:type="dxa"/>
            <w:vMerge w:val="continue"/>
            <w:tcBorders>
              <w:top w:val="nil"/>
              <w:left w:val="single" w:color="auto" w:sz="4" w:space="0"/>
              <w:bottom w:val="single" w:color="000000" w:sz="4" w:space="0"/>
              <w:right w:val="single" w:color="auto" w:sz="4" w:space="0"/>
            </w:tcBorders>
            <w:vAlign w:val="center"/>
          </w:tcPr>
          <w:p>
            <w:pPr>
              <w:pStyle w:val="48"/>
              <w:jc w:val="center"/>
            </w:pPr>
          </w:p>
        </w:tc>
      </w:tr>
      <w:tr>
        <w:tblPrEx>
          <w:tblLayout w:type="fixed"/>
          <w:tblCellMar>
            <w:top w:w="0" w:type="dxa"/>
            <w:left w:w="108" w:type="dxa"/>
            <w:bottom w:w="0" w:type="dxa"/>
            <w:right w:w="108" w:type="dxa"/>
          </w:tblCellMar>
        </w:tblPrEx>
        <w:trPr>
          <w:trHeight w:val="510" w:hRule="atLeast"/>
        </w:trPr>
        <w:tc>
          <w:tcPr>
            <w:tcW w:w="1101" w:type="dxa"/>
            <w:tcBorders>
              <w:top w:val="single" w:color="auto" w:sz="4" w:space="0"/>
              <w:left w:val="single" w:color="auto" w:sz="4" w:space="0"/>
              <w:bottom w:val="single" w:color="000000" w:sz="4" w:space="0"/>
              <w:right w:val="single" w:color="auto" w:sz="4" w:space="0"/>
            </w:tcBorders>
            <w:vAlign w:val="center"/>
          </w:tcPr>
          <w:p>
            <w:pPr>
              <w:pStyle w:val="48"/>
              <w:jc w:val="center"/>
            </w:pPr>
            <w:r>
              <w:rPr>
                <w:rFonts w:hint="eastAsia"/>
              </w:rPr>
              <w:t>4</w:t>
            </w:r>
          </w:p>
        </w:tc>
        <w:tc>
          <w:tcPr>
            <w:tcW w:w="3391" w:type="dxa"/>
            <w:tcBorders>
              <w:top w:val="single" w:color="auto" w:sz="4" w:space="0"/>
              <w:left w:val="nil"/>
              <w:bottom w:val="single" w:color="auto" w:sz="4" w:space="0"/>
              <w:right w:val="single" w:color="000000" w:sz="4" w:space="0"/>
            </w:tcBorders>
            <w:vAlign w:val="center"/>
          </w:tcPr>
          <w:p>
            <w:pPr>
              <w:pStyle w:val="48"/>
              <w:jc w:val="center"/>
            </w:pPr>
          </w:p>
        </w:tc>
        <w:tc>
          <w:tcPr>
            <w:tcW w:w="3724" w:type="dxa"/>
            <w:tcBorders>
              <w:top w:val="single" w:color="auto" w:sz="4" w:space="0"/>
              <w:left w:val="nil"/>
              <w:bottom w:val="single" w:color="auto" w:sz="4" w:space="0"/>
              <w:right w:val="single" w:color="000000" w:sz="4" w:space="0"/>
            </w:tcBorders>
            <w:vAlign w:val="center"/>
          </w:tcPr>
          <w:p>
            <w:pPr>
              <w:pStyle w:val="48"/>
              <w:jc w:val="center"/>
            </w:pPr>
          </w:p>
        </w:tc>
        <w:tc>
          <w:tcPr>
            <w:tcW w:w="1374" w:type="dxa"/>
            <w:vMerge w:val="continue"/>
            <w:tcBorders>
              <w:top w:val="nil"/>
              <w:left w:val="single" w:color="auto" w:sz="4" w:space="0"/>
              <w:bottom w:val="single" w:color="000000" w:sz="4" w:space="0"/>
              <w:right w:val="single" w:color="auto" w:sz="4" w:space="0"/>
            </w:tcBorders>
            <w:vAlign w:val="center"/>
          </w:tcPr>
          <w:p>
            <w:pPr>
              <w:pStyle w:val="48"/>
              <w:jc w:val="center"/>
            </w:pPr>
          </w:p>
        </w:tc>
      </w:tr>
    </w:tbl>
    <w:p>
      <w:pPr>
        <w:pStyle w:val="3"/>
        <w:spacing w:before="120"/>
      </w:pPr>
      <w:bookmarkStart w:id="115" w:name="_Toc4155354"/>
      <w:r>
        <w:rPr>
          <w:rFonts w:hint="eastAsia"/>
        </w:rPr>
        <w:t>五、偏差表</w:t>
      </w:r>
      <w:bookmarkEnd w:id="115"/>
    </w:p>
    <w:sectPr>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firstLine="360"/>
      <w:jc w:val="center"/>
      <w:rPr>
        <w:rFonts w:ascii="Arial" w:hAnsi="Arial" w:eastAsia="黑体"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jc w:val="center"/>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6</w:t>
    </w:r>
    <w:r>
      <w:rPr>
        <w:rFonts w:ascii="宋体" w:hAnsi="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jc w:val="center"/>
    </w:pPr>
    <w:r>
      <w:fldChar w:fldCharType="begin"/>
    </w:r>
    <w:r>
      <w:rPr>
        <w:rStyle w:val="31"/>
      </w:rPr>
      <w:instrText xml:space="preserve"> PAGE </w:instrText>
    </w:r>
    <w:r>
      <w:fldChar w:fldCharType="separate"/>
    </w:r>
    <w:r>
      <w:rPr>
        <w:rStyle w:val="31"/>
      </w:rPr>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left"/>
      <w:rPr>
        <w:szCs w:val="18"/>
      </w:rPr>
    </w:pPr>
    <w:r>
      <w:rPr>
        <w:szCs w:val="18"/>
      </w:rPr>
      <w:drawing>
        <wp:inline distT="0" distB="0" distL="0" distR="0">
          <wp:extent cx="237490" cy="225425"/>
          <wp:effectExtent l="1905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 descr="标志2"/>
                  <pic:cNvPicPr>
                    <a:picLocks noChangeAspect="1" noChangeArrowheads="1"/>
                  </pic:cNvPicPr>
                </pic:nvPicPr>
                <pic:blipFill>
                  <a:blip r:embed="rId1"/>
                  <a:srcRect/>
                  <a:stretch>
                    <a:fillRect/>
                  </a:stretch>
                </pic:blipFill>
                <pic:spPr>
                  <a:xfrm>
                    <a:off x="0" y="0"/>
                    <a:ext cx="237490" cy="225425"/>
                  </a:xfrm>
                  <a:prstGeom prst="rect">
                    <a:avLst/>
                  </a:prstGeom>
                  <a:noFill/>
                  <a:ln w="9525" cmpd="sng">
                    <a:noFill/>
                    <a:miter lim="800000"/>
                    <a:headEnd/>
                    <a:tailEnd/>
                  </a:ln>
                </pic:spPr>
              </pic:pic>
            </a:graphicData>
          </a:graphic>
        </wp:inline>
      </w:drawing>
    </w:r>
    <w:r>
      <w:rPr>
        <w:rFonts w:hint="eastAsia"/>
        <w:szCs w:val="18"/>
      </w:rPr>
      <w:t>中国华能集团有限公司简明标准竞争性谈判采购文件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C6A29"/>
    <w:multiLevelType w:val="singleLevel"/>
    <w:tmpl w:val="577C6A29"/>
    <w:lvl w:ilvl="0" w:tentative="0">
      <w:start w:val="1"/>
      <w:numFmt w:val="chineseCounting"/>
      <w:suff w:val="nothing"/>
      <w:lvlText w:val="%1、"/>
      <w:lvlJc w:val="left"/>
    </w:lvl>
  </w:abstractNum>
  <w:abstractNum w:abstractNumId="1">
    <w:nsid w:val="577C75ED"/>
    <w:multiLevelType w:val="singleLevel"/>
    <w:tmpl w:val="577C75ED"/>
    <w:lvl w:ilvl="0" w:tentative="0">
      <w:start w:val="1"/>
      <w:numFmt w:val="decimal"/>
      <w:suff w:val="nothing"/>
      <w:lvlText w:val="%1、"/>
      <w:lvlJc w:val="left"/>
    </w:lvl>
  </w:abstractNum>
  <w:abstractNum w:abstractNumId="2">
    <w:nsid w:val="5A7E516F"/>
    <w:multiLevelType w:val="multilevel"/>
    <w:tmpl w:val="5A7E516F"/>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7E541DE4"/>
    <w:multiLevelType w:val="multilevel"/>
    <w:tmpl w:val="7E541DE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50"/>
  <w:drawingGridHorizontalSpacing w:val="120"/>
  <w:drawingGridVerticalSpacing w:val="16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2F4A"/>
    <w:rsid w:val="00002FFA"/>
    <w:rsid w:val="00003571"/>
    <w:rsid w:val="0000431D"/>
    <w:rsid w:val="000047B8"/>
    <w:rsid w:val="0000748B"/>
    <w:rsid w:val="000108F2"/>
    <w:rsid w:val="000125E2"/>
    <w:rsid w:val="0001369D"/>
    <w:rsid w:val="00013C22"/>
    <w:rsid w:val="00013C4B"/>
    <w:rsid w:val="0001422E"/>
    <w:rsid w:val="00014D41"/>
    <w:rsid w:val="0001707A"/>
    <w:rsid w:val="00020E0B"/>
    <w:rsid w:val="00022E41"/>
    <w:rsid w:val="00023AE8"/>
    <w:rsid w:val="00025507"/>
    <w:rsid w:val="00025542"/>
    <w:rsid w:val="00026363"/>
    <w:rsid w:val="00031B08"/>
    <w:rsid w:val="00031CB2"/>
    <w:rsid w:val="00031E88"/>
    <w:rsid w:val="0003307E"/>
    <w:rsid w:val="00033390"/>
    <w:rsid w:val="000336B6"/>
    <w:rsid w:val="0003497E"/>
    <w:rsid w:val="0003497F"/>
    <w:rsid w:val="00034F2C"/>
    <w:rsid w:val="00035242"/>
    <w:rsid w:val="000355EC"/>
    <w:rsid w:val="00036636"/>
    <w:rsid w:val="00036802"/>
    <w:rsid w:val="0003697C"/>
    <w:rsid w:val="00036DBA"/>
    <w:rsid w:val="000371F0"/>
    <w:rsid w:val="00040703"/>
    <w:rsid w:val="00041183"/>
    <w:rsid w:val="00041363"/>
    <w:rsid w:val="000454DD"/>
    <w:rsid w:val="00051291"/>
    <w:rsid w:val="00051D29"/>
    <w:rsid w:val="0005249C"/>
    <w:rsid w:val="000524CA"/>
    <w:rsid w:val="00054490"/>
    <w:rsid w:val="000544D3"/>
    <w:rsid w:val="00056707"/>
    <w:rsid w:val="00062E5C"/>
    <w:rsid w:val="00067E4F"/>
    <w:rsid w:val="00071028"/>
    <w:rsid w:val="000735DE"/>
    <w:rsid w:val="0007724D"/>
    <w:rsid w:val="0007754E"/>
    <w:rsid w:val="0008057D"/>
    <w:rsid w:val="00080F59"/>
    <w:rsid w:val="00081D59"/>
    <w:rsid w:val="00082718"/>
    <w:rsid w:val="00083EEB"/>
    <w:rsid w:val="00083F09"/>
    <w:rsid w:val="00084B67"/>
    <w:rsid w:val="000921B9"/>
    <w:rsid w:val="00093726"/>
    <w:rsid w:val="00093728"/>
    <w:rsid w:val="00095FEE"/>
    <w:rsid w:val="00096F03"/>
    <w:rsid w:val="000A0036"/>
    <w:rsid w:val="000A0706"/>
    <w:rsid w:val="000A5314"/>
    <w:rsid w:val="000A77B4"/>
    <w:rsid w:val="000A7CCF"/>
    <w:rsid w:val="000B1CE0"/>
    <w:rsid w:val="000B28EA"/>
    <w:rsid w:val="000B365A"/>
    <w:rsid w:val="000B444D"/>
    <w:rsid w:val="000B4E3B"/>
    <w:rsid w:val="000B4F8E"/>
    <w:rsid w:val="000B5D7E"/>
    <w:rsid w:val="000B681A"/>
    <w:rsid w:val="000B6D24"/>
    <w:rsid w:val="000B6E31"/>
    <w:rsid w:val="000B7877"/>
    <w:rsid w:val="000C00E9"/>
    <w:rsid w:val="000C1918"/>
    <w:rsid w:val="000C447A"/>
    <w:rsid w:val="000C4679"/>
    <w:rsid w:val="000C4A6B"/>
    <w:rsid w:val="000C6186"/>
    <w:rsid w:val="000C6DE2"/>
    <w:rsid w:val="000D25EA"/>
    <w:rsid w:val="000D2EC6"/>
    <w:rsid w:val="000D5618"/>
    <w:rsid w:val="000D6D94"/>
    <w:rsid w:val="000E0482"/>
    <w:rsid w:val="000E2479"/>
    <w:rsid w:val="000E2713"/>
    <w:rsid w:val="000E38D0"/>
    <w:rsid w:val="000E38D6"/>
    <w:rsid w:val="000E4CAC"/>
    <w:rsid w:val="000E78F2"/>
    <w:rsid w:val="000E7D83"/>
    <w:rsid w:val="000E7F0A"/>
    <w:rsid w:val="000F05D2"/>
    <w:rsid w:val="000F2551"/>
    <w:rsid w:val="000F7120"/>
    <w:rsid w:val="00100D3A"/>
    <w:rsid w:val="00103BD4"/>
    <w:rsid w:val="00103C02"/>
    <w:rsid w:val="0010427E"/>
    <w:rsid w:val="001052FA"/>
    <w:rsid w:val="0010535D"/>
    <w:rsid w:val="00107E49"/>
    <w:rsid w:val="001102A5"/>
    <w:rsid w:val="00110DD3"/>
    <w:rsid w:val="00114528"/>
    <w:rsid w:val="001164E5"/>
    <w:rsid w:val="0012003A"/>
    <w:rsid w:val="00120D1E"/>
    <w:rsid w:val="00120D86"/>
    <w:rsid w:val="00120E27"/>
    <w:rsid w:val="0012180F"/>
    <w:rsid w:val="00122555"/>
    <w:rsid w:val="00123794"/>
    <w:rsid w:val="0012494A"/>
    <w:rsid w:val="001253AD"/>
    <w:rsid w:val="0012551E"/>
    <w:rsid w:val="001258D7"/>
    <w:rsid w:val="00125C65"/>
    <w:rsid w:val="00125E16"/>
    <w:rsid w:val="001271E7"/>
    <w:rsid w:val="00127C49"/>
    <w:rsid w:val="00131DF2"/>
    <w:rsid w:val="00134C3E"/>
    <w:rsid w:val="00134CFD"/>
    <w:rsid w:val="00135AE5"/>
    <w:rsid w:val="00135E63"/>
    <w:rsid w:val="00136B17"/>
    <w:rsid w:val="00136B8B"/>
    <w:rsid w:val="0013795A"/>
    <w:rsid w:val="00141AAC"/>
    <w:rsid w:val="00145DEE"/>
    <w:rsid w:val="00155A5B"/>
    <w:rsid w:val="00160A5A"/>
    <w:rsid w:val="001619FD"/>
    <w:rsid w:val="00163509"/>
    <w:rsid w:val="0016584B"/>
    <w:rsid w:val="00166593"/>
    <w:rsid w:val="00166B07"/>
    <w:rsid w:val="00167FE9"/>
    <w:rsid w:val="00170667"/>
    <w:rsid w:val="001706BB"/>
    <w:rsid w:val="001715F2"/>
    <w:rsid w:val="00172A27"/>
    <w:rsid w:val="00172DF8"/>
    <w:rsid w:val="00177CDB"/>
    <w:rsid w:val="00181368"/>
    <w:rsid w:val="0018203D"/>
    <w:rsid w:val="0018285C"/>
    <w:rsid w:val="00183309"/>
    <w:rsid w:val="00186477"/>
    <w:rsid w:val="00193505"/>
    <w:rsid w:val="00194B3F"/>
    <w:rsid w:val="00194C18"/>
    <w:rsid w:val="0019565D"/>
    <w:rsid w:val="00195F20"/>
    <w:rsid w:val="001A0B8E"/>
    <w:rsid w:val="001A49BA"/>
    <w:rsid w:val="001A4C0C"/>
    <w:rsid w:val="001A4E80"/>
    <w:rsid w:val="001A55C0"/>
    <w:rsid w:val="001A5D87"/>
    <w:rsid w:val="001A5FD7"/>
    <w:rsid w:val="001A7404"/>
    <w:rsid w:val="001B0A67"/>
    <w:rsid w:val="001B12B4"/>
    <w:rsid w:val="001B1639"/>
    <w:rsid w:val="001B1EE0"/>
    <w:rsid w:val="001B28B9"/>
    <w:rsid w:val="001B47BE"/>
    <w:rsid w:val="001B67DE"/>
    <w:rsid w:val="001B7F8A"/>
    <w:rsid w:val="001C07C7"/>
    <w:rsid w:val="001C14CF"/>
    <w:rsid w:val="001C33D7"/>
    <w:rsid w:val="001C6006"/>
    <w:rsid w:val="001C6391"/>
    <w:rsid w:val="001C6BDB"/>
    <w:rsid w:val="001C7061"/>
    <w:rsid w:val="001D2221"/>
    <w:rsid w:val="001D35F1"/>
    <w:rsid w:val="001D3C4C"/>
    <w:rsid w:val="001D3E90"/>
    <w:rsid w:val="001D3E97"/>
    <w:rsid w:val="001D4053"/>
    <w:rsid w:val="001D49C9"/>
    <w:rsid w:val="001D4AAA"/>
    <w:rsid w:val="001D57FE"/>
    <w:rsid w:val="001D6523"/>
    <w:rsid w:val="001E1705"/>
    <w:rsid w:val="001E1786"/>
    <w:rsid w:val="001E2DB4"/>
    <w:rsid w:val="001E3C35"/>
    <w:rsid w:val="001E674A"/>
    <w:rsid w:val="001E79A4"/>
    <w:rsid w:val="001E79CB"/>
    <w:rsid w:val="001E7C04"/>
    <w:rsid w:val="001E7CE8"/>
    <w:rsid w:val="001F19B9"/>
    <w:rsid w:val="001F4B2C"/>
    <w:rsid w:val="001F4BAE"/>
    <w:rsid w:val="001F6845"/>
    <w:rsid w:val="00200C02"/>
    <w:rsid w:val="002012C9"/>
    <w:rsid w:val="00203382"/>
    <w:rsid w:val="00204B94"/>
    <w:rsid w:val="00205EF6"/>
    <w:rsid w:val="00206004"/>
    <w:rsid w:val="00207C0F"/>
    <w:rsid w:val="002103E6"/>
    <w:rsid w:val="00210B44"/>
    <w:rsid w:val="00213523"/>
    <w:rsid w:val="0021516B"/>
    <w:rsid w:val="00216CB7"/>
    <w:rsid w:val="002206D1"/>
    <w:rsid w:val="0022076F"/>
    <w:rsid w:val="00220775"/>
    <w:rsid w:val="00220B76"/>
    <w:rsid w:val="00221107"/>
    <w:rsid w:val="002212CE"/>
    <w:rsid w:val="002214CF"/>
    <w:rsid w:val="00221C35"/>
    <w:rsid w:val="00222027"/>
    <w:rsid w:val="002264D2"/>
    <w:rsid w:val="0022783A"/>
    <w:rsid w:val="00227B3D"/>
    <w:rsid w:val="00233FAE"/>
    <w:rsid w:val="002362C9"/>
    <w:rsid w:val="00241CD3"/>
    <w:rsid w:val="0024302C"/>
    <w:rsid w:val="00243337"/>
    <w:rsid w:val="00245238"/>
    <w:rsid w:val="00247395"/>
    <w:rsid w:val="002518D3"/>
    <w:rsid w:val="00251ECE"/>
    <w:rsid w:val="002526F2"/>
    <w:rsid w:val="00254463"/>
    <w:rsid w:val="00254633"/>
    <w:rsid w:val="00261258"/>
    <w:rsid w:val="00262ACD"/>
    <w:rsid w:val="00263E1B"/>
    <w:rsid w:val="00264935"/>
    <w:rsid w:val="00265CD2"/>
    <w:rsid w:val="002703F1"/>
    <w:rsid w:val="00270A9A"/>
    <w:rsid w:val="00270BD1"/>
    <w:rsid w:val="0027102D"/>
    <w:rsid w:val="00272535"/>
    <w:rsid w:val="0027439D"/>
    <w:rsid w:val="002775B9"/>
    <w:rsid w:val="00277BDB"/>
    <w:rsid w:val="00280B62"/>
    <w:rsid w:val="00280F9B"/>
    <w:rsid w:val="00281DC0"/>
    <w:rsid w:val="00284DEF"/>
    <w:rsid w:val="0029094A"/>
    <w:rsid w:val="00290DB3"/>
    <w:rsid w:val="00295C37"/>
    <w:rsid w:val="002960A1"/>
    <w:rsid w:val="0029629D"/>
    <w:rsid w:val="00296ABC"/>
    <w:rsid w:val="002A0CED"/>
    <w:rsid w:val="002A2768"/>
    <w:rsid w:val="002A28DD"/>
    <w:rsid w:val="002A2D55"/>
    <w:rsid w:val="002A363A"/>
    <w:rsid w:val="002A418A"/>
    <w:rsid w:val="002A4C3B"/>
    <w:rsid w:val="002A7F39"/>
    <w:rsid w:val="002B0D0C"/>
    <w:rsid w:val="002B1C1E"/>
    <w:rsid w:val="002B232B"/>
    <w:rsid w:val="002B2E4C"/>
    <w:rsid w:val="002B57AB"/>
    <w:rsid w:val="002B6B65"/>
    <w:rsid w:val="002C0811"/>
    <w:rsid w:val="002C0984"/>
    <w:rsid w:val="002C1AC2"/>
    <w:rsid w:val="002C2654"/>
    <w:rsid w:val="002C4336"/>
    <w:rsid w:val="002C4E1F"/>
    <w:rsid w:val="002C75C9"/>
    <w:rsid w:val="002C7E11"/>
    <w:rsid w:val="002D0088"/>
    <w:rsid w:val="002D0636"/>
    <w:rsid w:val="002D0936"/>
    <w:rsid w:val="002D2539"/>
    <w:rsid w:val="002D48D5"/>
    <w:rsid w:val="002D5825"/>
    <w:rsid w:val="002D5CDB"/>
    <w:rsid w:val="002E1183"/>
    <w:rsid w:val="002E19C4"/>
    <w:rsid w:val="002E6175"/>
    <w:rsid w:val="002E7EA3"/>
    <w:rsid w:val="002F090E"/>
    <w:rsid w:val="002F1E2C"/>
    <w:rsid w:val="002F1E44"/>
    <w:rsid w:val="002F3200"/>
    <w:rsid w:val="002F497E"/>
    <w:rsid w:val="002F4B50"/>
    <w:rsid w:val="002F690A"/>
    <w:rsid w:val="002F705A"/>
    <w:rsid w:val="002F70C9"/>
    <w:rsid w:val="002F74D9"/>
    <w:rsid w:val="002F7D02"/>
    <w:rsid w:val="0030011C"/>
    <w:rsid w:val="003027C7"/>
    <w:rsid w:val="00303579"/>
    <w:rsid w:val="00303D65"/>
    <w:rsid w:val="00303EB2"/>
    <w:rsid w:val="00304D02"/>
    <w:rsid w:val="00305095"/>
    <w:rsid w:val="00310551"/>
    <w:rsid w:val="003105F6"/>
    <w:rsid w:val="003117CC"/>
    <w:rsid w:val="00312B66"/>
    <w:rsid w:val="00314672"/>
    <w:rsid w:val="0031598B"/>
    <w:rsid w:val="00316DCD"/>
    <w:rsid w:val="00316E0C"/>
    <w:rsid w:val="00317B1A"/>
    <w:rsid w:val="00317E72"/>
    <w:rsid w:val="0032024F"/>
    <w:rsid w:val="0032034B"/>
    <w:rsid w:val="00320B62"/>
    <w:rsid w:val="003213D6"/>
    <w:rsid w:val="003224E2"/>
    <w:rsid w:val="00327667"/>
    <w:rsid w:val="00330EA4"/>
    <w:rsid w:val="00331046"/>
    <w:rsid w:val="00331F1D"/>
    <w:rsid w:val="003325A2"/>
    <w:rsid w:val="00333519"/>
    <w:rsid w:val="00334AD3"/>
    <w:rsid w:val="0033648E"/>
    <w:rsid w:val="003374D6"/>
    <w:rsid w:val="00337921"/>
    <w:rsid w:val="0034023A"/>
    <w:rsid w:val="0034159D"/>
    <w:rsid w:val="00342002"/>
    <w:rsid w:val="0034364A"/>
    <w:rsid w:val="00343846"/>
    <w:rsid w:val="00343C27"/>
    <w:rsid w:val="00346471"/>
    <w:rsid w:val="003465C2"/>
    <w:rsid w:val="00346750"/>
    <w:rsid w:val="0035003C"/>
    <w:rsid w:val="00350E3A"/>
    <w:rsid w:val="0035245F"/>
    <w:rsid w:val="00354252"/>
    <w:rsid w:val="003577EE"/>
    <w:rsid w:val="003616A2"/>
    <w:rsid w:val="00362E35"/>
    <w:rsid w:val="0036502E"/>
    <w:rsid w:val="00365AA6"/>
    <w:rsid w:val="003701DC"/>
    <w:rsid w:val="00370EE5"/>
    <w:rsid w:val="00371A7C"/>
    <w:rsid w:val="0037360D"/>
    <w:rsid w:val="003736F7"/>
    <w:rsid w:val="00374F15"/>
    <w:rsid w:val="00375E19"/>
    <w:rsid w:val="0038118A"/>
    <w:rsid w:val="00382A15"/>
    <w:rsid w:val="00382C38"/>
    <w:rsid w:val="00382F12"/>
    <w:rsid w:val="00386686"/>
    <w:rsid w:val="00387265"/>
    <w:rsid w:val="003873CD"/>
    <w:rsid w:val="00387FAE"/>
    <w:rsid w:val="00390547"/>
    <w:rsid w:val="00391199"/>
    <w:rsid w:val="00391A8A"/>
    <w:rsid w:val="00392E2C"/>
    <w:rsid w:val="0039330D"/>
    <w:rsid w:val="00393ADC"/>
    <w:rsid w:val="00393B96"/>
    <w:rsid w:val="00396267"/>
    <w:rsid w:val="003968ED"/>
    <w:rsid w:val="003977BF"/>
    <w:rsid w:val="003A1E33"/>
    <w:rsid w:val="003A4C8B"/>
    <w:rsid w:val="003B336A"/>
    <w:rsid w:val="003B66EC"/>
    <w:rsid w:val="003B7EB6"/>
    <w:rsid w:val="003C3139"/>
    <w:rsid w:val="003C46C4"/>
    <w:rsid w:val="003C4FDD"/>
    <w:rsid w:val="003C74AD"/>
    <w:rsid w:val="003C76D8"/>
    <w:rsid w:val="003C77E4"/>
    <w:rsid w:val="003C7A80"/>
    <w:rsid w:val="003C7E9B"/>
    <w:rsid w:val="003D2971"/>
    <w:rsid w:val="003D4625"/>
    <w:rsid w:val="003D50DF"/>
    <w:rsid w:val="003D5162"/>
    <w:rsid w:val="003D67E9"/>
    <w:rsid w:val="003E085E"/>
    <w:rsid w:val="003E08B1"/>
    <w:rsid w:val="003E1364"/>
    <w:rsid w:val="003E1B80"/>
    <w:rsid w:val="003E1C20"/>
    <w:rsid w:val="003E1F82"/>
    <w:rsid w:val="003E5162"/>
    <w:rsid w:val="003E589B"/>
    <w:rsid w:val="003E5CE6"/>
    <w:rsid w:val="003E6881"/>
    <w:rsid w:val="003E693F"/>
    <w:rsid w:val="003E6F99"/>
    <w:rsid w:val="003F1642"/>
    <w:rsid w:val="003F21E8"/>
    <w:rsid w:val="003F2460"/>
    <w:rsid w:val="003F2F07"/>
    <w:rsid w:val="003F3E80"/>
    <w:rsid w:val="003F3F58"/>
    <w:rsid w:val="003F4CB2"/>
    <w:rsid w:val="003F4D17"/>
    <w:rsid w:val="003F5678"/>
    <w:rsid w:val="003F7E2C"/>
    <w:rsid w:val="00400CBE"/>
    <w:rsid w:val="004013AC"/>
    <w:rsid w:val="00401D2A"/>
    <w:rsid w:val="0040251F"/>
    <w:rsid w:val="00404F96"/>
    <w:rsid w:val="004050AA"/>
    <w:rsid w:val="004078C0"/>
    <w:rsid w:val="004104CC"/>
    <w:rsid w:val="0041224B"/>
    <w:rsid w:val="00413DD0"/>
    <w:rsid w:val="0042004B"/>
    <w:rsid w:val="00423A9D"/>
    <w:rsid w:val="00423D0A"/>
    <w:rsid w:val="00424EA7"/>
    <w:rsid w:val="00425611"/>
    <w:rsid w:val="00425C60"/>
    <w:rsid w:val="00427D5C"/>
    <w:rsid w:val="00431016"/>
    <w:rsid w:val="004313F2"/>
    <w:rsid w:val="004320A5"/>
    <w:rsid w:val="004345F1"/>
    <w:rsid w:val="004367EE"/>
    <w:rsid w:val="004377A2"/>
    <w:rsid w:val="004417CA"/>
    <w:rsid w:val="00441C13"/>
    <w:rsid w:val="00442719"/>
    <w:rsid w:val="004429DF"/>
    <w:rsid w:val="0044316D"/>
    <w:rsid w:val="00444E16"/>
    <w:rsid w:val="00446482"/>
    <w:rsid w:val="00447E90"/>
    <w:rsid w:val="0045097B"/>
    <w:rsid w:val="00452862"/>
    <w:rsid w:val="004536F3"/>
    <w:rsid w:val="00453D88"/>
    <w:rsid w:val="00454DE1"/>
    <w:rsid w:val="004600C2"/>
    <w:rsid w:val="00462258"/>
    <w:rsid w:val="00462A16"/>
    <w:rsid w:val="004638EE"/>
    <w:rsid w:val="00464C03"/>
    <w:rsid w:val="00464F26"/>
    <w:rsid w:val="004659D1"/>
    <w:rsid w:val="00466907"/>
    <w:rsid w:val="00467ACF"/>
    <w:rsid w:val="00467C7D"/>
    <w:rsid w:val="00472351"/>
    <w:rsid w:val="00472745"/>
    <w:rsid w:val="004737E2"/>
    <w:rsid w:val="004738C4"/>
    <w:rsid w:val="00474BDE"/>
    <w:rsid w:val="00476C9E"/>
    <w:rsid w:val="00482A40"/>
    <w:rsid w:val="004854FB"/>
    <w:rsid w:val="00485AF0"/>
    <w:rsid w:val="004870F3"/>
    <w:rsid w:val="004904C6"/>
    <w:rsid w:val="00491453"/>
    <w:rsid w:val="0049321D"/>
    <w:rsid w:val="00494562"/>
    <w:rsid w:val="004957C3"/>
    <w:rsid w:val="00496FD1"/>
    <w:rsid w:val="004A0231"/>
    <w:rsid w:val="004A0866"/>
    <w:rsid w:val="004A1924"/>
    <w:rsid w:val="004A1997"/>
    <w:rsid w:val="004A1CBF"/>
    <w:rsid w:val="004A2971"/>
    <w:rsid w:val="004A2B00"/>
    <w:rsid w:val="004A2C92"/>
    <w:rsid w:val="004A389C"/>
    <w:rsid w:val="004A6223"/>
    <w:rsid w:val="004A6263"/>
    <w:rsid w:val="004B0688"/>
    <w:rsid w:val="004B0FF5"/>
    <w:rsid w:val="004B1E35"/>
    <w:rsid w:val="004B38F2"/>
    <w:rsid w:val="004B4473"/>
    <w:rsid w:val="004B57E7"/>
    <w:rsid w:val="004B5C4D"/>
    <w:rsid w:val="004C11D3"/>
    <w:rsid w:val="004C1910"/>
    <w:rsid w:val="004C2D93"/>
    <w:rsid w:val="004C3F61"/>
    <w:rsid w:val="004C427A"/>
    <w:rsid w:val="004C441B"/>
    <w:rsid w:val="004D158E"/>
    <w:rsid w:val="004D1B9F"/>
    <w:rsid w:val="004D2DFC"/>
    <w:rsid w:val="004D2EF6"/>
    <w:rsid w:val="004D5219"/>
    <w:rsid w:val="004D5558"/>
    <w:rsid w:val="004D5FA2"/>
    <w:rsid w:val="004D6808"/>
    <w:rsid w:val="004D70B4"/>
    <w:rsid w:val="004E0667"/>
    <w:rsid w:val="004E1D4F"/>
    <w:rsid w:val="004E2A86"/>
    <w:rsid w:val="004E31A3"/>
    <w:rsid w:val="004E34F1"/>
    <w:rsid w:val="004E4D53"/>
    <w:rsid w:val="004E6330"/>
    <w:rsid w:val="004E6F38"/>
    <w:rsid w:val="004F6E4D"/>
    <w:rsid w:val="00501C35"/>
    <w:rsid w:val="00502A75"/>
    <w:rsid w:val="005035B1"/>
    <w:rsid w:val="005039EA"/>
    <w:rsid w:val="005045A6"/>
    <w:rsid w:val="005061B6"/>
    <w:rsid w:val="005068C0"/>
    <w:rsid w:val="0050691F"/>
    <w:rsid w:val="00506F55"/>
    <w:rsid w:val="005101C3"/>
    <w:rsid w:val="00513C07"/>
    <w:rsid w:val="00514D19"/>
    <w:rsid w:val="00515622"/>
    <w:rsid w:val="00516A65"/>
    <w:rsid w:val="005229CC"/>
    <w:rsid w:val="00523A2A"/>
    <w:rsid w:val="00524059"/>
    <w:rsid w:val="00525393"/>
    <w:rsid w:val="0053073E"/>
    <w:rsid w:val="0053205F"/>
    <w:rsid w:val="00532A99"/>
    <w:rsid w:val="0053372F"/>
    <w:rsid w:val="0053563F"/>
    <w:rsid w:val="00535EF8"/>
    <w:rsid w:val="0054027D"/>
    <w:rsid w:val="0054076E"/>
    <w:rsid w:val="005432AB"/>
    <w:rsid w:val="0054413B"/>
    <w:rsid w:val="005450B6"/>
    <w:rsid w:val="00547CDE"/>
    <w:rsid w:val="00553A3C"/>
    <w:rsid w:val="0055418E"/>
    <w:rsid w:val="00557240"/>
    <w:rsid w:val="005623EF"/>
    <w:rsid w:val="00563A9A"/>
    <w:rsid w:val="00572F2E"/>
    <w:rsid w:val="00573CBA"/>
    <w:rsid w:val="0057401F"/>
    <w:rsid w:val="00574B34"/>
    <w:rsid w:val="00574EED"/>
    <w:rsid w:val="00576EB7"/>
    <w:rsid w:val="00577B9E"/>
    <w:rsid w:val="00581839"/>
    <w:rsid w:val="0058292F"/>
    <w:rsid w:val="00582BF8"/>
    <w:rsid w:val="005841DC"/>
    <w:rsid w:val="00585D92"/>
    <w:rsid w:val="00587CB3"/>
    <w:rsid w:val="00587D8F"/>
    <w:rsid w:val="0059086F"/>
    <w:rsid w:val="0059222C"/>
    <w:rsid w:val="00592464"/>
    <w:rsid w:val="00593A1F"/>
    <w:rsid w:val="005943C0"/>
    <w:rsid w:val="00594809"/>
    <w:rsid w:val="00594BB6"/>
    <w:rsid w:val="0059617D"/>
    <w:rsid w:val="00596762"/>
    <w:rsid w:val="00596C42"/>
    <w:rsid w:val="00597605"/>
    <w:rsid w:val="005A091C"/>
    <w:rsid w:val="005A45F4"/>
    <w:rsid w:val="005A47DC"/>
    <w:rsid w:val="005A4B24"/>
    <w:rsid w:val="005A4F95"/>
    <w:rsid w:val="005B2CF3"/>
    <w:rsid w:val="005B3F4A"/>
    <w:rsid w:val="005B51AB"/>
    <w:rsid w:val="005C17CB"/>
    <w:rsid w:val="005C677F"/>
    <w:rsid w:val="005D3EDF"/>
    <w:rsid w:val="005D50C3"/>
    <w:rsid w:val="005D54CA"/>
    <w:rsid w:val="005D71D6"/>
    <w:rsid w:val="005E1863"/>
    <w:rsid w:val="005E2293"/>
    <w:rsid w:val="005E5E1C"/>
    <w:rsid w:val="005E7B7E"/>
    <w:rsid w:val="005F02B2"/>
    <w:rsid w:val="005F0512"/>
    <w:rsid w:val="005F0644"/>
    <w:rsid w:val="005F2C1B"/>
    <w:rsid w:val="005F2E77"/>
    <w:rsid w:val="005F3357"/>
    <w:rsid w:val="00601645"/>
    <w:rsid w:val="0060352D"/>
    <w:rsid w:val="00603BA5"/>
    <w:rsid w:val="00604003"/>
    <w:rsid w:val="006056F5"/>
    <w:rsid w:val="00605739"/>
    <w:rsid w:val="00610233"/>
    <w:rsid w:val="00611B0A"/>
    <w:rsid w:val="00612BA7"/>
    <w:rsid w:val="0061348D"/>
    <w:rsid w:val="006135A3"/>
    <w:rsid w:val="00613BAF"/>
    <w:rsid w:val="006146F2"/>
    <w:rsid w:val="006209E8"/>
    <w:rsid w:val="00622492"/>
    <w:rsid w:val="0062323A"/>
    <w:rsid w:val="0062440F"/>
    <w:rsid w:val="0062461E"/>
    <w:rsid w:val="00624D3F"/>
    <w:rsid w:val="00625ADE"/>
    <w:rsid w:val="00630BA7"/>
    <w:rsid w:val="00634699"/>
    <w:rsid w:val="00634BB3"/>
    <w:rsid w:val="00634EC6"/>
    <w:rsid w:val="00635366"/>
    <w:rsid w:val="00636157"/>
    <w:rsid w:val="0063726E"/>
    <w:rsid w:val="006374F4"/>
    <w:rsid w:val="00637515"/>
    <w:rsid w:val="00637752"/>
    <w:rsid w:val="006379F4"/>
    <w:rsid w:val="0064037D"/>
    <w:rsid w:val="00641922"/>
    <w:rsid w:val="00642398"/>
    <w:rsid w:val="006437E4"/>
    <w:rsid w:val="006449F6"/>
    <w:rsid w:val="006467B6"/>
    <w:rsid w:val="00646DA6"/>
    <w:rsid w:val="00646DDF"/>
    <w:rsid w:val="00653159"/>
    <w:rsid w:val="00654DD7"/>
    <w:rsid w:val="006553AB"/>
    <w:rsid w:val="00656D3D"/>
    <w:rsid w:val="006602E1"/>
    <w:rsid w:val="00660D13"/>
    <w:rsid w:val="00660D55"/>
    <w:rsid w:val="00662574"/>
    <w:rsid w:val="00663CC2"/>
    <w:rsid w:val="0066541F"/>
    <w:rsid w:val="006709EC"/>
    <w:rsid w:val="00670DE6"/>
    <w:rsid w:val="00673390"/>
    <w:rsid w:val="00675538"/>
    <w:rsid w:val="0067637E"/>
    <w:rsid w:val="0067650F"/>
    <w:rsid w:val="006776E7"/>
    <w:rsid w:val="0068011E"/>
    <w:rsid w:val="006807C0"/>
    <w:rsid w:val="006829BD"/>
    <w:rsid w:val="00686B71"/>
    <w:rsid w:val="00686C48"/>
    <w:rsid w:val="00686CF1"/>
    <w:rsid w:val="006916AF"/>
    <w:rsid w:val="006927EB"/>
    <w:rsid w:val="00693D67"/>
    <w:rsid w:val="00694B3F"/>
    <w:rsid w:val="006A1014"/>
    <w:rsid w:val="006A1D00"/>
    <w:rsid w:val="006A23A1"/>
    <w:rsid w:val="006A3F40"/>
    <w:rsid w:val="006A4D9C"/>
    <w:rsid w:val="006A6C79"/>
    <w:rsid w:val="006A7345"/>
    <w:rsid w:val="006A742A"/>
    <w:rsid w:val="006A7F8E"/>
    <w:rsid w:val="006B0198"/>
    <w:rsid w:val="006B4185"/>
    <w:rsid w:val="006B54E8"/>
    <w:rsid w:val="006B5A75"/>
    <w:rsid w:val="006B5DF4"/>
    <w:rsid w:val="006B62AD"/>
    <w:rsid w:val="006B6764"/>
    <w:rsid w:val="006B6C95"/>
    <w:rsid w:val="006B6F8A"/>
    <w:rsid w:val="006C1A7D"/>
    <w:rsid w:val="006C204F"/>
    <w:rsid w:val="006C3B54"/>
    <w:rsid w:val="006C489C"/>
    <w:rsid w:val="006C4A05"/>
    <w:rsid w:val="006C6BA4"/>
    <w:rsid w:val="006C7B09"/>
    <w:rsid w:val="006C7D3F"/>
    <w:rsid w:val="006D06BF"/>
    <w:rsid w:val="006D1A01"/>
    <w:rsid w:val="006D1BA9"/>
    <w:rsid w:val="006D1E2C"/>
    <w:rsid w:val="006D54BE"/>
    <w:rsid w:val="006D57AD"/>
    <w:rsid w:val="006D604A"/>
    <w:rsid w:val="006E2F50"/>
    <w:rsid w:val="006E3F5D"/>
    <w:rsid w:val="006E528C"/>
    <w:rsid w:val="006F3B7B"/>
    <w:rsid w:val="006F4930"/>
    <w:rsid w:val="006F7156"/>
    <w:rsid w:val="006F7D1F"/>
    <w:rsid w:val="006F7EAF"/>
    <w:rsid w:val="00701C40"/>
    <w:rsid w:val="00701EFD"/>
    <w:rsid w:val="00702067"/>
    <w:rsid w:val="00702FA4"/>
    <w:rsid w:val="00703EC7"/>
    <w:rsid w:val="0070440C"/>
    <w:rsid w:val="00707373"/>
    <w:rsid w:val="007076B6"/>
    <w:rsid w:val="00710CA8"/>
    <w:rsid w:val="00711FFE"/>
    <w:rsid w:val="0071227D"/>
    <w:rsid w:val="00713051"/>
    <w:rsid w:val="0071334C"/>
    <w:rsid w:val="00713A1B"/>
    <w:rsid w:val="00713D1E"/>
    <w:rsid w:val="00714EE5"/>
    <w:rsid w:val="0071594B"/>
    <w:rsid w:val="007166DF"/>
    <w:rsid w:val="00717501"/>
    <w:rsid w:val="00721A27"/>
    <w:rsid w:val="0072288B"/>
    <w:rsid w:val="007237A4"/>
    <w:rsid w:val="007244E3"/>
    <w:rsid w:val="00727460"/>
    <w:rsid w:val="00727B17"/>
    <w:rsid w:val="00727DE7"/>
    <w:rsid w:val="00732D43"/>
    <w:rsid w:val="00733777"/>
    <w:rsid w:val="0073394A"/>
    <w:rsid w:val="007345D8"/>
    <w:rsid w:val="007346AD"/>
    <w:rsid w:val="0073512F"/>
    <w:rsid w:val="00737063"/>
    <w:rsid w:val="00743106"/>
    <w:rsid w:val="00744425"/>
    <w:rsid w:val="007446B3"/>
    <w:rsid w:val="00747D56"/>
    <w:rsid w:val="0075103E"/>
    <w:rsid w:val="00751066"/>
    <w:rsid w:val="00752E0F"/>
    <w:rsid w:val="00755C1B"/>
    <w:rsid w:val="0075664E"/>
    <w:rsid w:val="0075674B"/>
    <w:rsid w:val="00757F61"/>
    <w:rsid w:val="007610CE"/>
    <w:rsid w:val="00762D60"/>
    <w:rsid w:val="007635C4"/>
    <w:rsid w:val="007635D2"/>
    <w:rsid w:val="00763BDF"/>
    <w:rsid w:val="00765C2C"/>
    <w:rsid w:val="007714CB"/>
    <w:rsid w:val="00772E1C"/>
    <w:rsid w:val="00773B94"/>
    <w:rsid w:val="0077532D"/>
    <w:rsid w:val="00776079"/>
    <w:rsid w:val="0077782E"/>
    <w:rsid w:val="00782699"/>
    <w:rsid w:val="0078284C"/>
    <w:rsid w:val="00782B67"/>
    <w:rsid w:val="007855AB"/>
    <w:rsid w:val="00785ABA"/>
    <w:rsid w:val="00785DA9"/>
    <w:rsid w:val="007875F3"/>
    <w:rsid w:val="00787BEA"/>
    <w:rsid w:val="00790851"/>
    <w:rsid w:val="007938D2"/>
    <w:rsid w:val="007943AC"/>
    <w:rsid w:val="00794859"/>
    <w:rsid w:val="00796254"/>
    <w:rsid w:val="007A25CA"/>
    <w:rsid w:val="007A274E"/>
    <w:rsid w:val="007A3205"/>
    <w:rsid w:val="007A3450"/>
    <w:rsid w:val="007A6980"/>
    <w:rsid w:val="007B0CBA"/>
    <w:rsid w:val="007B24D7"/>
    <w:rsid w:val="007B2504"/>
    <w:rsid w:val="007B2D48"/>
    <w:rsid w:val="007B32D8"/>
    <w:rsid w:val="007B4F71"/>
    <w:rsid w:val="007B6C5A"/>
    <w:rsid w:val="007C07F5"/>
    <w:rsid w:val="007C139C"/>
    <w:rsid w:val="007C3DC3"/>
    <w:rsid w:val="007C4025"/>
    <w:rsid w:val="007C6B10"/>
    <w:rsid w:val="007C6EBC"/>
    <w:rsid w:val="007C7D1F"/>
    <w:rsid w:val="007C7EE7"/>
    <w:rsid w:val="007D0021"/>
    <w:rsid w:val="007D0362"/>
    <w:rsid w:val="007D069D"/>
    <w:rsid w:val="007D08CB"/>
    <w:rsid w:val="007D19E6"/>
    <w:rsid w:val="007D2545"/>
    <w:rsid w:val="007D2C53"/>
    <w:rsid w:val="007D2D72"/>
    <w:rsid w:val="007D3961"/>
    <w:rsid w:val="007D3E0B"/>
    <w:rsid w:val="007D5E13"/>
    <w:rsid w:val="007D6635"/>
    <w:rsid w:val="007E0746"/>
    <w:rsid w:val="007E1C75"/>
    <w:rsid w:val="007E1DC5"/>
    <w:rsid w:val="007E4F17"/>
    <w:rsid w:val="007E54C2"/>
    <w:rsid w:val="007F0290"/>
    <w:rsid w:val="007F10E6"/>
    <w:rsid w:val="007F19E1"/>
    <w:rsid w:val="007F2710"/>
    <w:rsid w:val="007F473A"/>
    <w:rsid w:val="007F6898"/>
    <w:rsid w:val="007F6A39"/>
    <w:rsid w:val="007F6EDB"/>
    <w:rsid w:val="008004F3"/>
    <w:rsid w:val="00800CF9"/>
    <w:rsid w:val="00801645"/>
    <w:rsid w:val="00802361"/>
    <w:rsid w:val="0080275D"/>
    <w:rsid w:val="008032F5"/>
    <w:rsid w:val="008034D6"/>
    <w:rsid w:val="00804D84"/>
    <w:rsid w:val="00805172"/>
    <w:rsid w:val="00806866"/>
    <w:rsid w:val="0081127A"/>
    <w:rsid w:val="0081293B"/>
    <w:rsid w:val="00813679"/>
    <w:rsid w:val="008137F5"/>
    <w:rsid w:val="00814459"/>
    <w:rsid w:val="008145ED"/>
    <w:rsid w:val="008159C1"/>
    <w:rsid w:val="00820239"/>
    <w:rsid w:val="00820B1C"/>
    <w:rsid w:val="00822442"/>
    <w:rsid w:val="00826D63"/>
    <w:rsid w:val="00827E61"/>
    <w:rsid w:val="0083005B"/>
    <w:rsid w:val="00830AF9"/>
    <w:rsid w:val="008312CF"/>
    <w:rsid w:val="0083368D"/>
    <w:rsid w:val="00833B99"/>
    <w:rsid w:val="008341E1"/>
    <w:rsid w:val="008351A8"/>
    <w:rsid w:val="00835720"/>
    <w:rsid w:val="008360EF"/>
    <w:rsid w:val="00836E1F"/>
    <w:rsid w:val="00841471"/>
    <w:rsid w:val="008416CC"/>
    <w:rsid w:val="00841DCA"/>
    <w:rsid w:val="0084356B"/>
    <w:rsid w:val="00843BF3"/>
    <w:rsid w:val="008440C7"/>
    <w:rsid w:val="00844D9B"/>
    <w:rsid w:val="00845310"/>
    <w:rsid w:val="0084626F"/>
    <w:rsid w:val="00852F17"/>
    <w:rsid w:val="00853D3B"/>
    <w:rsid w:val="00856A17"/>
    <w:rsid w:val="00862BB8"/>
    <w:rsid w:val="008640C9"/>
    <w:rsid w:val="008705F8"/>
    <w:rsid w:val="00870B3D"/>
    <w:rsid w:val="008714F7"/>
    <w:rsid w:val="00872B02"/>
    <w:rsid w:val="00874297"/>
    <w:rsid w:val="00876B58"/>
    <w:rsid w:val="00877B48"/>
    <w:rsid w:val="00881A70"/>
    <w:rsid w:val="0088324F"/>
    <w:rsid w:val="0088459D"/>
    <w:rsid w:val="0088560D"/>
    <w:rsid w:val="00885FF9"/>
    <w:rsid w:val="0088604E"/>
    <w:rsid w:val="0088766A"/>
    <w:rsid w:val="00891AED"/>
    <w:rsid w:val="00891D67"/>
    <w:rsid w:val="008921DB"/>
    <w:rsid w:val="00893B78"/>
    <w:rsid w:val="0089515C"/>
    <w:rsid w:val="0089711E"/>
    <w:rsid w:val="00897AAD"/>
    <w:rsid w:val="008A02DF"/>
    <w:rsid w:val="008A073E"/>
    <w:rsid w:val="008A42BA"/>
    <w:rsid w:val="008A4FCF"/>
    <w:rsid w:val="008A5981"/>
    <w:rsid w:val="008B054C"/>
    <w:rsid w:val="008B3F85"/>
    <w:rsid w:val="008B5A61"/>
    <w:rsid w:val="008B5F85"/>
    <w:rsid w:val="008C1703"/>
    <w:rsid w:val="008C1DBD"/>
    <w:rsid w:val="008C2096"/>
    <w:rsid w:val="008C4C2D"/>
    <w:rsid w:val="008C561B"/>
    <w:rsid w:val="008C66F8"/>
    <w:rsid w:val="008C6ACF"/>
    <w:rsid w:val="008C7D6D"/>
    <w:rsid w:val="008D0408"/>
    <w:rsid w:val="008D078C"/>
    <w:rsid w:val="008D0C28"/>
    <w:rsid w:val="008D14B6"/>
    <w:rsid w:val="008D155E"/>
    <w:rsid w:val="008D2634"/>
    <w:rsid w:val="008D33A9"/>
    <w:rsid w:val="008D3CAA"/>
    <w:rsid w:val="008D45EA"/>
    <w:rsid w:val="008D4DD4"/>
    <w:rsid w:val="008D521C"/>
    <w:rsid w:val="008D6CCE"/>
    <w:rsid w:val="008E02FF"/>
    <w:rsid w:val="008E18CB"/>
    <w:rsid w:val="008E2BCE"/>
    <w:rsid w:val="008E49E5"/>
    <w:rsid w:val="008E7315"/>
    <w:rsid w:val="008F1693"/>
    <w:rsid w:val="008F1ED0"/>
    <w:rsid w:val="008F1F5E"/>
    <w:rsid w:val="008F27E1"/>
    <w:rsid w:val="008F34FE"/>
    <w:rsid w:val="008F430B"/>
    <w:rsid w:val="008F4FB2"/>
    <w:rsid w:val="008F7A5C"/>
    <w:rsid w:val="008F7C1B"/>
    <w:rsid w:val="009016BB"/>
    <w:rsid w:val="009023E2"/>
    <w:rsid w:val="00902AF8"/>
    <w:rsid w:val="009044AC"/>
    <w:rsid w:val="0090556A"/>
    <w:rsid w:val="0090572F"/>
    <w:rsid w:val="009063AB"/>
    <w:rsid w:val="009122E9"/>
    <w:rsid w:val="009132C9"/>
    <w:rsid w:val="0091460F"/>
    <w:rsid w:val="009154C2"/>
    <w:rsid w:val="00916BFD"/>
    <w:rsid w:val="00920D31"/>
    <w:rsid w:val="00921361"/>
    <w:rsid w:val="00922FDA"/>
    <w:rsid w:val="009234A0"/>
    <w:rsid w:val="00924C8F"/>
    <w:rsid w:val="009250E9"/>
    <w:rsid w:val="0092531E"/>
    <w:rsid w:val="00926C4B"/>
    <w:rsid w:val="0092799D"/>
    <w:rsid w:val="0093162F"/>
    <w:rsid w:val="00933F8A"/>
    <w:rsid w:val="00935812"/>
    <w:rsid w:val="00936B34"/>
    <w:rsid w:val="0093729D"/>
    <w:rsid w:val="00942893"/>
    <w:rsid w:val="00943572"/>
    <w:rsid w:val="009450DF"/>
    <w:rsid w:val="00951446"/>
    <w:rsid w:val="00952832"/>
    <w:rsid w:val="0095363C"/>
    <w:rsid w:val="00953DB6"/>
    <w:rsid w:val="00954351"/>
    <w:rsid w:val="00954BFE"/>
    <w:rsid w:val="00955D5D"/>
    <w:rsid w:val="0095672D"/>
    <w:rsid w:val="00957111"/>
    <w:rsid w:val="00957682"/>
    <w:rsid w:val="00960386"/>
    <w:rsid w:val="009615BA"/>
    <w:rsid w:val="00961F8E"/>
    <w:rsid w:val="0096322D"/>
    <w:rsid w:val="0096370B"/>
    <w:rsid w:val="00964CAB"/>
    <w:rsid w:val="0096715D"/>
    <w:rsid w:val="00967778"/>
    <w:rsid w:val="00967CB3"/>
    <w:rsid w:val="00971F77"/>
    <w:rsid w:val="00975D50"/>
    <w:rsid w:val="009763F2"/>
    <w:rsid w:val="009808AF"/>
    <w:rsid w:val="00980E15"/>
    <w:rsid w:val="009816E0"/>
    <w:rsid w:val="009818BE"/>
    <w:rsid w:val="00981F08"/>
    <w:rsid w:val="00982699"/>
    <w:rsid w:val="00982B92"/>
    <w:rsid w:val="00984409"/>
    <w:rsid w:val="00985FCB"/>
    <w:rsid w:val="00987B0A"/>
    <w:rsid w:val="00987C79"/>
    <w:rsid w:val="00992FC8"/>
    <w:rsid w:val="00993B26"/>
    <w:rsid w:val="0099633B"/>
    <w:rsid w:val="009A0C0B"/>
    <w:rsid w:val="009A15A9"/>
    <w:rsid w:val="009A15B9"/>
    <w:rsid w:val="009A2E64"/>
    <w:rsid w:val="009A342E"/>
    <w:rsid w:val="009A6174"/>
    <w:rsid w:val="009B0795"/>
    <w:rsid w:val="009B2080"/>
    <w:rsid w:val="009B4289"/>
    <w:rsid w:val="009B50F5"/>
    <w:rsid w:val="009B5181"/>
    <w:rsid w:val="009B5594"/>
    <w:rsid w:val="009B67D6"/>
    <w:rsid w:val="009B6FB6"/>
    <w:rsid w:val="009B777B"/>
    <w:rsid w:val="009C3A04"/>
    <w:rsid w:val="009C4166"/>
    <w:rsid w:val="009C57A4"/>
    <w:rsid w:val="009C5A24"/>
    <w:rsid w:val="009C6692"/>
    <w:rsid w:val="009D3C31"/>
    <w:rsid w:val="009D45D3"/>
    <w:rsid w:val="009D4E1A"/>
    <w:rsid w:val="009D67D2"/>
    <w:rsid w:val="009D79A1"/>
    <w:rsid w:val="009E1A96"/>
    <w:rsid w:val="009E2532"/>
    <w:rsid w:val="009E2EF7"/>
    <w:rsid w:val="009E3D12"/>
    <w:rsid w:val="009E6277"/>
    <w:rsid w:val="009E7395"/>
    <w:rsid w:val="009E787E"/>
    <w:rsid w:val="009F161A"/>
    <w:rsid w:val="009F3332"/>
    <w:rsid w:val="009F40AB"/>
    <w:rsid w:val="009F4226"/>
    <w:rsid w:val="009F4A18"/>
    <w:rsid w:val="009F51E7"/>
    <w:rsid w:val="009F556A"/>
    <w:rsid w:val="009F60BC"/>
    <w:rsid w:val="00A0054A"/>
    <w:rsid w:val="00A039E9"/>
    <w:rsid w:val="00A04667"/>
    <w:rsid w:val="00A05E6A"/>
    <w:rsid w:val="00A066C5"/>
    <w:rsid w:val="00A07605"/>
    <w:rsid w:val="00A07C2C"/>
    <w:rsid w:val="00A10C3C"/>
    <w:rsid w:val="00A1539C"/>
    <w:rsid w:val="00A21FA5"/>
    <w:rsid w:val="00A2224B"/>
    <w:rsid w:val="00A22C88"/>
    <w:rsid w:val="00A23543"/>
    <w:rsid w:val="00A25614"/>
    <w:rsid w:val="00A26AED"/>
    <w:rsid w:val="00A30488"/>
    <w:rsid w:val="00A305EC"/>
    <w:rsid w:val="00A3135C"/>
    <w:rsid w:val="00A317E1"/>
    <w:rsid w:val="00A3283B"/>
    <w:rsid w:val="00A340FE"/>
    <w:rsid w:val="00A3464D"/>
    <w:rsid w:val="00A346D2"/>
    <w:rsid w:val="00A34B74"/>
    <w:rsid w:val="00A352B7"/>
    <w:rsid w:val="00A357F0"/>
    <w:rsid w:val="00A4016E"/>
    <w:rsid w:val="00A4049F"/>
    <w:rsid w:val="00A40CC4"/>
    <w:rsid w:val="00A41DFD"/>
    <w:rsid w:val="00A4556A"/>
    <w:rsid w:val="00A47026"/>
    <w:rsid w:val="00A5033C"/>
    <w:rsid w:val="00A51EB6"/>
    <w:rsid w:val="00A538A0"/>
    <w:rsid w:val="00A54A63"/>
    <w:rsid w:val="00A56B66"/>
    <w:rsid w:val="00A56DF1"/>
    <w:rsid w:val="00A6019E"/>
    <w:rsid w:val="00A6075D"/>
    <w:rsid w:val="00A61138"/>
    <w:rsid w:val="00A61BBD"/>
    <w:rsid w:val="00A61C13"/>
    <w:rsid w:val="00A624EA"/>
    <w:rsid w:val="00A627EC"/>
    <w:rsid w:val="00A635DA"/>
    <w:rsid w:val="00A63F00"/>
    <w:rsid w:val="00A648A2"/>
    <w:rsid w:val="00A64D07"/>
    <w:rsid w:val="00A65E9B"/>
    <w:rsid w:val="00A66D36"/>
    <w:rsid w:val="00A67AE7"/>
    <w:rsid w:val="00A7057D"/>
    <w:rsid w:val="00A73BE6"/>
    <w:rsid w:val="00A75B08"/>
    <w:rsid w:val="00A75D77"/>
    <w:rsid w:val="00A76003"/>
    <w:rsid w:val="00A7689E"/>
    <w:rsid w:val="00A81442"/>
    <w:rsid w:val="00A81468"/>
    <w:rsid w:val="00A82146"/>
    <w:rsid w:val="00A82760"/>
    <w:rsid w:val="00A8287C"/>
    <w:rsid w:val="00A839EB"/>
    <w:rsid w:val="00A84A03"/>
    <w:rsid w:val="00A8574D"/>
    <w:rsid w:val="00A85A44"/>
    <w:rsid w:val="00A864B1"/>
    <w:rsid w:val="00A900C6"/>
    <w:rsid w:val="00A904AB"/>
    <w:rsid w:val="00A908EB"/>
    <w:rsid w:val="00A90DA3"/>
    <w:rsid w:val="00A90DBA"/>
    <w:rsid w:val="00A92BE2"/>
    <w:rsid w:val="00A92EE3"/>
    <w:rsid w:val="00A92FF7"/>
    <w:rsid w:val="00A93DA5"/>
    <w:rsid w:val="00A947FE"/>
    <w:rsid w:val="00A94902"/>
    <w:rsid w:val="00A952F7"/>
    <w:rsid w:val="00A95661"/>
    <w:rsid w:val="00A9613C"/>
    <w:rsid w:val="00AA08AD"/>
    <w:rsid w:val="00AA16E9"/>
    <w:rsid w:val="00AA30E1"/>
    <w:rsid w:val="00AA4347"/>
    <w:rsid w:val="00AA539E"/>
    <w:rsid w:val="00AA7CF3"/>
    <w:rsid w:val="00AB0A4A"/>
    <w:rsid w:val="00AB3607"/>
    <w:rsid w:val="00AB3821"/>
    <w:rsid w:val="00AB5BAE"/>
    <w:rsid w:val="00AB69FF"/>
    <w:rsid w:val="00AB78F1"/>
    <w:rsid w:val="00AB7DC6"/>
    <w:rsid w:val="00AC00F6"/>
    <w:rsid w:val="00AC1B78"/>
    <w:rsid w:val="00AC2538"/>
    <w:rsid w:val="00AC2BF9"/>
    <w:rsid w:val="00AC2C00"/>
    <w:rsid w:val="00AC3C97"/>
    <w:rsid w:val="00AC4072"/>
    <w:rsid w:val="00AC650C"/>
    <w:rsid w:val="00AC7EF4"/>
    <w:rsid w:val="00AD027B"/>
    <w:rsid w:val="00AD02CF"/>
    <w:rsid w:val="00AD2BC6"/>
    <w:rsid w:val="00AD37F7"/>
    <w:rsid w:val="00AD43F8"/>
    <w:rsid w:val="00AD560C"/>
    <w:rsid w:val="00AD57FF"/>
    <w:rsid w:val="00AD74E2"/>
    <w:rsid w:val="00AE155F"/>
    <w:rsid w:val="00AE17C7"/>
    <w:rsid w:val="00AE2F10"/>
    <w:rsid w:val="00AE3603"/>
    <w:rsid w:val="00AE368C"/>
    <w:rsid w:val="00AE5A07"/>
    <w:rsid w:val="00AE7380"/>
    <w:rsid w:val="00AF3455"/>
    <w:rsid w:val="00AF4876"/>
    <w:rsid w:val="00AF4CE9"/>
    <w:rsid w:val="00AF5A78"/>
    <w:rsid w:val="00B01B07"/>
    <w:rsid w:val="00B06858"/>
    <w:rsid w:val="00B10041"/>
    <w:rsid w:val="00B11FC6"/>
    <w:rsid w:val="00B12454"/>
    <w:rsid w:val="00B12D9E"/>
    <w:rsid w:val="00B13BF0"/>
    <w:rsid w:val="00B14AA6"/>
    <w:rsid w:val="00B14BF9"/>
    <w:rsid w:val="00B158C7"/>
    <w:rsid w:val="00B20425"/>
    <w:rsid w:val="00B20716"/>
    <w:rsid w:val="00B2071F"/>
    <w:rsid w:val="00B20A1B"/>
    <w:rsid w:val="00B215AB"/>
    <w:rsid w:val="00B216A7"/>
    <w:rsid w:val="00B21B19"/>
    <w:rsid w:val="00B241DB"/>
    <w:rsid w:val="00B244E6"/>
    <w:rsid w:val="00B25800"/>
    <w:rsid w:val="00B25F2D"/>
    <w:rsid w:val="00B26A2A"/>
    <w:rsid w:val="00B30059"/>
    <w:rsid w:val="00B3010A"/>
    <w:rsid w:val="00B305EE"/>
    <w:rsid w:val="00B30F5C"/>
    <w:rsid w:val="00B331BB"/>
    <w:rsid w:val="00B339A7"/>
    <w:rsid w:val="00B33DD5"/>
    <w:rsid w:val="00B37017"/>
    <w:rsid w:val="00B37BFD"/>
    <w:rsid w:val="00B4050C"/>
    <w:rsid w:val="00B42013"/>
    <w:rsid w:val="00B427C1"/>
    <w:rsid w:val="00B4296D"/>
    <w:rsid w:val="00B463BB"/>
    <w:rsid w:val="00B51ACA"/>
    <w:rsid w:val="00B51FDC"/>
    <w:rsid w:val="00B56F49"/>
    <w:rsid w:val="00B576C0"/>
    <w:rsid w:val="00B605CB"/>
    <w:rsid w:val="00B60BDB"/>
    <w:rsid w:val="00B60DE1"/>
    <w:rsid w:val="00B60FAE"/>
    <w:rsid w:val="00B62E48"/>
    <w:rsid w:val="00B63616"/>
    <w:rsid w:val="00B63E2E"/>
    <w:rsid w:val="00B63F56"/>
    <w:rsid w:val="00B662FC"/>
    <w:rsid w:val="00B7049A"/>
    <w:rsid w:val="00B70EF5"/>
    <w:rsid w:val="00B71A67"/>
    <w:rsid w:val="00B723FC"/>
    <w:rsid w:val="00B72C77"/>
    <w:rsid w:val="00B74BCD"/>
    <w:rsid w:val="00B76067"/>
    <w:rsid w:val="00B76121"/>
    <w:rsid w:val="00B76740"/>
    <w:rsid w:val="00B805A9"/>
    <w:rsid w:val="00B823E4"/>
    <w:rsid w:val="00B82518"/>
    <w:rsid w:val="00B82D0F"/>
    <w:rsid w:val="00B840F7"/>
    <w:rsid w:val="00B87DD5"/>
    <w:rsid w:val="00B918CD"/>
    <w:rsid w:val="00B9212B"/>
    <w:rsid w:val="00B927EB"/>
    <w:rsid w:val="00B943CB"/>
    <w:rsid w:val="00B94A87"/>
    <w:rsid w:val="00B9581C"/>
    <w:rsid w:val="00B964C0"/>
    <w:rsid w:val="00B96B7A"/>
    <w:rsid w:val="00BA0B3F"/>
    <w:rsid w:val="00BA0EBA"/>
    <w:rsid w:val="00BA1230"/>
    <w:rsid w:val="00BA1410"/>
    <w:rsid w:val="00BA1822"/>
    <w:rsid w:val="00BA4E94"/>
    <w:rsid w:val="00BA5E5B"/>
    <w:rsid w:val="00BA63C6"/>
    <w:rsid w:val="00BB375E"/>
    <w:rsid w:val="00BB579C"/>
    <w:rsid w:val="00BB5C2E"/>
    <w:rsid w:val="00BB7A8D"/>
    <w:rsid w:val="00BB7B9B"/>
    <w:rsid w:val="00BC0D40"/>
    <w:rsid w:val="00BC53E4"/>
    <w:rsid w:val="00BC604A"/>
    <w:rsid w:val="00BC71FF"/>
    <w:rsid w:val="00BC7394"/>
    <w:rsid w:val="00BD0078"/>
    <w:rsid w:val="00BD06AF"/>
    <w:rsid w:val="00BD2F65"/>
    <w:rsid w:val="00BD40A0"/>
    <w:rsid w:val="00BD6CE8"/>
    <w:rsid w:val="00BE252E"/>
    <w:rsid w:val="00BE26C9"/>
    <w:rsid w:val="00BE34F9"/>
    <w:rsid w:val="00BE461D"/>
    <w:rsid w:val="00BE598C"/>
    <w:rsid w:val="00BE72C8"/>
    <w:rsid w:val="00BF04DF"/>
    <w:rsid w:val="00BF1BBD"/>
    <w:rsid w:val="00BF2F15"/>
    <w:rsid w:val="00BF35FA"/>
    <w:rsid w:val="00BF4928"/>
    <w:rsid w:val="00BF5127"/>
    <w:rsid w:val="00BF58C8"/>
    <w:rsid w:val="00BF75BD"/>
    <w:rsid w:val="00BF7A89"/>
    <w:rsid w:val="00C01D9C"/>
    <w:rsid w:val="00C03DDA"/>
    <w:rsid w:val="00C05DCB"/>
    <w:rsid w:val="00C1021E"/>
    <w:rsid w:val="00C10C65"/>
    <w:rsid w:val="00C12364"/>
    <w:rsid w:val="00C13411"/>
    <w:rsid w:val="00C1549B"/>
    <w:rsid w:val="00C15735"/>
    <w:rsid w:val="00C15F45"/>
    <w:rsid w:val="00C2279A"/>
    <w:rsid w:val="00C24F23"/>
    <w:rsid w:val="00C258D9"/>
    <w:rsid w:val="00C25966"/>
    <w:rsid w:val="00C25B7A"/>
    <w:rsid w:val="00C274AA"/>
    <w:rsid w:val="00C27CB2"/>
    <w:rsid w:val="00C302BD"/>
    <w:rsid w:val="00C30F2E"/>
    <w:rsid w:val="00C3122A"/>
    <w:rsid w:val="00C315EC"/>
    <w:rsid w:val="00C32262"/>
    <w:rsid w:val="00C3254F"/>
    <w:rsid w:val="00C35265"/>
    <w:rsid w:val="00C36310"/>
    <w:rsid w:val="00C36340"/>
    <w:rsid w:val="00C36840"/>
    <w:rsid w:val="00C36DA9"/>
    <w:rsid w:val="00C37EB4"/>
    <w:rsid w:val="00C40192"/>
    <w:rsid w:val="00C4025A"/>
    <w:rsid w:val="00C40CFB"/>
    <w:rsid w:val="00C40ECB"/>
    <w:rsid w:val="00C4234F"/>
    <w:rsid w:val="00C42F3B"/>
    <w:rsid w:val="00C43CA4"/>
    <w:rsid w:val="00C43F91"/>
    <w:rsid w:val="00C4451A"/>
    <w:rsid w:val="00C4512F"/>
    <w:rsid w:val="00C45483"/>
    <w:rsid w:val="00C45816"/>
    <w:rsid w:val="00C461AD"/>
    <w:rsid w:val="00C502BE"/>
    <w:rsid w:val="00C529F5"/>
    <w:rsid w:val="00C53088"/>
    <w:rsid w:val="00C6136A"/>
    <w:rsid w:val="00C620B7"/>
    <w:rsid w:val="00C62DE5"/>
    <w:rsid w:val="00C63198"/>
    <w:rsid w:val="00C65848"/>
    <w:rsid w:val="00C67440"/>
    <w:rsid w:val="00C70032"/>
    <w:rsid w:val="00C74D92"/>
    <w:rsid w:val="00C756A4"/>
    <w:rsid w:val="00C75FFA"/>
    <w:rsid w:val="00C766E8"/>
    <w:rsid w:val="00C77268"/>
    <w:rsid w:val="00C77F24"/>
    <w:rsid w:val="00C801EE"/>
    <w:rsid w:val="00C81812"/>
    <w:rsid w:val="00C83E42"/>
    <w:rsid w:val="00C84589"/>
    <w:rsid w:val="00C9323B"/>
    <w:rsid w:val="00C94A54"/>
    <w:rsid w:val="00C9570C"/>
    <w:rsid w:val="00C95AFA"/>
    <w:rsid w:val="00C95E67"/>
    <w:rsid w:val="00C96F0E"/>
    <w:rsid w:val="00C9758C"/>
    <w:rsid w:val="00C976B4"/>
    <w:rsid w:val="00CA204D"/>
    <w:rsid w:val="00CA431A"/>
    <w:rsid w:val="00CA45A1"/>
    <w:rsid w:val="00CA4F41"/>
    <w:rsid w:val="00CA55D6"/>
    <w:rsid w:val="00CA596B"/>
    <w:rsid w:val="00CA5C48"/>
    <w:rsid w:val="00CA6827"/>
    <w:rsid w:val="00CA6C9A"/>
    <w:rsid w:val="00CA77D4"/>
    <w:rsid w:val="00CA7E7E"/>
    <w:rsid w:val="00CB0038"/>
    <w:rsid w:val="00CB0DA4"/>
    <w:rsid w:val="00CB3E05"/>
    <w:rsid w:val="00CB4B16"/>
    <w:rsid w:val="00CB4D5E"/>
    <w:rsid w:val="00CB4F35"/>
    <w:rsid w:val="00CB57A4"/>
    <w:rsid w:val="00CB5ECB"/>
    <w:rsid w:val="00CC049E"/>
    <w:rsid w:val="00CC0542"/>
    <w:rsid w:val="00CC0E8E"/>
    <w:rsid w:val="00CC1ADB"/>
    <w:rsid w:val="00CC26D1"/>
    <w:rsid w:val="00CC4C6B"/>
    <w:rsid w:val="00CC4FBC"/>
    <w:rsid w:val="00CC6CFC"/>
    <w:rsid w:val="00CC769A"/>
    <w:rsid w:val="00CC7E35"/>
    <w:rsid w:val="00CC7F52"/>
    <w:rsid w:val="00CD09BA"/>
    <w:rsid w:val="00CD0C31"/>
    <w:rsid w:val="00CD1420"/>
    <w:rsid w:val="00CD1C9A"/>
    <w:rsid w:val="00CD3792"/>
    <w:rsid w:val="00CD3C93"/>
    <w:rsid w:val="00CD46C5"/>
    <w:rsid w:val="00CD4ABC"/>
    <w:rsid w:val="00CD5224"/>
    <w:rsid w:val="00CE24E4"/>
    <w:rsid w:val="00CE35C9"/>
    <w:rsid w:val="00CE37C1"/>
    <w:rsid w:val="00CE70EB"/>
    <w:rsid w:val="00CF00CA"/>
    <w:rsid w:val="00CF0E62"/>
    <w:rsid w:val="00CF1480"/>
    <w:rsid w:val="00CF1E57"/>
    <w:rsid w:val="00CF4FD7"/>
    <w:rsid w:val="00CF5088"/>
    <w:rsid w:val="00CF5147"/>
    <w:rsid w:val="00D006AC"/>
    <w:rsid w:val="00D02E63"/>
    <w:rsid w:val="00D03530"/>
    <w:rsid w:val="00D03D8A"/>
    <w:rsid w:val="00D04030"/>
    <w:rsid w:val="00D04CC5"/>
    <w:rsid w:val="00D0731C"/>
    <w:rsid w:val="00D07E57"/>
    <w:rsid w:val="00D140D3"/>
    <w:rsid w:val="00D15D59"/>
    <w:rsid w:val="00D160A0"/>
    <w:rsid w:val="00D1703C"/>
    <w:rsid w:val="00D20619"/>
    <w:rsid w:val="00D2188E"/>
    <w:rsid w:val="00D21C52"/>
    <w:rsid w:val="00D23B20"/>
    <w:rsid w:val="00D23DD7"/>
    <w:rsid w:val="00D313E6"/>
    <w:rsid w:val="00D31EC9"/>
    <w:rsid w:val="00D36A68"/>
    <w:rsid w:val="00D41B02"/>
    <w:rsid w:val="00D42600"/>
    <w:rsid w:val="00D43288"/>
    <w:rsid w:val="00D435A1"/>
    <w:rsid w:val="00D436C1"/>
    <w:rsid w:val="00D45FC0"/>
    <w:rsid w:val="00D460CA"/>
    <w:rsid w:val="00D46CD4"/>
    <w:rsid w:val="00D511BB"/>
    <w:rsid w:val="00D5180D"/>
    <w:rsid w:val="00D51C06"/>
    <w:rsid w:val="00D53621"/>
    <w:rsid w:val="00D548DC"/>
    <w:rsid w:val="00D54D9A"/>
    <w:rsid w:val="00D55424"/>
    <w:rsid w:val="00D555E9"/>
    <w:rsid w:val="00D621BB"/>
    <w:rsid w:val="00D63D58"/>
    <w:rsid w:val="00D64888"/>
    <w:rsid w:val="00D653F1"/>
    <w:rsid w:val="00D662A3"/>
    <w:rsid w:val="00D66FAC"/>
    <w:rsid w:val="00D671F1"/>
    <w:rsid w:val="00D7137F"/>
    <w:rsid w:val="00D71C71"/>
    <w:rsid w:val="00D71CC2"/>
    <w:rsid w:val="00D72DE1"/>
    <w:rsid w:val="00D73DD8"/>
    <w:rsid w:val="00D81848"/>
    <w:rsid w:val="00D81F53"/>
    <w:rsid w:val="00D86587"/>
    <w:rsid w:val="00D87812"/>
    <w:rsid w:val="00D922BF"/>
    <w:rsid w:val="00D923EE"/>
    <w:rsid w:val="00D95D8A"/>
    <w:rsid w:val="00DA0425"/>
    <w:rsid w:val="00DA0754"/>
    <w:rsid w:val="00DA2274"/>
    <w:rsid w:val="00DA26F6"/>
    <w:rsid w:val="00DA2FFD"/>
    <w:rsid w:val="00DA417A"/>
    <w:rsid w:val="00DA5A09"/>
    <w:rsid w:val="00DA6FBE"/>
    <w:rsid w:val="00DA7988"/>
    <w:rsid w:val="00DA7B7B"/>
    <w:rsid w:val="00DA7D42"/>
    <w:rsid w:val="00DA7F8C"/>
    <w:rsid w:val="00DB42BD"/>
    <w:rsid w:val="00DB4ED1"/>
    <w:rsid w:val="00DB5763"/>
    <w:rsid w:val="00DB5F9E"/>
    <w:rsid w:val="00DB6980"/>
    <w:rsid w:val="00DC0C7E"/>
    <w:rsid w:val="00DC0EE6"/>
    <w:rsid w:val="00DC2852"/>
    <w:rsid w:val="00DC33F6"/>
    <w:rsid w:val="00DC390C"/>
    <w:rsid w:val="00DD0E68"/>
    <w:rsid w:val="00DD1D23"/>
    <w:rsid w:val="00DD2C4D"/>
    <w:rsid w:val="00DD4F82"/>
    <w:rsid w:val="00DD5E85"/>
    <w:rsid w:val="00DD6D45"/>
    <w:rsid w:val="00DD7239"/>
    <w:rsid w:val="00DE0F65"/>
    <w:rsid w:val="00DE0F96"/>
    <w:rsid w:val="00DE2ACE"/>
    <w:rsid w:val="00DE35AA"/>
    <w:rsid w:val="00DE39E2"/>
    <w:rsid w:val="00DE53F9"/>
    <w:rsid w:val="00DE71B8"/>
    <w:rsid w:val="00DF17D2"/>
    <w:rsid w:val="00DF2842"/>
    <w:rsid w:val="00DF28F8"/>
    <w:rsid w:val="00DF3112"/>
    <w:rsid w:val="00DF34DB"/>
    <w:rsid w:val="00DF4F25"/>
    <w:rsid w:val="00DF7F5C"/>
    <w:rsid w:val="00E00A54"/>
    <w:rsid w:val="00E01046"/>
    <w:rsid w:val="00E0291F"/>
    <w:rsid w:val="00E03874"/>
    <w:rsid w:val="00E0691A"/>
    <w:rsid w:val="00E07107"/>
    <w:rsid w:val="00E0719A"/>
    <w:rsid w:val="00E0769B"/>
    <w:rsid w:val="00E10C31"/>
    <w:rsid w:val="00E11813"/>
    <w:rsid w:val="00E1384F"/>
    <w:rsid w:val="00E13DE5"/>
    <w:rsid w:val="00E13F73"/>
    <w:rsid w:val="00E140E0"/>
    <w:rsid w:val="00E1410B"/>
    <w:rsid w:val="00E1553D"/>
    <w:rsid w:val="00E15FBA"/>
    <w:rsid w:val="00E20180"/>
    <w:rsid w:val="00E23861"/>
    <w:rsid w:val="00E25A8E"/>
    <w:rsid w:val="00E27005"/>
    <w:rsid w:val="00E3004D"/>
    <w:rsid w:val="00E318F3"/>
    <w:rsid w:val="00E31CA4"/>
    <w:rsid w:val="00E31ED9"/>
    <w:rsid w:val="00E32D62"/>
    <w:rsid w:val="00E339B0"/>
    <w:rsid w:val="00E36392"/>
    <w:rsid w:val="00E40DA3"/>
    <w:rsid w:val="00E42F5F"/>
    <w:rsid w:val="00E42FC7"/>
    <w:rsid w:val="00E44EF8"/>
    <w:rsid w:val="00E4501E"/>
    <w:rsid w:val="00E46D85"/>
    <w:rsid w:val="00E500A9"/>
    <w:rsid w:val="00E513FA"/>
    <w:rsid w:val="00E524CD"/>
    <w:rsid w:val="00E53CA1"/>
    <w:rsid w:val="00E55296"/>
    <w:rsid w:val="00E55BE0"/>
    <w:rsid w:val="00E55C1B"/>
    <w:rsid w:val="00E57F06"/>
    <w:rsid w:val="00E6109F"/>
    <w:rsid w:val="00E630DA"/>
    <w:rsid w:val="00E65269"/>
    <w:rsid w:val="00E66838"/>
    <w:rsid w:val="00E66EA6"/>
    <w:rsid w:val="00E676AD"/>
    <w:rsid w:val="00E67885"/>
    <w:rsid w:val="00E67983"/>
    <w:rsid w:val="00E70648"/>
    <w:rsid w:val="00E715DE"/>
    <w:rsid w:val="00E72074"/>
    <w:rsid w:val="00E7219E"/>
    <w:rsid w:val="00E73525"/>
    <w:rsid w:val="00E75F3A"/>
    <w:rsid w:val="00E76861"/>
    <w:rsid w:val="00E76B1F"/>
    <w:rsid w:val="00E76F24"/>
    <w:rsid w:val="00E822A7"/>
    <w:rsid w:val="00E8362C"/>
    <w:rsid w:val="00E83FD9"/>
    <w:rsid w:val="00E847EE"/>
    <w:rsid w:val="00E85913"/>
    <w:rsid w:val="00E915A5"/>
    <w:rsid w:val="00E9324B"/>
    <w:rsid w:val="00E95DCF"/>
    <w:rsid w:val="00E969E7"/>
    <w:rsid w:val="00EA081B"/>
    <w:rsid w:val="00EA27AA"/>
    <w:rsid w:val="00EA54BC"/>
    <w:rsid w:val="00EA6A94"/>
    <w:rsid w:val="00EB0401"/>
    <w:rsid w:val="00EB2783"/>
    <w:rsid w:val="00EB38BC"/>
    <w:rsid w:val="00EB7197"/>
    <w:rsid w:val="00EB7E03"/>
    <w:rsid w:val="00EC0B8C"/>
    <w:rsid w:val="00EC0DF8"/>
    <w:rsid w:val="00EC3A35"/>
    <w:rsid w:val="00EC56AB"/>
    <w:rsid w:val="00ED0C7C"/>
    <w:rsid w:val="00ED0FF2"/>
    <w:rsid w:val="00ED1E78"/>
    <w:rsid w:val="00ED41DD"/>
    <w:rsid w:val="00ED48D4"/>
    <w:rsid w:val="00ED4A48"/>
    <w:rsid w:val="00ED6931"/>
    <w:rsid w:val="00ED6989"/>
    <w:rsid w:val="00ED6E23"/>
    <w:rsid w:val="00EE08F1"/>
    <w:rsid w:val="00EE0964"/>
    <w:rsid w:val="00EE0F61"/>
    <w:rsid w:val="00EE489D"/>
    <w:rsid w:val="00EE7649"/>
    <w:rsid w:val="00EF0B0E"/>
    <w:rsid w:val="00EF51AE"/>
    <w:rsid w:val="00EF5604"/>
    <w:rsid w:val="00EF58AD"/>
    <w:rsid w:val="00EF5BC6"/>
    <w:rsid w:val="00EF7C9C"/>
    <w:rsid w:val="00F02578"/>
    <w:rsid w:val="00F035E9"/>
    <w:rsid w:val="00F036C3"/>
    <w:rsid w:val="00F05062"/>
    <w:rsid w:val="00F0604D"/>
    <w:rsid w:val="00F0644E"/>
    <w:rsid w:val="00F16112"/>
    <w:rsid w:val="00F1796E"/>
    <w:rsid w:val="00F20C9E"/>
    <w:rsid w:val="00F22ED8"/>
    <w:rsid w:val="00F22EF1"/>
    <w:rsid w:val="00F23100"/>
    <w:rsid w:val="00F23EC0"/>
    <w:rsid w:val="00F24BF9"/>
    <w:rsid w:val="00F2564F"/>
    <w:rsid w:val="00F2652D"/>
    <w:rsid w:val="00F266B9"/>
    <w:rsid w:val="00F30CC6"/>
    <w:rsid w:val="00F31AE0"/>
    <w:rsid w:val="00F32104"/>
    <w:rsid w:val="00F3322D"/>
    <w:rsid w:val="00F333D5"/>
    <w:rsid w:val="00F34CD2"/>
    <w:rsid w:val="00F34DB3"/>
    <w:rsid w:val="00F34EC4"/>
    <w:rsid w:val="00F37B82"/>
    <w:rsid w:val="00F4050A"/>
    <w:rsid w:val="00F40FE4"/>
    <w:rsid w:val="00F44C42"/>
    <w:rsid w:val="00F44F5C"/>
    <w:rsid w:val="00F4775F"/>
    <w:rsid w:val="00F47BCD"/>
    <w:rsid w:val="00F5198F"/>
    <w:rsid w:val="00F53560"/>
    <w:rsid w:val="00F55425"/>
    <w:rsid w:val="00F57167"/>
    <w:rsid w:val="00F5741A"/>
    <w:rsid w:val="00F61DF5"/>
    <w:rsid w:val="00F621D4"/>
    <w:rsid w:val="00F6365C"/>
    <w:rsid w:val="00F63BD0"/>
    <w:rsid w:val="00F643F5"/>
    <w:rsid w:val="00F64B54"/>
    <w:rsid w:val="00F64FB1"/>
    <w:rsid w:val="00F655E0"/>
    <w:rsid w:val="00F662AE"/>
    <w:rsid w:val="00F6768D"/>
    <w:rsid w:val="00F71C43"/>
    <w:rsid w:val="00F72839"/>
    <w:rsid w:val="00F72FA9"/>
    <w:rsid w:val="00F73060"/>
    <w:rsid w:val="00F73D1F"/>
    <w:rsid w:val="00F769B1"/>
    <w:rsid w:val="00F77AFB"/>
    <w:rsid w:val="00F81222"/>
    <w:rsid w:val="00F82BB6"/>
    <w:rsid w:val="00F86EC8"/>
    <w:rsid w:val="00F90F5F"/>
    <w:rsid w:val="00F957BB"/>
    <w:rsid w:val="00F97837"/>
    <w:rsid w:val="00FA1774"/>
    <w:rsid w:val="00FA1A75"/>
    <w:rsid w:val="00FA2F8A"/>
    <w:rsid w:val="00FA325E"/>
    <w:rsid w:val="00FA42BB"/>
    <w:rsid w:val="00FA67D1"/>
    <w:rsid w:val="00FA6C5E"/>
    <w:rsid w:val="00FB0F21"/>
    <w:rsid w:val="00FB101D"/>
    <w:rsid w:val="00FB24CD"/>
    <w:rsid w:val="00FB28A8"/>
    <w:rsid w:val="00FB2A36"/>
    <w:rsid w:val="00FB30E0"/>
    <w:rsid w:val="00FB4556"/>
    <w:rsid w:val="00FB6547"/>
    <w:rsid w:val="00FB7D59"/>
    <w:rsid w:val="00FC4D71"/>
    <w:rsid w:val="00FC6305"/>
    <w:rsid w:val="00FD2A66"/>
    <w:rsid w:val="00FD339C"/>
    <w:rsid w:val="00FD475A"/>
    <w:rsid w:val="00FD5256"/>
    <w:rsid w:val="00FD60EA"/>
    <w:rsid w:val="00FD736D"/>
    <w:rsid w:val="00FE0689"/>
    <w:rsid w:val="00FE2F5E"/>
    <w:rsid w:val="00FE5D68"/>
    <w:rsid w:val="00FE6AAA"/>
    <w:rsid w:val="00FE6F88"/>
    <w:rsid w:val="00FE73E8"/>
    <w:rsid w:val="00FF1581"/>
    <w:rsid w:val="00FF2406"/>
    <w:rsid w:val="00FF39FC"/>
    <w:rsid w:val="00FF5226"/>
    <w:rsid w:val="091D5985"/>
    <w:rsid w:val="0AE3660F"/>
    <w:rsid w:val="16283EB1"/>
    <w:rsid w:val="168B7CC2"/>
    <w:rsid w:val="1C647EFC"/>
    <w:rsid w:val="1EFC01EC"/>
    <w:rsid w:val="34295D10"/>
    <w:rsid w:val="52F400A6"/>
    <w:rsid w:val="54636521"/>
    <w:rsid w:val="59350572"/>
    <w:rsid w:val="64372579"/>
    <w:rsid w:val="67954DBA"/>
    <w:rsid w:val="7A574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40" w:lineRule="exact"/>
      <w:ind w:firstLine="20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0"/>
    <w:qFormat/>
    <w:uiPriority w:val="0"/>
    <w:pPr>
      <w:keepNext/>
      <w:keepLines/>
      <w:spacing w:beforeLines="50" w:after="100" w:afterAutospacing="1" w:line="360" w:lineRule="auto"/>
      <w:ind w:firstLine="0" w:firstLineChars="0"/>
      <w:outlineLvl w:val="1"/>
    </w:pPr>
    <w:rPr>
      <w:rFonts w:ascii="Arial" w:hAnsi="Arial" w:eastAsia="黑体"/>
      <w:bCs/>
      <w:kern w:val="0"/>
      <w:sz w:val="28"/>
      <w:szCs w:val="32"/>
    </w:rPr>
  </w:style>
  <w:style w:type="paragraph" w:styleId="4">
    <w:name w:val="heading 3"/>
    <w:basedOn w:val="1"/>
    <w:next w:val="1"/>
    <w:link w:val="51"/>
    <w:qFormat/>
    <w:uiPriority w:val="0"/>
    <w:pPr>
      <w:keepNext/>
      <w:keepLines/>
      <w:spacing w:before="100" w:beforeAutospacing="1" w:after="100" w:afterAutospacing="1" w:line="360" w:lineRule="auto"/>
      <w:ind w:firstLine="0" w:firstLineChars="0"/>
      <w:jc w:val="left"/>
      <w:outlineLvl w:val="2"/>
    </w:pPr>
    <w:rPr>
      <w:rFonts w:eastAsia="黑体"/>
      <w:bCs/>
      <w:szCs w:val="32"/>
    </w:rPr>
  </w:style>
  <w:style w:type="paragraph" w:styleId="5">
    <w:name w:val="heading 4"/>
    <w:basedOn w:val="1"/>
    <w:next w:val="1"/>
    <w:link w:val="54"/>
    <w:qFormat/>
    <w:uiPriority w:val="0"/>
    <w:pPr>
      <w:keepNext/>
      <w:keepLines/>
      <w:spacing w:before="280" w:after="290" w:line="376" w:lineRule="auto"/>
      <w:outlineLvl w:val="3"/>
    </w:pPr>
    <w:rPr>
      <w:rFonts w:ascii="Cambria" w:hAnsi="Cambria"/>
      <w:b/>
      <w:bCs/>
      <w:sz w:val="28"/>
      <w:szCs w:val="28"/>
    </w:rPr>
  </w:style>
  <w:style w:type="paragraph" w:styleId="6">
    <w:name w:val="heading 6"/>
    <w:basedOn w:val="1"/>
    <w:next w:val="1"/>
    <w:link w:val="42"/>
    <w:qFormat/>
    <w:uiPriority w:val="0"/>
    <w:pPr>
      <w:keepNext/>
      <w:keepLines/>
      <w:widowControl/>
      <w:tabs>
        <w:tab w:val="left" w:pos="1440"/>
      </w:tabs>
      <w:adjustRightInd/>
      <w:snapToGrid/>
      <w:spacing w:before="240" w:after="64" w:line="320" w:lineRule="auto"/>
      <w:ind w:left="1152" w:hanging="1152" w:firstLineChars="0"/>
      <w:jc w:val="left"/>
      <w:outlineLvl w:val="5"/>
    </w:pPr>
    <w:rPr>
      <w:rFonts w:ascii="Arial" w:hAnsi="Arial" w:eastAsia="黑体"/>
      <w:b/>
      <w:bCs/>
      <w:kern w:val="0"/>
      <w:szCs w:val="24"/>
    </w:rPr>
  </w:style>
  <w:style w:type="paragraph" w:styleId="7">
    <w:name w:val="heading 7"/>
    <w:basedOn w:val="1"/>
    <w:next w:val="1"/>
    <w:link w:val="61"/>
    <w:qFormat/>
    <w:uiPriority w:val="0"/>
    <w:pPr>
      <w:keepNext/>
      <w:keepLines/>
      <w:widowControl/>
      <w:tabs>
        <w:tab w:val="left" w:pos="2520"/>
      </w:tabs>
      <w:adjustRightInd/>
      <w:snapToGrid/>
      <w:spacing w:before="240" w:after="64" w:line="320" w:lineRule="auto"/>
      <w:ind w:left="1296" w:hanging="1296" w:firstLineChars="0"/>
      <w:jc w:val="left"/>
      <w:outlineLvl w:val="6"/>
    </w:pPr>
    <w:rPr>
      <w:b/>
      <w:bCs/>
      <w:kern w:val="0"/>
      <w:szCs w:val="24"/>
    </w:rPr>
  </w:style>
  <w:style w:type="paragraph" w:styleId="8">
    <w:name w:val="heading 8"/>
    <w:basedOn w:val="1"/>
    <w:next w:val="1"/>
    <w:link w:val="59"/>
    <w:qFormat/>
    <w:uiPriority w:val="0"/>
    <w:pPr>
      <w:keepNext/>
      <w:keepLines/>
      <w:spacing w:before="240" w:after="64" w:line="320" w:lineRule="auto"/>
      <w:outlineLvl w:val="7"/>
    </w:pPr>
    <w:rPr>
      <w:rFonts w:ascii="Cambria" w:hAnsi="Cambria"/>
      <w:szCs w:val="24"/>
    </w:rPr>
  </w:style>
  <w:style w:type="paragraph" w:styleId="9">
    <w:name w:val="heading 9"/>
    <w:basedOn w:val="1"/>
    <w:next w:val="1"/>
    <w:link w:val="56"/>
    <w:qFormat/>
    <w:uiPriority w:val="0"/>
    <w:pPr>
      <w:keepNext/>
      <w:keepLines/>
      <w:widowControl/>
      <w:tabs>
        <w:tab w:val="left" w:pos="1584"/>
      </w:tabs>
      <w:adjustRightInd/>
      <w:snapToGrid/>
      <w:spacing w:before="240" w:after="64" w:line="320" w:lineRule="auto"/>
      <w:ind w:left="1584" w:hanging="1584" w:firstLineChars="0"/>
      <w:jc w:val="left"/>
      <w:outlineLvl w:val="8"/>
    </w:pPr>
    <w:rPr>
      <w:rFonts w:ascii="Arial" w:hAnsi="Arial" w:eastAsia="黑体"/>
      <w:kern w:val="0"/>
      <w:sz w:val="21"/>
      <w:szCs w:val="21"/>
    </w:rPr>
  </w:style>
  <w:style w:type="character" w:default="1" w:styleId="29">
    <w:name w:val="Default Paragraph Font"/>
    <w:semiHidden/>
    <w:unhideWhenUsed/>
    <w:qFormat/>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10">
    <w:name w:val="annotation subject"/>
    <w:basedOn w:val="11"/>
    <w:next w:val="11"/>
    <w:link w:val="39"/>
    <w:qFormat/>
    <w:uiPriority w:val="0"/>
    <w:rPr>
      <w:b/>
      <w:bCs/>
    </w:rPr>
  </w:style>
  <w:style w:type="paragraph" w:styleId="11">
    <w:name w:val="annotation text"/>
    <w:basedOn w:val="1"/>
    <w:link w:val="40"/>
    <w:qFormat/>
    <w:uiPriority w:val="99"/>
    <w:pPr>
      <w:jc w:val="left"/>
    </w:pPr>
  </w:style>
  <w:style w:type="paragraph" w:styleId="12">
    <w:name w:val="Normal Indent"/>
    <w:basedOn w:val="1"/>
    <w:link w:val="55"/>
    <w:uiPriority w:val="0"/>
    <w:pPr>
      <w:ind w:firstLine="420"/>
    </w:pPr>
  </w:style>
  <w:style w:type="paragraph" w:styleId="13">
    <w:name w:val="caption"/>
    <w:basedOn w:val="1"/>
    <w:next w:val="1"/>
    <w:qFormat/>
    <w:uiPriority w:val="0"/>
    <w:pPr>
      <w:spacing w:line="480" w:lineRule="auto"/>
    </w:pPr>
    <w:rPr>
      <w:rFonts w:ascii="华文中宋" w:hAnsi="华文中宋" w:eastAsia="华文中宋"/>
      <w:sz w:val="36"/>
    </w:rPr>
  </w:style>
  <w:style w:type="paragraph" w:styleId="14">
    <w:name w:val="Document Map"/>
    <w:basedOn w:val="1"/>
    <w:qFormat/>
    <w:uiPriority w:val="0"/>
    <w:pPr>
      <w:shd w:val="clear" w:color="auto" w:fill="000080"/>
    </w:pPr>
  </w:style>
  <w:style w:type="paragraph" w:styleId="15">
    <w:name w:val="Body Text 3"/>
    <w:basedOn w:val="1"/>
    <w:link w:val="60"/>
    <w:qFormat/>
    <w:uiPriority w:val="0"/>
    <w:pPr>
      <w:spacing w:after="120" w:line="360" w:lineRule="auto"/>
    </w:pPr>
    <w:rPr>
      <w:kern w:val="0"/>
      <w:sz w:val="16"/>
      <w:szCs w:val="16"/>
    </w:rPr>
  </w:style>
  <w:style w:type="paragraph" w:styleId="16">
    <w:name w:val="Body Text"/>
    <w:basedOn w:val="1"/>
    <w:link w:val="53"/>
    <w:uiPriority w:val="0"/>
    <w:pPr>
      <w:spacing w:line="360" w:lineRule="auto"/>
    </w:pPr>
  </w:style>
  <w:style w:type="paragraph" w:styleId="17">
    <w:name w:val="Body Text Indent"/>
    <w:basedOn w:val="1"/>
    <w:qFormat/>
    <w:uiPriority w:val="0"/>
    <w:pPr>
      <w:ind w:firstLine="444"/>
    </w:pPr>
    <w:rPr>
      <w:b/>
    </w:rPr>
  </w:style>
  <w:style w:type="paragraph" w:styleId="18">
    <w:name w:val="Plain Text"/>
    <w:basedOn w:val="1"/>
    <w:link w:val="38"/>
    <w:qFormat/>
    <w:uiPriority w:val="0"/>
    <w:rPr>
      <w:rFonts w:ascii="宋体" w:hAnsi="Courier New"/>
    </w:rPr>
  </w:style>
  <w:style w:type="paragraph" w:styleId="19">
    <w:name w:val="Date"/>
    <w:basedOn w:val="1"/>
    <w:next w:val="1"/>
    <w:qFormat/>
    <w:uiPriority w:val="0"/>
  </w:style>
  <w:style w:type="paragraph" w:styleId="20">
    <w:name w:val="Body Text Indent 2"/>
    <w:basedOn w:val="1"/>
    <w:qFormat/>
    <w:uiPriority w:val="0"/>
    <w:pPr>
      <w:spacing w:line="360" w:lineRule="auto"/>
      <w:ind w:firstLine="420" w:firstLineChars="175"/>
    </w:pPr>
    <w:rPr>
      <w:rFonts w:ascii="宋体" w:hAnsi="宋体"/>
      <w:b/>
      <w:bCs/>
    </w:rPr>
  </w:style>
  <w:style w:type="paragraph" w:styleId="21">
    <w:name w:val="Balloon Text"/>
    <w:basedOn w:val="1"/>
    <w:link w:val="44"/>
    <w:uiPriority w:val="0"/>
    <w:rPr>
      <w:sz w:val="18"/>
      <w:szCs w:val="18"/>
    </w:rPr>
  </w:style>
  <w:style w:type="paragraph" w:styleId="22">
    <w:name w:val="footer"/>
    <w:basedOn w:val="1"/>
    <w:link w:val="37"/>
    <w:qFormat/>
    <w:uiPriority w:val="99"/>
    <w:pPr>
      <w:tabs>
        <w:tab w:val="center" w:pos="4153"/>
        <w:tab w:val="right" w:pos="8306"/>
      </w:tabs>
      <w:jc w:val="left"/>
    </w:pPr>
    <w:rPr>
      <w:sz w:val="18"/>
    </w:rPr>
  </w:style>
  <w:style w:type="paragraph" w:styleId="23">
    <w:name w:val="header"/>
    <w:basedOn w:val="1"/>
    <w:link w:val="52"/>
    <w:qFormat/>
    <w:uiPriority w:val="99"/>
    <w:pPr>
      <w:pBdr>
        <w:bottom w:val="single" w:color="auto" w:sz="6" w:space="1"/>
      </w:pBdr>
      <w:tabs>
        <w:tab w:val="center" w:pos="4153"/>
        <w:tab w:val="right" w:pos="8306"/>
      </w:tabs>
      <w:jc w:val="center"/>
    </w:pPr>
    <w:rPr>
      <w:sz w:val="18"/>
    </w:rPr>
  </w:style>
  <w:style w:type="paragraph" w:styleId="24">
    <w:name w:val="toc 1"/>
    <w:basedOn w:val="1"/>
    <w:next w:val="1"/>
    <w:uiPriority w:val="39"/>
  </w:style>
  <w:style w:type="paragraph" w:styleId="25">
    <w:name w:val="Body Text Indent 3"/>
    <w:basedOn w:val="1"/>
    <w:qFormat/>
    <w:uiPriority w:val="0"/>
    <w:pPr>
      <w:spacing w:afterLines="50"/>
      <w:ind w:firstLine="420"/>
    </w:pPr>
    <w:rPr>
      <w:szCs w:val="21"/>
    </w:rPr>
  </w:style>
  <w:style w:type="paragraph" w:styleId="26">
    <w:name w:val="toc 2"/>
    <w:basedOn w:val="1"/>
    <w:next w:val="1"/>
    <w:qFormat/>
    <w:uiPriority w:val="39"/>
    <w:pPr>
      <w:ind w:left="420" w:leftChars="200"/>
    </w:p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paragraph" w:styleId="28">
    <w:name w:val="Title"/>
    <w:basedOn w:val="1"/>
    <w:next w:val="1"/>
    <w:link w:val="58"/>
    <w:qFormat/>
    <w:uiPriority w:val="0"/>
    <w:pPr>
      <w:spacing w:beforeLines="50" w:after="100" w:afterAutospacing="1" w:line="360" w:lineRule="auto"/>
      <w:ind w:firstLine="0" w:firstLineChars="0"/>
      <w:jc w:val="center"/>
      <w:outlineLvl w:val="0"/>
    </w:pPr>
    <w:rPr>
      <w:rFonts w:ascii="Cambria" w:hAnsi="Cambria" w:eastAsia="黑体"/>
      <w:bCs/>
      <w:sz w:val="36"/>
      <w:szCs w:val="32"/>
    </w:rPr>
  </w:style>
  <w:style w:type="character" w:styleId="30">
    <w:name w:val="Strong"/>
    <w:qFormat/>
    <w:uiPriority w:val="22"/>
    <w:rPr>
      <w:b/>
      <w:bCs/>
    </w:rPr>
  </w:style>
  <w:style w:type="character" w:styleId="31">
    <w:name w:val="page number"/>
    <w:basedOn w:val="29"/>
    <w:qFormat/>
    <w:uiPriority w:val="0"/>
  </w:style>
  <w:style w:type="character" w:styleId="32">
    <w:name w:val="FollowedHyperlink"/>
    <w:qFormat/>
    <w:uiPriority w:val="0"/>
    <w:rPr>
      <w:color w:val="800080"/>
      <w:u w:val="single"/>
    </w:rPr>
  </w:style>
  <w:style w:type="character" w:styleId="33">
    <w:name w:val="Hyperlink"/>
    <w:uiPriority w:val="99"/>
    <w:rPr>
      <w:color w:val="0000FF"/>
      <w:u w:val="single"/>
    </w:rPr>
  </w:style>
  <w:style w:type="character" w:styleId="34">
    <w:name w:val="annotation reference"/>
    <w:uiPriority w:val="0"/>
    <w:rPr>
      <w:sz w:val="21"/>
      <w:szCs w:val="21"/>
    </w:rPr>
  </w:style>
  <w:style w:type="table" w:styleId="36">
    <w:name w:val="Table Grid"/>
    <w:basedOn w:val="3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7">
    <w:name w:val="页脚 Char"/>
    <w:link w:val="22"/>
    <w:qFormat/>
    <w:uiPriority w:val="99"/>
    <w:rPr>
      <w:kern w:val="2"/>
      <w:sz w:val="18"/>
    </w:rPr>
  </w:style>
  <w:style w:type="character" w:customStyle="1" w:styleId="38">
    <w:name w:val="纯文本 Char"/>
    <w:link w:val="18"/>
    <w:qFormat/>
    <w:uiPriority w:val="0"/>
    <w:rPr>
      <w:rFonts w:ascii="宋体" w:hAnsi="Courier New"/>
      <w:kern w:val="2"/>
      <w:sz w:val="21"/>
    </w:rPr>
  </w:style>
  <w:style w:type="character" w:customStyle="1" w:styleId="39">
    <w:name w:val="批注主题 Char"/>
    <w:link w:val="10"/>
    <w:qFormat/>
    <w:uiPriority w:val="0"/>
    <w:rPr>
      <w:b/>
      <w:bCs/>
      <w:kern w:val="2"/>
      <w:sz w:val="21"/>
    </w:rPr>
  </w:style>
  <w:style w:type="character" w:customStyle="1" w:styleId="40">
    <w:name w:val="批注文字 Char"/>
    <w:link w:val="11"/>
    <w:uiPriority w:val="99"/>
    <w:rPr>
      <w:kern w:val="2"/>
      <w:sz w:val="21"/>
    </w:rPr>
  </w:style>
  <w:style w:type="character" w:customStyle="1" w:styleId="41">
    <w:name w:val="正文文本 3 Char1"/>
    <w:semiHidden/>
    <w:qFormat/>
    <w:uiPriority w:val="99"/>
    <w:rPr>
      <w:kern w:val="2"/>
      <w:sz w:val="16"/>
      <w:szCs w:val="16"/>
    </w:rPr>
  </w:style>
  <w:style w:type="character" w:customStyle="1" w:styleId="42">
    <w:name w:val="标题 6 Char"/>
    <w:link w:val="6"/>
    <w:qFormat/>
    <w:uiPriority w:val="0"/>
    <w:rPr>
      <w:rFonts w:ascii="Arial" w:hAnsi="Arial" w:eastAsia="黑体"/>
      <w:b/>
      <w:bCs/>
      <w:sz w:val="24"/>
      <w:szCs w:val="24"/>
    </w:rPr>
  </w:style>
  <w:style w:type="character" w:customStyle="1" w:styleId="43">
    <w:name w:val="unnamed11"/>
    <w:qFormat/>
    <w:uiPriority w:val="0"/>
    <w:rPr>
      <w:u w:val="none"/>
    </w:rPr>
  </w:style>
  <w:style w:type="character" w:customStyle="1" w:styleId="44">
    <w:name w:val="批注框文本 Char"/>
    <w:link w:val="21"/>
    <w:qFormat/>
    <w:uiPriority w:val="0"/>
    <w:rPr>
      <w:kern w:val="2"/>
      <w:sz w:val="18"/>
      <w:szCs w:val="18"/>
    </w:rPr>
  </w:style>
  <w:style w:type="character" w:customStyle="1" w:styleId="45">
    <w:name w:val="无间隔 Char1"/>
    <w:uiPriority w:val="1"/>
    <w:rPr>
      <w:rFonts w:ascii="Calibri" w:hAnsi="Calibri" w:eastAsia="宋体"/>
      <w:kern w:val="2"/>
      <w:sz w:val="21"/>
      <w:szCs w:val="22"/>
      <w:lang w:bidi="ar-SA"/>
    </w:rPr>
  </w:style>
  <w:style w:type="character" w:customStyle="1" w:styleId="46">
    <w:name w:val="标题 1 Char"/>
    <w:link w:val="2"/>
    <w:qFormat/>
    <w:uiPriority w:val="0"/>
    <w:rPr>
      <w:b/>
      <w:bCs/>
      <w:kern w:val="44"/>
      <w:sz w:val="44"/>
      <w:szCs w:val="44"/>
    </w:rPr>
  </w:style>
  <w:style w:type="character" w:customStyle="1" w:styleId="47">
    <w:name w:val="无间隔 Char"/>
    <w:link w:val="48"/>
    <w:qFormat/>
    <w:uiPriority w:val="1"/>
    <w:rPr>
      <w:rFonts w:ascii="宋体" w:hAnsi="宋体"/>
      <w:sz w:val="22"/>
      <w:szCs w:val="22"/>
    </w:rPr>
  </w:style>
  <w:style w:type="paragraph" w:styleId="48">
    <w:name w:val="No Spacing"/>
    <w:link w:val="47"/>
    <w:qFormat/>
    <w:uiPriority w:val="1"/>
    <w:rPr>
      <w:rFonts w:ascii="宋体" w:hAnsi="宋体" w:eastAsia="宋体" w:cs="Times New Roman"/>
      <w:sz w:val="22"/>
      <w:szCs w:val="22"/>
      <w:lang w:val="en-US" w:eastAsia="zh-CN" w:bidi="ar-SA"/>
    </w:rPr>
  </w:style>
  <w:style w:type="character" w:customStyle="1" w:styleId="49">
    <w:name w:val="标题 2 Char"/>
    <w:qFormat/>
    <w:uiPriority w:val="0"/>
    <w:rPr>
      <w:rFonts w:ascii="Arial" w:hAnsi="Arial" w:eastAsia="黑体"/>
      <w:b/>
      <w:bCs/>
      <w:sz w:val="32"/>
      <w:szCs w:val="32"/>
    </w:rPr>
  </w:style>
  <w:style w:type="character" w:customStyle="1" w:styleId="50">
    <w:name w:val="标题 2 Char1"/>
    <w:link w:val="3"/>
    <w:qFormat/>
    <w:uiPriority w:val="0"/>
    <w:rPr>
      <w:rFonts w:ascii="Arial" w:hAnsi="Arial" w:eastAsia="黑体"/>
      <w:bCs/>
      <w:sz w:val="28"/>
      <w:szCs w:val="32"/>
    </w:rPr>
  </w:style>
  <w:style w:type="character" w:customStyle="1" w:styleId="51">
    <w:name w:val="标题 3 Char"/>
    <w:link w:val="4"/>
    <w:qFormat/>
    <w:uiPriority w:val="0"/>
    <w:rPr>
      <w:rFonts w:eastAsia="黑体"/>
      <w:bCs/>
      <w:kern w:val="2"/>
      <w:sz w:val="24"/>
      <w:szCs w:val="32"/>
    </w:rPr>
  </w:style>
  <w:style w:type="character" w:customStyle="1" w:styleId="52">
    <w:name w:val="页眉 Char"/>
    <w:link w:val="23"/>
    <w:qFormat/>
    <w:uiPriority w:val="99"/>
    <w:rPr>
      <w:kern w:val="2"/>
      <w:sz w:val="18"/>
    </w:rPr>
  </w:style>
  <w:style w:type="character" w:customStyle="1" w:styleId="53">
    <w:name w:val="正文文本 Char"/>
    <w:link w:val="16"/>
    <w:uiPriority w:val="0"/>
    <w:rPr>
      <w:kern w:val="2"/>
      <w:sz w:val="24"/>
    </w:rPr>
  </w:style>
  <w:style w:type="character" w:customStyle="1" w:styleId="54">
    <w:name w:val="标题 4 Char"/>
    <w:link w:val="5"/>
    <w:qFormat/>
    <w:uiPriority w:val="0"/>
    <w:rPr>
      <w:rFonts w:ascii="Cambria" w:hAnsi="Cambria" w:eastAsia="宋体" w:cs="Times New Roman"/>
      <w:b/>
      <w:bCs/>
      <w:kern w:val="2"/>
      <w:sz w:val="28"/>
      <w:szCs w:val="28"/>
    </w:rPr>
  </w:style>
  <w:style w:type="character" w:customStyle="1" w:styleId="55">
    <w:name w:val="正文缩进 Char"/>
    <w:link w:val="12"/>
    <w:qFormat/>
    <w:locked/>
    <w:uiPriority w:val="0"/>
    <w:rPr>
      <w:kern w:val="2"/>
      <w:sz w:val="21"/>
    </w:rPr>
  </w:style>
  <w:style w:type="character" w:customStyle="1" w:styleId="56">
    <w:name w:val="标题 9 Char"/>
    <w:link w:val="9"/>
    <w:qFormat/>
    <w:uiPriority w:val="0"/>
    <w:rPr>
      <w:rFonts w:ascii="Arial" w:hAnsi="Arial" w:eastAsia="黑体"/>
      <w:sz w:val="21"/>
      <w:szCs w:val="21"/>
    </w:rPr>
  </w:style>
  <w:style w:type="character" w:customStyle="1" w:styleId="57">
    <w:name w:val="专用功能1"/>
    <w:qFormat/>
    <w:uiPriority w:val="0"/>
    <w:rPr>
      <w:color w:val="666666"/>
      <w:sz w:val="20"/>
    </w:rPr>
  </w:style>
  <w:style w:type="character" w:customStyle="1" w:styleId="58">
    <w:name w:val="标题 Char"/>
    <w:link w:val="28"/>
    <w:uiPriority w:val="0"/>
    <w:rPr>
      <w:rFonts w:ascii="Cambria" w:hAnsi="Cambria" w:eastAsia="黑体"/>
      <w:bCs/>
      <w:kern w:val="2"/>
      <w:sz w:val="36"/>
      <w:szCs w:val="32"/>
    </w:rPr>
  </w:style>
  <w:style w:type="character" w:customStyle="1" w:styleId="59">
    <w:name w:val="标题 8 Char"/>
    <w:link w:val="8"/>
    <w:qFormat/>
    <w:uiPriority w:val="0"/>
    <w:rPr>
      <w:rFonts w:ascii="Cambria" w:hAnsi="Cambria" w:eastAsia="宋体" w:cs="Times New Roman"/>
      <w:kern w:val="2"/>
      <w:sz w:val="24"/>
      <w:szCs w:val="24"/>
    </w:rPr>
  </w:style>
  <w:style w:type="character" w:customStyle="1" w:styleId="60">
    <w:name w:val="正文文本 3 Char"/>
    <w:link w:val="15"/>
    <w:qFormat/>
    <w:uiPriority w:val="0"/>
    <w:rPr>
      <w:sz w:val="16"/>
      <w:szCs w:val="16"/>
    </w:rPr>
  </w:style>
  <w:style w:type="character" w:customStyle="1" w:styleId="61">
    <w:name w:val="标题 7 Char"/>
    <w:link w:val="7"/>
    <w:uiPriority w:val="0"/>
    <w:rPr>
      <w:b/>
      <w:bCs/>
      <w:sz w:val="24"/>
      <w:szCs w:val="24"/>
    </w:rPr>
  </w:style>
  <w:style w:type="paragraph" w:customStyle="1" w:styleId="62">
    <w:name w:val="Revision"/>
    <w:qFormat/>
    <w:uiPriority w:val="0"/>
    <w:rPr>
      <w:rFonts w:ascii="Times New Roman" w:hAnsi="Times New Roman" w:eastAsia="宋体" w:cs="Times New Roman"/>
      <w:kern w:val="2"/>
      <w:sz w:val="21"/>
      <w:lang w:val="en-US" w:eastAsia="zh-CN" w:bidi="ar-SA"/>
    </w:rPr>
  </w:style>
  <w:style w:type="paragraph" w:customStyle="1" w:styleId="63">
    <w:name w:val="目录 91"/>
    <w:basedOn w:val="1"/>
    <w:next w:val="1"/>
    <w:uiPriority w:val="0"/>
    <w:pPr>
      <w:ind w:left="1680"/>
      <w:jc w:val="left"/>
    </w:pPr>
    <w:rPr>
      <w:rFonts w:ascii="Calibri" w:hAnsi="Calibri" w:cs="Calibri"/>
      <w:sz w:val="18"/>
      <w:szCs w:val="18"/>
    </w:rPr>
  </w:style>
  <w:style w:type="paragraph" w:customStyle="1" w:styleId="64">
    <w:name w:val="目录 71"/>
    <w:basedOn w:val="1"/>
    <w:next w:val="1"/>
    <w:uiPriority w:val="0"/>
    <w:pPr>
      <w:ind w:left="1260"/>
      <w:jc w:val="left"/>
    </w:pPr>
    <w:rPr>
      <w:rFonts w:ascii="Calibri" w:hAnsi="Calibri" w:cs="Calibri"/>
      <w:sz w:val="18"/>
      <w:szCs w:val="18"/>
    </w:rPr>
  </w:style>
  <w:style w:type="paragraph" w:customStyle="1" w:styleId="65">
    <w:name w:val="55"/>
    <w:basedOn w:val="1"/>
    <w:qFormat/>
    <w:uiPriority w:val="0"/>
    <w:pPr>
      <w:spacing w:line="500" w:lineRule="exact"/>
      <w:ind w:firstLine="629"/>
    </w:pPr>
    <w:rPr>
      <w:rFonts w:ascii="仿宋_GB2312" w:eastAsia="仿宋_GB2312"/>
      <w:sz w:val="28"/>
      <w:szCs w:val="28"/>
    </w:rPr>
  </w:style>
  <w:style w:type="paragraph" w:customStyle="1" w:styleId="66">
    <w:name w:val="_Style 3"/>
    <w:qFormat/>
    <w:uiPriority w:val="1"/>
    <w:rPr>
      <w:rFonts w:ascii="Calibri" w:hAnsi="Calibri" w:eastAsia="宋体" w:cs="Times New Roman"/>
      <w:kern w:val="2"/>
      <w:sz w:val="22"/>
      <w:szCs w:val="22"/>
      <w:lang w:val="en-US" w:eastAsia="zh-CN" w:bidi="ar-SA"/>
    </w:rPr>
  </w:style>
  <w:style w:type="paragraph" w:customStyle="1" w:styleId="67">
    <w:name w:val="目录 81"/>
    <w:basedOn w:val="1"/>
    <w:next w:val="1"/>
    <w:uiPriority w:val="0"/>
    <w:pPr>
      <w:ind w:left="1470"/>
      <w:jc w:val="left"/>
    </w:pPr>
    <w:rPr>
      <w:rFonts w:ascii="Calibri" w:hAnsi="Calibri" w:cs="Calibri"/>
      <w:sz w:val="18"/>
      <w:szCs w:val="18"/>
    </w:rPr>
  </w:style>
  <w:style w:type="paragraph" w:customStyle="1" w:styleId="68">
    <w:name w:val="样式2"/>
    <w:basedOn w:val="1"/>
    <w:uiPriority w:val="0"/>
    <w:pPr>
      <w:spacing w:line="410" w:lineRule="atLeast"/>
      <w:jc w:val="left"/>
      <w:textAlignment w:val="baseline"/>
    </w:pPr>
    <w:rPr>
      <w:kern w:val="0"/>
    </w:rPr>
  </w:style>
  <w:style w:type="paragraph" w:customStyle="1" w:styleId="69">
    <w:name w:val="标题2（新）"/>
    <w:basedOn w:val="3"/>
    <w:uiPriority w:val="0"/>
    <w:pPr>
      <w:widowControl/>
      <w:spacing w:beforeLines="0" w:after="0" w:line="440" w:lineRule="exact"/>
      <w:jc w:val="left"/>
    </w:pPr>
    <w:rPr>
      <w:rFonts w:ascii="宋体" w:eastAsia="宋体" w:cs="宋体"/>
      <w:szCs w:val="28"/>
    </w:rPr>
  </w:style>
  <w:style w:type="paragraph" w:customStyle="1" w:styleId="70">
    <w:name w:val="p0"/>
    <w:basedOn w:val="1"/>
    <w:uiPriority w:val="0"/>
    <w:pPr>
      <w:widowControl/>
    </w:pPr>
    <w:rPr>
      <w:kern w:val="0"/>
    </w:rPr>
  </w:style>
  <w:style w:type="paragraph" w:customStyle="1" w:styleId="71">
    <w:name w:val="目录 41"/>
    <w:basedOn w:val="1"/>
    <w:next w:val="1"/>
    <w:uiPriority w:val="0"/>
    <w:pPr>
      <w:ind w:left="630"/>
      <w:jc w:val="left"/>
    </w:pPr>
    <w:rPr>
      <w:rFonts w:ascii="Calibri" w:hAnsi="Calibri" w:cs="Calibri"/>
      <w:sz w:val="18"/>
      <w:szCs w:val="18"/>
    </w:rPr>
  </w:style>
  <w:style w:type="paragraph" w:customStyle="1" w:styleId="72">
    <w:name w:val="表格"/>
    <w:basedOn w:val="1"/>
    <w:uiPriority w:val="0"/>
    <w:pPr>
      <w:spacing w:before="60" w:after="60"/>
      <w:jc w:val="center"/>
      <w:textAlignment w:val="baseline"/>
    </w:pPr>
    <w:rPr>
      <w:rFonts w:ascii="宋体"/>
      <w:kern w:val="0"/>
    </w:rPr>
  </w:style>
  <w:style w:type="paragraph" w:customStyle="1" w:styleId="73">
    <w:name w:val="附件"/>
    <w:basedOn w:val="1"/>
    <w:qFormat/>
    <w:uiPriority w:val="0"/>
    <w:pPr>
      <w:spacing w:before="120" w:after="60"/>
      <w:jc w:val="center"/>
      <w:textAlignment w:val="center"/>
    </w:pPr>
    <w:rPr>
      <w:rFonts w:ascii="黑体" w:eastAsia="黑体"/>
      <w:b/>
      <w:kern w:val="0"/>
      <w:sz w:val="32"/>
      <w:szCs w:val="32"/>
    </w:rPr>
  </w:style>
  <w:style w:type="paragraph" w:customStyle="1" w:styleId="74">
    <w:name w:val="样式 55 + (西文) Times New Roman (中文) 宋体 五号 加粗 行距: 1.5 倍行距"/>
    <w:basedOn w:val="65"/>
    <w:uiPriority w:val="0"/>
    <w:pPr>
      <w:spacing w:line="360" w:lineRule="auto"/>
      <w:ind w:firstLine="0"/>
    </w:pPr>
    <w:rPr>
      <w:rFonts w:ascii="Times New Roman" w:eastAsia="黑体" w:cs="宋体"/>
      <w:bCs/>
      <w:szCs w:val="20"/>
    </w:rPr>
  </w:style>
  <w:style w:type="paragraph" w:customStyle="1" w:styleId="75">
    <w:name w:val="目录 11"/>
    <w:basedOn w:val="1"/>
    <w:next w:val="1"/>
    <w:uiPriority w:val="39"/>
    <w:pPr>
      <w:spacing w:before="120" w:after="120"/>
      <w:jc w:val="left"/>
    </w:pPr>
    <w:rPr>
      <w:rFonts w:ascii="Calibri" w:hAnsi="Calibri" w:cs="Calibri"/>
      <w:b/>
      <w:bCs/>
      <w:caps/>
      <w:sz w:val="20"/>
    </w:rPr>
  </w:style>
  <w:style w:type="paragraph" w:customStyle="1" w:styleId="76">
    <w:name w:val="金正文1"/>
    <w:basedOn w:val="1"/>
    <w:uiPriority w:val="0"/>
    <w:pPr>
      <w:spacing w:line="360" w:lineRule="auto"/>
      <w:jc w:val="left"/>
    </w:pPr>
  </w:style>
  <w:style w:type="paragraph" w:customStyle="1" w:styleId="77">
    <w:name w:val="目录 51"/>
    <w:basedOn w:val="1"/>
    <w:next w:val="1"/>
    <w:uiPriority w:val="0"/>
    <w:pPr>
      <w:ind w:left="840"/>
      <w:jc w:val="left"/>
    </w:pPr>
    <w:rPr>
      <w:rFonts w:ascii="Calibri" w:hAnsi="Calibri" w:cs="Calibri"/>
      <w:sz w:val="18"/>
      <w:szCs w:val="18"/>
    </w:rPr>
  </w:style>
  <w:style w:type="paragraph" w:customStyle="1" w:styleId="78">
    <w:name w:val="缺省文本"/>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79">
    <w:name w:val="表格侧编号"/>
    <w:next w:val="1"/>
    <w:uiPriority w:val="0"/>
    <w:pPr>
      <w:widowControl w:val="0"/>
      <w:jc w:val="center"/>
    </w:pPr>
    <w:rPr>
      <w:rFonts w:ascii="宋体" w:hAnsi="宋体" w:eastAsia="宋体" w:cs="Times New Roman"/>
      <w:kern w:val="2"/>
      <w:sz w:val="21"/>
      <w:lang w:val="en-US" w:eastAsia="zh-CN" w:bidi="ar-SA"/>
    </w:rPr>
  </w:style>
  <w:style w:type="paragraph" w:customStyle="1" w:styleId="80">
    <w:name w:val="TOC Heading"/>
    <w:basedOn w:val="2"/>
    <w:next w:val="1"/>
    <w:qFormat/>
    <w:uiPriority w:val="39"/>
    <w:pPr>
      <w:widowControl/>
      <w:spacing w:before="480" w:afterLines="50" w:line="276" w:lineRule="auto"/>
      <w:jc w:val="left"/>
      <w:outlineLvl w:val="9"/>
    </w:pPr>
    <w:rPr>
      <w:rFonts w:ascii="Cambria" w:hAnsi="Cambria"/>
      <w:color w:val="365F91"/>
      <w:kern w:val="0"/>
      <w:sz w:val="28"/>
      <w:szCs w:val="28"/>
    </w:rPr>
  </w:style>
  <w:style w:type="paragraph" w:customStyle="1" w:styleId="81">
    <w:name w:val="目录 61"/>
    <w:basedOn w:val="1"/>
    <w:next w:val="1"/>
    <w:uiPriority w:val="0"/>
    <w:pPr>
      <w:ind w:left="1050"/>
      <w:jc w:val="left"/>
    </w:pPr>
    <w:rPr>
      <w:rFonts w:ascii="Calibri" w:hAnsi="Calibri" w:cs="Calibri"/>
      <w:sz w:val="18"/>
      <w:szCs w:val="18"/>
    </w:rPr>
  </w:style>
  <w:style w:type="paragraph" w:customStyle="1" w:styleId="82">
    <w:name w:val="目录 21"/>
    <w:basedOn w:val="1"/>
    <w:next w:val="1"/>
    <w:uiPriority w:val="39"/>
    <w:pPr>
      <w:ind w:left="210"/>
      <w:jc w:val="left"/>
    </w:pPr>
    <w:rPr>
      <w:rFonts w:ascii="Calibri" w:hAnsi="Calibri" w:cs="Calibri"/>
      <w:smallCaps/>
      <w:sz w:val="20"/>
    </w:rPr>
  </w:style>
  <w:style w:type="paragraph" w:customStyle="1" w:styleId="83">
    <w:name w:val="目录 31"/>
    <w:basedOn w:val="1"/>
    <w:next w:val="1"/>
    <w:uiPriority w:val="39"/>
    <w:pPr>
      <w:ind w:left="420"/>
      <w:jc w:val="left"/>
    </w:pPr>
    <w:rPr>
      <w:rFonts w:ascii="Calibri" w:hAnsi="Calibri" w:cs="Calibri"/>
      <w:i/>
      <w:iCs/>
      <w:sz w:val="20"/>
    </w:rPr>
  </w:style>
  <w:style w:type="paragraph" w:customStyle="1" w:styleId="84">
    <w:name w:val="Char Char Char"/>
    <w:basedOn w:val="1"/>
    <w:qFormat/>
    <w:uiPriority w:val="0"/>
    <w:rPr>
      <w:rFonts w:ascii="Tahoma" w:hAnsi="Tahoma"/>
    </w:rPr>
  </w:style>
  <w:style w:type="paragraph" w:customStyle="1" w:styleId="85">
    <w:name w:val="正文文本 31"/>
    <w:basedOn w:val="1"/>
    <w:uiPriority w:val="0"/>
    <w:pPr>
      <w:spacing w:line="360" w:lineRule="auto"/>
      <w:jc w:val="center"/>
      <w:textAlignment w:val="baseline"/>
    </w:pPr>
    <w:rPr>
      <w:rFonts w:ascii="宋体"/>
      <w:b/>
      <w:color w:val="FF0000"/>
      <w:kern w:val="0"/>
      <w:u w:val="single"/>
    </w:rPr>
  </w:style>
  <w:style w:type="paragraph" w:customStyle="1" w:styleId="86">
    <w:name w:val="Normal_43_0"/>
    <w:qFormat/>
    <w:uiPriority w:val="0"/>
    <w:pPr>
      <w:spacing w:before="120" w:after="240"/>
      <w:jc w:val="both"/>
    </w:pPr>
    <w:rPr>
      <w:rFonts w:ascii="Calibri" w:hAnsi="Calibri" w:eastAsia="Calibri" w:cs="Times New Roman"/>
      <w:sz w:val="22"/>
      <w:szCs w:val="22"/>
      <w:lang w:val="en-US" w:eastAsia="en-US" w:bidi="ar-SA"/>
    </w:rPr>
  </w:style>
  <w:style w:type="paragraph" w:customStyle="1" w:styleId="87">
    <w:name w:val="列出段落1"/>
    <w:basedOn w:val="1"/>
    <w:qFormat/>
    <w:uiPriority w:val="34"/>
    <w:pPr>
      <w:ind w:firstLine="420"/>
    </w:pPr>
    <w:rPr>
      <w:rFonts w:ascii="Calibri" w:hAnsi="Calibri"/>
      <w:szCs w:val="22"/>
    </w:rPr>
  </w:style>
  <w:style w:type="paragraph" w:customStyle="1" w:styleId="88">
    <w:name w:val="Char"/>
    <w:basedOn w:val="1"/>
    <w:uiPriority w:val="0"/>
    <w:pPr>
      <w:spacing w:line="360" w:lineRule="auto"/>
    </w:pPr>
    <w:rPr>
      <w:kern w:val="0"/>
    </w:rPr>
  </w:style>
  <w:style w:type="paragraph" w:styleId="89">
    <w:name w:val="List Paragraph"/>
    <w:basedOn w:val="1"/>
    <w:qFormat/>
    <w:uiPriority w:val="34"/>
    <w:pPr>
      <w:ind w:firstLine="420"/>
    </w:pPr>
  </w:style>
  <w:style w:type="paragraph" w:customStyle="1" w:styleId="90">
    <w:name w:val="正文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91">
    <w:name w:val="1"/>
    <w:basedOn w:val="1"/>
    <w:uiPriority w:val="0"/>
    <w:pPr>
      <w:spacing w:afterLines="50" w:line="360" w:lineRule="auto"/>
      <w:ind w:firstLine="3243" w:firstLineChars="1080"/>
    </w:pPr>
    <w:rPr>
      <w:rFonts w:ascii="宋体" w:hAnsi="宋体"/>
      <w:b/>
      <w:sz w:val="30"/>
      <w:szCs w:val="21"/>
    </w:rPr>
  </w:style>
  <w:style w:type="paragraph" w:customStyle="1" w:styleId="92">
    <w:name w:val="默认段落字体 Para Char Char Char Char"/>
    <w:basedOn w:val="1"/>
    <w:uiPriority w:val="0"/>
  </w:style>
  <w:style w:type="paragraph" w:customStyle="1" w:styleId="93">
    <w:name w:val="正文1"/>
    <w:basedOn w:val="1"/>
    <w:qFormat/>
    <w:uiPriority w:val="0"/>
    <w:pPr>
      <w:spacing w:line="360" w:lineRule="atLeast"/>
      <w:jc w:val="left"/>
      <w:textAlignment w:val="baseline"/>
    </w:pPr>
    <w:rPr>
      <w:rFonts w:ascii="宋体"/>
      <w:b/>
      <w:kern w:val="0"/>
    </w:rPr>
  </w:style>
  <w:style w:type="paragraph" w:customStyle="1" w:styleId="94">
    <w:name w:val="表格文字"/>
    <w:basedOn w:val="16"/>
    <w:qFormat/>
    <w:uiPriority w:val="0"/>
    <w:pPr>
      <w:spacing w:before="20" w:after="20" w:line="360" w:lineRule="atLeast"/>
      <w:textAlignment w:val="baseline"/>
    </w:pPr>
    <w:rPr>
      <w:rFonts w:ascii="Century Gothic" w:hAnsi="Century Gothic"/>
      <w:sz w:val="20"/>
    </w:rPr>
  </w:style>
  <w:style w:type="paragraph" w:customStyle="1" w:styleId="95">
    <w:name w:val="Default"/>
    <w:uiPriority w:val="0"/>
    <w:pPr>
      <w:widowControl w:val="0"/>
      <w:autoSpaceDE w:val="0"/>
      <w:autoSpaceDN w:val="0"/>
      <w:adjustRightInd w:val="0"/>
    </w:pPr>
    <w:rPr>
      <w:rFonts w:ascii="宋体" w:hAnsi="Times New Roman"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6464B5-CB3B-4E2D-A1ED-BE71FAE7EC2E}">
  <ds:schemaRefs/>
</ds:datastoreItem>
</file>

<file path=docProps/app.xml><?xml version="1.0" encoding="utf-8"?>
<Properties xmlns="http://schemas.openxmlformats.org/officeDocument/2006/extended-properties" xmlns:vt="http://schemas.openxmlformats.org/officeDocument/2006/docPropsVTypes">
  <Template>Normal</Template>
  <Pages>53</Pages>
  <Words>3733</Words>
  <Characters>21281</Characters>
  <Lines>177</Lines>
  <Paragraphs>49</Paragraphs>
  <TotalTime>2</TotalTime>
  <ScaleCrop>false</ScaleCrop>
  <LinksUpToDate>false</LinksUpToDate>
  <CharactersWithSpaces>24965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2019-03-22T03:17:00Z</dcterms:created>
  <dc:creator>年越</dc:creator>
  <cp:lastModifiedBy>杨然</cp:lastModifiedBy>
  <cp:lastPrinted>2016-09-09T07:12:00Z</cp:lastPrinted>
  <dcterms:modified xsi:type="dcterms:W3CDTF">2019-04-18T05:36:23Z</dcterms:modified>
  <dc:title>招标编号：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