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page" w:horzAnchor="page" w:tblpX="1842" w:tblpY="1778"/>
        <w:tblOverlap w:val="never"/>
        <w:tblW w:w="8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810"/>
        <w:gridCol w:w="1470"/>
        <w:gridCol w:w="414"/>
        <w:gridCol w:w="635"/>
        <w:gridCol w:w="2"/>
        <w:gridCol w:w="1256"/>
        <w:gridCol w:w="2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exact"/>
        </w:trPr>
        <w:tc>
          <w:tcPr>
            <w:tcW w:w="1974" w:type="dxa"/>
            <w:gridSpan w:val="2"/>
            <w:vMerge w:val="restart"/>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rPr>
              <w:br w:type="page"/>
            </w:r>
            <w:r>
              <w:rPr>
                <w:rFonts w:hint="eastAsia" w:ascii="华文楷体" w:hAnsi="华文楷体" w:eastAsia="华文楷体" w:cs="华文楷体"/>
                <w:sz w:val="24"/>
                <w:szCs w:val="24"/>
              </w:rPr>
              <w:drawing>
                <wp:inline distT="0" distB="0" distL="114300" distR="114300">
                  <wp:extent cx="657225" cy="657225"/>
                  <wp:effectExtent l="0" t="0" r="9525"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4"/>
                          <a:stretch>
                            <a:fillRect/>
                          </a:stretch>
                        </pic:blipFill>
                        <pic:spPr>
                          <a:xfrm>
                            <a:off x="0" y="0"/>
                            <a:ext cx="657225" cy="657225"/>
                          </a:xfrm>
                          <a:prstGeom prst="rect">
                            <a:avLst/>
                          </a:prstGeom>
                          <a:noFill/>
                          <a:ln>
                            <a:noFill/>
                          </a:ln>
                        </pic:spPr>
                      </pic:pic>
                    </a:graphicData>
                  </a:graphic>
                </wp:inline>
              </w:drawing>
            </w:r>
          </w:p>
        </w:tc>
        <w:tc>
          <w:tcPr>
            <w:tcW w:w="6586" w:type="dxa"/>
            <w:gridSpan w:val="6"/>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中国建筑项目管理表格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exact"/>
        </w:trPr>
        <w:tc>
          <w:tcPr>
            <w:tcW w:w="1974" w:type="dxa"/>
            <w:gridSpan w:val="2"/>
            <w:vMerge w:val="continue"/>
            <w:vAlign w:val="center"/>
          </w:tcPr>
          <w:p>
            <w:pPr>
              <w:widowControl w:val="0"/>
              <w:jc w:val="center"/>
              <w:rPr>
                <w:rFonts w:hint="eastAsia" w:ascii="华文楷体" w:hAnsi="华文楷体" w:eastAsia="华文楷体" w:cs="华文楷体"/>
                <w:sz w:val="24"/>
                <w:szCs w:val="24"/>
              </w:rPr>
            </w:pPr>
          </w:p>
        </w:tc>
        <w:tc>
          <w:tcPr>
            <w:tcW w:w="6586" w:type="dxa"/>
            <w:gridSpan w:val="6"/>
            <w:vMerge w:val="restart"/>
            <w:vAlign w:val="center"/>
          </w:tcPr>
          <w:p>
            <w:pPr>
              <w:widowControl w:val="0"/>
              <w:jc w:val="center"/>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sz w:val="24"/>
                <w:szCs w:val="24"/>
                <w:lang w:val="en-US" w:eastAsia="zh-CN"/>
              </w:rPr>
              <w:t>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974" w:type="dxa"/>
            <w:gridSpan w:val="2"/>
            <w:vMerge w:val="continue"/>
            <w:vAlign w:val="center"/>
          </w:tcPr>
          <w:p>
            <w:pPr>
              <w:widowControl w:val="0"/>
              <w:jc w:val="center"/>
              <w:rPr>
                <w:rFonts w:hint="eastAsia" w:ascii="华文楷体" w:hAnsi="华文楷体" w:eastAsia="华文楷体" w:cs="华文楷体"/>
                <w:sz w:val="24"/>
                <w:szCs w:val="24"/>
              </w:rPr>
            </w:pPr>
          </w:p>
        </w:tc>
        <w:tc>
          <w:tcPr>
            <w:tcW w:w="6586" w:type="dxa"/>
            <w:gridSpan w:val="6"/>
            <w:vMerge w:val="continue"/>
            <w:vAlign w:val="center"/>
          </w:tcPr>
          <w:p>
            <w:pPr>
              <w:widowControl w:val="0"/>
              <w:jc w:val="center"/>
              <w:rPr>
                <w:rFonts w:hint="eastAsia" w:ascii="华文楷体" w:hAnsi="华文楷体" w:eastAsia="华文楷体" w:cs="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exact"/>
        </w:trPr>
        <w:tc>
          <w:tcPr>
            <w:tcW w:w="1164" w:type="dxa"/>
            <w:vAlign w:val="center"/>
          </w:tcPr>
          <w:p>
            <w:pPr>
              <w:widowControl w:val="0"/>
              <w:spacing w:before="100" w:beforeAutospacing="1" w:after="100" w:afterAutospacing="1"/>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项目名称</w:t>
            </w:r>
          </w:p>
        </w:tc>
        <w:tc>
          <w:tcPr>
            <w:tcW w:w="7396" w:type="dxa"/>
            <w:gridSpan w:val="7"/>
            <w:vAlign w:val="center"/>
          </w:tcPr>
          <w:p>
            <w:pPr>
              <w:pStyle w:val="11"/>
              <w:spacing w:line="360" w:lineRule="auto"/>
              <w:jc w:val="center"/>
              <w:rPr>
                <w:rFonts w:hint="default" w:ascii="华文楷体" w:hAnsi="华文楷体" w:eastAsia="华文楷体" w:cs="华文楷体"/>
                <w:lang w:val="en-US" w:eastAsia="zh-CN"/>
              </w:rPr>
            </w:pPr>
            <w:r>
              <w:rPr>
                <w:rFonts w:hint="eastAsia" w:ascii="华文楷体" w:hAnsi="华文楷体" w:eastAsia="华文楷体" w:cs="华文楷体"/>
                <w:color w:val="auto"/>
                <w:kern w:val="2"/>
                <w:sz w:val="24"/>
                <w:szCs w:val="24"/>
                <w:u w:val="none"/>
                <w:lang w:val="en-US" w:eastAsia="zh-CN" w:bidi="ar-SA"/>
              </w:rPr>
              <w:t>潍坊高密二实小碧桂园项目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trPr>
        <w:tc>
          <w:tcPr>
            <w:tcW w:w="8560" w:type="dxa"/>
            <w:gridSpan w:val="8"/>
            <w:vAlign w:val="center"/>
          </w:tcPr>
          <w:p>
            <w:pPr>
              <w:widowControl w:val="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一、主要建设概况描述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trPr>
        <w:tc>
          <w:tcPr>
            <w:tcW w:w="1164" w:type="dxa"/>
            <w:vAlign w:val="center"/>
          </w:tcPr>
          <w:p>
            <w:pPr>
              <w:widowControl w:val="0"/>
              <w:spacing w:before="100" w:beforeAutospacing="1" w:after="100" w:afterAutospacing="1"/>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工程名称</w:t>
            </w:r>
          </w:p>
        </w:tc>
        <w:tc>
          <w:tcPr>
            <w:tcW w:w="3329" w:type="dxa"/>
            <w:gridSpan w:val="4"/>
          </w:tcPr>
          <w:p>
            <w:pPr>
              <w:pStyle w:val="11"/>
              <w:spacing w:line="360" w:lineRule="auto"/>
              <w:jc w:val="center"/>
              <w:rPr>
                <w:rFonts w:hint="eastAsia" w:ascii="华文楷体" w:hAnsi="华文楷体" w:eastAsia="华文楷体" w:cs="华文楷体"/>
                <w:lang w:val="en-US" w:eastAsia="zh-CN"/>
              </w:rPr>
            </w:pPr>
            <w:r>
              <w:rPr>
                <w:rFonts w:hint="eastAsia" w:ascii="华文楷体" w:hAnsi="华文楷体" w:eastAsia="华文楷体" w:cs="华文楷体"/>
                <w:color w:val="auto"/>
                <w:kern w:val="2"/>
                <w:sz w:val="24"/>
                <w:szCs w:val="24"/>
                <w:u w:val="none"/>
                <w:lang w:val="en-US" w:eastAsia="zh-CN" w:bidi="ar-SA"/>
              </w:rPr>
              <w:t>潍坊高密二实小碧桂园总承包工程</w:t>
            </w:r>
          </w:p>
        </w:tc>
        <w:tc>
          <w:tcPr>
            <w:tcW w:w="1258" w:type="dxa"/>
            <w:gridSpan w:val="2"/>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工程地点</w:t>
            </w:r>
          </w:p>
        </w:tc>
        <w:tc>
          <w:tcPr>
            <w:tcW w:w="2809"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color w:val="auto"/>
                <w:kern w:val="2"/>
                <w:sz w:val="24"/>
                <w:szCs w:val="24"/>
                <w:u w:val="none"/>
                <w:lang w:val="en-US" w:eastAsia="zh-CN" w:bidi="ar-SA"/>
              </w:rPr>
              <w:t>山东省潍坊市高密市文昌街与梓潼路交汇处东北角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exact"/>
        </w:trPr>
        <w:tc>
          <w:tcPr>
            <w:tcW w:w="1164" w:type="dxa"/>
            <w:vAlign w:val="center"/>
          </w:tcPr>
          <w:p>
            <w:pPr>
              <w:widowControl w:val="0"/>
              <w:spacing w:before="100" w:beforeAutospacing="1" w:after="100" w:afterAutospacing="1"/>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建设方</w:t>
            </w:r>
          </w:p>
        </w:tc>
        <w:tc>
          <w:tcPr>
            <w:tcW w:w="3329"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楷体" w:hAnsi="华文楷体" w:eastAsia="华文楷体" w:cs="华文楷体"/>
                <w:sz w:val="24"/>
                <w:szCs w:val="24"/>
                <w:u w:val="none"/>
                <w:lang w:val="en-US" w:eastAsia="zh-CN"/>
              </w:rPr>
            </w:pPr>
            <w:r>
              <w:rPr>
                <w:rFonts w:hint="eastAsia" w:ascii="华文楷体" w:hAnsi="华文楷体" w:eastAsia="华文楷体" w:cs="华文楷体"/>
                <w:sz w:val="24"/>
                <w:szCs w:val="24"/>
                <w:u w:val="none"/>
                <w:lang w:val="en-US" w:eastAsia="zh-CN"/>
              </w:rPr>
              <w:t>高密市新碧房地产开发有限公司</w:t>
            </w:r>
          </w:p>
          <w:p>
            <w:pPr>
              <w:widowControl w:val="0"/>
              <w:jc w:val="center"/>
              <w:rPr>
                <w:rFonts w:hint="eastAsia" w:ascii="华文楷体" w:hAnsi="华文楷体" w:eastAsia="华文楷体" w:cs="华文楷体"/>
                <w:sz w:val="24"/>
                <w:szCs w:val="24"/>
              </w:rPr>
            </w:pPr>
          </w:p>
        </w:tc>
        <w:tc>
          <w:tcPr>
            <w:tcW w:w="1258" w:type="dxa"/>
            <w:gridSpan w:val="2"/>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设计单位</w:t>
            </w:r>
          </w:p>
        </w:tc>
        <w:tc>
          <w:tcPr>
            <w:tcW w:w="2809" w:type="dxa"/>
            <w:vAlign w:val="center"/>
          </w:tcPr>
          <w:p>
            <w:pPr>
              <w:widowControl w:val="0"/>
              <w:jc w:val="center"/>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广东博意建筑设计院有限公司</w:t>
            </w:r>
          </w:p>
          <w:p>
            <w:pPr>
              <w:widowControl w:val="0"/>
              <w:jc w:val="center"/>
              <w:rPr>
                <w:rFonts w:hint="eastAsia" w:ascii="华文楷体" w:hAnsi="华文楷体" w:eastAsia="华文楷体" w:cs="华文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trPr>
        <w:tc>
          <w:tcPr>
            <w:tcW w:w="1164" w:type="dxa"/>
            <w:vAlign w:val="center"/>
          </w:tcPr>
          <w:p>
            <w:pPr>
              <w:widowControl w:val="0"/>
              <w:spacing w:before="100" w:beforeAutospacing="1" w:after="100" w:afterAutospacing="1"/>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监理单位</w:t>
            </w:r>
          </w:p>
        </w:tc>
        <w:tc>
          <w:tcPr>
            <w:tcW w:w="3329" w:type="dxa"/>
            <w:gridSpan w:val="4"/>
            <w:vAlign w:val="center"/>
          </w:tcPr>
          <w:p>
            <w:pPr>
              <w:widowControl w:val="0"/>
              <w:jc w:val="both"/>
              <w:rPr>
                <w:rFonts w:hint="eastAsia" w:ascii="华文楷体" w:hAnsi="华文楷体" w:eastAsia="华文楷体" w:cs="华文楷体"/>
                <w:sz w:val="24"/>
                <w:szCs w:val="24"/>
              </w:rPr>
            </w:pPr>
            <w:r>
              <w:rPr>
                <w:rFonts w:hint="eastAsia" w:ascii="华文楷体" w:hAnsi="华文楷体" w:eastAsia="华文楷体" w:cs="华文楷体"/>
                <w:sz w:val="24"/>
                <w:szCs w:val="24"/>
                <w:u w:val="none"/>
                <w:lang w:val="en-US" w:eastAsia="zh-CN"/>
              </w:rPr>
              <w:t>潍坊天鹏建设监理有限公司</w:t>
            </w:r>
          </w:p>
        </w:tc>
        <w:tc>
          <w:tcPr>
            <w:tcW w:w="1258" w:type="dxa"/>
            <w:gridSpan w:val="2"/>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总承包单位</w:t>
            </w:r>
          </w:p>
        </w:tc>
        <w:tc>
          <w:tcPr>
            <w:tcW w:w="2809"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u w:val="none"/>
              </w:rPr>
              <w:t>中国建筑第二工程局有限公司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trPr>
        <w:tc>
          <w:tcPr>
            <w:tcW w:w="1164"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工程类型</w:t>
            </w:r>
          </w:p>
        </w:tc>
        <w:tc>
          <w:tcPr>
            <w:tcW w:w="7396" w:type="dxa"/>
            <w:gridSpan w:val="7"/>
            <w:vAlign w:val="center"/>
          </w:tcPr>
          <w:p>
            <w:pPr>
              <w:widowControl w:val="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□公建□工业</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住宅□市政</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公路□其他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exact"/>
        </w:trPr>
        <w:tc>
          <w:tcPr>
            <w:tcW w:w="1164"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投资性质</w:t>
            </w:r>
          </w:p>
        </w:tc>
        <w:tc>
          <w:tcPr>
            <w:tcW w:w="7396" w:type="dxa"/>
            <w:gridSpan w:val="7"/>
            <w:vAlign w:val="center"/>
          </w:tcPr>
          <w:p>
            <w:pPr>
              <w:widowControl w:val="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□政府□BT□外资□合资</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民营□其他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trPr>
        <w:tc>
          <w:tcPr>
            <w:tcW w:w="1164"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主要用途</w:t>
            </w:r>
          </w:p>
        </w:tc>
        <w:tc>
          <w:tcPr>
            <w:tcW w:w="7396" w:type="dxa"/>
            <w:gridSpan w:val="7"/>
            <w:vAlign w:val="center"/>
          </w:tcPr>
          <w:p>
            <w:pPr>
              <w:widowControl w:val="0"/>
              <w:jc w:val="left"/>
              <w:rPr>
                <w:rFonts w:hint="eastAsia" w:ascii="华文楷体" w:hAnsi="华文楷体" w:eastAsia="华文楷体" w:cs="华文楷体"/>
                <w:color w:val="000000"/>
                <w:sz w:val="24"/>
                <w:szCs w:val="24"/>
                <w:lang w:val="en-US" w:eastAsia="zh-CN"/>
              </w:rPr>
            </w:pPr>
            <w:r>
              <w:rPr>
                <w:rFonts w:hint="eastAsia" w:ascii="华文楷体" w:hAnsi="华文楷体" w:eastAsia="华文楷体" w:cs="华文楷体"/>
                <w:color w:val="000000"/>
                <w:sz w:val="24"/>
                <w:szCs w:val="24"/>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trPr>
        <w:tc>
          <w:tcPr>
            <w:tcW w:w="1164" w:type="dxa"/>
            <w:vAlign w:val="center"/>
          </w:tcPr>
          <w:p>
            <w:pPr>
              <w:widowControl w:val="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结构类型</w:t>
            </w:r>
          </w:p>
        </w:tc>
        <w:tc>
          <w:tcPr>
            <w:tcW w:w="7396" w:type="dxa"/>
            <w:gridSpan w:val="7"/>
            <w:vAlign w:val="center"/>
          </w:tcPr>
          <w:p>
            <w:pPr>
              <w:widowControl w:val="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框架</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框剪□框筒□筒中筒</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钢结构</w:t>
            </w:r>
            <w:r>
              <w:rPr>
                <w:rFonts w:hint="eastAsia" w:ascii="华文楷体" w:hAnsi="华文楷体" w:eastAsia="华文楷体" w:cs="华文楷体"/>
                <w:sz w:val="24"/>
                <w:szCs w:val="24"/>
                <w:lang w:eastAsia="zh-CN"/>
              </w:rPr>
              <w:t>□</w:t>
            </w:r>
            <w:r>
              <w:rPr>
                <w:rFonts w:hint="eastAsia" w:ascii="华文楷体" w:hAnsi="华文楷体" w:eastAsia="华文楷体" w:cs="华文楷体"/>
                <w:sz w:val="24"/>
                <w:szCs w:val="24"/>
              </w:rPr>
              <w:t>剪力墙□其他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trPr>
        <w:tc>
          <w:tcPr>
            <w:tcW w:w="1164" w:type="dxa"/>
            <w:vAlign w:val="center"/>
          </w:tcPr>
          <w:p>
            <w:pPr>
              <w:pStyle w:val="11"/>
              <w:jc w:val="center"/>
              <w:rPr>
                <w:rFonts w:hint="eastAsia" w:ascii="华文楷体" w:hAnsi="华文楷体" w:eastAsia="华文楷体" w:cs="华文楷体"/>
              </w:rPr>
            </w:pPr>
            <w:r>
              <w:rPr>
                <w:rFonts w:hint="eastAsia" w:ascii="华文楷体" w:hAnsi="华文楷体" w:eastAsia="华文楷体" w:cs="华文楷体"/>
              </w:rPr>
              <w:t>占地面积（㎡）</w:t>
            </w:r>
          </w:p>
        </w:tc>
        <w:tc>
          <w:tcPr>
            <w:tcW w:w="7396" w:type="dxa"/>
            <w:gridSpan w:val="7"/>
            <w:vAlign w:val="center"/>
          </w:tcPr>
          <w:p>
            <w:pPr>
              <w:widowControl w:val="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39066.66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exact"/>
        </w:trPr>
        <w:tc>
          <w:tcPr>
            <w:tcW w:w="1164"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建筑面积</w:t>
            </w:r>
          </w:p>
        </w:tc>
        <w:tc>
          <w:tcPr>
            <w:tcW w:w="7396" w:type="dxa"/>
            <w:gridSpan w:val="7"/>
            <w:vAlign w:val="center"/>
          </w:tcPr>
          <w:p>
            <w:pPr>
              <w:widowControl w:val="0"/>
              <w:jc w:val="left"/>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rPr>
              <w:t>133196.28㎡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exact"/>
        </w:trPr>
        <w:tc>
          <w:tcPr>
            <w:tcW w:w="1164"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建筑高度</w:t>
            </w:r>
          </w:p>
        </w:tc>
        <w:tc>
          <w:tcPr>
            <w:tcW w:w="7396" w:type="dxa"/>
            <w:gridSpan w:val="7"/>
            <w:vAlign w:val="center"/>
          </w:tcPr>
          <w:p>
            <w:pPr>
              <w:pStyle w:val="2"/>
              <w:ind w:left="0" w:leftChars="0" w:firstLine="0" w:firstLineChars="0"/>
              <w:rPr>
                <w:rFonts w:hint="eastAsia" w:ascii="华文楷体" w:hAnsi="华文楷体" w:eastAsia="华文楷体" w:cs="华文楷体"/>
                <w:kern w:val="2"/>
                <w:sz w:val="24"/>
                <w:szCs w:val="24"/>
                <w:lang w:val="en-US" w:eastAsia="zh-CN" w:bidi="ar-SA"/>
              </w:rPr>
            </w:pPr>
            <w:r>
              <w:rPr>
                <w:rFonts w:hint="eastAsia" w:ascii="华文楷体" w:hAnsi="华文楷体" w:eastAsia="华文楷体" w:cs="华文楷体"/>
                <w:kern w:val="2"/>
                <w:sz w:val="24"/>
                <w:szCs w:val="24"/>
                <w:lang w:val="en-US" w:eastAsia="zh-CN" w:bidi="ar-SA"/>
              </w:rPr>
              <w:t>34层101米，24层74.05米，18层85.84，16层55.59，2层9米</w:t>
            </w:r>
          </w:p>
          <w:p>
            <w:pPr>
              <w:pStyle w:val="2"/>
              <w:ind w:left="0" w:leftChars="0" w:firstLine="0" w:firstLineChars="0"/>
              <w:rPr>
                <w:rFonts w:hint="eastAsia" w:ascii="华文楷体" w:hAnsi="华文楷体" w:eastAsia="华文楷体" w:cs="华文楷体"/>
                <w:lang w:val="en-US" w:eastAsia="zh-CN"/>
              </w:rPr>
            </w:pPr>
          </w:p>
          <w:p>
            <w:pPr>
              <w:pStyle w:val="2"/>
              <w:ind w:left="0" w:leftChars="0" w:firstLine="0" w:firstLineChars="0"/>
              <w:rPr>
                <w:rFonts w:hint="eastAsia" w:ascii="华文楷体" w:hAnsi="华文楷体" w:eastAsia="华文楷体" w:cs="华文楷体"/>
                <w:lang w:val="en-US" w:eastAsia="zh-CN"/>
              </w:rPr>
            </w:pPr>
          </w:p>
          <w:p>
            <w:pPr>
              <w:pStyle w:val="2"/>
              <w:ind w:left="0" w:leftChars="0" w:firstLine="0" w:firstLineChars="0"/>
              <w:rPr>
                <w:rFonts w:hint="eastAsia" w:ascii="华文楷体" w:hAnsi="华文楷体" w:eastAsia="华文楷体" w:cs="华文楷体"/>
                <w:lang w:val="en-US" w:eastAsia="zh-CN"/>
              </w:rPr>
            </w:pPr>
          </w:p>
          <w:p>
            <w:pPr>
              <w:pStyle w:val="2"/>
              <w:ind w:left="0" w:leftChars="0" w:firstLine="0" w:firstLineChars="0"/>
              <w:rPr>
                <w:rFonts w:hint="eastAsia" w:ascii="华文楷体" w:hAnsi="华文楷体" w:eastAsia="华文楷体" w:cs="华文楷体"/>
                <w:lang w:val="en-US" w:eastAsia="zh-CN"/>
              </w:rPr>
            </w:pPr>
            <w:r>
              <w:rPr>
                <w:rFonts w:hint="eastAsia" w:ascii="华文楷体" w:hAnsi="华文楷体" w:eastAsia="华文楷体" w:cs="华文楷体"/>
                <w:color w:val="FF0000"/>
                <w:sz w:val="24"/>
                <w:szCs w:val="24"/>
                <w:lang w:val="en-US" w:eastAsia="zh-CN"/>
              </w:rPr>
              <w:t>99米9米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6" w:hRule="exact"/>
        </w:trPr>
        <w:tc>
          <w:tcPr>
            <w:tcW w:w="1164"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建筑层数</w:t>
            </w:r>
          </w:p>
        </w:tc>
        <w:tc>
          <w:tcPr>
            <w:tcW w:w="228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华文楷体" w:hAnsi="华文楷体" w:eastAsia="华文楷体" w:cs="华文楷体"/>
                <w:color w:val="000000"/>
                <w:sz w:val="24"/>
                <w:szCs w:val="24"/>
              </w:rPr>
            </w:pPr>
            <w:r>
              <w:rPr>
                <w:rFonts w:hint="eastAsia" w:ascii="华文楷体" w:hAnsi="华文楷体" w:eastAsia="华文楷体" w:cs="华文楷体"/>
                <w:kern w:val="2"/>
                <w:sz w:val="24"/>
                <w:szCs w:val="24"/>
                <w:lang w:val="en-US" w:eastAsia="zh-CN" w:bidi="ar-SA"/>
              </w:rPr>
              <w:t>包含3栋34层，1栋16F，1栋24层，3栋18层，1栋综合楼2F</w:t>
            </w:r>
          </w:p>
        </w:tc>
        <w:tc>
          <w:tcPr>
            <w:tcW w:w="1051" w:type="dxa"/>
            <w:gridSpan w:val="3"/>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建筑层高</w:t>
            </w:r>
          </w:p>
        </w:tc>
        <w:tc>
          <w:tcPr>
            <w:tcW w:w="4065" w:type="dxa"/>
            <w:gridSpan w:val="2"/>
            <w:vAlign w:val="center"/>
          </w:tcPr>
          <w:p>
            <w:pPr>
              <w:widowControl w:val="0"/>
              <w:jc w:val="center"/>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3.9米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exact"/>
        </w:trPr>
        <w:tc>
          <w:tcPr>
            <w:tcW w:w="1164"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总工期</w:t>
            </w:r>
          </w:p>
        </w:tc>
        <w:tc>
          <w:tcPr>
            <w:tcW w:w="7396" w:type="dxa"/>
            <w:gridSpan w:val="7"/>
            <w:vAlign w:val="center"/>
          </w:tcPr>
          <w:p>
            <w:pPr>
              <w:widowControl w:val="0"/>
              <w:jc w:val="center"/>
              <w:rPr>
                <w:rFonts w:hint="eastAsia" w:ascii="华文楷体" w:hAnsi="华文楷体" w:eastAsia="华文楷体" w:cs="华文楷体"/>
                <w:sz w:val="24"/>
                <w:szCs w:val="24"/>
                <w:lang w:val="en-US" w:eastAsia="zh-CN"/>
              </w:rPr>
            </w:pPr>
            <w:bookmarkStart w:id="0" w:name="_GoBack"/>
            <w:bookmarkEnd w:id="0"/>
            <w:r>
              <w:rPr>
                <w:rFonts w:hint="eastAsia" w:ascii="华文楷体" w:hAnsi="华文楷体" w:eastAsia="华文楷体" w:cs="华文楷体"/>
                <w:sz w:val="24"/>
                <w:szCs w:val="24"/>
                <w:lang w:val="en-US" w:eastAsia="zh-CN"/>
              </w:rPr>
              <w:t>778天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1164" w:type="dxa"/>
            <w:vAlign w:val="center"/>
          </w:tcPr>
          <w:p>
            <w:pPr>
              <w:widowControl w:val="0"/>
              <w:jc w:val="center"/>
              <w:rPr>
                <w:rFonts w:hint="eastAsia" w:ascii="华文楷体" w:hAnsi="华文楷体" w:eastAsia="华文楷体" w:cs="华文楷体"/>
                <w:sz w:val="24"/>
                <w:szCs w:val="24"/>
                <w:highlight w:val="yellow"/>
              </w:rPr>
            </w:pPr>
            <w:r>
              <w:rPr>
                <w:rFonts w:hint="eastAsia" w:ascii="华文楷体" w:hAnsi="华文楷体" w:eastAsia="华文楷体" w:cs="华文楷体"/>
                <w:sz w:val="24"/>
                <w:szCs w:val="24"/>
              </w:rPr>
              <w:t>开工日期</w:t>
            </w:r>
          </w:p>
        </w:tc>
        <w:tc>
          <w:tcPr>
            <w:tcW w:w="2694" w:type="dxa"/>
            <w:gridSpan w:val="3"/>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2019年6月15</w:t>
            </w:r>
          </w:p>
        </w:tc>
        <w:tc>
          <w:tcPr>
            <w:tcW w:w="1893" w:type="dxa"/>
            <w:gridSpan w:val="3"/>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竣工日期</w:t>
            </w:r>
          </w:p>
        </w:tc>
        <w:tc>
          <w:tcPr>
            <w:tcW w:w="2809" w:type="dxa"/>
            <w:vAlign w:val="center"/>
          </w:tcPr>
          <w:p>
            <w:pPr>
              <w:widowControl w:val="0"/>
              <w:jc w:val="center"/>
              <w:rPr>
                <w:rFonts w:hint="eastAsia" w:ascii="华文楷体" w:hAnsi="华文楷体" w:eastAsia="华文楷体" w:cs="华文楷体"/>
                <w:sz w:val="24"/>
                <w:szCs w:val="24"/>
              </w:rPr>
            </w:pPr>
            <w:r>
              <w:rPr>
                <w:rFonts w:hint="eastAsia" w:ascii="华文楷体" w:hAnsi="华文楷体" w:eastAsia="华文楷体" w:cs="华文楷体"/>
                <w:sz w:val="24"/>
                <w:szCs w:val="24"/>
              </w:rPr>
              <w:t>2021.08.01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exact"/>
        </w:trPr>
        <w:tc>
          <w:tcPr>
            <w:tcW w:w="8560" w:type="dxa"/>
            <w:gridSpan w:val="8"/>
            <w:vAlign w:val="center"/>
          </w:tcPr>
          <w:p>
            <w:pPr>
              <w:widowControl w:val="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二、主要建筑概况描述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exact"/>
        </w:trPr>
        <w:tc>
          <w:tcPr>
            <w:tcW w:w="8560" w:type="dxa"/>
            <w:gridSpan w:val="8"/>
            <w:vAlign w:val="center"/>
          </w:tcPr>
          <w:p>
            <w:pPr>
              <w:widowControl w:val="0"/>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潍坊高密二实小碧桂园项目位于山东省潍坊市高密市文昌街和梓潼路交汇处东北角，总建筑面积约13.3万㎡，其中地上约10.85万㎡，地下约2.45万㎡。</w:t>
            </w:r>
          </w:p>
        </w:tc>
      </w:tr>
    </w:tbl>
    <w:p>
      <w:pPr>
        <w:rPr>
          <w:rFonts w:hint="default" w:eastAsia="宋体"/>
          <w:lang w:val="en-US" w:eastAsia="zh-CN"/>
        </w:rPr>
      </w:pPr>
      <w:r>
        <w:rPr>
          <w:rFonts w:hint="eastAsia" w:ascii="华文楷体" w:hAnsi="华文楷体" w:eastAsia="华文楷体" w:cs="华文楷体"/>
          <w:lang w:val="en-US" w:eastAsia="zh-CN"/>
        </w:rPr>
        <w:t>附件2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imes New Ro?an">
    <w:altName w:val="Times New Roman"/>
    <w:panose1 w:val="00000000000000000000"/>
    <w:charset w:val="00"/>
    <w:family w:val="auto"/>
    <w:pitch w:val="default"/>
    <w:sig w:usb0="00000000" w:usb1="00000000" w:usb2="00000000" w:usb3="00000000" w:csb0="0000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F271F6"/>
    <w:rsid w:val="0E386A59"/>
    <w:rsid w:val="1117138B"/>
    <w:rsid w:val="13F271F6"/>
    <w:rsid w:val="16A50C95"/>
    <w:rsid w:val="1EAA7875"/>
    <w:rsid w:val="2CCC6943"/>
    <w:rsid w:val="2DB80293"/>
    <w:rsid w:val="2EBF2703"/>
    <w:rsid w:val="3BF10593"/>
    <w:rsid w:val="3CA404C4"/>
    <w:rsid w:val="3E2D598E"/>
    <w:rsid w:val="42D246CF"/>
    <w:rsid w:val="45494B25"/>
    <w:rsid w:val="5D1B6271"/>
    <w:rsid w:val="5E487AF1"/>
    <w:rsid w:val="687C694F"/>
    <w:rsid w:val="7AC14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customStyle="1" w:styleId="2">
    <w:name w:val="样式 宋体 + 首行缩进:  2 字符"/>
    <w:basedOn w:val="3"/>
    <w:qFormat/>
    <w:uiPriority w:val="0"/>
    <w:pPr>
      <w:ind w:firstLine="560"/>
      <w:jc w:val="left"/>
    </w:pPr>
    <w:rPr>
      <w:rFonts w:cs="宋体"/>
    </w:rPr>
  </w:style>
  <w:style w:type="paragraph" w:customStyle="1" w:styleId="3">
    <w:name w:val="1111"/>
    <w:basedOn w:val="4"/>
    <w:qFormat/>
    <w:uiPriority w:val="0"/>
    <w:rPr>
      <w:sz w:val="28"/>
    </w:rPr>
  </w:style>
  <w:style w:type="paragraph" w:customStyle="1" w:styleId="4">
    <w:name w:val="正文文字"/>
    <w:basedOn w:val="5"/>
    <w:qFormat/>
    <w:uiPriority w:val="99"/>
    <w:pPr>
      <w:spacing w:line="360" w:lineRule="auto"/>
    </w:pPr>
    <w:rPr>
      <w:rFonts w:ascii="宋体"/>
    </w:rPr>
  </w:style>
  <w:style w:type="paragraph" w:styleId="5">
    <w:name w:val="Body Text"/>
    <w:basedOn w:val="1"/>
    <w:qFormat/>
    <w:uiPriority w:val="0"/>
    <w:pPr>
      <w:widowControl w:val="0"/>
      <w:spacing w:after="120"/>
    </w:pPr>
    <w:rPr>
      <w:rFonts w:ascii="Calibri" w:hAnsi="Calibri"/>
      <w:kern w:val="0"/>
      <w:sz w:val="20"/>
      <w:szCs w:val="20"/>
    </w:rPr>
  </w:style>
  <w:style w:type="paragraph" w:styleId="6">
    <w:name w:val="Body Text Indent 2"/>
    <w:basedOn w:val="1"/>
    <w:qFormat/>
    <w:uiPriority w:val="0"/>
    <w:pPr>
      <w:widowControl w:val="0"/>
      <w:spacing w:after="120" w:line="480" w:lineRule="auto"/>
      <w:ind w:left="420" w:leftChars="200"/>
    </w:pPr>
    <w:rPr>
      <w:rFonts w:ascii="Calibri" w:hAnsi="Calibri"/>
      <w:sz w:val="22"/>
      <w:szCs w:val="22"/>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2">
    <w:name w:val="表文字"/>
    <w:basedOn w:val="1"/>
    <w:qFormat/>
    <w:uiPriority w:val="0"/>
    <w:pPr>
      <w:widowControl w:val="0"/>
      <w:overflowPunct w:val="0"/>
      <w:autoSpaceDE w:val="0"/>
      <w:autoSpaceDN w:val="0"/>
      <w:adjustRightInd w:val="0"/>
      <w:spacing w:line="240" w:lineRule="atLeast"/>
    </w:pPr>
    <w:rPr>
      <w:rFonts w:ascii="Times New Ro?an" w:hAnsi="Times New Ro?an" w:eastAsia="仿宋_GB2312"/>
      <w:kern w:val="0"/>
      <w:szCs w:val="20"/>
    </w:rPr>
  </w:style>
  <w:style w:type="paragraph" w:customStyle="1" w:styleId="13">
    <w:name w:val="表格格式"/>
    <w:basedOn w:val="1"/>
    <w:qFormat/>
    <w:uiPriority w:val="0"/>
    <w:pPr>
      <w:widowControl w:val="0"/>
      <w:jc w:val="left"/>
    </w:pPr>
    <w:rPr>
      <w:rFonts w:ascii="宋体" w:hAnsi="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371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2019-04-08T02:31:00Z</dcterms:created>
  <dc:creator>悦小妞</dc:creator>
  <cp:lastModifiedBy>若然然然然然</cp:lastModifiedBy>
  <cp:lastPrinted>2019-07-15T09:34:00Z</cp:lastPrinted>
  <dcterms:modified xsi:type="dcterms:W3CDTF">2019-07-27T02:38:11Z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