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中建八局总承包公司招标公告</w:t>
      </w:r>
    </w:p>
    <w:p>
      <w:pPr>
        <w:spacing w:after="312" w:afterLines="100" w:line="360" w:lineRule="auto"/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（2020）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你必须知道的信息：</w:t>
      </w:r>
    </w:p>
    <w:p>
      <w:pPr>
        <w:pStyle w:val="18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工程名称：萧山机场三期机电安装项目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              工程地点：浙江杭州萧山区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招标名称：矿物电缆           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招标数量：详见清单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  <w:highlight w:val="yellow"/>
        </w:rPr>
      </w:pPr>
      <w:r>
        <w:rPr>
          <w:rFonts w:hint="eastAsia" w:ascii="宋体" w:hAnsi="宋体"/>
          <w:szCs w:val="21"/>
          <w:highlight w:val="yellow"/>
        </w:rPr>
        <w:t>招标品牌：</w:t>
      </w:r>
      <w:r>
        <w:rPr>
          <w:rFonts w:hint="eastAsia" w:ascii="宋体" w:hAnsi="宋体" w:cs="宋体"/>
          <w:color w:val="000000"/>
          <w:highlight w:val="yellow"/>
        </w:rPr>
        <w:t>浙江万马、江苏东峰、江苏宝胜、江苏亨通、上海胜华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付款方式：无预付款，货到工地验收合格并提供正规增值税专用发票后60天付80%，竣工验收合格，结算后付至结算总价的95%，质保金5%无息保留两年，到时一次性结清。</w:t>
      </w:r>
    </w:p>
    <w:p>
      <w:pPr>
        <w:pStyle w:val="19"/>
        <w:tabs>
          <w:tab w:val="left" w:pos="420"/>
        </w:tabs>
        <w:spacing w:line="360" w:lineRule="auto"/>
        <w:ind w:left="425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（当招标公告和招标清单付款方式不一致时，以招标清单为准。）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报名方式：通过“云筑网”（网址https://www.yzw.cn）上进行报名，不接受其他方式报名。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</w:t>
      </w:r>
      <w:r>
        <w:rPr>
          <w:rFonts w:hint="eastAsia" w:ascii="宋体" w:hAnsi="宋体"/>
          <w:color w:val="FF0000"/>
          <w:szCs w:val="21"/>
        </w:rPr>
        <w:t>截止2020 年6月3日1</w:t>
      </w:r>
      <w:r>
        <w:rPr>
          <w:rFonts w:hint="eastAsia" w:ascii="宋体" w:hAnsi="宋体"/>
          <w:color w:val="FF0000"/>
          <w:szCs w:val="21"/>
          <w:lang w:val="en-US" w:eastAsia="zh-CN"/>
        </w:rPr>
        <w:t>4</w:t>
      </w:r>
      <w:r>
        <w:rPr>
          <w:rFonts w:hint="eastAsia" w:ascii="宋体" w:hAnsi="宋体"/>
          <w:color w:val="FF0000"/>
          <w:szCs w:val="21"/>
        </w:rPr>
        <w:t>：00</w:t>
      </w:r>
      <w:r>
        <w:rPr>
          <w:rFonts w:hint="eastAsia" w:ascii="宋体" w:hAnsi="宋体"/>
          <w:szCs w:val="21"/>
        </w:rPr>
        <w:t>，逾期不再接受投标单位的报名。</w:t>
      </w:r>
    </w:p>
    <w:p>
      <w:pPr>
        <w:pStyle w:val="19"/>
        <w:numPr>
          <w:ilvl w:val="0"/>
          <w:numId w:val="3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预发招标文件时间：云筑网平台将短信告知投标人是否通过资格预审，对通</w:t>
      </w:r>
      <w:bookmarkStart w:id="0" w:name="_GoBack"/>
      <w:bookmarkEnd w:id="0"/>
      <w:r>
        <w:rPr>
          <w:rFonts w:hint="eastAsia" w:ascii="宋体" w:hAnsi="宋体"/>
          <w:szCs w:val="21"/>
        </w:rPr>
        <w:t>过资格预审的投标人发布招标文件，招标文件发放请自行关注云筑网平台。招标方没有义务特别通知。</w:t>
      </w:r>
    </w:p>
    <w:p>
      <w:pPr>
        <w:pStyle w:val="19"/>
        <w:numPr>
          <w:ilvl w:val="0"/>
          <w:numId w:val="2"/>
        </w:numPr>
        <w:tabs>
          <w:tab w:val="left" w:pos="420"/>
        </w:tabs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报名上传资料要求（不符要求的不予入围）：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b/>
          <w:bCs/>
          <w:color w:val="FF0000"/>
          <w:szCs w:val="21"/>
          <w:highlight w:val="yellow"/>
        </w:rPr>
      </w:pPr>
      <w:r>
        <w:rPr>
          <w:rFonts w:hint="eastAsia" w:ascii="宋体" w:hAnsi="宋体"/>
          <w:color w:val="000000" w:themeColor="text1"/>
          <w:szCs w:val="21"/>
          <w:highlight w:val="yellow"/>
          <w14:textFill>
            <w14:solidFill>
              <w14:schemeClr w14:val="tx1"/>
            </w14:solidFill>
          </w14:textFill>
        </w:rPr>
        <w:t>《供应商资格预审》加盖公章的原件（附件1）:</w:t>
      </w:r>
      <w:r>
        <w:rPr>
          <w:rFonts w:hint="eastAsia" w:ascii="宋体" w:hAnsi="宋体"/>
          <w:b/>
          <w:bCs/>
          <w:color w:val="FF0000"/>
          <w:szCs w:val="21"/>
          <w:highlight w:val="yellow"/>
        </w:rPr>
        <w:t>必须上传(至少列举2个以往工程案例）。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b/>
          <w:bCs/>
          <w:color w:val="FF0000"/>
          <w:szCs w:val="21"/>
          <w:highlight w:val="yellow"/>
        </w:rPr>
      </w:pPr>
      <w:r>
        <w:rPr>
          <w:rFonts w:hint="eastAsia" w:ascii="宋体" w:hAnsi="宋体"/>
          <w:color w:val="000000" w:themeColor="text1"/>
          <w:szCs w:val="21"/>
          <w:highlight w:val="yellow"/>
          <w14:textFill>
            <w14:solidFill>
              <w14:schemeClr w14:val="tx1"/>
            </w14:solidFill>
          </w14:textFill>
        </w:rPr>
        <w:t>法人委托授权书（附件2）：</w:t>
      </w:r>
      <w:r>
        <w:rPr>
          <w:rFonts w:hint="eastAsia" w:ascii="宋体" w:hAnsi="宋体"/>
          <w:b/>
          <w:bCs/>
          <w:color w:val="FF0000"/>
          <w:szCs w:val="21"/>
          <w:highlight w:val="yellow"/>
        </w:rPr>
        <w:t>必须上传（法人直接参与报名也必须填写联系方式等基本信息）。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color w:val="000000" w:themeColor="text1"/>
          <w:szCs w:val="2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yellow"/>
          <w14:textFill>
            <w14:solidFill>
              <w14:schemeClr w14:val="tx1"/>
            </w14:solidFill>
          </w14:textFill>
        </w:rPr>
        <w:t>营业执照：</w:t>
      </w:r>
      <w:r>
        <w:rPr>
          <w:rFonts w:hint="eastAsia" w:ascii="宋体" w:hAnsi="宋体"/>
          <w:b/>
          <w:bCs/>
          <w:color w:val="FF0000"/>
          <w:szCs w:val="21"/>
          <w:highlight w:val="yellow"/>
        </w:rPr>
        <w:t>（必须上传）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产品代理授权书（附件3）：</w:t>
      </w:r>
      <w:r>
        <w:rPr>
          <w:rFonts w:hint="eastAsia" w:ascii="宋体" w:hAnsi="宋体"/>
          <w:color w:val="FF0000"/>
          <w:szCs w:val="21"/>
        </w:rPr>
        <w:t>（选择上传）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税务机关颁发《增值税一般纳税人资格证书》或近三个月内自行开具的增值税税率13%的发票复印件一份或税务网站增值税认定截图</w:t>
      </w:r>
      <w:r>
        <w:rPr>
          <w:rFonts w:hint="eastAsia" w:ascii="宋体" w:hAnsi="宋体"/>
          <w:color w:val="FF0000"/>
          <w:szCs w:val="21"/>
        </w:rPr>
        <w:t>（选择上传）</w:t>
      </w:r>
    </w:p>
    <w:p>
      <w:pPr>
        <w:pStyle w:val="19"/>
        <w:numPr>
          <w:ilvl w:val="0"/>
          <w:numId w:val="4"/>
        </w:numPr>
        <w:tabs>
          <w:tab w:val="left" w:pos="420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请各投标单位务必认真填写并按要求提供相应的证明资料，投标人应保证本表所填内容真实有效，如与事实不符，则取消报名资格或视为无效投标。</w:t>
      </w:r>
    </w:p>
    <w:p>
      <w:pPr>
        <w:pStyle w:val="19"/>
        <w:numPr>
          <w:ilvl w:val="0"/>
          <w:numId w:val="4"/>
        </w:numPr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产品检测报告（复印件需加盖投标人公章）</w:t>
      </w:r>
      <w:r>
        <w:rPr>
          <w:rFonts w:hint="eastAsia" w:ascii="宋体" w:hAnsi="宋体"/>
          <w:color w:val="FF0000"/>
          <w:szCs w:val="21"/>
        </w:rPr>
        <w:t>（选择上传</w:t>
      </w:r>
      <w:r>
        <w:rPr>
          <w:rFonts w:ascii="宋体" w:hAnsi="宋体"/>
          <w:color w:val="FF0000"/>
          <w:szCs w:val="21"/>
        </w:rPr>
        <w:t>）</w:t>
      </w:r>
    </w:p>
    <w:p>
      <w:pPr>
        <w:pStyle w:val="19"/>
        <w:numPr>
          <w:ilvl w:val="0"/>
          <w:numId w:val="4"/>
        </w:numPr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详细说明供货方式和期限、质量保证措施和服务承诺。</w:t>
      </w:r>
      <w:r>
        <w:rPr>
          <w:rFonts w:hint="eastAsia" w:ascii="宋体" w:hAnsi="宋体"/>
          <w:color w:val="FF0000"/>
          <w:szCs w:val="21"/>
        </w:rPr>
        <w:t>（选择上传</w:t>
      </w:r>
      <w:r>
        <w:rPr>
          <w:rFonts w:ascii="宋体" w:hAnsi="宋体"/>
          <w:color w:val="FF0000"/>
          <w:szCs w:val="21"/>
        </w:rPr>
        <w:t>）</w:t>
      </w:r>
    </w:p>
    <w:p>
      <w:pPr>
        <w:pStyle w:val="19"/>
        <w:numPr>
          <w:ilvl w:val="0"/>
          <w:numId w:val="4"/>
        </w:numPr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pStyle w:val="19"/>
        <w:spacing w:before="156" w:beforeLines="50" w:after="156" w:afterLines="50" w:line="360" w:lineRule="auto"/>
        <w:ind w:left="425" w:firstLine="0" w:firstLineChars="0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注意：不上传本公告中必须提供的资料附件，将不被资审通过，无法进入后续投标。</w:t>
      </w:r>
    </w:p>
    <w:p>
      <w:pPr>
        <w:pStyle w:val="19"/>
        <w:numPr>
          <w:ilvl w:val="0"/>
          <w:numId w:val="2"/>
        </w:numPr>
        <w:tabs>
          <w:tab w:val="left" w:pos="420"/>
        </w:tabs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你需要了解的情况：</w:t>
      </w:r>
    </w:p>
    <w:p>
      <w:pPr>
        <w:pStyle w:val="19"/>
        <w:numPr>
          <w:ilvl w:val="0"/>
          <w:numId w:val="5"/>
        </w:numPr>
        <w:tabs>
          <w:tab w:val="left" w:pos="420"/>
        </w:tabs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投标人资格要求：</w:t>
      </w:r>
    </w:p>
    <w:p>
      <w:pPr>
        <w:pStyle w:val="19"/>
        <w:widowControl/>
        <w:numPr>
          <w:ilvl w:val="2"/>
          <w:numId w:val="6"/>
        </w:numPr>
        <w:shd w:val="clear" w:color="auto" w:fill="FFFFFF"/>
        <w:spacing w:line="360" w:lineRule="auto"/>
        <w:ind w:hanging="834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具备法律主体资格，具有独立订立及履行合同的能力。</w:t>
      </w:r>
    </w:p>
    <w:p>
      <w:pPr>
        <w:pStyle w:val="19"/>
        <w:widowControl/>
        <w:numPr>
          <w:ilvl w:val="2"/>
          <w:numId w:val="6"/>
        </w:numPr>
        <w:shd w:val="clear" w:color="auto" w:fill="FFFFFF"/>
        <w:spacing w:line="360" w:lineRule="auto"/>
        <w:ind w:left="851" w:hanging="425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具备国家有关部门、行业或公司要求必须取得的质量、计量、安全、环保认证及其他经营许可；在国家有关部门和行业的监督检查中没有不良记录； </w:t>
      </w:r>
      <w:r>
        <w:rPr>
          <w:rFonts w:ascii="宋体" w:hAnsi="宋体"/>
          <w:szCs w:val="21"/>
        </w:rPr>
        <w:t xml:space="preserve">  </w:t>
      </w:r>
    </w:p>
    <w:p>
      <w:pPr>
        <w:pStyle w:val="19"/>
        <w:widowControl/>
        <w:numPr>
          <w:ilvl w:val="2"/>
          <w:numId w:val="6"/>
        </w:numPr>
        <w:shd w:val="clear" w:color="auto" w:fill="FFFFFF"/>
        <w:spacing w:line="360" w:lineRule="auto"/>
        <w:ind w:hanging="834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具有一定的经营规模和服务能力，投标人的企业注册资本不低于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bCs/>
          <w:color w:val="FF0000"/>
          <w:sz w:val="28"/>
          <w:szCs w:val="28"/>
          <w:u w:val="single"/>
        </w:rPr>
        <w:t>1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 xml:space="preserve">00  </w:t>
      </w:r>
      <w:r>
        <w:rPr>
          <w:rFonts w:hint="eastAsia" w:ascii="宋体" w:hAnsi="宋体"/>
          <w:szCs w:val="21"/>
        </w:rPr>
        <w:t>万元。</w:t>
      </w:r>
    </w:p>
    <w:p>
      <w:pPr>
        <w:pStyle w:val="19"/>
        <w:widowControl/>
        <w:numPr>
          <w:ilvl w:val="2"/>
          <w:numId w:val="6"/>
        </w:numPr>
        <w:shd w:val="clear" w:color="auto" w:fill="FFFFFF"/>
        <w:spacing w:line="360" w:lineRule="auto"/>
        <w:ind w:hanging="834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具有良好的商业信誉和健全的财务会计制度,与中建各分子公司无不良合作记录。</w:t>
      </w:r>
    </w:p>
    <w:p>
      <w:pPr>
        <w:pStyle w:val="19"/>
        <w:widowControl/>
        <w:numPr>
          <w:ilvl w:val="2"/>
          <w:numId w:val="6"/>
        </w:numPr>
        <w:shd w:val="clear" w:color="auto" w:fill="FFFFFF"/>
        <w:spacing w:line="360" w:lineRule="auto"/>
        <w:ind w:hanging="834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具有一般纳税人资格认定，能够开具增值税税率13%的合规普通发票或专用发票。</w:t>
      </w:r>
    </w:p>
    <w:p>
      <w:pPr>
        <w:pStyle w:val="19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云筑网操作说明：</w:t>
      </w:r>
    </w:p>
    <w:p>
      <w:pPr>
        <w:pStyle w:val="14"/>
        <w:widowControl/>
        <w:spacing w:before="75" w:beforeAutospacing="0" w:after="75" w:afterAutospacing="0" w:line="360" w:lineRule="auto"/>
        <w:ind w:left="630" w:leftChars="300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已在“云筑网”完成正式供应商注册的投标人，直接登录平台输入用户名和密码，成功登录后进入投标易，点击公开招标、搜索对应的招标项目名称，签收对应的招标公告并点击报名，报名必须上传本公告和其他相关资料；未在“云筑网”注册的投标人，需先通过平台网页进行注册，注册信息通过审核合格后，再进行报名。</w:t>
      </w:r>
    </w:p>
    <w:p>
      <w:pPr>
        <w:pStyle w:val="19"/>
        <w:numPr>
          <w:ilvl w:val="0"/>
          <w:numId w:val="5"/>
        </w:numPr>
        <w:tabs>
          <w:tab w:val="left" w:pos="420"/>
        </w:tabs>
        <w:spacing w:line="360" w:lineRule="auto"/>
        <w:ind w:firstLineChars="0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投标注意事项：</w:t>
      </w:r>
    </w:p>
    <w:p>
      <w:pPr>
        <w:pStyle w:val="19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拟中标单位在定标期间反悔或签订合同拒不履行者，根据情节恶劣程度禁止投标0.5-1年。</w:t>
      </w:r>
    </w:p>
    <w:p>
      <w:pPr>
        <w:pStyle w:val="19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被识别有涉嫌围标行为者，根据情节恶劣程度选择性禁止投标1年。</w:t>
      </w:r>
    </w:p>
    <w:p>
      <w:pPr>
        <w:pStyle w:val="19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招标过程中招标方无变更，但是投标商无故调高报价者，禁止投标0.5年。</w:t>
      </w:r>
    </w:p>
    <w:p>
      <w:pPr>
        <w:pStyle w:val="19"/>
        <w:numPr>
          <w:ilvl w:val="0"/>
          <w:numId w:val="7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投标商盖章版报价与线上报价不一致时，以线上报价作为定标依据。</w:t>
      </w:r>
    </w:p>
    <w:p>
      <w:pPr>
        <w:pStyle w:val="14"/>
        <w:widowControl/>
        <w:numPr>
          <w:ilvl w:val="0"/>
          <w:numId w:val="5"/>
        </w:numPr>
        <w:spacing w:before="75" w:beforeAutospacing="0" w:after="75" w:afterAutospacing="0" w:line="360" w:lineRule="auto"/>
        <w:rPr>
          <w:rFonts w:ascii="宋体" w:hAnsi="宋体"/>
          <w:b/>
          <w:bCs/>
          <w:kern w:val="2"/>
          <w:sz w:val="21"/>
          <w:szCs w:val="21"/>
        </w:rPr>
      </w:pPr>
      <w:r>
        <w:rPr>
          <w:rFonts w:hint="eastAsia" w:ascii="宋体" w:hAnsi="宋体"/>
          <w:b/>
          <w:bCs/>
          <w:kern w:val="2"/>
          <w:sz w:val="21"/>
          <w:szCs w:val="21"/>
        </w:rPr>
        <w:t>甲方联系方式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pStyle w:val="19"/>
        <w:widowControl/>
        <w:shd w:val="clear" w:color="auto" w:fill="FFFFFF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采购部联系人：刘新建                  联系电话：18552034515</w:t>
      </w:r>
    </w:p>
    <w:p>
      <w:pPr>
        <w:pStyle w:val="19"/>
        <w:widowControl/>
        <w:shd w:val="clear" w:color="auto" w:fill="FFFFFF"/>
        <w:ind w:left="420" w:firstLine="0" w:firstLineChars="0"/>
        <w:jc w:val="left"/>
        <w:rPr>
          <w:rFonts w:ascii="宋体" w:hAnsi="宋体"/>
          <w:szCs w:val="21"/>
        </w:rPr>
      </w:pPr>
    </w:p>
    <w:p>
      <w:pPr>
        <w:pStyle w:val="19"/>
        <w:widowControl/>
        <w:shd w:val="clear" w:color="auto" w:fill="FFFFFF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项目部联系人：施文宾                  联系电话：13120922810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</w:p>
    <w:p>
      <w:pPr>
        <w:widowControl/>
        <w:shd w:val="clear" w:color="auto" w:fill="FFFFFF"/>
        <w:ind w:left="630" w:leftChars="300"/>
        <w:jc w:val="left"/>
        <w:rPr>
          <w:rFonts w:ascii="宋体" w:hAnsi="宋体"/>
          <w:szCs w:val="21"/>
        </w:rPr>
      </w:pPr>
    </w:p>
    <w:p>
      <w:pPr>
        <w:widowControl/>
        <w:shd w:val="clear" w:color="auto" w:fill="FFFFFF"/>
        <w:ind w:left="630" w:leftChars="300"/>
        <w:jc w:val="left"/>
        <w:rPr>
          <w:rFonts w:ascii="宋体" w:hAnsi="宋体"/>
          <w:szCs w:val="21"/>
        </w:rPr>
      </w:pPr>
    </w:p>
    <w:p>
      <w:pPr>
        <w:widowControl/>
        <w:shd w:val="clear" w:color="auto" w:fill="FFFFFF"/>
        <w:ind w:firstLine="6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中建八局总承包公司</w:t>
      </w:r>
    </w:p>
    <w:p>
      <w:pPr>
        <w:widowControl/>
        <w:shd w:val="clear" w:color="auto" w:fill="FFFFFF"/>
        <w:ind w:firstLine="6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</w:t>
      </w:r>
    </w:p>
    <w:p>
      <w:pPr>
        <w:snapToGrid w:val="0"/>
        <w:spacing w:line="360" w:lineRule="auto"/>
        <w:rPr>
          <w:rFonts w:ascii="仿宋" w:hAnsi="仿宋" w:eastAsia="仿宋" w:cs="仿宋"/>
          <w:b/>
          <w:szCs w:val="21"/>
        </w:rPr>
      </w:pPr>
    </w:p>
    <w:sectPr>
      <w:pgSz w:w="11906" w:h="16838"/>
      <w:pgMar w:top="1135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05B8B"/>
    <w:multiLevelType w:val="singleLevel"/>
    <w:tmpl w:val="A6405B8B"/>
    <w:lvl w:ilvl="0" w:tentative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>
    <w:nsid w:val="0194E43F"/>
    <w:multiLevelType w:val="singleLevel"/>
    <w:tmpl w:val="0194E4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bCs/>
        <w:color w:val="auto"/>
        <w:highlight w:val="none"/>
      </w:rPr>
    </w:lvl>
  </w:abstractNum>
  <w:abstractNum w:abstractNumId="2">
    <w:nsid w:val="15EC2EEE"/>
    <w:multiLevelType w:val="multilevel"/>
    <w:tmpl w:val="15EC2EEE"/>
    <w:lvl w:ilvl="0" w:tentative="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362C2AC0"/>
    <w:multiLevelType w:val="multilevel"/>
    <w:tmpl w:val="362C2AC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371D1FF8"/>
    <w:multiLevelType w:val="multilevel"/>
    <w:tmpl w:val="371D1FF8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7802F0"/>
    <w:multiLevelType w:val="multilevel"/>
    <w:tmpl w:val="4B7802F0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3DF312"/>
    <w:multiLevelType w:val="singleLevel"/>
    <w:tmpl w:val="753DF312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57E"/>
    <w:rsid w:val="001003EA"/>
    <w:rsid w:val="00344813"/>
    <w:rsid w:val="00634C23"/>
    <w:rsid w:val="006C527D"/>
    <w:rsid w:val="0078532B"/>
    <w:rsid w:val="007D24CB"/>
    <w:rsid w:val="008A2D7B"/>
    <w:rsid w:val="00AF04B3"/>
    <w:rsid w:val="00C17E16"/>
    <w:rsid w:val="00CD77F6"/>
    <w:rsid w:val="00E111B2"/>
    <w:rsid w:val="00F92DDE"/>
    <w:rsid w:val="012941FF"/>
    <w:rsid w:val="01E30852"/>
    <w:rsid w:val="01FC20EA"/>
    <w:rsid w:val="021F1101"/>
    <w:rsid w:val="039459CB"/>
    <w:rsid w:val="045321DB"/>
    <w:rsid w:val="04EB47F0"/>
    <w:rsid w:val="05267F5A"/>
    <w:rsid w:val="05C54983"/>
    <w:rsid w:val="060C3A22"/>
    <w:rsid w:val="069F3177"/>
    <w:rsid w:val="0723540B"/>
    <w:rsid w:val="08981A2A"/>
    <w:rsid w:val="0A593E1F"/>
    <w:rsid w:val="0BA70828"/>
    <w:rsid w:val="0BC91764"/>
    <w:rsid w:val="0CDE0263"/>
    <w:rsid w:val="0D7938DE"/>
    <w:rsid w:val="0D951469"/>
    <w:rsid w:val="10497899"/>
    <w:rsid w:val="11035AC8"/>
    <w:rsid w:val="12BC10F4"/>
    <w:rsid w:val="130354E3"/>
    <w:rsid w:val="14A13404"/>
    <w:rsid w:val="16E57383"/>
    <w:rsid w:val="17DD654B"/>
    <w:rsid w:val="18991BF9"/>
    <w:rsid w:val="192A105F"/>
    <w:rsid w:val="19421AF8"/>
    <w:rsid w:val="1CD543E7"/>
    <w:rsid w:val="1DD43DB5"/>
    <w:rsid w:val="21246C49"/>
    <w:rsid w:val="25285DF9"/>
    <w:rsid w:val="2F6B3E6B"/>
    <w:rsid w:val="2FA443C4"/>
    <w:rsid w:val="30EB70B7"/>
    <w:rsid w:val="332F7525"/>
    <w:rsid w:val="33707D78"/>
    <w:rsid w:val="35433342"/>
    <w:rsid w:val="369C5FEC"/>
    <w:rsid w:val="371C62CF"/>
    <w:rsid w:val="385731D6"/>
    <w:rsid w:val="39990622"/>
    <w:rsid w:val="3D8E1B8C"/>
    <w:rsid w:val="40055A7B"/>
    <w:rsid w:val="42D34317"/>
    <w:rsid w:val="4526651C"/>
    <w:rsid w:val="452F556D"/>
    <w:rsid w:val="475A0302"/>
    <w:rsid w:val="49C13137"/>
    <w:rsid w:val="4EF0512C"/>
    <w:rsid w:val="55482F87"/>
    <w:rsid w:val="56EF771F"/>
    <w:rsid w:val="58895774"/>
    <w:rsid w:val="5B002480"/>
    <w:rsid w:val="5BB746CE"/>
    <w:rsid w:val="5FD961E6"/>
    <w:rsid w:val="610C1D8A"/>
    <w:rsid w:val="647664C5"/>
    <w:rsid w:val="657F7FA7"/>
    <w:rsid w:val="66562072"/>
    <w:rsid w:val="674C6A5E"/>
    <w:rsid w:val="68ED310C"/>
    <w:rsid w:val="69D46E95"/>
    <w:rsid w:val="6B2D543C"/>
    <w:rsid w:val="6BC97523"/>
    <w:rsid w:val="6F7D3709"/>
    <w:rsid w:val="742C1675"/>
    <w:rsid w:val="74551487"/>
    <w:rsid w:val="74A83A7D"/>
    <w:rsid w:val="78A77D09"/>
    <w:rsid w:val="791464EF"/>
    <w:rsid w:val="7A5F657E"/>
    <w:rsid w:val="7B8E3F15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99"/>
    <w:pPr>
      <w:spacing w:after="120"/>
    </w:pPr>
    <w:rPr>
      <w:szCs w:val="20"/>
    </w:rPr>
  </w:style>
  <w:style w:type="paragraph" w:styleId="1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_Style 1"/>
    <w:basedOn w:val="1"/>
    <w:qFormat/>
    <w:uiPriority w:val="34"/>
    <w:pPr>
      <w:ind w:firstLine="420" w:firstLineChars="200"/>
    </w:p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  <w:style w:type="character" w:customStyle="1" w:styleId="21">
    <w:name w:val="页眉 字符"/>
    <w:basedOn w:val="17"/>
    <w:link w:val="13"/>
    <w:uiPriority w:val="0"/>
    <w:rPr>
      <w:kern w:val="2"/>
      <w:sz w:val="18"/>
      <w:szCs w:val="18"/>
    </w:rPr>
  </w:style>
  <w:style w:type="character" w:customStyle="1" w:styleId="22">
    <w:name w:val="页脚 字符"/>
    <w:basedOn w:val="17"/>
    <w:link w:val="1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2</Pages>
  <Words>231</Words>
  <Characters>1322</Characters>
  <Lines>11</Lines>
  <Paragraphs>3</Paragraphs>
  <TotalTime>6</TotalTime>
  <ScaleCrop>false</ScaleCrop>
  <LinksUpToDate>false</LinksUpToDate>
  <CharactersWithSpaces>1550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2019-03-21T02:02:00Z</dcterms:created>
  <dc:creator>Su</dc:creator>
  <cp:lastModifiedBy>刘</cp:lastModifiedBy>
  <dcterms:modified xsi:type="dcterms:W3CDTF">2020-06-02T05:03:00Z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