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spacing w:before="100" w:line="360" w:lineRule="auto"/>
        <w:jc w:val="both"/>
        <w:outlineLvl w:val="1"/>
        <w:rPr>
          <w:rFonts w:ascii="宋体" w:hAnsi="宋体" w:cs="宋体"/>
          <w:b/>
          <w:color w:val="auto"/>
          <w:sz w:val="24"/>
          <w:highlight w:val="none"/>
        </w:rPr>
      </w:pPr>
      <w:bookmarkStart w:id="2" w:name="_GoBack"/>
      <w:bookmarkStart w:id="0" w:name="_Toc11059"/>
      <w:r>
        <w:rPr>
          <w:rFonts w:hint="eastAsia" w:ascii="宋体" w:hAnsi="宋体" w:cs="宋体"/>
          <w:b/>
          <w:color w:val="auto"/>
          <w:sz w:val="24"/>
          <w:highlight w:val="none"/>
        </w:rPr>
        <w:t>附件一：采购公告一览表</w:t>
      </w:r>
      <w:bookmarkEnd w:id="0"/>
    </w:p>
    <w:bookmarkEnd w:id="2"/>
    <w:p>
      <w:pPr>
        <w:spacing w:line="360" w:lineRule="auto"/>
        <w:ind w:firstLine="730"/>
        <w:jc w:val="center"/>
        <w:rPr>
          <w:rFonts w:hint="eastAsia" w:cs="宋体"/>
          <w:b/>
          <w:bCs/>
          <w:color w:val="auto"/>
          <w:kern w:val="0"/>
          <w:sz w:val="36"/>
          <w:szCs w:val="36"/>
          <w:highlight w:val="none"/>
        </w:rPr>
      </w:pPr>
      <w:bookmarkStart w:id="1" w:name="_Hlk9250003"/>
      <w:r>
        <w:rPr>
          <w:rFonts w:hint="eastAsia" w:cs="宋体"/>
          <w:b/>
          <w:bCs/>
          <w:color w:val="auto"/>
          <w:kern w:val="0"/>
          <w:sz w:val="36"/>
          <w:szCs w:val="36"/>
          <w:highlight w:val="none"/>
        </w:rPr>
        <w:t>采购公告一览表</w:t>
      </w:r>
    </w:p>
    <w:tbl>
      <w:tblPr>
        <w:tblStyle w:val="4"/>
        <w:tblpPr w:leftFromText="180" w:rightFromText="180" w:vertAnchor="text" w:horzAnchor="page" w:tblpXSpec="center" w:tblpY="89"/>
        <w:tblOverlap w:val="never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00"/>
        <w:gridCol w:w="1762"/>
        <w:gridCol w:w="663"/>
        <w:gridCol w:w="700"/>
        <w:gridCol w:w="925"/>
        <w:gridCol w:w="1000"/>
        <w:gridCol w:w="1175"/>
        <w:gridCol w:w="2187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计量</w:t>
            </w:r>
          </w:p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采购</w:t>
            </w:r>
          </w:p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采购文件售价（元）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交货时间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交货地点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交货状态及条件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低压电线电缆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米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76000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2020.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成都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成品车板交货；包装完好、外观良好、随带合格证、检测报告、技术说明、满足技术条件要求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bookmarkEnd w:id="1"/>
    </w:tbl>
    <w:p>
      <w:pPr>
        <w:ind w:firstLine="404"/>
        <w:rPr>
          <w:rFonts w:hint="eastAsia" w:ascii="宋体" w:hAnsi="宋体" w:cs="宋体"/>
          <w:bCs/>
          <w:color w:val="auto"/>
          <w:kern w:val="0"/>
          <w:sz w:val="20"/>
          <w:szCs w:val="20"/>
          <w:highlight w:val="none"/>
        </w:rPr>
      </w:pPr>
      <w:r>
        <w:rPr>
          <w:rFonts w:hint="eastAsia" w:ascii="宋体" w:hAnsi="宋体" w:cs="宋体"/>
          <w:bCs/>
          <w:color w:val="auto"/>
          <w:kern w:val="0"/>
          <w:sz w:val="20"/>
          <w:szCs w:val="20"/>
          <w:highlight w:val="none"/>
        </w:rPr>
        <w:t>注：公告中规格、数量与采购文件规格、数量不符的，以采购文件规格、数量为准；中国中铁鲁班电子商务平台必须报价，物资名称、数量以采购文件为准。</w:t>
      </w:r>
    </w:p>
    <w:p>
      <w:pPr>
        <w:spacing w:line="360" w:lineRule="auto"/>
        <w:rPr>
          <w:rFonts w:hint="eastAsia" w:ascii="宋体" w:hAnsi="宋体" w:cs="宋体"/>
          <w:bCs/>
          <w:color w:val="auto"/>
          <w:kern w:val="0"/>
          <w:sz w:val="20"/>
          <w:szCs w:val="20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  <w:ind w:firstLine="36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95465"/>
    <w:rsid w:val="29E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2020-07-14T02:47:00Z</dcterms:created>
  <dc:creator>  但峰</dc:creator>
  <cp:lastModifiedBy>  但峰</cp:lastModifiedBy>
  <dcterms:modified xsi:type="dcterms:W3CDTF">2020-07-14T02:47:16Z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