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48"/>
          <w:szCs w:val="32"/>
        </w:rPr>
      </w:pPr>
      <w:r>
        <w:rPr>
          <w:rFonts w:hint="eastAsia" w:ascii="宋体" w:hAnsi="宋体"/>
          <w:sz w:val="18"/>
        </w:rPr>
        <w:drawing>
          <wp:inline distT="0" distB="0" distL="114300" distR="114300">
            <wp:extent cx="5492750" cy="8387080"/>
            <wp:effectExtent l="0" t="0" r="12700" b="13970"/>
            <wp:docPr id="2" name="图片 2" descr="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1 (4)"/>
                    <pic:cNvPicPr>
                      <a:picLocks noChangeAspect="1"/>
                    </pic:cNvPicPr>
                  </pic:nvPicPr>
                  <pic:blipFill>
                    <a:blip r:embed="rId6"/>
                    <a:stretch>
                      <a:fillRect/>
                    </a:stretch>
                  </pic:blipFill>
                  <pic:spPr>
                    <a:xfrm>
                      <a:off x="0" y="0"/>
                      <a:ext cx="5492750" cy="8387080"/>
                    </a:xfrm>
                    <a:prstGeom prst="rect">
                      <a:avLst/>
                    </a:prstGeom>
                  </pic:spPr>
                </pic:pic>
              </a:graphicData>
            </a:graphic>
          </wp:inline>
        </w:drawing>
      </w:r>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40"/>
          <w:szCs w:val="40"/>
        </w:rPr>
      </w:pPr>
      <w:r>
        <w:rPr>
          <w:rFonts w:hint="eastAsia" w:asciiTheme="minorEastAsia" w:hAnsiTheme="minorEastAsia" w:eastAsiaTheme="minorEastAsia"/>
          <w:b/>
          <w:sz w:val="40"/>
          <w:szCs w:val="40"/>
        </w:rPr>
        <w:t>供应商报价时凡</w:t>
      </w:r>
      <w:r>
        <w:rPr>
          <w:rFonts w:hint="eastAsia" w:asciiTheme="minorEastAsia" w:hAnsiTheme="minorEastAsia" w:eastAsiaTheme="minorEastAsia"/>
          <w:b/>
          <w:color w:val="FF0000"/>
          <w:sz w:val="40"/>
          <w:szCs w:val="40"/>
        </w:rPr>
        <w:t>涉及以下任一条款</w:t>
      </w:r>
      <w:r>
        <w:rPr>
          <w:rFonts w:hint="eastAsia" w:asciiTheme="minorEastAsia" w:hAnsiTheme="minorEastAsia" w:eastAsiaTheme="minorEastAsia"/>
          <w:b/>
          <w:sz w:val="40"/>
          <w:szCs w:val="40"/>
        </w:rPr>
        <w:t>均</w:t>
      </w:r>
      <w:r>
        <w:rPr>
          <w:rFonts w:hint="eastAsia" w:asciiTheme="minorEastAsia" w:hAnsiTheme="minorEastAsia" w:eastAsiaTheme="minorEastAsia"/>
          <w:b/>
          <w:color w:val="FF0000"/>
          <w:sz w:val="40"/>
          <w:szCs w:val="40"/>
        </w:rPr>
        <w:t>视为无效报价并纳入供应商考评</w:t>
      </w:r>
      <w:r>
        <w:rPr>
          <w:rFonts w:hint="eastAsia" w:asciiTheme="minorEastAsia" w:hAnsiTheme="minorEastAsia" w:eastAsiaTheme="minorEastAsia"/>
          <w:b/>
          <w:sz w:val="40"/>
          <w:szCs w:val="40"/>
        </w:rPr>
        <w:t>，具体条款如下：</w:t>
      </w:r>
    </w:p>
    <w:p>
      <w:pPr>
        <w:spacing w:line="360" w:lineRule="auto"/>
        <w:ind w:firstLine="810"/>
        <w:jc w:val="left"/>
        <w:rPr>
          <w:rFonts w:asciiTheme="minorEastAsia" w:hAnsiTheme="minorEastAsia"/>
          <w:color w:val="00B0F0"/>
          <w:sz w:val="40"/>
          <w:szCs w:val="40"/>
        </w:rPr>
      </w:pPr>
      <w:r>
        <w:rPr>
          <w:rFonts w:hint="eastAsia" w:asciiTheme="minorEastAsia" w:hAnsiTheme="minorEastAsia"/>
          <w:sz w:val="40"/>
          <w:szCs w:val="40"/>
        </w:rPr>
        <w:t>1.供应商</w:t>
      </w:r>
      <w:r>
        <w:rPr>
          <w:rFonts w:hint="eastAsia" w:asciiTheme="minorEastAsia" w:hAnsiTheme="minorEastAsia"/>
          <w:color w:val="FF0000"/>
          <w:sz w:val="40"/>
          <w:szCs w:val="40"/>
        </w:rPr>
        <w:t>单位负责人为同一人，存在控股、管理等法律禁止的关联关系</w:t>
      </w:r>
      <w:r>
        <w:rPr>
          <w:rFonts w:hint="eastAsia" w:asciiTheme="minorEastAsia" w:hAnsiTheme="minorEastAsia"/>
          <w:sz w:val="40"/>
          <w:szCs w:val="40"/>
        </w:rPr>
        <w:t>；</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2.供应商处于</w:t>
      </w:r>
      <w:r>
        <w:rPr>
          <w:rFonts w:hint="eastAsia" w:asciiTheme="minorEastAsia" w:hAnsiTheme="minorEastAsia"/>
          <w:color w:val="FF0000"/>
          <w:sz w:val="40"/>
          <w:szCs w:val="40"/>
        </w:rPr>
        <w:t>人民法院“失信被执行人”名单</w:t>
      </w:r>
      <w:r>
        <w:rPr>
          <w:rFonts w:hint="eastAsia" w:asciiTheme="minorEastAsia" w:hAnsiTheme="minorEastAsia"/>
          <w:sz w:val="40"/>
          <w:szCs w:val="40"/>
        </w:rPr>
        <w:t>或</w:t>
      </w:r>
      <w:r>
        <w:rPr>
          <w:rFonts w:hint="eastAsia" w:asciiTheme="minorEastAsia" w:hAnsiTheme="minorEastAsia"/>
          <w:color w:val="FF0000"/>
          <w:sz w:val="40"/>
          <w:szCs w:val="40"/>
        </w:rPr>
        <w:t>工商行政管理机关“严重违法失信企业”名单</w:t>
      </w:r>
      <w:r>
        <w:rPr>
          <w:rFonts w:hint="eastAsia" w:asciiTheme="minorEastAsia" w:hAnsiTheme="minorEastAsia"/>
          <w:sz w:val="40"/>
          <w:szCs w:val="40"/>
        </w:rPr>
        <w:t>。</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3.供应商</w:t>
      </w:r>
      <w:r>
        <w:rPr>
          <w:rFonts w:hint="eastAsia" w:asciiTheme="minorEastAsia" w:hAnsiTheme="minorEastAsia"/>
          <w:color w:val="FF0000"/>
          <w:sz w:val="40"/>
          <w:szCs w:val="40"/>
        </w:rPr>
        <w:t>不上传附件（资格预审通知书），上传的文件未加盖本单位公章，上传的资质非原件扫描</w:t>
      </w:r>
      <w:r>
        <w:rPr>
          <w:rFonts w:hint="eastAsia" w:asciiTheme="minorEastAsia" w:hAnsiTheme="minorEastAsia"/>
          <w:sz w:val="40"/>
          <w:szCs w:val="40"/>
        </w:rPr>
        <w:t>的。</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4.供应商</w:t>
      </w:r>
      <w:r>
        <w:rPr>
          <w:rFonts w:hint="eastAsia" w:asciiTheme="minorEastAsia" w:hAnsiTheme="minorEastAsia"/>
          <w:color w:val="FF0000"/>
          <w:sz w:val="40"/>
          <w:szCs w:val="40"/>
        </w:rPr>
        <w:t>无法接受后付款</w:t>
      </w:r>
      <w:r>
        <w:rPr>
          <w:rFonts w:hint="eastAsia" w:asciiTheme="minorEastAsia" w:hAnsiTheme="minorEastAsia"/>
          <w:sz w:val="40"/>
          <w:szCs w:val="40"/>
        </w:rPr>
        <w:t>方式。</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5.供应商</w:t>
      </w:r>
      <w:r>
        <w:rPr>
          <w:rFonts w:hint="eastAsia" w:asciiTheme="minorEastAsia" w:hAnsiTheme="minorEastAsia"/>
          <w:color w:val="FF0000"/>
          <w:sz w:val="40"/>
          <w:szCs w:val="40"/>
        </w:rPr>
        <w:t>提供的资格、业绩、证明等材料存在造假行为</w:t>
      </w:r>
      <w:r>
        <w:rPr>
          <w:rFonts w:hint="eastAsia" w:asciiTheme="minorEastAsia" w:hAnsiTheme="minorEastAsia"/>
          <w:sz w:val="40"/>
          <w:szCs w:val="40"/>
        </w:rPr>
        <w:t>的。</w:t>
      </w: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pStyle w:val="18"/>
        <w:jc w:val="center"/>
        <w:rPr>
          <w:b/>
          <w:sz w:val="44"/>
          <w:szCs w:val="44"/>
        </w:rPr>
      </w:pPr>
      <w:r>
        <w:rPr>
          <w:rFonts w:hint="eastAsia"/>
          <w:b/>
          <w:sz w:val="44"/>
          <w:szCs w:val="44"/>
        </w:rPr>
        <w:t>总目录</w:t>
      </w:r>
    </w:p>
    <w:p>
      <w:pPr>
        <w:pStyle w:val="18"/>
        <w:rPr>
          <w:sz w:val="32"/>
          <w:szCs w:val="32"/>
        </w:rPr>
      </w:pPr>
    </w:p>
    <w:p>
      <w:pPr>
        <w:pStyle w:val="18"/>
        <w:spacing w:line="360" w:lineRule="auto"/>
        <w:rPr>
          <w:rFonts w:asciiTheme="minorEastAsia" w:hAnsiTheme="minorEastAsia"/>
          <w:b/>
          <w:sz w:val="32"/>
          <w:szCs w:val="32"/>
        </w:rPr>
      </w:pPr>
      <w:r>
        <w:rPr>
          <w:rFonts w:hint="eastAsia" w:asciiTheme="minorEastAsia" w:hAnsiTheme="minorEastAsia"/>
          <w:b/>
          <w:sz w:val="32"/>
          <w:szCs w:val="32"/>
        </w:rPr>
        <w:t>第一章  供应商须知</w:t>
      </w:r>
    </w:p>
    <w:p>
      <w:pPr>
        <w:pStyle w:val="18"/>
        <w:spacing w:line="360" w:lineRule="auto"/>
        <w:rPr>
          <w:b/>
          <w:sz w:val="32"/>
          <w:szCs w:val="32"/>
        </w:rPr>
      </w:pPr>
      <w:r>
        <w:rPr>
          <w:rFonts w:hint="eastAsia"/>
          <w:b/>
          <w:sz w:val="32"/>
          <w:szCs w:val="32"/>
        </w:rPr>
        <w:t>第二章  工程项目概况</w:t>
      </w:r>
    </w:p>
    <w:p>
      <w:pPr>
        <w:pStyle w:val="18"/>
        <w:spacing w:line="360" w:lineRule="auto"/>
        <w:rPr>
          <w:b/>
          <w:sz w:val="32"/>
          <w:szCs w:val="32"/>
        </w:rPr>
      </w:pPr>
      <w:r>
        <w:rPr>
          <w:rFonts w:hint="eastAsia"/>
          <w:b/>
          <w:sz w:val="32"/>
          <w:szCs w:val="32"/>
        </w:rPr>
        <w:t>第三章  供应商资格要求</w:t>
      </w:r>
    </w:p>
    <w:p>
      <w:pPr>
        <w:pStyle w:val="18"/>
        <w:spacing w:line="360" w:lineRule="auto"/>
        <w:rPr>
          <w:b/>
          <w:sz w:val="32"/>
          <w:szCs w:val="32"/>
        </w:rPr>
      </w:pPr>
      <w:r>
        <w:rPr>
          <w:rFonts w:hint="eastAsia"/>
          <w:b/>
          <w:sz w:val="32"/>
          <w:szCs w:val="32"/>
        </w:rPr>
        <w:t>第四章  技术规范要求</w:t>
      </w:r>
    </w:p>
    <w:p>
      <w:pPr>
        <w:pStyle w:val="18"/>
        <w:spacing w:line="360" w:lineRule="auto"/>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ascii="黑体" w:hAnsi="黑体" w:eastAsia="黑体"/>
          <w:sz w:val="32"/>
          <w:szCs w:val="32"/>
        </w:rPr>
      </w:pPr>
      <w:r>
        <w:rPr>
          <w:rFonts w:hint="eastAsia" w:ascii="黑体" w:hAnsi="黑体" w:eastAsia="黑体"/>
          <w:sz w:val="40"/>
          <w:szCs w:val="32"/>
        </w:rPr>
        <w:t>第一章供应商须知</w:t>
      </w:r>
    </w:p>
    <w:p>
      <w:pPr>
        <w:snapToGrid w:val="0"/>
        <w:spacing w:line="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检修箱电缆采购</w:t>
      </w:r>
    </w:p>
    <w:p>
      <w:pPr>
        <w:spacing w:line="360" w:lineRule="auto"/>
        <w:jc w:val="center"/>
        <w:rPr>
          <w:rFonts w:eastAsia="黑体"/>
          <w:b/>
          <w:sz w:val="48"/>
        </w:rPr>
      </w:pPr>
      <w:r>
        <w:rPr>
          <w:rFonts w:hint="eastAsia" w:ascii="黑体" w:hAnsi="黑体" w:eastAsia="黑体"/>
          <w:sz w:val="36"/>
          <w:szCs w:val="36"/>
        </w:rPr>
        <w:t>电商询价采购文件</w:t>
      </w:r>
    </w:p>
    <w:tbl>
      <w:tblPr>
        <w:tblStyle w:val="16"/>
        <w:tblW w:w="8859" w:type="dxa"/>
        <w:tblInd w:w="-318"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条款名称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主要内容</w:t>
            </w:r>
          </w:p>
        </w:tc>
      </w:tr>
      <w:tr>
        <w:tblPrEx>
          <w:tblLayout w:type="fixed"/>
          <w:tblCellMar>
            <w:top w:w="0" w:type="dxa"/>
            <w:left w:w="108" w:type="dxa"/>
            <w:bottom w:w="0" w:type="dxa"/>
            <w:right w:w="108" w:type="dxa"/>
          </w:tblCellMar>
        </w:tblPrEx>
        <w:trPr>
          <w:trHeight w:val="3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594" w:type="dxa"/>
            <w:tcBorders>
              <w:top w:val="nil"/>
              <w:left w:val="nil"/>
              <w:bottom w:val="nil"/>
              <w:right w:val="single" w:color="auto" w:sz="8" w:space="0"/>
            </w:tcBorders>
            <w:shd w:val="clear" w:color="000000" w:fill="FFFFFF"/>
            <w:vAlign w:val="center"/>
          </w:tcPr>
          <w:p>
            <w:pPr>
              <w:snapToGrid w:val="0"/>
              <w:spacing w:line="0" w:lineRule="atLeast"/>
              <w:jc w:val="center"/>
              <w:rPr>
                <w:rFonts w:asciiTheme="majorEastAsia" w:hAnsiTheme="majorEastAsia" w:eastAsiaTheme="majorEastAsia"/>
                <w:sz w:val="22"/>
              </w:rPr>
            </w:pPr>
            <w:r>
              <w:rPr>
                <w:rFonts w:hint="eastAsia" w:asciiTheme="majorEastAsia" w:hAnsiTheme="majorEastAsia" w:eastAsiaTheme="majorEastAsia"/>
                <w:sz w:val="22"/>
              </w:rPr>
              <w:t>检修箱电源电缆采购</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项目单位：包头第二热电厂</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地址：内蒙古包头市青山区</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 系 人：鲁涛</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联系方式：18947253151</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电商询价：徐磊</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594" w:type="dxa"/>
            <w:tcBorders>
              <w:top w:val="nil"/>
              <w:left w:val="nil"/>
              <w:bottom w:val="single" w:color="auto" w:sz="4" w:space="0"/>
              <w:right w:val="single" w:color="auto" w:sz="4" w:space="0"/>
            </w:tcBorders>
            <w:shd w:val="clear" w:color="000000" w:fill="FFFFFF"/>
            <w:vAlign w:val="center"/>
          </w:tcPr>
          <w:p>
            <w:pPr>
              <w:rPr>
                <w:rFonts w:cs="Calibri"/>
                <w:sz w:val="22"/>
              </w:rPr>
            </w:pPr>
            <w:r>
              <w:rPr>
                <w:rFonts w:cs="Calibri"/>
                <w:sz w:val="22"/>
              </w:rPr>
              <w:t>电</w:t>
            </w:r>
            <w:r>
              <w:rPr>
                <w:rFonts w:hint="eastAsia" w:ascii="宋体" w:hAnsi="宋体" w:cs="宋体"/>
                <w:color w:val="000000" w:themeColor="text1"/>
                <w:kern w:val="0"/>
                <w:sz w:val="22"/>
              </w:rPr>
              <w:t>力电缆VV22 3×35 1×16  250米</w:t>
            </w:r>
          </w:p>
          <w:p>
            <w:pPr>
              <w:rPr>
                <w:rFonts w:cs="Calibri"/>
                <w:sz w:val="22"/>
              </w:rPr>
            </w:pP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FF0000"/>
                <w:kern w:val="0"/>
                <w:sz w:val="22"/>
              </w:rPr>
            </w:pPr>
            <w:r>
              <w:rPr>
                <w:rFonts w:ascii="宋体" w:hAnsi="宋体" w:cs="宋体"/>
                <w:kern w:val="0"/>
                <w:sz w:val="22"/>
              </w:rPr>
              <w:t>合同</w:t>
            </w:r>
            <w:r>
              <w:rPr>
                <w:rFonts w:hint="eastAsia" w:ascii="宋体" w:hAnsi="宋体" w:cs="宋体"/>
                <w:kern w:val="0"/>
                <w:sz w:val="22"/>
              </w:rPr>
              <w:t>签订后</w:t>
            </w:r>
            <w:r>
              <w:rPr>
                <w:rFonts w:hint="eastAsia" w:ascii="宋体" w:hAnsi="宋体" w:cs="宋体"/>
                <w:color w:val="000000" w:themeColor="text1"/>
                <w:kern w:val="0"/>
                <w:sz w:val="22"/>
              </w:rPr>
              <w:t>5天内完成</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采购方制定询价文件；</w:t>
            </w:r>
          </w:p>
          <w:p>
            <w:pPr>
              <w:widowControl/>
              <w:jc w:val="left"/>
              <w:rPr>
                <w:rFonts w:ascii="宋体" w:hAnsi="宋体" w:cs="宋体"/>
                <w:kern w:val="0"/>
                <w:sz w:val="22"/>
              </w:rPr>
            </w:pPr>
            <w:r>
              <w:rPr>
                <w:rFonts w:hint="eastAsia" w:ascii="宋体" w:hAnsi="宋体" w:cs="宋体"/>
                <w:kern w:val="0"/>
                <w:sz w:val="22"/>
              </w:rPr>
              <w:t>(2) 采购方发起电商平台公开询价；</w:t>
            </w:r>
          </w:p>
          <w:p>
            <w:pPr>
              <w:widowControl/>
              <w:jc w:val="left"/>
              <w:rPr>
                <w:rFonts w:ascii="宋体" w:hAnsi="宋体" w:cs="宋体"/>
                <w:kern w:val="0"/>
                <w:sz w:val="22"/>
                <w:highlight w:val="red"/>
              </w:rPr>
            </w:pPr>
            <w:r>
              <w:rPr>
                <w:rFonts w:hint="eastAsia" w:ascii="宋体" w:hAnsi="宋体" w:cs="宋体"/>
                <w:kern w:val="0"/>
                <w:sz w:val="22"/>
                <w:highlight w:val="red"/>
              </w:rPr>
              <w:t>(3) 供应商严格按照询价文件要求编制并按时在线递交华能集团电缆《资格预审合格通知书》；</w:t>
            </w:r>
          </w:p>
          <w:p>
            <w:pPr>
              <w:widowControl/>
              <w:jc w:val="left"/>
              <w:rPr>
                <w:rFonts w:ascii="宋体" w:hAnsi="宋体" w:cs="宋体"/>
                <w:kern w:val="0"/>
                <w:sz w:val="22"/>
              </w:rPr>
            </w:pPr>
            <w:r>
              <w:rPr>
                <w:rFonts w:hint="eastAsia" w:ascii="宋体" w:hAnsi="宋体" w:cs="宋体"/>
                <w:kern w:val="0"/>
                <w:sz w:val="22"/>
              </w:rPr>
              <w:t>(4) 采购方组织评审；</w:t>
            </w:r>
          </w:p>
          <w:p>
            <w:pPr>
              <w:widowControl/>
              <w:jc w:val="left"/>
              <w:rPr>
                <w:rFonts w:ascii="宋体" w:hAnsi="宋体" w:cs="宋体"/>
                <w:color w:val="7030A0"/>
                <w:kern w:val="0"/>
                <w:sz w:val="22"/>
              </w:rPr>
            </w:pPr>
            <w:r>
              <w:rPr>
                <w:rFonts w:hint="eastAsia" w:ascii="宋体" w:hAnsi="宋体" w:cs="宋体"/>
                <w:kern w:val="0"/>
                <w:sz w:val="22"/>
              </w:rPr>
              <w:t>(5) 采购方确定成交候选人及成交人。</w:t>
            </w:r>
          </w:p>
        </w:tc>
      </w:tr>
      <w:tr>
        <w:tblPrEx>
          <w:tblLayout w:type="fixed"/>
          <w:tblCellMar>
            <w:top w:w="0" w:type="dxa"/>
            <w:left w:w="108" w:type="dxa"/>
            <w:bottom w:w="0" w:type="dxa"/>
            <w:right w:w="108" w:type="dxa"/>
          </w:tblCellMar>
        </w:tblPrEx>
        <w:trPr>
          <w:trHeight w:val="1379"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报价方必须按照清单分项报价；</w:t>
            </w:r>
          </w:p>
          <w:p>
            <w:pPr>
              <w:widowControl/>
              <w:jc w:val="left"/>
              <w:rPr>
                <w:rFonts w:ascii="宋体" w:hAnsi="宋体" w:cs="宋体"/>
                <w:kern w:val="0"/>
                <w:sz w:val="22"/>
              </w:rPr>
            </w:pPr>
            <w:r>
              <w:rPr>
                <w:rFonts w:hint="eastAsia" w:ascii="宋体" w:hAnsi="宋体" w:cs="宋体"/>
                <w:kern w:val="0"/>
                <w:sz w:val="22"/>
              </w:rPr>
              <w:t>(2) 报价必须含运杂费，并注明有效期；</w:t>
            </w:r>
          </w:p>
          <w:p>
            <w:pPr>
              <w:widowControl/>
              <w:jc w:val="left"/>
              <w:rPr>
                <w:rFonts w:ascii="宋体" w:hAnsi="宋体" w:cs="宋体"/>
                <w:kern w:val="0"/>
                <w:sz w:val="22"/>
              </w:rPr>
            </w:pPr>
            <w:r>
              <w:rPr>
                <w:rFonts w:hint="eastAsia" w:ascii="宋体" w:hAnsi="宋体" w:cs="宋体"/>
                <w:kern w:val="0"/>
                <w:sz w:val="22"/>
              </w:rPr>
              <w:t>(3) 缺项、漏项报价视同报价无效；</w:t>
            </w:r>
          </w:p>
          <w:p>
            <w:pPr>
              <w:widowControl/>
              <w:jc w:val="left"/>
              <w:rPr>
                <w:rFonts w:ascii="宋体" w:hAnsi="宋体" w:cs="宋体"/>
                <w:kern w:val="0"/>
                <w:sz w:val="22"/>
              </w:rPr>
            </w:pPr>
            <w:r>
              <w:rPr>
                <w:rFonts w:hint="eastAsia" w:ascii="宋体" w:hAnsi="宋体" w:cs="宋体"/>
                <w:kern w:val="0"/>
                <w:sz w:val="22"/>
              </w:rPr>
              <w:t>(4) 分项报价与总价不一致视为报价无效；</w:t>
            </w:r>
          </w:p>
          <w:p>
            <w:pPr>
              <w:widowControl/>
              <w:jc w:val="left"/>
              <w:rPr>
                <w:rFonts w:ascii="宋体" w:hAnsi="宋体" w:cs="宋体"/>
                <w:kern w:val="0"/>
                <w:sz w:val="22"/>
              </w:rPr>
            </w:pPr>
            <w:r>
              <w:rPr>
                <w:rFonts w:hint="eastAsia" w:ascii="宋体" w:hAnsi="宋体" w:cs="宋体"/>
                <w:kern w:val="0"/>
                <w:sz w:val="22"/>
              </w:rPr>
              <w:t xml:space="preserve">(5) </w:t>
            </w:r>
            <w:r>
              <w:rPr>
                <w:rFonts w:hint="eastAsia" w:ascii="宋体" w:hAnsi="宋体" w:cs="宋体"/>
                <w:kern w:val="0"/>
                <w:szCs w:val="21"/>
              </w:rPr>
              <w:t>未上传</w:t>
            </w:r>
            <w:r>
              <w:rPr>
                <w:rFonts w:hint="eastAsia" w:ascii="宋体" w:hAnsi="宋体" w:cs="宋体"/>
                <w:kern w:val="0"/>
                <w:sz w:val="22"/>
              </w:rPr>
              <w:t>《资格预审合格通知书》</w:t>
            </w:r>
            <w:r>
              <w:rPr>
                <w:rFonts w:hint="eastAsia" w:ascii="宋体" w:hAnsi="宋体" w:cs="宋体"/>
                <w:kern w:val="0"/>
                <w:szCs w:val="21"/>
              </w:rPr>
              <w:t>的视为报价无效。</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Cs w:val="21"/>
              </w:rPr>
              <w:t>中国华能集团公司电子商务平台规定日期内</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报价人通过中国华能集团公司电子商务平台在规定日期内进行报价并上传要求的附件。</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付款</w:t>
            </w:r>
            <w:r>
              <w:rPr>
                <w:rFonts w:ascii="宋体" w:hAnsi="宋体" w:cs="宋体"/>
                <w:kern w:val="0"/>
                <w:sz w:val="22"/>
              </w:rPr>
              <w:t>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Theme="minorEastAsia" w:hAnsiTheme="minorEastAsia"/>
                <w:color w:val="000000" w:themeColor="text1"/>
                <w:sz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9</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color w:val="FF0000"/>
                <w:kern w:val="0"/>
                <w:szCs w:val="21"/>
              </w:rPr>
            </w:pPr>
            <w:r>
              <w:rPr>
                <w:rFonts w:hint="eastAsia" w:ascii="宋体" w:hAnsi="宋体" w:cs="宋体"/>
                <w:color w:val="FF0000"/>
                <w:kern w:val="0"/>
                <w:szCs w:val="21"/>
              </w:rPr>
              <w:t>交货期限</w:t>
            </w:r>
          </w:p>
          <w:p>
            <w:pPr>
              <w:widowControl/>
              <w:jc w:val="left"/>
              <w:rPr>
                <w:rFonts w:ascii="宋体" w:hAnsi="宋体" w:cs="宋体"/>
                <w:color w:val="000000" w:themeColor="text1"/>
                <w:kern w:val="0"/>
                <w:sz w:val="22"/>
              </w:rPr>
            </w:pP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宋体" w:hAnsi="宋体" w:cs="宋体"/>
                <w:kern w:val="0"/>
                <w:sz w:val="22"/>
              </w:rPr>
              <w:t>要求报价</w:t>
            </w:r>
            <w:r>
              <w:rPr>
                <w:rFonts w:ascii="宋体" w:hAnsi="宋体" w:cs="宋体"/>
                <w:kern w:val="0"/>
                <w:sz w:val="22"/>
              </w:rPr>
              <w:t>方必须满足合同</w:t>
            </w:r>
            <w:r>
              <w:rPr>
                <w:rFonts w:hint="eastAsia" w:ascii="宋体" w:hAnsi="宋体" w:cs="宋体"/>
                <w:kern w:val="0"/>
                <w:sz w:val="22"/>
              </w:rPr>
              <w:t>签订</w:t>
            </w:r>
            <w:r>
              <w:rPr>
                <w:rFonts w:ascii="宋体" w:hAnsi="宋体" w:cs="宋体"/>
                <w:kern w:val="0"/>
                <w:sz w:val="22"/>
              </w:rPr>
              <w:t>后</w:t>
            </w:r>
            <w:r>
              <w:rPr>
                <w:rFonts w:hint="eastAsia" w:ascii="宋体" w:hAnsi="宋体" w:cs="宋体"/>
                <w:color w:val="000000" w:themeColor="text1"/>
                <w:kern w:val="0"/>
                <w:sz w:val="22"/>
                <w:lang w:val="en-US" w:eastAsia="zh-CN"/>
              </w:rPr>
              <w:t>8</w:t>
            </w:r>
            <w:r>
              <w:rPr>
                <w:rFonts w:hint="eastAsia" w:ascii="宋体" w:hAnsi="宋体" w:cs="宋体"/>
                <w:color w:val="000000" w:themeColor="text1"/>
                <w:kern w:val="0"/>
                <w:sz w:val="22"/>
              </w:rPr>
              <w:t>天内完成，</w:t>
            </w:r>
            <w:r>
              <w:rPr>
                <w:rFonts w:ascii="宋体" w:hAnsi="宋体" w:cs="宋体"/>
                <w:color w:val="000000" w:themeColor="text1"/>
                <w:kern w:val="0"/>
                <w:sz w:val="22"/>
              </w:rPr>
              <w:t>如不能满足严禁</w:t>
            </w:r>
            <w:r>
              <w:rPr>
                <w:rFonts w:hint="eastAsia" w:ascii="宋体" w:hAnsi="宋体" w:cs="宋体"/>
                <w:color w:val="000000" w:themeColor="text1"/>
                <w:kern w:val="0"/>
                <w:sz w:val="22"/>
              </w:rPr>
              <w:t>参与</w:t>
            </w:r>
            <w:r>
              <w:rPr>
                <w:rFonts w:ascii="宋体" w:hAnsi="宋体" w:cs="宋体"/>
                <w:color w:val="000000" w:themeColor="text1"/>
                <w:kern w:val="0"/>
                <w:sz w:val="22"/>
              </w:rPr>
              <w:t>报价，否则</w:t>
            </w:r>
            <w:r>
              <w:rPr>
                <w:rFonts w:hint="eastAsia" w:ascii="宋体" w:hAnsi="宋体" w:cs="宋体"/>
                <w:color w:val="000000" w:themeColor="text1"/>
                <w:kern w:val="0"/>
                <w:sz w:val="22"/>
              </w:rPr>
              <w:t>终止</w:t>
            </w:r>
            <w:r>
              <w:rPr>
                <w:rFonts w:ascii="宋体" w:hAnsi="宋体" w:cs="宋体"/>
                <w:color w:val="000000" w:themeColor="text1"/>
                <w:kern w:val="0"/>
                <w:sz w:val="22"/>
              </w:rPr>
              <w:t>合同并</w:t>
            </w:r>
            <w:r>
              <w:rPr>
                <w:rFonts w:hint="eastAsia" w:ascii="宋体" w:hAnsi="宋体" w:cs="宋体"/>
                <w:color w:val="000000" w:themeColor="text1"/>
                <w:kern w:val="0"/>
                <w:sz w:val="22"/>
              </w:rPr>
              <w:t>纳入</w:t>
            </w:r>
            <w:r>
              <w:rPr>
                <w:rFonts w:ascii="宋体" w:hAnsi="宋体" w:cs="宋体"/>
                <w:color w:val="000000" w:themeColor="text1"/>
                <w:kern w:val="0"/>
                <w:sz w:val="22"/>
              </w:rPr>
              <w:t>供应商考评</w:t>
            </w:r>
            <w:r>
              <w:rPr>
                <w:rFonts w:hint="eastAsia" w:ascii="宋体" w:hAnsi="宋体" w:cs="宋体"/>
                <w:color w:val="0070C0"/>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10</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kern w:val="0"/>
                <w:sz w:val="22"/>
              </w:rPr>
              <w:t>经评审的最低价法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hint="eastAsia" w:ascii="宋体" w:hAnsi="宋体" w:cs="宋体"/>
                <w:kern w:val="0"/>
                <w:sz w:val="22"/>
                <w:lang w:val="en-US" w:eastAsia="zh-CN"/>
              </w:rPr>
              <w:t xml:space="preserve"> </w:t>
            </w:r>
            <w:r>
              <w:rPr>
                <w:rFonts w:hint="eastAsia" w:ascii="宋体" w:hAnsi="宋体" w:cs="宋体"/>
                <w:color w:val="FF0000"/>
                <w:kern w:val="0"/>
                <w:sz w:val="22"/>
              </w:rPr>
              <w:t>合同后</w:t>
            </w:r>
            <w:r>
              <w:rPr>
                <w:rFonts w:ascii="宋体" w:hAnsi="宋体" w:cs="宋体"/>
                <w:color w:val="FF0000"/>
                <w:kern w:val="0"/>
                <w:sz w:val="22"/>
              </w:rPr>
              <w:t>付款；</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Style w:val="13"/>
        <w:spacing w:before="0" w:after="0" w:line="360" w:lineRule="auto"/>
        <w:jc w:val="left"/>
        <w:rPr>
          <w:shd w:val="clear" w:color="auto" w:fill="FFFFFF"/>
        </w:rPr>
      </w:pPr>
    </w:p>
    <w:p>
      <w:pPr>
        <w:spacing w:line="360" w:lineRule="auto"/>
        <w:ind w:firstLine="2000" w:firstLineChars="500"/>
        <w:rPr>
          <w:rFonts w:ascii="黑体" w:hAnsi="黑体" w:eastAsia="黑体"/>
          <w:sz w:val="40"/>
          <w:szCs w:val="32"/>
        </w:rPr>
      </w:pPr>
      <w:r>
        <w:rPr>
          <w:rFonts w:hint="eastAsia" w:ascii="黑体" w:hAnsi="黑体" w:eastAsia="黑体"/>
          <w:sz w:val="40"/>
          <w:szCs w:val="32"/>
        </w:rPr>
        <w:t>第二章  采购项目概况</w:t>
      </w:r>
    </w:p>
    <w:p>
      <w:pPr>
        <w:spacing w:line="360" w:lineRule="auto"/>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一、项目概况：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包头第二热电厂新增若干检修电源箱。为此，需购买动力电缆，确保正常使用。</w:t>
      </w:r>
    </w:p>
    <w:p>
      <w:pPr>
        <w:spacing w:line="360" w:lineRule="auto"/>
        <w:rPr>
          <w:rFonts w:ascii="宋体" w:hAnsi="宋体" w:cs="宋体"/>
          <w:b/>
          <w:bCs/>
          <w:sz w:val="28"/>
          <w:szCs w:val="28"/>
        </w:rPr>
      </w:pPr>
      <w:r>
        <w:rPr>
          <w:rFonts w:hint="eastAsia" w:ascii="宋体" w:hAnsi="宋体" w:cs="宋体"/>
          <w:b/>
          <w:bCs/>
          <w:sz w:val="28"/>
          <w:szCs w:val="28"/>
        </w:rPr>
        <w:t>采购范围：</w:t>
      </w:r>
    </w:p>
    <w:p>
      <w:pPr>
        <w:rPr>
          <w:rFonts w:ascii="宋体" w:hAnsi="宋体" w:cs="Calibri"/>
          <w:kern w:val="0"/>
          <w:sz w:val="24"/>
          <w:szCs w:val="24"/>
        </w:rPr>
      </w:pPr>
      <w:r>
        <w:rPr>
          <w:rFonts w:hint="eastAsia" w:ascii="宋体" w:hAnsi="宋体"/>
          <w:b/>
          <w:sz w:val="24"/>
          <w:szCs w:val="24"/>
        </w:rPr>
        <w:t>1、</w:t>
      </w:r>
      <w:r>
        <w:rPr>
          <w:rFonts w:ascii="宋体" w:hAnsi="宋体" w:cs="Calibri"/>
          <w:kern w:val="0"/>
          <w:sz w:val="24"/>
          <w:szCs w:val="24"/>
        </w:rPr>
        <w:t>电力电缆VV22 3×35 1×16</w:t>
      </w:r>
      <w:r>
        <w:rPr>
          <w:rFonts w:hint="eastAsia" w:ascii="宋体" w:hAnsi="宋体" w:cs="Calibri"/>
          <w:kern w:val="0"/>
          <w:sz w:val="24"/>
          <w:szCs w:val="24"/>
        </w:rPr>
        <w:t xml:space="preserve">    250米</w:t>
      </w:r>
    </w:p>
    <w:p>
      <w:pPr>
        <w:rPr>
          <w:rFonts w:cs="Calibri" w:asciiTheme="minorEastAsia" w:hAnsiTheme="minorEastAsia" w:eastAsiaTheme="minorEastAsia"/>
          <w:kern w:val="0"/>
          <w:sz w:val="24"/>
          <w:szCs w:val="24"/>
        </w:rPr>
      </w:pPr>
    </w:p>
    <w:p>
      <w:pPr>
        <w:rPr>
          <w:rFonts w:cs="Calibri"/>
          <w:kern w:val="0"/>
          <w:sz w:val="22"/>
        </w:rPr>
      </w:pPr>
    </w:p>
    <w:p>
      <w:pPr>
        <w:pStyle w:val="23"/>
        <w:spacing w:line="360" w:lineRule="auto"/>
        <w:rPr>
          <w:rFonts w:ascii="宋体" w:hAnsi="宋体"/>
          <w:sz w:val="28"/>
          <w:szCs w:val="28"/>
        </w:rPr>
      </w:pPr>
      <w:r>
        <w:rPr>
          <w:rFonts w:hint="eastAsia" w:ascii="宋体" w:hAnsi="宋体" w:cs="宋体"/>
          <w:b/>
          <w:bCs/>
          <w:sz w:val="28"/>
          <w:szCs w:val="28"/>
        </w:rPr>
        <w:t>二、交货期：</w:t>
      </w:r>
    </w:p>
    <w:p>
      <w:pPr>
        <w:wordWrap w:val="0"/>
        <w:spacing w:line="360" w:lineRule="auto"/>
        <w:rPr>
          <w:rFonts w:ascii="宋体" w:hAnsi="宋体" w:cs="Times New Roman"/>
          <w:sz w:val="24"/>
          <w:szCs w:val="24"/>
        </w:rPr>
      </w:pPr>
      <w:r>
        <w:rPr>
          <w:rFonts w:ascii="宋体" w:hAnsi="宋体" w:cs="Times New Roman"/>
          <w:sz w:val="24"/>
          <w:szCs w:val="24"/>
        </w:rPr>
        <w:t>合同</w:t>
      </w:r>
      <w:r>
        <w:rPr>
          <w:rFonts w:hint="eastAsia" w:ascii="宋体" w:hAnsi="宋体" w:cs="Times New Roman"/>
          <w:sz w:val="24"/>
          <w:szCs w:val="24"/>
        </w:rPr>
        <w:t>签订</w:t>
      </w:r>
      <w:r>
        <w:rPr>
          <w:rFonts w:ascii="宋体" w:hAnsi="宋体" w:cs="Times New Roman"/>
          <w:sz w:val="24"/>
          <w:szCs w:val="24"/>
        </w:rPr>
        <w:t>后</w:t>
      </w:r>
      <w:r>
        <w:rPr>
          <w:rFonts w:hint="eastAsia" w:ascii="宋体" w:hAnsi="宋体" w:cs="Times New Roman"/>
          <w:sz w:val="24"/>
          <w:szCs w:val="24"/>
          <w:lang w:val="en-US" w:eastAsia="zh-CN"/>
        </w:rPr>
        <w:t>10</w:t>
      </w:r>
      <w:bookmarkStart w:id="6" w:name="_GoBack"/>
      <w:bookmarkEnd w:id="6"/>
      <w:r>
        <w:rPr>
          <w:rFonts w:hint="eastAsia" w:ascii="宋体" w:hAnsi="宋体" w:cs="Times New Roman"/>
          <w:sz w:val="24"/>
          <w:szCs w:val="24"/>
        </w:rPr>
        <w:t>天内完成</w:t>
      </w:r>
    </w:p>
    <w:p>
      <w:pPr>
        <w:wordWrap w:val="0"/>
        <w:spacing w:line="360" w:lineRule="auto"/>
        <w:rPr>
          <w:rFonts w:ascii="宋体" w:hAnsi="宋体" w:cs="宋体"/>
          <w:b/>
          <w:bCs/>
          <w:sz w:val="28"/>
          <w:szCs w:val="28"/>
        </w:rPr>
      </w:pPr>
      <w:r>
        <w:rPr>
          <w:rFonts w:hint="eastAsia" w:ascii="宋体" w:hAnsi="宋体" w:cs="宋体"/>
          <w:b/>
          <w:bCs/>
          <w:sz w:val="28"/>
          <w:szCs w:val="28"/>
        </w:rPr>
        <w:t>三、交货地点：</w:t>
      </w:r>
    </w:p>
    <w:p>
      <w:pPr>
        <w:wordWrap w:val="0"/>
        <w:spacing w:line="360" w:lineRule="auto"/>
        <w:rPr>
          <w:rFonts w:ascii="宋体" w:hAnsi="宋体" w:cs="宋体"/>
          <w:sz w:val="24"/>
          <w:szCs w:val="24"/>
        </w:rPr>
      </w:pPr>
      <w:r>
        <w:rPr>
          <w:rFonts w:hint="eastAsia" w:ascii="宋体" w:hAnsi="宋体" w:cs="宋体"/>
          <w:sz w:val="24"/>
          <w:szCs w:val="24"/>
        </w:rPr>
        <w:t>包头第二热电厂物资部</w:t>
      </w:r>
    </w:p>
    <w:p>
      <w:pPr>
        <w:pStyle w:val="18"/>
        <w:spacing w:line="360" w:lineRule="auto"/>
        <w:ind w:firstLine="560" w:firstLineChars="200"/>
        <w:rPr>
          <w:rFonts w:asciiTheme="minorEastAsia" w:hAnsiTheme="minorEastAsia"/>
          <w:sz w:val="28"/>
          <w:szCs w:val="28"/>
        </w:rPr>
      </w:pPr>
    </w:p>
    <w:p>
      <w:pPr>
        <w:pStyle w:val="18"/>
        <w:pageBreakBefore/>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18"/>
        <w:spacing w:line="360" w:lineRule="auto"/>
        <w:rPr>
          <w:rFonts w:ascii="黑体" w:hAnsi="黑体" w:eastAsia="黑体"/>
          <w:sz w:val="24"/>
        </w:rPr>
      </w:pPr>
    </w:p>
    <w:p>
      <w:pPr>
        <w:pStyle w:val="18"/>
        <w:spacing w:line="360" w:lineRule="auto"/>
        <w:rPr>
          <w:rFonts w:ascii="黑体" w:hAnsi="黑体" w:eastAsia="黑体"/>
          <w:b/>
          <w:sz w:val="24"/>
        </w:rPr>
      </w:pPr>
      <w:r>
        <w:rPr>
          <w:rFonts w:hint="eastAsia" w:ascii="黑体" w:hAnsi="黑体" w:eastAsia="黑体"/>
          <w:b/>
          <w:sz w:val="24"/>
        </w:rPr>
        <w:t>一、通用条款</w:t>
      </w:r>
    </w:p>
    <w:p>
      <w:pPr>
        <w:pStyle w:val="18"/>
        <w:spacing w:line="360" w:lineRule="auto"/>
        <w:rPr>
          <w:rFonts w:asciiTheme="minorEastAsia" w:hAnsiTheme="minorEastAsia"/>
          <w:sz w:val="24"/>
        </w:rPr>
      </w:pPr>
      <w:r>
        <w:rPr>
          <w:rFonts w:hint="eastAsia" w:asciiTheme="minorEastAsia" w:hAnsiTheme="minorEastAsia"/>
          <w:sz w:val="24"/>
        </w:rPr>
        <w:t>1.报价人必须具有中华人民共和国独立企业法人资格；</w:t>
      </w:r>
    </w:p>
    <w:p>
      <w:pPr>
        <w:pStyle w:val="18"/>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18"/>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18"/>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18"/>
        <w:spacing w:line="360" w:lineRule="auto"/>
        <w:rPr>
          <w:rFonts w:asciiTheme="minorEastAsia" w:hAnsiTheme="minorEastAsia"/>
          <w:sz w:val="24"/>
        </w:rPr>
      </w:pPr>
      <w:r>
        <w:rPr>
          <w:rFonts w:hint="eastAsia" w:asciiTheme="minorEastAsia" w:hAnsiTheme="minorEastAsia"/>
          <w:sz w:val="24"/>
        </w:rPr>
        <w:t>5.</w:t>
      </w:r>
      <w:r>
        <w:rPr>
          <w:rFonts w:hint="eastAsia" w:ascii="Arial" w:hAnsi="宋体" w:cs="Arial"/>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Theme="minorEastAsia" w:hAnsiTheme="minorEastAsia"/>
          <w:sz w:val="24"/>
        </w:rPr>
        <w:t>。</w:t>
      </w:r>
    </w:p>
    <w:p>
      <w:pPr>
        <w:pStyle w:val="18"/>
        <w:spacing w:line="360" w:lineRule="auto"/>
        <w:rPr>
          <w:rFonts w:ascii="黑体" w:hAnsi="黑体" w:eastAsia="黑体"/>
          <w:b/>
          <w:sz w:val="24"/>
        </w:rPr>
      </w:pPr>
      <w:r>
        <w:rPr>
          <w:rFonts w:hint="eastAsia" w:ascii="黑体" w:hAnsi="黑体" w:eastAsia="黑体"/>
          <w:b/>
          <w:sz w:val="24"/>
        </w:rPr>
        <w:t>二、专用条款</w:t>
      </w:r>
    </w:p>
    <w:p>
      <w:pPr>
        <w:pStyle w:val="18"/>
        <w:spacing w:line="360" w:lineRule="auto"/>
        <w:rPr>
          <w:rFonts w:asciiTheme="minorEastAsia" w:hAnsiTheme="minorEastAsia"/>
          <w:sz w:val="24"/>
        </w:rPr>
      </w:pPr>
      <w:r>
        <w:rPr>
          <w:rFonts w:hint="eastAsia" w:asciiTheme="minorEastAsia" w:hAnsiTheme="minorEastAsia"/>
          <w:sz w:val="24"/>
        </w:rPr>
        <w:t>1、仅限通过华能集团2019-2021年度资格预审的供应商参与报价，并上传</w:t>
      </w:r>
      <w:r>
        <w:rPr>
          <w:rFonts w:hint="eastAsia" w:asciiTheme="minorEastAsia" w:hAnsiTheme="minorEastAsia"/>
          <w:b/>
          <w:sz w:val="24"/>
        </w:rPr>
        <w:t>华能集团《资格预审合格通知书》，</w:t>
      </w:r>
      <w:r>
        <w:rPr>
          <w:rFonts w:hint="eastAsia" w:asciiTheme="minorEastAsia" w:hAnsiTheme="minorEastAsia"/>
          <w:sz w:val="24"/>
        </w:rPr>
        <w:t>无资格随意报价将纳入考核。</w:t>
      </w:r>
    </w:p>
    <w:p>
      <w:pPr>
        <w:pStyle w:val="18"/>
        <w:spacing w:line="360" w:lineRule="auto"/>
        <w:rPr>
          <w:rFonts w:asciiTheme="minorEastAsia" w:hAnsiTheme="minorEastAsia"/>
          <w:sz w:val="24"/>
        </w:rPr>
      </w:pPr>
    </w:p>
    <w:p>
      <w:pPr>
        <w:pStyle w:val="18"/>
        <w:spacing w:line="360" w:lineRule="auto"/>
        <w:jc w:val="center"/>
        <w:rPr>
          <w:rFonts w:ascii="黑体" w:hAnsi="黑体" w:eastAsia="黑体"/>
          <w:sz w:val="40"/>
          <w:szCs w:val="32"/>
        </w:rPr>
      </w:pPr>
    </w:p>
    <w:p>
      <w:pPr>
        <w:pStyle w:val="18"/>
        <w:spacing w:line="360" w:lineRule="auto"/>
        <w:jc w:val="center"/>
        <w:rPr>
          <w:rFonts w:ascii="黑体" w:hAnsi="黑体" w:eastAsia="黑体"/>
          <w:sz w:val="40"/>
          <w:szCs w:val="32"/>
        </w:rPr>
      </w:pPr>
    </w:p>
    <w:p>
      <w:pPr>
        <w:pStyle w:val="18"/>
        <w:spacing w:line="360" w:lineRule="auto"/>
        <w:rPr>
          <w:rFonts w:ascii="黑体" w:hAnsi="黑体" w:eastAsia="黑体"/>
          <w:sz w:val="40"/>
          <w:szCs w:val="32"/>
        </w:rPr>
        <w:sectPr>
          <w:footerReference r:id="rId3" w:type="default"/>
          <w:pgSz w:w="11906" w:h="16838"/>
          <w:pgMar w:top="1440" w:right="1800" w:bottom="1440" w:left="1800" w:header="851" w:footer="992" w:gutter="0"/>
          <w:cols w:space="720" w:num="1"/>
          <w:docGrid w:type="lines" w:linePitch="312" w:charSpace="0"/>
        </w:sectPr>
      </w:pPr>
    </w:p>
    <w:p>
      <w:pPr>
        <w:pStyle w:val="18"/>
        <w:spacing w:line="360" w:lineRule="auto"/>
        <w:jc w:val="center"/>
        <w:rPr>
          <w:rFonts w:ascii="黑体" w:hAnsi="黑体" w:eastAsia="黑体"/>
          <w:sz w:val="40"/>
          <w:szCs w:val="32"/>
        </w:rPr>
      </w:pPr>
      <w:r>
        <w:rPr>
          <w:rFonts w:hint="eastAsia" w:ascii="黑体" w:hAnsi="黑体" w:eastAsia="黑体"/>
          <w:sz w:val="40"/>
          <w:szCs w:val="32"/>
        </w:rPr>
        <w:t>第四章 技术规范要求</w:t>
      </w:r>
    </w:p>
    <w:p>
      <w:pPr>
        <w:pStyle w:val="18"/>
        <w:spacing w:line="360" w:lineRule="auto"/>
        <w:ind w:firstLine="480" w:firstLineChars="200"/>
        <w:rPr>
          <w:rFonts w:asciiTheme="minorEastAsia" w:hAnsiTheme="minorEastAsia"/>
          <w:sz w:val="24"/>
        </w:rPr>
      </w:pPr>
      <w:r>
        <w:rPr>
          <w:rFonts w:hint="eastAsia" w:asciiTheme="minorEastAsia" w:hAnsiTheme="minorEastAsia"/>
          <w:sz w:val="24"/>
        </w:rPr>
        <w:t>（一）、需求清单一览表                                                                                     单位：元</w:t>
      </w:r>
    </w:p>
    <w:tbl>
      <w:tblPr>
        <w:tblStyle w:val="17"/>
        <w:tblpPr w:leftFromText="180" w:rightFromText="180" w:vertAnchor="text" w:horzAnchor="margin" w:tblpY="5"/>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417"/>
        <w:gridCol w:w="2268"/>
        <w:gridCol w:w="2127"/>
        <w:gridCol w:w="850"/>
        <w:gridCol w:w="851"/>
        <w:gridCol w:w="992"/>
        <w:gridCol w:w="992"/>
        <w:gridCol w:w="1843"/>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92" w:type="dxa"/>
            <w:vMerge w:val="restart"/>
            <w:vAlign w:val="center"/>
          </w:tcPr>
          <w:p>
            <w:pPr>
              <w:pStyle w:val="18"/>
              <w:spacing w:line="360" w:lineRule="auto"/>
              <w:rPr>
                <w:rFonts w:asciiTheme="minorEastAsia" w:hAnsiTheme="minorEastAsia" w:eastAsiaTheme="minorEastAsia" w:cstheme="minorBidi"/>
                <w:sz w:val="24"/>
              </w:rPr>
            </w:pPr>
            <w:r>
              <w:rPr>
                <w:rFonts w:hint="eastAsia" w:asciiTheme="minorEastAsia" w:hAnsiTheme="minorEastAsia" w:eastAsiaTheme="minorEastAsia" w:cstheme="minorBidi"/>
                <w:sz w:val="24"/>
              </w:rPr>
              <w:t>序号</w:t>
            </w:r>
          </w:p>
        </w:tc>
        <w:tc>
          <w:tcPr>
            <w:tcW w:w="1417" w:type="dxa"/>
            <w:vMerge w:val="restart"/>
            <w:vAlign w:val="center"/>
          </w:tcPr>
          <w:p>
            <w:pPr>
              <w:pStyle w:val="18"/>
              <w:spacing w:line="360" w:lineRule="auto"/>
              <w:jc w:val="center"/>
              <w:rPr>
                <w:rFonts w:ascii="宋体" w:hAnsi="宋体" w:eastAsiaTheme="minorEastAsia" w:cstheme="minorBidi"/>
                <w:sz w:val="24"/>
              </w:rPr>
            </w:pPr>
            <w:r>
              <w:rPr>
                <w:rFonts w:hint="eastAsia" w:ascii="宋体" w:hAnsi="宋体" w:eastAsiaTheme="minorEastAsia" w:cstheme="minorBidi"/>
                <w:sz w:val="24"/>
              </w:rPr>
              <w:t>物料编码</w:t>
            </w:r>
          </w:p>
        </w:tc>
        <w:tc>
          <w:tcPr>
            <w:tcW w:w="2268" w:type="dxa"/>
            <w:vMerge w:val="restart"/>
            <w:vAlign w:val="center"/>
          </w:tcPr>
          <w:p>
            <w:pPr>
              <w:pStyle w:val="18"/>
              <w:spacing w:line="360" w:lineRule="auto"/>
              <w:jc w:val="center"/>
              <w:rPr>
                <w:rFonts w:ascii="宋体" w:hAnsi="宋体" w:eastAsiaTheme="minorEastAsia" w:cstheme="minorBidi"/>
                <w:sz w:val="24"/>
              </w:rPr>
            </w:pPr>
            <w:r>
              <w:rPr>
                <w:rFonts w:hint="eastAsia" w:ascii="宋体" w:hAnsi="宋体" w:eastAsiaTheme="minorEastAsia" w:cstheme="minorBidi"/>
                <w:sz w:val="24"/>
              </w:rPr>
              <w:t>物料描述</w:t>
            </w:r>
          </w:p>
        </w:tc>
        <w:tc>
          <w:tcPr>
            <w:tcW w:w="2127" w:type="dxa"/>
            <w:vMerge w:val="restart"/>
            <w:vAlign w:val="center"/>
          </w:tcPr>
          <w:p>
            <w:pPr>
              <w:pStyle w:val="18"/>
              <w:spacing w:line="360" w:lineRule="auto"/>
              <w:jc w:val="center"/>
              <w:rPr>
                <w:rFonts w:asciiTheme="minorEastAsia" w:hAnsiTheme="minorEastAsia" w:eastAsiaTheme="minorEastAsia" w:cstheme="minorBidi"/>
                <w:sz w:val="24"/>
              </w:rPr>
            </w:pPr>
            <w:r>
              <w:rPr>
                <w:rFonts w:hint="eastAsia" w:ascii="宋体" w:hAnsi="宋体" w:eastAsiaTheme="minorEastAsia" w:cstheme="minorBidi"/>
                <w:sz w:val="24"/>
              </w:rPr>
              <w:t>技术参数</w:t>
            </w:r>
          </w:p>
        </w:tc>
        <w:tc>
          <w:tcPr>
            <w:tcW w:w="850" w:type="dxa"/>
            <w:vMerge w:val="restart"/>
            <w:vAlign w:val="center"/>
          </w:tcPr>
          <w:p>
            <w:pPr>
              <w:pStyle w:val="18"/>
              <w:spacing w:line="360" w:lineRule="auto"/>
              <w:jc w:val="center"/>
              <w:rPr>
                <w:rFonts w:ascii="宋体" w:hAnsi="宋体" w:eastAsiaTheme="minorEastAsia" w:cstheme="minorBidi"/>
                <w:color w:val="00B0F0"/>
                <w:sz w:val="24"/>
              </w:rPr>
            </w:pPr>
            <w:r>
              <w:rPr>
                <w:rFonts w:hint="eastAsia" w:ascii="宋体" w:hAnsi="宋体" w:eastAsiaTheme="minorEastAsia" w:cstheme="minorBidi"/>
                <w:color w:val="00B0F0"/>
                <w:sz w:val="24"/>
              </w:rPr>
              <w:t>数量</w:t>
            </w:r>
          </w:p>
        </w:tc>
        <w:tc>
          <w:tcPr>
            <w:tcW w:w="851" w:type="dxa"/>
            <w:vMerge w:val="restart"/>
            <w:vAlign w:val="center"/>
          </w:tcPr>
          <w:p>
            <w:pPr>
              <w:pStyle w:val="18"/>
              <w:spacing w:line="360" w:lineRule="auto"/>
              <w:jc w:val="center"/>
              <w:rPr>
                <w:rFonts w:ascii="宋体" w:hAnsi="宋体" w:eastAsiaTheme="minorEastAsia" w:cstheme="minorBidi"/>
                <w:color w:val="00B0F0"/>
                <w:sz w:val="24"/>
              </w:rPr>
            </w:pPr>
            <w:r>
              <w:rPr>
                <w:rFonts w:hint="eastAsia" w:ascii="宋体" w:hAnsi="宋体" w:eastAsiaTheme="minorEastAsia" w:cstheme="minorBidi"/>
                <w:color w:val="00B0F0"/>
                <w:sz w:val="24"/>
              </w:rPr>
              <w:t>单位</w:t>
            </w:r>
          </w:p>
        </w:tc>
        <w:tc>
          <w:tcPr>
            <w:tcW w:w="1984" w:type="dxa"/>
            <w:gridSpan w:val="2"/>
            <w:vAlign w:val="center"/>
          </w:tcPr>
          <w:p>
            <w:pPr>
              <w:pStyle w:val="18"/>
              <w:spacing w:line="360" w:lineRule="auto"/>
              <w:jc w:val="center"/>
              <w:rPr>
                <w:rFonts w:asciiTheme="minorEastAsia" w:hAnsiTheme="minorEastAsia" w:eastAsiaTheme="minorEastAsia" w:cstheme="minorBidi"/>
                <w:sz w:val="24"/>
              </w:rPr>
            </w:pPr>
            <w:r>
              <w:rPr>
                <w:rFonts w:hint="eastAsia" w:ascii="宋体" w:hAnsi="宋体" w:eastAsiaTheme="minorEastAsia" w:cstheme="minorBidi"/>
                <w:sz w:val="24"/>
              </w:rPr>
              <w:t>报价方</w:t>
            </w:r>
          </w:p>
        </w:tc>
        <w:tc>
          <w:tcPr>
            <w:tcW w:w="1843" w:type="dxa"/>
            <w:vMerge w:val="restart"/>
            <w:vAlign w:val="center"/>
          </w:tcPr>
          <w:p>
            <w:pPr>
              <w:pStyle w:val="18"/>
              <w:spacing w:line="360" w:lineRule="auto"/>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交货时间</w:t>
            </w:r>
          </w:p>
        </w:tc>
        <w:tc>
          <w:tcPr>
            <w:tcW w:w="1843" w:type="dxa"/>
            <w:vMerge w:val="restart"/>
            <w:vAlign w:val="center"/>
          </w:tcPr>
          <w:p>
            <w:pPr>
              <w:pStyle w:val="18"/>
              <w:spacing w:line="360" w:lineRule="auto"/>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交货地点</w:t>
            </w:r>
          </w:p>
        </w:tc>
        <w:tc>
          <w:tcPr>
            <w:tcW w:w="1559" w:type="dxa"/>
            <w:vMerge w:val="restart"/>
            <w:vAlign w:val="center"/>
          </w:tcPr>
          <w:p>
            <w:pPr>
              <w:pStyle w:val="18"/>
              <w:spacing w:line="360" w:lineRule="auto"/>
              <w:rPr>
                <w:rFonts w:asciiTheme="minorEastAsia" w:hAnsiTheme="minorEastAsia" w:eastAsiaTheme="minorEastAsia" w:cstheme="minorBidi"/>
                <w:sz w:val="24"/>
              </w:rPr>
            </w:pPr>
            <w:r>
              <w:rPr>
                <w:rFonts w:hint="eastAsia" w:asciiTheme="minorEastAsia" w:hAnsiTheme="minorEastAsia"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392" w:type="dxa"/>
            <w:vMerge w:val="continue"/>
            <w:vAlign w:val="center"/>
          </w:tcPr>
          <w:p>
            <w:pPr>
              <w:pStyle w:val="18"/>
              <w:spacing w:line="360" w:lineRule="auto"/>
              <w:rPr>
                <w:rFonts w:asciiTheme="minorEastAsia" w:hAnsiTheme="minorEastAsia" w:eastAsiaTheme="minorEastAsia" w:cstheme="minorBidi"/>
                <w:sz w:val="24"/>
              </w:rPr>
            </w:pPr>
          </w:p>
        </w:tc>
        <w:tc>
          <w:tcPr>
            <w:tcW w:w="1417" w:type="dxa"/>
            <w:vMerge w:val="continue"/>
            <w:vAlign w:val="center"/>
          </w:tcPr>
          <w:p>
            <w:pPr>
              <w:pStyle w:val="18"/>
              <w:spacing w:line="360" w:lineRule="auto"/>
              <w:jc w:val="center"/>
              <w:rPr>
                <w:rFonts w:asciiTheme="minorEastAsia" w:hAnsiTheme="minorEastAsia" w:eastAsiaTheme="minorEastAsia" w:cstheme="minorBidi"/>
                <w:sz w:val="24"/>
              </w:rPr>
            </w:pPr>
          </w:p>
        </w:tc>
        <w:tc>
          <w:tcPr>
            <w:tcW w:w="2268" w:type="dxa"/>
            <w:vMerge w:val="continue"/>
            <w:vAlign w:val="center"/>
          </w:tcPr>
          <w:p>
            <w:pPr>
              <w:pStyle w:val="18"/>
              <w:spacing w:line="360" w:lineRule="auto"/>
              <w:jc w:val="center"/>
              <w:rPr>
                <w:rFonts w:asciiTheme="minorEastAsia" w:hAnsiTheme="minorEastAsia" w:eastAsiaTheme="minorEastAsia" w:cstheme="minorBidi"/>
                <w:sz w:val="24"/>
              </w:rPr>
            </w:pPr>
          </w:p>
        </w:tc>
        <w:tc>
          <w:tcPr>
            <w:tcW w:w="2127" w:type="dxa"/>
            <w:vMerge w:val="continue"/>
            <w:vAlign w:val="center"/>
          </w:tcPr>
          <w:p>
            <w:pPr>
              <w:pStyle w:val="18"/>
              <w:spacing w:line="360" w:lineRule="auto"/>
              <w:jc w:val="center"/>
              <w:rPr>
                <w:rFonts w:asciiTheme="minorEastAsia" w:hAnsiTheme="minorEastAsia" w:eastAsiaTheme="minorEastAsia" w:cstheme="minorBidi"/>
                <w:sz w:val="24"/>
              </w:rPr>
            </w:pPr>
          </w:p>
        </w:tc>
        <w:tc>
          <w:tcPr>
            <w:tcW w:w="850" w:type="dxa"/>
            <w:vMerge w:val="continue"/>
            <w:vAlign w:val="center"/>
          </w:tcPr>
          <w:p>
            <w:pPr>
              <w:pStyle w:val="18"/>
              <w:spacing w:line="360" w:lineRule="auto"/>
              <w:rPr>
                <w:rFonts w:asciiTheme="minorEastAsia" w:hAnsiTheme="minorEastAsia" w:eastAsiaTheme="minorEastAsia" w:cstheme="minorBidi"/>
                <w:sz w:val="24"/>
              </w:rPr>
            </w:pPr>
          </w:p>
        </w:tc>
        <w:tc>
          <w:tcPr>
            <w:tcW w:w="851" w:type="dxa"/>
            <w:vMerge w:val="continue"/>
            <w:vAlign w:val="center"/>
          </w:tcPr>
          <w:p>
            <w:pPr>
              <w:pStyle w:val="18"/>
              <w:spacing w:line="360" w:lineRule="auto"/>
              <w:jc w:val="center"/>
              <w:rPr>
                <w:rFonts w:asciiTheme="minorEastAsia" w:hAnsiTheme="minorEastAsia" w:eastAsiaTheme="minorEastAsia" w:cstheme="minorBidi"/>
                <w:sz w:val="24"/>
              </w:rPr>
            </w:pPr>
          </w:p>
        </w:tc>
        <w:tc>
          <w:tcPr>
            <w:tcW w:w="992" w:type="dxa"/>
          </w:tcPr>
          <w:p>
            <w:pPr>
              <w:pStyle w:val="18"/>
              <w:spacing w:line="360" w:lineRule="auto"/>
              <w:jc w:val="center"/>
              <w:rPr>
                <w:rFonts w:ascii="宋体" w:hAnsi="宋体" w:eastAsiaTheme="minorEastAsia" w:cstheme="minorBidi"/>
                <w:b/>
                <w:color w:val="00B0F0"/>
                <w:sz w:val="24"/>
              </w:rPr>
            </w:pPr>
            <w:r>
              <w:rPr>
                <w:rFonts w:hint="eastAsia" w:ascii="宋体" w:hAnsi="宋体" w:eastAsiaTheme="minorEastAsia" w:cstheme="minorBidi"/>
                <w:b/>
                <w:color w:val="00B0F0"/>
                <w:sz w:val="24"/>
              </w:rPr>
              <w:t>含税报单价</w:t>
            </w:r>
          </w:p>
        </w:tc>
        <w:tc>
          <w:tcPr>
            <w:tcW w:w="992" w:type="dxa"/>
          </w:tcPr>
          <w:p>
            <w:pPr>
              <w:pStyle w:val="18"/>
              <w:spacing w:line="360" w:lineRule="auto"/>
              <w:jc w:val="center"/>
              <w:rPr>
                <w:rFonts w:ascii="宋体" w:hAnsi="宋体" w:eastAsiaTheme="minorEastAsia" w:cstheme="minorBidi"/>
                <w:b/>
                <w:color w:val="00B0F0"/>
                <w:sz w:val="24"/>
              </w:rPr>
            </w:pPr>
            <w:r>
              <w:rPr>
                <w:rFonts w:hint="eastAsia" w:ascii="宋体" w:hAnsi="宋体" w:eastAsiaTheme="minorEastAsia" w:cstheme="minorBidi"/>
                <w:b/>
                <w:color w:val="00B0F0"/>
                <w:sz w:val="24"/>
              </w:rPr>
              <w:t>含税报总价</w:t>
            </w:r>
          </w:p>
        </w:tc>
        <w:tc>
          <w:tcPr>
            <w:tcW w:w="1843" w:type="dxa"/>
            <w:vMerge w:val="continue"/>
            <w:vAlign w:val="center"/>
          </w:tcPr>
          <w:p>
            <w:pPr>
              <w:pStyle w:val="18"/>
              <w:spacing w:line="360" w:lineRule="auto"/>
              <w:jc w:val="center"/>
              <w:rPr>
                <w:rFonts w:asciiTheme="minorEastAsia" w:hAnsiTheme="minorEastAsia" w:eastAsiaTheme="minorEastAsia" w:cstheme="minorBidi"/>
                <w:sz w:val="24"/>
              </w:rPr>
            </w:pPr>
          </w:p>
        </w:tc>
        <w:tc>
          <w:tcPr>
            <w:tcW w:w="1843" w:type="dxa"/>
            <w:vMerge w:val="continue"/>
            <w:vAlign w:val="center"/>
          </w:tcPr>
          <w:p>
            <w:pPr>
              <w:pStyle w:val="18"/>
              <w:spacing w:line="360" w:lineRule="auto"/>
              <w:jc w:val="center"/>
              <w:rPr>
                <w:rFonts w:asciiTheme="minorEastAsia" w:hAnsiTheme="minorEastAsia" w:eastAsiaTheme="minorEastAsia" w:cstheme="minorBidi"/>
                <w:sz w:val="24"/>
              </w:rPr>
            </w:pPr>
          </w:p>
        </w:tc>
        <w:tc>
          <w:tcPr>
            <w:tcW w:w="1559" w:type="dxa"/>
            <w:vMerge w:val="continue"/>
            <w:vAlign w:val="center"/>
          </w:tcPr>
          <w:p>
            <w:pPr>
              <w:pStyle w:val="18"/>
              <w:spacing w:line="360" w:lineRule="auto"/>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392" w:type="dxa"/>
          </w:tcPr>
          <w:p>
            <w:pPr>
              <w:pStyle w:val="18"/>
              <w:spacing w:line="360" w:lineRule="auto"/>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p>
        </w:tc>
        <w:tc>
          <w:tcPr>
            <w:tcW w:w="1417" w:type="dxa"/>
          </w:tcPr>
          <w:p>
            <w:pPr>
              <w:rPr>
                <w:rFonts w:cs="Calibri" w:eastAsiaTheme="minorEastAsia"/>
                <w:sz w:val="22"/>
              </w:rPr>
            </w:pPr>
            <w:r>
              <w:rPr>
                <w:rFonts w:cs="Calibri" w:eastAsiaTheme="minorEastAsia"/>
                <w:sz w:val="22"/>
              </w:rPr>
              <w:t>2020300033</w:t>
            </w:r>
          </w:p>
          <w:p>
            <w:pPr>
              <w:rPr>
                <w:rFonts w:cs="Calibri" w:eastAsiaTheme="minorEastAsia"/>
                <w:sz w:val="22"/>
              </w:rPr>
            </w:pPr>
          </w:p>
        </w:tc>
        <w:tc>
          <w:tcPr>
            <w:tcW w:w="2268" w:type="dxa"/>
          </w:tcPr>
          <w:p>
            <w:pPr>
              <w:rPr>
                <w:rFonts w:cs="Calibri" w:eastAsiaTheme="minorEastAsia"/>
                <w:sz w:val="22"/>
              </w:rPr>
            </w:pPr>
            <w:r>
              <w:rPr>
                <w:rFonts w:cs="Calibri" w:eastAsiaTheme="minorEastAsia"/>
                <w:sz w:val="22"/>
              </w:rPr>
              <w:t>电力电缆VV22 3×35 1×16</w:t>
            </w:r>
            <w:r>
              <w:rPr>
                <w:rFonts w:hint="eastAsia" w:cs="Calibri" w:eastAsiaTheme="minorEastAsia"/>
                <w:sz w:val="22"/>
              </w:rPr>
              <w:t xml:space="preserve"> </w:t>
            </w:r>
          </w:p>
          <w:p>
            <w:pPr>
              <w:rPr>
                <w:rFonts w:cs="Calibri" w:eastAsiaTheme="minorEastAsia"/>
                <w:sz w:val="22"/>
              </w:rPr>
            </w:pPr>
          </w:p>
        </w:tc>
        <w:tc>
          <w:tcPr>
            <w:tcW w:w="2127" w:type="dxa"/>
          </w:tcPr>
          <w:p>
            <w:pPr>
              <w:pStyle w:val="18"/>
              <w:spacing w:line="360" w:lineRule="auto"/>
              <w:rPr>
                <w:rFonts w:asciiTheme="minorEastAsia" w:hAnsiTheme="minorEastAsia" w:eastAsiaTheme="minorEastAsia" w:cstheme="minorBidi"/>
                <w:sz w:val="22"/>
                <w:szCs w:val="22"/>
              </w:rPr>
            </w:pPr>
            <w:r>
              <w:rPr>
                <w:rFonts w:ascii="Arial" w:hAnsi="Arial" w:cs="Arial" w:eastAsiaTheme="minorEastAsia"/>
                <w:color w:val="333333"/>
                <w:sz w:val="19"/>
                <w:szCs w:val="19"/>
                <w:shd w:val="clear" w:color="auto" w:fill="FFFFFF"/>
              </w:rPr>
              <w:t>铜芯聚氯乙烯绝缘钢带铠装聚氯乙烯护套电力电缆，3芯截面</w:t>
            </w:r>
            <w:r>
              <w:rPr>
                <w:rFonts w:hint="eastAsia" w:ascii="Arial" w:hAnsi="Arial" w:cs="Arial" w:eastAsiaTheme="minorEastAsia"/>
                <w:color w:val="333333"/>
                <w:sz w:val="19"/>
                <w:szCs w:val="19"/>
                <w:shd w:val="clear" w:color="auto" w:fill="FFFFFF"/>
              </w:rPr>
              <w:t>3</w:t>
            </w:r>
            <w:r>
              <w:rPr>
                <w:rFonts w:ascii="Arial" w:hAnsi="Arial" w:cs="Arial" w:eastAsiaTheme="minorEastAsia"/>
                <w:color w:val="333333"/>
                <w:sz w:val="19"/>
                <w:szCs w:val="19"/>
                <w:shd w:val="clear" w:color="auto" w:fill="FFFFFF"/>
              </w:rPr>
              <w:t>5mm</w:t>
            </w:r>
            <w:r>
              <w:rPr>
                <w:rFonts w:hint="eastAsia" w:ascii="Arial" w:hAnsi="Arial" w:cs="Arial" w:eastAsiaTheme="minorEastAsia"/>
                <w:color w:val="333333"/>
                <w:sz w:val="19"/>
                <w:szCs w:val="19"/>
                <w:shd w:val="clear" w:color="auto" w:fill="FFFFFF"/>
                <w:vertAlign w:val="superscript"/>
              </w:rPr>
              <w:t>2</w:t>
            </w:r>
            <w:r>
              <w:rPr>
                <w:rFonts w:ascii="Arial" w:hAnsi="Arial" w:cs="Arial" w:eastAsiaTheme="minorEastAsia"/>
                <w:color w:val="333333"/>
                <w:sz w:val="19"/>
                <w:szCs w:val="19"/>
                <w:shd w:val="clear" w:color="auto" w:fill="FFFFFF"/>
              </w:rPr>
              <w:t>的铜线加1芯16mm</w:t>
            </w:r>
            <w:r>
              <w:rPr>
                <w:rFonts w:hint="eastAsia" w:ascii="Arial" w:hAnsi="Arial" w:cs="Arial" w:eastAsiaTheme="minorEastAsia"/>
                <w:color w:val="333333"/>
                <w:sz w:val="19"/>
                <w:szCs w:val="19"/>
                <w:shd w:val="clear" w:color="auto" w:fill="FFFFFF"/>
                <w:vertAlign w:val="superscript"/>
              </w:rPr>
              <w:t>2</w:t>
            </w:r>
            <w:r>
              <w:rPr>
                <w:rFonts w:ascii="Arial" w:hAnsi="Arial" w:cs="Arial" w:eastAsiaTheme="minorEastAsia"/>
                <w:color w:val="333333"/>
                <w:sz w:val="19"/>
                <w:szCs w:val="19"/>
                <w:shd w:val="clear" w:color="auto" w:fill="FFFFFF"/>
              </w:rPr>
              <w:t>的铜线</w:t>
            </w:r>
          </w:p>
        </w:tc>
        <w:tc>
          <w:tcPr>
            <w:tcW w:w="850" w:type="dxa"/>
          </w:tcPr>
          <w:p>
            <w:pPr>
              <w:pStyle w:val="18"/>
              <w:spacing w:line="360" w:lineRule="auto"/>
              <w:rPr>
                <w:rFonts w:asciiTheme="minorEastAsia" w:hAnsiTheme="minorEastAsia" w:eastAsiaTheme="minorEastAsia" w:cstheme="minorBidi"/>
                <w:sz w:val="24"/>
              </w:rPr>
            </w:pPr>
            <w:r>
              <w:rPr>
                <w:rFonts w:hint="eastAsia" w:asciiTheme="minorEastAsia" w:hAnsiTheme="minorEastAsia" w:eastAsiaTheme="minorEastAsia" w:cstheme="minorBidi"/>
                <w:szCs w:val="21"/>
              </w:rPr>
              <w:t>250</w:t>
            </w:r>
          </w:p>
        </w:tc>
        <w:tc>
          <w:tcPr>
            <w:tcW w:w="851" w:type="dxa"/>
          </w:tcPr>
          <w:p>
            <w:pPr>
              <w:pStyle w:val="18"/>
              <w:spacing w:line="360" w:lineRule="auto"/>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米</w:t>
            </w:r>
          </w:p>
        </w:tc>
        <w:tc>
          <w:tcPr>
            <w:tcW w:w="992" w:type="dxa"/>
          </w:tcPr>
          <w:p>
            <w:pPr>
              <w:pStyle w:val="18"/>
              <w:spacing w:line="360" w:lineRule="auto"/>
              <w:rPr>
                <w:rFonts w:asciiTheme="minorEastAsia" w:hAnsiTheme="minorEastAsia" w:eastAsiaTheme="minorEastAsia" w:cstheme="minorBidi"/>
                <w:sz w:val="24"/>
              </w:rPr>
            </w:pPr>
          </w:p>
        </w:tc>
        <w:tc>
          <w:tcPr>
            <w:tcW w:w="992" w:type="dxa"/>
          </w:tcPr>
          <w:p>
            <w:pPr>
              <w:pStyle w:val="18"/>
              <w:spacing w:line="360" w:lineRule="auto"/>
              <w:rPr>
                <w:rFonts w:asciiTheme="minorEastAsia" w:hAnsiTheme="minorEastAsia" w:eastAsiaTheme="minorEastAsia" w:cstheme="minorBidi"/>
                <w:sz w:val="24"/>
              </w:rPr>
            </w:pPr>
          </w:p>
        </w:tc>
        <w:tc>
          <w:tcPr>
            <w:tcW w:w="1843" w:type="dxa"/>
          </w:tcPr>
          <w:p>
            <w:pPr>
              <w:pStyle w:val="18"/>
              <w:rPr>
                <w:rFonts w:asciiTheme="minorEastAsia" w:hAnsiTheme="minorEastAsia" w:eastAsiaTheme="minorEastAsia" w:cstheme="minorBidi"/>
                <w:sz w:val="20"/>
                <w:szCs w:val="20"/>
              </w:rPr>
            </w:pPr>
            <w:r>
              <w:rPr>
                <w:rFonts w:hint="eastAsia" w:ascii="宋体" w:hAnsi="宋体" w:cs="宋体" w:eastAsiaTheme="minorEastAsia"/>
                <w:color w:val="FF0000"/>
                <w:kern w:val="0"/>
                <w:sz w:val="20"/>
                <w:szCs w:val="20"/>
              </w:rPr>
              <w:t>合同签订后</w:t>
            </w:r>
            <w:r>
              <w:rPr>
                <w:rFonts w:hint="eastAsia" w:ascii="宋体" w:hAnsi="宋体" w:cs="宋体" w:eastAsiaTheme="minorEastAsia"/>
                <w:color w:val="FF0000"/>
                <w:kern w:val="0"/>
                <w:sz w:val="20"/>
                <w:szCs w:val="20"/>
                <w:lang w:val="en-US" w:eastAsia="zh-CN"/>
              </w:rPr>
              <w:t>10</w:t>
            </w:r>
            <w:r>
              <w:rPr>
                <w:rFonts w:hint="eastAsia" w:ascii="宋体" w:hAnsi="宋体" w:cs="宋体" w:eastAsiaTheme="minorEastAsia"/>
                <w:color w:val="FF0000"/>
                <w:kern w:val="0"/>
                <w:sz w:val="20"/>
                <w:szCs w:val="20"/>
              </w:rPr>
              <w:t>日内完成</w:t>
            </w:r>
          </w:p>
        </w:tc>
        <w:tc>
          <w:tcPr>
            <w:tcW w:w="1843" w:type="dxa"/>
          </w:tcPr>
          <w:p>
            <w:pPr>
              <w:pStyle w:val="18"/>
              <w:rPr>
                <w:rFonts w:asciiTheme="minorEastAsia" w:hAnsiTheme="minorEastAsia" w:eastAsiaTheme="minorEastAsia" w:cstheme="minorBidi"/>
                <w:sz w:val="20"/>
                <w:szCs w:val="20"/>
              </w:rPr>
            </w:pPr>
            <w:r>
              <w:rPr>
                <w:rFonts w:hint="eastAsia" w:asciiTheme="minorEastAsia" w:hAnsiTheme="minorEastAsia" w:eastAsiaTheme="minorEastAsia" w:cstheme="minorBidi"/>
                <w:sz w:val="20"/>
                <w:szCs w:val="20"/>
              </w:rPr>
              <w:t>包头第二热电厂物资部</w:t>
            </w:r>
          </w:p>
        </w:tc>
        <w:tc>
          <w:tcPr>
            <w:tcW w:w="1559" w:type="dxa"/>
          </w:tcPr>
          <w:p>
            <w:pPr>
              <w:pStyle w:val="18"/>
              <w:spacing w:line="360" w:lineRule="auto"/>
              <w:rPr>
                <w:rFonts w:asciiTheme="minorEastAsia" w:hAnsiTheme="minorEastAsia" w:eastAsiaTheme="minorEastAsia" w:cstheme="minorBid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8897" w:type="dxa"/>
            <w:gridSpan w:val="7"/>
            <w:shd w:val="clear" w:color="auto" w:fill="auto"/>
          </w:tcPr>
          <w:p>
            <w:pPr>
              <w:pStyle w:val="18"/>
              <w:spacing w:line="360" w:lineRule="auto"/>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合   计</w:t>
            </w:r>
          </w:p>
        </w:tc>
        <w:tc>
          <w:tcPr>
            <w:tcW w:w="6237" w:type="dxa"/>
            <w:gridSpan w:val="4"/>
          </w:tcPr>
          <w:p>
            <w:pPr>
              <w:pStyle w:val="18"/>
              <w:spacing w:line="360" w:lineRule="auto"/>
              <w:rPr>
                <w:rFonts w:asciiTheme="minorEastAsia" w:hAnsiTheme="minorEastAsia" w:eastAsiaTheme="minorEastAsia" w:cstheme="minorBidi"/>
                <w:sz w:val="24"/>
              </w:rPr>
            </w:pPr>
          </w:p>
        </w:tc>
      </w:tr>
    </w:tbl>
    <w:p>
      <w:pPr>
        <w:pStyle w:val="18"/>
        <w:spacing w:line="360" w:lineRule="auto"/>
        <w:ind w:firstLine="480" w:firstLineChars="200"/>
        <w:rPr>
          <w:rFonts w:asciiTheme="minorEastAsia" w:hAnsiTheme="minorEastAsia"/>
          <w:sz w:val="24"/>
        </w:rPr>
      </w:pPr>
    </w:p>
    <w:p>
      <w:pPr>
        <w:tabs>
          <w:tab w:val="left" w:pos="414"/>
          <w:tab w:val="left" w:pos="1434"/>
        </w:tabs>
        <w:spacing w:line="400" w:lineRule="exact"/>
        <w:ind w:firstLine="480"/>
        <w:rPr>
          <w:color w:val="FF0000"/>
          <w:sz w:val="24"/>
        </w:rPr>
      </w:pPr>
      <w:r>
        <w:rPr>
          <w:rFonts w:hint="eastAsia"/>
          <w:color w:val="FF0000"/>
          <w:sz w:val="24"/>
        </w:rPr>
        <w:t>注：</w:t>
      </w:r>
      <w:r>
        <w:rPr>
          <w:color w:val="FF0000"/>
          <w:sz w:val="24"/>
        </w:rPr>
        <w:t>1</w:t>
      </w:r>
      <w:r>
        <w:rPr>
          <w:rFonts w:hint="eastAsia"/>
          <w:color w:val="FF0000"/>
          <w:sz w:val="24"/>
        </w:rPr>
        <w:t>．报价方按照需求清单进行分项报价，报价为含税总价，提供的产品、技术资料、服务、货物运输费用均在报价中。</w:t>
      </w:r>
    </w:p>
    <w:p>
      <w:pPr>
        <w:tabs>
          <w:tab w:val="left" w:pos="414"/>
          <w:tab w:val="left" w:pos="1434"/>
        </w:tabs>
        <w:spacing w:line="400" w:lineRule="exact"/>
        <w:ind w:firstLine="480"/>
        <w:rPr>
          <w:color w:val="FF0000"/>
          <w:sz w:val="24"/>
        </w:rPr>
      </w:pPr>
    </w:p>
    <w:p>
      <w:pPr>
        <w:ind w:firstLine="960" w:firstLineChars="400"/>
        <w:rPr>
          <w:rFonts w:asciiTheme="minorEastAsia" w:hAnsiTheme="minorEastAsia"/>
          <w:color w:val="000000" w:themeColor="text1"/>
          <w:sz w:val="24"/>
        </w:rPr>
        <w:sectPr>
          <w:pgSz w:w="16838" w:h="11906" w:orient="landscape"/>
          <w:pgMar w:top="454" w:right="720" w:bottom="454" w:left="720" w:header="851" w:footer="992" w:gutter="0"/>
          <w:cols w:space="720" w:num="1"/>
          <w:docGrid w:type="lines" w:linePitch="312" w:charSpace="0"/>
        </w:sectPr>
      </w:pPr>
      <w:r>
        <w:rPr>
          <w:rFonts w:hint="eastAsia" w:asciiTheme="minorEastAsia" w:hAnsiTheme="minorEastAsia"/>
          <w:color w:val="000000" w:themeColor="text1"/>
          <w:sz w:val="24"/>
        </w:rPr>
        <w:t>2、本采购项目具体内容：</w:t>
      </w:r>
      <w:r>
        <w:rPr>
          <w:rFonts w:cs="Calibri"/>
          <w:color w:val="000000" w:themeColor="text1"/>
          <w:sz w:val="22"/>
        </w:rPr>
        <w:t>电力电缆</w:t>
      </w:r>
      <w:r>
        <w:rPr>
          <w:rFonts w:hint="eastAsia" w:asciiTheme="minorEastAsia" w:hAnsiTheme="minorEastAsia"/>
          <w:color w:val="000000" w:themeColor="text1"/>
          <w:sz w:val="24"/>
        </w:rPr>
        <w:t>VV22 3×35 1×1</w:t>
      </w:r>
      <w:r>
        <w:rPr>
          <w:rFonts w:hint="eastAsia" w:ascii="宋体" w:hAnsi="宋体" w:eastAsia="宋体" w:cs="宋体"/>
          <w:color w:val="000000" w:themeColor="text1"/>
          <w:sz w:val="24"/>
        </w:rPr>
        <w:t xml:space="preserve">6  </w:t>
      </w:r>
      <w:r>
        <w:rPr>
          <w:rFonts w:hint="eastAsia" w:ascii="宋体" w:hAnsi="宋体" w:eastAsia="宋体" w:cs="宋体"/>
          <w:color w:val="000000" w:themeColor="text1"/>
          <w:sz w:val="22"/>
        </w:rPr>
        <w:t xml:space="preserve">  250米</w:t>
      </w:r>
    </w:p>
    <w:p>
      <w:pPr>
        <w:rPr>
          <w:rFonts w:ascii="Times New Roman" w:hAnsi="Times New Roman" w:cs="Calibri"/>
          <w:sz w:val="22"/>
          <w:szCs w:val="24"/>
        </w:rPr>
      </w:pPr>
      <w:r>
        <w:rPr>
          <w:rFonts w:hint="eastAsia" w:asciiTheme="minorEastAsia" w:hAnsiTheme="minorEastAsia"/>
          <w:b/>
          <w:sz w:val="28"/>
          <w:szCs w:val="28"/>
        </w:rPr>
        <w:t>（二）、技术性能</w:t>
      </w:r>
    </w:p>
    <w:p>
      <w:pPr>
        <w:pStyle w:val="4"/>
        <w:widowControl/>
        <w:shd w:val="clear" w:color="auto" w:fill="FFFFFF"/>
        <w:spacing w:after="45" w:line="360" w:lineRule="auto"/>
        <w:rPr>
          <w:rFonts w:asciiTheme="minorEastAsia" w:hAnsiTheme="minorEastAsia" w:eastAsiaTheme="minorEastAsia"/>
          <w:b w:val="0"/>
          <w:bCs w:val="0"/>
          <w:sz w:val="24"/>
          <w:szCs w:val="24"/>
        </w:rPr>
      </w:pPr>
      <w:r>
        <w:rPr>
          <w:rFonts w:hint="eastAsia" w:asciiTheme="minorEastAsia" w:hAnsiTheme="minorEastAsia" w:eastAsiaTheme="minorEastAsia" w:cstheme="minorBidi"/>
          <w:b w:val="0"/>
          <w:sz w:val="24"/>
          <w:szCs w:val="24"/>
        </w:rPr>
        <w:t>1、</w:t>
      </w:r>
      <w:r>
        <w:rPr>
          <w:rFonts w:hint="eastAsia" w:asciiTheme="minorEastAsia" w:hAnsiTheme="minorEastAsia" w:eastAsiaTheme="minorEastAsia"/>
          <w:b w:val="0"/>
          <w:bCs w:val="0"/>
          <w:sz w:val="24"/>
          <w:szCs w:val="24"/>
        </w:rPr>
        <w:t>技术规范及标准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报价方提供的设备和配套件要符合以下标准但不局限于以下标准：</w:t>
      </w:r>
    </w:p>
    <w:tbl>
      <w:tblPr>
        <w:tblStyle w:val="16"/>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50217</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电力工程电缆设计规范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12706.1</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额定电压</w:t>
            </w:r>
            <w:r>
              <w:rPr>
                <w:rFonts w:asciiTheme="minorEastAsia" w:hAnsiTheme="minorEastAsia" w:eastAsiaTheme="minorEastAsia"/>
                <w:sz w:val="24"/>
                <w:szCs w:val="24"/>
              </w:rPr>
              <w:t>0.6/1kV</w:t>
            </w:r>
            <w:r>
              <w:rPr>
                <w:rFonts w:hint="eastAsia" w:asciiTheme="minorEastAsia" w:hAnsiTheme="minorEastAsia" w:eastAsiaTheme="minorEastAsia"/>
                <w:sz w:val="24"/>
                <w:szCs w:val="24"/>
              </w:rPr>
              <w:t>（</w:t>
            </w:r>
            <w:r>
              <w:rPr>
                <w:rFonts w:asciiTheme="minorEastAsia" w:hAnsiTheme="minorEastAsia" w:eastAsiaTheme="minorEastAsia"/>
                <w:sz w:val="24"/>
                <w:szCs w:val="24"/>
              </w:rPr>
              <w:t>Um=1.2kV</w:t>
            </w:r>
            <w:r>
              <w:rPr>
                <w:rFonts w:hint="eastAsia" w:asciiTheme="minorEastAsia" w:hAnsiTheme="minorEastAsia" w:eastAsiaTheme="minorEastAsia"/>
                <w:sz w:val="24"/>
                <w:szCs w:val="24"/>
              </w:rPr>
              <w:t>）到</w:t>
            </w:r>
            <w:r>
              <w:rPr>
                <w:rFonts w:asciiTheme="minorEastAsia" w:hAnsiTheme="minorEastAsia" w:eastAsiaTheme="minorEastAsia"/>
                <w:sz w:val="24"/>
                <w:szCs w:val="24"/>
              </w:rPr>
              <w:t>3kV</w:t>
            </w:r>
            <w:r>
              <w:rPr>
                <w:rFonts w:hint="eastAsia" w:asciiTheme="minorEastAsia" w:hAnsiTheme="minorEastAsia" w:eastAsiaTheme="minorEastAsia"/>
                <w:sz w:val="24"/>
                <w:szCs w:val="24"/>
              </w:rPr>
              <w:t>（</w:t>
            </w:r>
            <w:r>
              <w:rPr>
                <w:rFonts w:asciiTheme="minorEastAsia" w:hAnsiTheme="minorEastAsia" w:eastAsiaTheme="minorEastAsia"/>
                <w:sz w:val="24"/>
                <w:szCs w:val="24"/>
              </w:rPr>
              <w:t>Um=3.6kV</w:t>
            </w:r>
            <w:r>
              <w:rPr>
                <w:rFonts w:hint="eastAsia" w:asciiTheme="minorEastAsia" w:hAnsiTheme="minorEastAsia" w:eastAsiaTheme="minorEastAsia"/>
                <w:sz w:val="24"/>
                <w:szCs w:val="24"/>
              </w:rPr>
              <w:t>）挤包绝缘电力电缆及附件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3048</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电线电缆电性能试验方法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2951</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电缆和光缆绝缘和护套材料通用试验方法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2952</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电缆外护层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3956</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电缆的导体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6995</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电线电缆识别标志方法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19666</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阻燃和耐火电线电缆通则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18380</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电缆和光缆在火焰下的燃烧试验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11091</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电缆用铜带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17650</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取电缆或光缆的材料燃烧时释出气体的试验方法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GB12666</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成束电线电缆燃烧试验方法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 17651</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电缆或光缆在特定条件下燃烧的烟密度测定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JB/T 8137</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电线电缆交货盘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YB/T 024</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铠装电缆用钢带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GB/T </w:t>
            </w:r>
            <w:r>
              <w:rPr>
                <w:rFonts w:asciiTheme="minorEastAsia" w:hAnsiTheme="minorEastAsia" w:eastAsiaTheme="minorEastAsia"/>
                <w:sz w:val="24"/>
                <w:szCs w:val="24"/>
              </w:rPr>
              <w:t>3953</w:t>
            </w:r>
            <w:r>
              <w:rPr>
                <w:rFonts w:asciiTheme="minorEastAsia" w:hAnsiTheme="minorEastAsia" w:eastAsiaTheme="minorEastAsia"/>
                <w:kern w:val="0"/>
                <w:sz w:val="24"/>
                <w:szCs w:val="24"/>
              </w:rPr>
              <w:t>-2009</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电工圆铜线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kern w:val="0"/>
                <w:sz w:val="24"/>
                <w:szCs w:val="24"/>
              </w:rPr>
            </w:pPr>
            <w:r>
              <w:rPr>
                <w:rFonts w:asciiTheme="minorEastAsia" w:hAnsiTheme="minorEastAsia" w:eastAsiaTheme="minorEastAsia"/>
                <w:kern w:val="0"/>
                <w:sz w:val="24"/>
                <w:szCs w:val="24"/>
              </w:rPr>
              <w:t>GB12666.5</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电线电缆燃烧试验方法第</w:t>
            </w:r>
            <w:r>
              <w:rPr>
                <w:rFonts w:asciiTheme="minorEastAsia" w:hAnsiTheme="minorEastAsia" w:eastAsiaTheme="minorEastAsia"/>
                <w:sz w:val="24"/>
                <w:szCs w:val="24"/>
              </w:rPr>
              <w:t>5</w:t>
            </w:r>
            <w:r>
              <w:rPr>
                <w:rFonts w:hint="eastAsia" w:asciiTheme="minorEastAsia" w:hAnsiTheme="minorEastAsia" w:eastAsiaTheme="minorEastAsia"/>
                <w:sz w:val="24"/>
                <w:szCs w:val="24"/>
              </w:rPr>
              <w:t>部分成束电线电缆燃烧试验方法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kern w:val="0"/>
                <w:sz w:val="24"/>
                <w:szCs w:val="24"/>
              </w:rPr>
            </w:pPr>
            <w:r>
              <w:rPr>
                <w:rFonts w:asciiTheme="minorEastAsia" w:hAnsiTheme="minorEastAsia" w:eastAsiaTheme="minorEastAsia"/>
                <w:kern w:val="0"/>
                <w:sz w:val="24"/>
                <w:szCs w:val="24"/>
              </w:rPr>
              <w:t>IEC61034</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给定条件下电缆燃烧烟浓度的测量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kern w:val="0"/>
                <w:sz w:val="24"/>
                <w:szCs w:val="24"/>
              </w:rPr>
            </w:pPr>
            <w:r>
              <w:rPr>
                <w:rFonts w:asciiTheme="minorEastAsia" w:hAnsiTheme="minorEastAsia" w:eastAsiaTheme="minorEastAsia"/>
                <w:kern w:val="0"/>
                <w:sz w:val="24"/>
                <w:szCs w:val="24"/>
              </w:rPr>
              <w:t>IEC754</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电缆燃烧放出的气体的试验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kern w:val="0"/>
                <w:sz w:val="24"/>
                <w:szCs w:val="24"/>
              </w:rPr>
            </w:pPr>
            <w:r>
              <w:rPr>
                <w:rFonts w:asciiTheme="minorEastAsia" w:hAnsiTheme="minorEastAsia" w:eastAsiaTheme="minorEastAsia"/>
                <w:sz w:val="24"/>
                <w:szCs w:val="24"/>
              </w:rPr>
              <w:t>GB9330-08</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塑料绝缘控制电缆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GB4005</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电工圆铜线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asciiTheme="minorEastAsia" w:hAnsiTheme="minorEastAsia" w:eastAsiaTheme="minorEastAsia"/>
                <w:sz w:val="24"/>
                <w:szCs w:val="24"/>
              </w:rPr>
              <w:t>GB/T19216-2003</w:t>
            </w:r>
          </w:p>
        </w:tc>
        <w:tc>
          <w:tcPr>
            <w:tcW w:w="6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在火焰条件下电缆或光缆的线路完整性试验</w:t>
            </w:r>
          </w:p>
        </w:tc>
      </w:tr>
    </w:tbl>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2、电缆结构除符合</w:t>
      </w:r>
      <w:r>
        <w:rPr>
          <w:rFonts w:asciiTheme="minorEastAsia" w:hAnsiTheme="minorEastAsia" w:eastAsiaTheme="minorEastAsia"/>
          <w:kern w:val="0"/>
          <w:sz w:val="24"/>
          <w:szCs w:val="24"/>
        </w:rPr>
        <w:t>GB/T 12706</w:t>
      </w:r>
      <w:r>
        <w:rPr>
          <w:rFonts w:hint="eastAsia" w:asciiTheme="minorEastAsia" w:hAnsiTheme="minorEastAsia" w:eastAsiaTheme="minorEastAsia"/>
          <w:kern w:val="0"/>
          <w:sz w:val="24"/>
          <w:szCs w:val="24"/>
        </w:rPr>
        <w:t>的规定外，还应满足以下要求。</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2.1外观和导体</w:t>
      </w:r>
    </w:p>
    <w:p>
      <w:pPr>
        <w:spacing w:after="100"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导体表面应光洁、无油污、无损伤屏蔽及绝缘的毛刺、锐边，无凸起或断裂的单线。导体应为圆形并绞合紧压，紧压系数不小于</w:t>
      </w:r>
      <w:r>
        <w:rPr>
          <w:rFonts w:asciiTheme="minorEastAsia" w:hAnsiTheme="minorEastAsia" w:eastAsiaTheme="minorEastAsia"/>
          <w:kern w:val="0"/>
          <w:sz w:val="24"/>
          <w:szCs w:val="24"/>
        </w:rPr>
        <w:t>0.9</w:t>
      </w:r>
      <w:r>
        <w:rPr>
          <w:rFonts w:hint="eastAsia" w:asciiTheme="minorEastAsia" w:hAnsiTheme="minorEastAsia" w:eastAsiaTheme="minorEastAsia"/>
          <w:kern w:val="0"/>
          <w:sz w:val="24"/>
          <w:szCs w:val="24"/>
        </w:rPr>
        <w:t>。</w:t>
      </w:r>
    </w:p>
    <w:p>
      <w:pPr>
        <w:spacing w:after="100"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导体采用优质无氧铜</w:t>
      </w:r>
      <w:r>
        <w:rPr>
          <w:rFonts w:hint="eastAsia" w:cs="宋体" w:asciiTheme="minorEastAsia" w:hAnsiTheme="minorEastAsia" w:eastAsiaTheme="minorEastAsia"/>
          <w:kern w:val="0"/>
          <w:sz w:val="24"/>
          <w:szCs w:val="24"/>
        </w:rPr>
        <w:t>，其组成、性能及外观应符合</w:t>
      </w:r>
      <w:r>
        <w:rPr>
          <w:rFonts w:asciiTheme="minorEastAsia" w:hAnsiTheme="minorEastAsia" w:eastAsiaTheme="minorEastAsia"/>
          <w:kern w:val="0"/>
          <w:sz w:val="24"/>
          <w:szCs w:val="24"/>
        </w:rPr>
        <w:t>GB12706.1</w:t>
      </w:r>
      <w:r>
        <w:rPr>
          <w:rFonts w:hint="eastAsia" w:asciiTheme="minorEastAsia" w:hAnsiTheme="minorEastAsia" w:eastAsiaTheme="minorEastAsia"/>
          <w:kern w:val="0"/>
          <w:sz w:val="24"/>
          <w:szCs w:val="24"/>
        </w:rPr>
        <w:t>的规定，</w:t>
      </w:r>
      <w:r>
        <w:rPr>
          <w:rFonts w:hint="eastAsia" w:asciiTheme="minorEastAsia" w:hAnsiTheme="minorEastAsia" w:eastAsiaTheme="minorEastAsia"/>
          <w:color w:val="000000"/>
          <w:sz w:val="24"/>
          <w:szCs w:val="24"/>
        </w:rPr>
        <w:t>不低于</w:t>
      </w:r>
      <w:r>
        <w:rPr>
          <w:rFonts w:asciiTheme="minorEastAsia" w:hAnsiTheme="minorEastAsia" w:eastAsiaTheme="minorEastAsia"/>
          <w:color w:val="000000"/>
          <w:sz w:val="24"/>
          <w:szCs w:val="24"/>
        </w:rPr>
        <w:t>GB5231</w:t>
      </w:r>
      <w:r>
        <w:rPr>
          <w:rFonts w:hint="eastAsia" w:asciiTheme="minorEastAsia" w:hAnsiTheme="minorEastAsia" w:eastAsiaTheme="minorEastAsia"/>
          <w:color w:val="000000"/>
          <w:sz w:val="24"/>
          <w:szCs w:val="24"/>
        </w:rPr>
        <w:t>规定的</w:t>
      </w:r>
      <w:r>
        <w:rPr>
          <w:rFonts w:asciiTheme="minorEastAsia" w:hAnsiTheme="minorEastAsia" w:eastAsiaTheme="minorEastAsia"/>
          <w:color w:val="000000"/>
          <w:sz w:val="24"/>
          <w:szCs w:val="24"/>
        </w:rPr>
        <w:t>TU2</w:t>
      </w:r>
      <w:r>
        <w:rPr>
          <w:rFonts w:hint="eastAsia" w:asciiTheme="minorEastAsia" w:hAnsiTheme="minorEastAsia" w:eastAsiaTheme="minorEastAsia"/>
          <w:color w:val="000000"/>
          <w:sz w:val="24"/>
          <w:szCs w:val="24"/>
        </w:rPr>
        <w:t>或</w:t>
      </w:r>
      <w:r>
        <w:rPr>
          <w:rFonts w:asciiTheme="minorEastAsia" w:hAnsiTheme="minorEastAsia" w:eastAsiaTheme="minorEastAsia"/>
          <w:color w:val="000000"/>
          <w:sz w:val="24"/>
          <w:szCs w:val="24"/>
        </w:rPr>
        <w:t>T2</w:t>
      </w:r>
      <w:r>
        <w:rPr>
          <w:rFonts w:hint="eastAsia" w:asciiTheme="minorEastAsia" w:hAnsiTheme="minorEastAsia" w:eastAsiaTheme="minorEastAsia"/>
          <w:color w:val="000000"/>
          <w:sz w:val="24"/>
          <w:szCs w:val="24"/>
        </w:rPr>
        <w:t>级的退火铜材料。</w:t>
      </w:r>
      <w:r>
        <w:rPr>
          <w:rFonts w:hint="eastAsia" w:asciiTheme="minorEastAsia" w:hAnsiTheme="minorEastAsia" w:eastAsiaTheme="minorEastAsia"/>
          <w:kern w:val="0"/>
          <w:sz w:val="24"/>
          <w:szCs w:val="24"/>
        </w:rPr>
        <w:t>卖方在供货时必须注明铜产地。</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2.2挤出交联工艺</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绝缘料采用交联聚乙烯或聚氯乙烯，绝缘料从生产之日到使用不应超过半年。生产厂家提供对产品工艺制造水平的描述，包括干式交联流水线方式，生产设备中的干式交联的描述等。</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2.3绝缘</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绝缘采用交联聚乙烯或聚氯乙烯，绝缘应紧密挤包在导体上，绝缘表面应平整，色泽均匀。各截面绝缘标称厚度见</w:t>
      </w:r>
      <w:r>
        <w:rPr>
          <w:rFonts w:asciiTheme="minorEastAsia" w:hAnsiTheme="minorEastAsia" w:eastAsiaTheme="minorEastAsia"/>
          <w:kern w:val="0"/>
          <w:sz w:val="24"/>
          <w:szCs w:val="24"/>
        </w:rPr>
        <w:t>GB/T 12706</w:t>
      </w:r>
      <w:r>
        <w:rPr>
          <w:rFonts w:hint="eastAsia" w:asciiTheme="minorEastAsia" w:hAnsiTheme="minorEastAsia" w:eastAsiaTheme="minorEastAsia"/>
          <w:kern w:val="0"/>
          <w:sz w:val="24"/>
          <w:szCs w:val="24"/>
        </w:rPr>
        <w:t>，绝缘厚度平均值最小测量值不小于标称值，绝缘最薄点的厚度应不小于规定标称值的</w:t>
      </w:r>
      <w:r>
        <w:rPr>
          <w:rFonts w:asciiTheme="minorEastAsia" w:hAnsiTheme="minorEastAsia" w:eastAsiaTheme="minorEastAsia"/>
          <w:kern w:val="0"/>
          <w:sz w:val="24"/>
          <w:szCs w:val="24"/>
        </w:rPr>
        <w:t>90%-0.1mm</w:t>
      </w:r>
      <w:r>
        <w:rPr>
          <w:rFonts w:hint="eastAsia" w:asciiTheme="minorEastAsia" w:hAnsiTheme="minorEastAsia" w:eastAsiaTheme="minorEastAsia"/>
          <w:kern w:val="0"/>
          <w:sz w:val="24"/>
          <w:szCs w:val="24"/>
        </w:rPr>
        <w:t>。</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厚度测量结果应按</w:t>
      </w:r>
      <w:r>
        <w:rPr>
          <w:rFonts w:asciiTheme="minorEastAsia" w:hAnsiTheme="minorEastAsia" w:eastAsiaTheme="minorEastAsia"/>
          <w:sz w:val="24"/>
          <w:szCs w:val="24"/>
        </w:rPr>
        <w:t>GB8170</w:t>
      </w:r>
      <w:r>
        <w:rPr>
          <w:rFonts w:hint="eastAsia" w:asciiTheme="minorEastAsia" w:hAnsiTheme="minorEastAsia" w:eastAsiaTheme="minorEastAsia"/>
          <w:sz w:val="24"/>
          <w:szCs w:val="24"/>
        </w:rPr>
        <w:t>规定修约。</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导体和绝缘外面的任何隔离层或半导电屏蔽层的厚度应不包括在绝缘厚度内。绝缘线芯的识别标志应符合</w:t>
      </w:r>
      <w:r>
        <w:rPr>
          <w:rFonts w:asciiTheme="minorEastAsia" w:hAnsiTheme="minorEastAsia" w:eastAsiaTheme="minorEastAsia"/>
          <w:sz w:val="24"/>
          <w:szCs w:val="24"/>
        </w:rPr>
        <w:t>GB6995.5</w:t>
      </w:r>
      <w:r>
        <w:rPr>
          <w:rFonts w:hint="eastAsia" w:asciiTheme="minorEastAsia" w:hAnsiTheme="minorEastAsia" w:eastAsiaTheme="minorEastAsia"/>
          <w:sz w:val="24"/>
          <w:szCs w:val="24"/>
        </w:rPr>
        <w:t>的规定，绝缘标称厚度应不小于有关规定。</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绝缘的横断面应无目力可见的气泡和砂眼等缺陷。</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明确需要与环境保护协调时，不得选用聚氯乙烯绝缘电缆。低温环境不宜用聚氯乙烯绝缘电缆。</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2.4 金属屏蔽</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金属屏蔽用重叠绕包的软铜带（或软铜丝）组成，电阻率不大于</w:t>
      </w:r>
      <w:r>
        <w:rPr>
          <w:rFonts w:asciiTheme="minorEastAsia" w:hAnsiTheme="minorEastAsia" w:eastAsiaTheme="minorEastAsia"/>
          <w:kern w:val="0"/>
          <w:sz w:val="24"/>
          <w:szCs w:val="24"/>
        </w:rPr>
        <w:t>0.0180Ω.mm</w:t>
      </w:r>
      <w:r>
        <w:rPr>
          <w:rFonts w:asciiTheme="minorEastAsia" w:hAnsiTheme="minorEastAsia" w:eastAsiaTheme="minorEastAsia"/>
          <w:kern w:val="0"/>
          <w:sz w:val="24"/>
          <w:szCs w:val="24"/>
          <w:vertAlign w:val="superscript"/>
        </w:rPr>
        <w:t>2</w:t>
      </w:r>
      <w:r>
        <w:rPr>
          <w:rFonts w:asciiTheme="minorEastAsia" w:hAnsiTheme="minorEastAsia" w:eastAsiaTheme="minorEastAsia"/>
          <w:kern w:val="0"/>
          <w:sz w:val="24"/>
          <w:szCs w:val="24"/>
        </w:rPr>
        <w:t>/m</w:t>
      </w: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20</w:t>
      </w:r>
      <w:r>
        <w:rPr>
          <w:rFonts w:hint="eastAsia" w:asciiTheme="minorEastAsia" w:hAnsiTheme="minorEastAsia" w:eastAsiaTheme="minorEastAsia"/>
          <w:kern w:val="0"/>
          <w:sz w:val="24"/>
          <w:szCs w:val="24"/>
        </w:rPr>
        <w:t>℃），绕包连续均匀，平整光滑，没有断裂，铜带间绕包平均搭盖率不小于</w:t>
      </w:r>
      <w:r>
        <w:rPr>
          <w:rFonts w:asciiTheme="minorEastAsia" w:hAnsiTheme="minorEastAsia" w:eastAsiaTheme="minorEastAsia"/>
          <w:kern w:val="0"/>
          <w:sz w:val="24"/>
          <w:szCs w:val="24"/>
        </w:rPr>
        <w:t xml:space="preserve"> 20</w:t>
      </w:r>
      <w:r>
        <w:rPr>
          <w:rFonts w:hint="eastAsia" w:asciiTheme="minorEastAsia" w:hAnsiTheme="minorEastAsia" w:eastAsiaTheme="minorEastAsia"/>
          <w:kern w:val="0"/>
          <w:sz w:val="24"/>
          <w:szCs w:val="24"/>
        </w:rPr>
        <w:t>％（标称值）。铜带标称厚度为</w:t>
      </w:r>
      <w:r>
        <w:rPr>
          <w:rFonts w:asciiTheme="minorEastAsia" w:hAnsiTheme="minorEastAsia" w:eastAsiaTheme="minorEastAsia"/>
          <w:kern w:val="0"/>
          <w:sz w:val="24"/>
          <w:szCs w:val="24"/>
        </w:rPr>
        <w:t>0.10mm</w:t>
      </w:r>
      <w:r>
        <w:rPr>
          <w:rFonts w:hint="eastAsia" w:asciiTheme="minorEastAsia" w:hAnsiTheme="minorEastAsia" w:eastAsiaTheme="minorEastAsia"/>
          <w:kern w:val="0"/>
          <w:sz w:val="24"/>
          <w:szCs w:val="24"/>
        </w:rPr>
        <w:t>，截面大于</w:t>
      </w:r>
      <w:r>
        <w:rPr>
          <w:rFonts w:asciiTheme="minorEastAsia" w:hAnsiTheme="minorEastAsia" w:eastAsiaTheme="minorEastAsia"/>
          <w:kern w:val="0"/>
          <w:sz w:val="24"/>
          <w:szCs w:val="24"/>
        </w:rPr>
        <w:t>25mm</w:t>
      </w:r>
      <w:r>
        <w:rPr>
          <w:rFonts w:asciiTheme="minorEastAsia" w:hAnsiTheme="minorEastAsia" w:eastAsiaTheme="minorEastAsia"/>
          <w:kern w:val="0"/>
          <w:sz w:val="24"/>
          <w:szCs w:val="24"/>
          <w:vertAlign w:val="superscript"/>
        </w:rPr>
        <w:t>2</w:t>
      </w:r>
      <w:r>
        <w:rPr>
          <w:rFonts w:hint="eastAsia" w:asciiTheme="minorEastAsia" w:hAnsiTheme="minorEastAsia" w:eastAsiaTheme="minorEastAsia"/>
          <w:kern w:val="0"/>
          <w:sz w:val="24"/>
          <w:szCs w:val="24"/>
        </w:rPr>
        <w:t>（按管状计算），且三芯屏蔽应接触良好。铜带的最小厚度应不小于标称值的</w:t>
      </w:r>
      <w:r>
        <w:rPr>
          <w:rFonts w:asciiTheme="minorEastAsia" w:hAnsiTheme="minorEastAsia" w:eastAsiaTheme="minorEastAsia"/>
          <w:kern w:val="0"/>
          <w:sz w:val="24"/>
          <w:szCs w:val="24"/>
        </w:rPr>
        <w:t>90%</w:t>
      </w:r>
      <w:r>
        <w:rPr>
          <w:rFonts w:hint="eastAsia" w:asciiTheme="minorEastAsia" w:hAnsiTheme="minorEastAsia" w:eastAsiaTheme="minorEastAsia"/>
          <w:kern w:val="0"/>
          <w:sz w:val="24"/>
          <w:szCs w:val="24"/>
        </w:rPr>
        <w:t>。</w:t>
      </w:r>
    </w:p>
    <w:p>
      <w:pPr>
        <w:pStyle w:val="21"/>
        <w:numPr>
          <w:ilvl w:val="1"/>
          <w:numId w:val="1"/>
        </w:numPr>
        <w:spacing w:line="360" w:lineRule="auto"/>
        <w:ind w:firstLineChars="0"/>
        <w:outlineLvl w:val="2"/>
        <w:rPr>
          <w:rFonts w:asciiTheme="minorEastAsia" w:hAnsiTheme="minorEastAsia" w:eastAsiaTheme="minorEastAsia"/>
          <w:sz w:val="24"/>
        </w:rPr>
      </w:pPr>
      <w:r>
        <w:rPr>
          <w:rFonts w:hint="eastAsia" w:asciiTheme="minorEastAsia" w:hAnsiTheme="minorEastAsia" w:eastAsiaTheme="minorEastAsia"/>
          <w:sz w:val="24"/>
        </w:rPr>
        <w:t>内衬层、填充物及隔离套</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2.5.1各种具有铠装层</w:t>
      </w:r>
      <w:r>
        <w:rPr>
          <w:rFonts w:hint="eastAsia" w:cs="宋体" w:asciiTheme="minorEastAsia" w:hAnsiTheme="minorEastAsia" w:eastAsiaTheme="minorEastAsia"/>
          <w:kern w:val="0"/>
          <w:sz w:val="24"/>
          <w:szCs w:val="24"/>
        </w:rPr>
        <w:t>，同心导体或金属屏蔽层的多芯电缆，在缆芯上一般应有一内衬</w:t>
      </w:r>
      <w:r>
        <w:rPr>
          <w:rFonts w:hint="eastAsia" w:asciiTheme="minorEastAsia" w:hAnsiTheme="minorEastAsia" w:eastAsiaTheme="minorEastAsia"/>
          <w:kern w:val="0"/>
          <w:sz w:val="24"/>
          <w:szCs w:val="24"/>
        </w:rPr>
        <w:t>层。</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2.5.2额定电压</w:t>
      </w:r>
      <w:r>
        <w:rPr>
          <w:rFonts w:asciiTheme="minorEastAsia" w:hAnsiTheme="minorEastAsia" w:eastAsiaTheme="minorEastAsia"/>
          <w:kern w:val="0"/>
          <w:sz w:val="24"/>
          <w:szCs w:val="24"/>
        </w:rPr>
        <w:t>0.6/1kV</w:t>
      </w:r>
      <w:r>
        <w:rPr>
          <w:rFonts w:hint="eastAsia" w:asciiTheme="minorEastAsia" w:hAnsiTheme="minorEastAsia" w:eastAsiaTheme="minorEastAsia"/>
          <w:kern w:val="0"/>
          <w:sz w:val="24"/>
          <w:szCs w:val="24"/>
        </w:rPr>
        <w:t>以上的非径向电场电缆的内衬层及填充应采用非吸湿材料。</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2.5.3额定电压</w:t>
      </w:r>
      <w:r>
        <w:rPr>
          <w:rFonts w:asciiTheme="minorEastAsia" w:hAnsiTheme="minorEastAsia" w:eastAsiaTheme="minorEastAsia"/>
          <w:kern w:val="0"/>
          <w:sz w:val="24"/>
          <w:szCs w:val="24"/>
        </w:rPr>
        <w:t>0.6/1kV</w:t>
      </w:r>
      <w:r>
        <w:rPr>
          <w:rFonts w:hint="eastAsia" w:asciiTheme="minorEastAsia" w:hAnsiTheme="minorEastAsia" w:eastAsiaTheme="minorEastAsia"/>
          <w:kern w:val="0"/>
          <w:sz w:val="24"/>
          <w:szCs w:val="24"/>
        </w:rPr>
        <w:t>以上</w:t>
      </w:r>
      <w:r>
        <w:rPr>
          <w:rFonts w:hint="eastAsia" w:cs="宋体" w:asciiTheme="minorEastAsia" w:hAnsiTheme="minorEastAsia" w:eastAsiaTheme="minorEastAsia"/>
          <w:kern w:val="0"/>
          <w:sz w:val="24"/>
          <w:szCs w:val="24"/>
        </w:rPr>
        <w:t>，在缆芯上只有绕包金属屏蔽的径向电场电缆的内衬层应</w:t>
      </w:r>
      <w:r>
        <w:rPr>
          <w:rFonts w:hint="eastAsia" w:asciiTheme="minorEastAsia" w:hAnsiTheme="minorEastAsia" w:eastAsiaTheme="minorEastAsia"/>
          <w:kern w:val="0"/>
          <w:sz w:val="24"/>
          <w:szCs w:val="24"/>
        </w:rPr>
        <w:t>采用半导电材料</w:t>
      </w:r>
      <w:r>
        <w:rPr>
          <w:rFonts w:hint="eastAsia" w:cs="宋体" w:asciiTheme="minorEastAsia" w:hAnsiTheme="minorEastAsia" w:eastAsiaTheme="minorEastAsia"/>
          <w:kern w:val="0"/>
          <w:sz w:val="24"/>
          <w:szCs w:val="24"/>
        </w:rPr>
        <w:t>，填充物亦可用半导电物。</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2.5.4填充缆芯应紧密无空隙，并保证在成品电缆段附加老化试验后不粉化。三芯成缆后外型应圆整。</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2.5.5隔离套采用挤包型。隔离套厚度平均值不小于标称值，任一点最小厚度应不小于标称值的</w:t>
      </w:r>
      <w:r>
        <w:rPr>
          <w:rFonts w:asciiTheme="minorEastAsia" w:hAnsiTheme="minorEastAsia" w:eastAsiaTheme="minorEastAsia"/>
          <w:kern w:val="0"/>
          <w:sz w:val="24"/>
          <w:szCs w:val="24"/>
        </w:rPr>
        <w:t>80%</w:t>
      </w:r>
      <w:r>
        <w:rPr>
          <w:rFonts w:hint="eastAsia" w:asciiTheme="minorEastAsia" w:hAnsiTheme="minorEastAsia" w:eastAsiaTheme="minorEastAsia"/>
          <w:kern w:val="0"/>
          <w:sz w:val="24"/>
          <w:szCs w:val="24"/>
        </w:rPr>
        <w:t>。</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2.5.6内衬层可以挤包或绕包</w:t>
      </w:r>
      <w:r>
        <w:rPr>
          <w:rFonts w:hint="eastAsia" w:cs="宋体" w:asciiTheme="minorEastAsia" w:hAnsiTheme="minorEastAsia" w:eastAsiaTheme="minorEastAsia"/>
          <w:kern w:val="0"/>
          <w:sz w:val="24"/>
          <w:szCs w:val="24"/>
        </w:rPr>
        <w:t>铠装电缆内衬层厚度应符合有关规定。</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2.5.7圆形绝缘线芯电缆只有在各绝缘线芯间内用基本上成型的填芯填充时才允许采用绕包型内衬</w:t>
      </w:r>
      <w:r>
        <w:rPr>
          <w:rFonts w:hint="eastAsia" w:cs="宋体" w:asciiTheme="minorEastAsia" w:hAnsiTheme="minorEastAsia" w:eastAsiaTheme="minorEastAsia"/>
          <w:kern w:val="0"/>
          <w:sz w:val="24"/>
          <w:szCs w:val="24"/>
        </w:rPr>
        <w:t>。</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2.5.8内衬层及填充物应与电缆的工作温度相适应</w:t>
      </w:r>
      <w:r>
        <w:rPr>
          <w:rFonts w:hint="eastAsia" w:cs="宋体" w:asciiTheme="minorEastAsia" w:hAnsiTheme="minorEastAsia" w:eastAsiaTheme="minorEastAsia"/>
          <w:kern w:val="0"/>
          <w:sz w:val="24"/>
          <w:szCs w:val="24"/>
        </w:rPr>
        <w:t>并对绝缘材料无有害影响。</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2.5.9缆芯在挤包内衬层前允许采用合适的带子以间隙螺旋绕包扎紧</w:t>
      </w:r>
      <w:r>
        <w:rPr>
          <w:rFonts w:hint="eastAsia" w:cs="宋体" w:asciiTheme="minorEastAsia" w:hAnsiTheme="minorEastAsia" w:eastAsiaTheme="minorEastAsia"/>
          <w:kern w:val="0"/>
          <w:sz w:val="24"/>
          <w:szCs w:val="24"/>
        </w:rPr>
        <w:t>。</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2.5.10标称截面</w:t>
      </w:r>
      <w:r>
        <w:rPr>
          <w:rFonts w:asciiTheme="minorEastAsia" w:hAnsiTheme="minorEastAsia" w:eastAsiaTheme="minorEastAsia"/>
          <w:kern w:val="0"/>
          <w:sz w:val="24"/>
          <w:szCs w:val="24"/>
        </w:rPr>
        <w:t>10mm</w:t>
      </w:r>
      <w:r>
        <w:rPr>
          <w:rFonts w:asciiTheme="minorEastAsia" w:hAnsiTheme="minorEastAsia" w:eastAsiaTheme="minorEastAsia"/>
          <w:kern w:val="0"/>
          <w:sz w:val="24"/>
          <w:szCs w:val="24"/>
          <w:vertAlign w:val="superscript"/>
        </w:rPr>
        <w:t>2</w:t>
      </w:r>
      <w:r>
        <w:rPr>
          <w:rFonts w:hint="eastAsia" w:asciiTheme="minorEastAsia" w:hAnsiTheme="minorEastAsia" w:eastAsiaTheme="minorEastAsia"/>
          <w:kern w:val="0"/>
          <w:sz w:val="24"/>
          <w:szCs w:val="24"/>
        </w:rPr>
        <w:t>及以下的两芯</w:t>
      </w:r>
      <w:r>
        <w:rPr>
          <w:rFonts w:asciiTheme="minorEastAsia" w:hAnsiTheme="minorEastAsia" w:eastAsiaTheme="minorEastAsia"/>
          <w:kern w:val="0"/>
          <w:sz w:val="24"/>
          <w:szCs w:val="24"/>
        </w:rPr>
        <w:t>YJV</w:t>
      </w:r>
      <w:r>
        <w:rPr>
          <w:rFonts w:hint="eastAsia" w:asciiTheme="minorEastAsia" w:hAnsiTheme="minorEastAsia" w:eastAsiaTheme="minorEastAsia"/>
          <w:kern w:val="0"/>
          <w:sz w:val="24"/>
          <w:szCs w:val="24"/>
        </w:rPr>
        <w:t>电缆</w:t>
      </w:r>
      <w:r>
        <w:rPr>
          <w:rFonts w:hint="eastAsia" w:cs="宋体" w:asciiTheme="minorEastAsia" w:hAnsiTheme="minorEastAsia" w:eastAsiaTheme="minorEastAsia"/>
          <w:kern w:val="0"/>
          <w:sz w:val="24"/>
          <w:szCs w:val="24"/>
        </w:rPr>
        <w:t>，其绝缘芯允许平行放置。</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2.6 铠装</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采用双层镀锌钢带，螺旋绕包两层，外层钢带的中间大致在内层钢带间隙上方，包带间隙应不大于钢带宽度的</w:t>
      </w:r>
      <w:r>
        <w:rPr>
          <w:rFonts w:asciiTheme="minorEastAsia" w:hAnsiTheme="minorEastAsia" w:eastAsiaTheme="minorEastAsia"/>
          <w:kern w:val="0"/>
          <w:sz w:val="24"/>
          <w:szCs w:val="24"/>
        </w:rPr>
        <w:t>50%</w:t>
      </w:r>
      <w:r>
        <w:rPr>
          <w:rFonts w:hint="eastAsia" w:asciiTheme="minorEastAsia" w:hAnsiTheme="minorEastAsia" w:eastAsiaTheme="minorEastAsia"/>
          <w:kern w:val="0"/>
          <w:sz w:val="24"/>
          <w:szCs w:val="24"/>
        </w:rPr>
        <w:t>，绕包应平整光滑。双层镀锌钢带绕包间隙不超过钢带宽度的</w:t>
      </w:r>
      <w:r>
        <w:rPr>
          <w:rFonts w:asciiTheme="minorEastAsia" w:hAnsiTheme="minorEastAsia" w:eastAsiaTheme="minorEastAsia"/>
          <w:kern w:val="0"/>
          <w:sz w:val="24"/>
          <w:szCs w:val="24"/>
        </w:rPr>
        <w:t>50%</w:t>
      </w:r>
      <w:r>
        <w:rPr>
          <w:rFonts w:hint="eastAsia" w:asciiTheme="minorEastAsia" w:hAnsiTheme="minorEastAsia" w:eastAsiaTheme="minorEastAsia"/>
          <w:kern w:val="0"/>
          <w:sz w:val="24"/>
          <w:szCs w:val="24"/>
        </w:rPr>
        <w:t>，下层钢带间隙为上层钢带间隙中间部份所覆盖，钢带绕包应平整光滑，钢带规格符合</w:t>
      </w:r>
      <w:r>
        <w:rPr>
          <w:rFonts w:asciiTheme="minorEastAsia" w:hAnsiTheme="minorEastAsia" w:eastAsiaTheme="minorEastAsia"/>
          <w:kern w:val="0"/>
          <w:sz w:val="24"/>
          <w:szCs w:val="24"/>
        </w:rPr>
        <w:t>GB19706</w:t>
      </w:r>
      <w:r>
        <w:rPr>
          <w:rFonts w:hint="eastAsia" w:asciiTheme="minorEastAsia" w:hAnsiTheme="minorEastAsia" w:eastAsiaTheme="minorEastAsia"/>
          <w:kern w:val="0"/>
          <w:sz w:val="24"/>
          <w:szCs w:val="24"/>
        </w:rPr>
        <w:t>的规定。单芯电缆不采用磁性材料的铠装。</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2.7外护套</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除非另有要求，外护套应采用聚氯乙烯或聚乙烯料挤包。</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外护套厚度平均值应不小于标称值，任一点最小厚度应不小于标称值的</w:t>
      </w:r>
      <w:r>
        <w:rPr>
          <w:rFonts w:asciiTheme="minorEastAsia" w:hAnsiTheme="minorEastAsia" w:eastAsiaTheme="minorEastAsia"/>
          <w:kern w:val="0"/>
          <w:sz w:val="24"/>
          <w:szCs w:val="24"/>
        </w:rPr>
        <w:t>90%</w:t>
      </w:r>
      <w:r>
        <w:rPr>
          <w:rFonts w:hint="eastAsia" w:asciiTheme="minorEastAsia" w:hAnsiTheme="minorEastAsia" w:eastAsiaTheme="minorEastAsia"/>
          <w:kern w:val="0"/>
          <w:sz w:val="24"/>
          <w:szCs w:val="24"/>
        </w:rPr>
        <w:t>。</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外护套通常为黑色</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红色</w:t>
      </w:r>
      <w:r>
        <w:rPr>
          <w:rFonts w:hint="eastAsia" w:cs="宋体" w:asciiTheme="minorEastAsia" w:hAnsiTheme="minorEastAsia" w:eastAsiaTheme="minorEastAsia"/>
          <w:kern w:val="0"/>
          <w:sz w:val="24"/>
          <w:szCs w:val="24"/>
        </w:rPr>
        <w:t>，但也可以按照制造方和技术规范采用黑色以外的其他颜色，以适应电缆</w:t>
      </w:r>
      <w:r>
        <w:rPr>
          <w:rFonts w:hint="eastAsia" w:asciiTheme="minorEastAsia" w:hAnsiTheme="minorEastAsia" w:eastAsiaTheme="minorEastAsia"/>
          <w:kern w:val="0"/>
          <w:sz w:val="24"/>
          <w:szCs w:val="24"/>
        </w:rPr>
        <w:t>使用的特定环境。外护套应经受</w:t>
      </w:r>
      <w:r>
        <w:rPr>
          <w:rFonts w:asciiTheme="minorEastAsia" w:hAnsiTheme="minorEastAsia" w:eastAsiaTheme="minorEastAsia"/>
          <w:kern w:val="0"/>
          <w:sz w:val="24"/>
          <w:szCs w:val="24"/>
        </w:rPr>
        <w:t xml:space="preserve">GB/T3048.10-2007 </w:t>
      </w:r>
      <w:r>
        <w:rPr>
          <w:rFonts w:hint="eastAsia" w:asciiTheme="minorEastAsia" w:hAnsiTheme="minorEastAsia" w:eastAsiaTheme="minorEastAsia"/>
          <w:kern w:val="0"/>
          <w:sz w:val="24"/>
          <w:szCs w:val="24"/>
        </w:rPr>
        <w:t>规定的火花试验。</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2.8电缆不圆度</w:t>
      </w:r>
    </w:p>
    <w:p>
      <w:pPr>
        <w:spacing w:after="100"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电缆不圆度应不大于</w:t>
      </w:r>
      <w:r>
        <w:rPr>
          <w:rFonts w:asciiTheme="minorEastAsia" w:hAnsiTheme="minorEastAsia" w:eastAsiaTheme="minorEastAsia"/>
          <w:sz w:val="24"/>
          <w:szCs w:val="24"/>
        </w:rPr>
        <w:t>10%</w:t>
      </w:r>
      <w:r>
        <w:rPr>
          <w:rFonts w:hint="eastAsia" w:asciiTheme="minorEastAsia" w:hAnsiTheme="minorEastAsia" w:eastAsiaTheme="minorEastAsia"/>
          <w:sz w:val="24"/>
          <w:szCs w:val="24"/>
        </w:rPr>
        <w:t>。</w:t>
      </w:r>
    </w:p>
    <w:p>
      <w:pPr>
        <w:spacing w:after="100" w:line="360" w:lineRule="auto"/>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drawing>
          <wp:inline distT="0" distB="0" distL="0" distR="0">
            <wp:extent cx="4610100" cy="67056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4610100" cy="670560"/>
                    </a:xfrm>
                    <a:prstGeom prst="rect">
                      <a:avLst/>
                    </a:prstGeom>
                    <a:noFill/>
                    <a:ln w="9525">
                      <a:noFill/>
                      <a:miter lim="800000"/>
                      <a:headEnd/>
                      <a:tailEnd/>
                    </a:ln>
                  </pic:spPr>
                </pic:pic>
              </a:graphicData>
            </a:graphic>
          </wp:inline>
        </w:drawing>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2.9电缆阻燃要求</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如选型为阻燃电缆，则电缆的阻燃特性和技术参数要求符合</w:t>
      </w:r>
      <w:r>
        <w:rPr>
          <w:rFonts w:asciiTheme="minorEastAsia" w:hAnsiTheme="minorEastAsia" w:eastAsiaTheme="minorEastAsia"/>
          <w:kern w:val="0"/>
          <w:sz w:val="24"/>
          <w:szCs w:val="24"/>
        </w:rPr>
        <w:t xml:space="preserve"> GB/T 19666</w:t>
      </w:r>
      <w:r>
        <w:rPr>
          <w:rFonts w:hint="eastAsia" w:asciiTheme="minorEastAsia" w:hAnsiTheme="minorEastAsia" w:eastAsiaTheme="minorEastAsia"/>
          <w:kern w:val="0"/>
          <w:sz w:val="24"/>
          <w:szCs w:val="24"/>
        </w:rPr>
        <w:t>的相关规定。</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2.10密封</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电缆两端应用防水密封套密封，密封套和电缆的重叠长度不小于</w:t>
      </w:r>
      <w:r>
        <w:rPr>
          <w:rFonts w:asciiTheme="minorEastAsia" w:hAnsiTheme="minorEastAsia" w:eastAsiaTheme="minorEastAsia"/>
          <w:kern w:val="0"/>
          <w:sz w:val="24"/>
          <w:szCs w:val="24"/>
        </w:rPr>
        <w:t>200mm</w:t>
      </w:r>
      <w:r>
        <w:rPr>
          <w:rFonts w:hint="eastAsia" w:asciiTheme="minorEastAsia" w:hAnsiTheme="minorEastAsia" w:eastAsiaTheme="minorEastAsia"/>
          <w:kern w:val="0"/>
          <w:sz w:val="24"/>
          <w:szCs w:val="24"/>
        </w:rPr>
        <w:t>。</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2.11成品电缆</w:t>
      </w:r>
    </w:p>
    <w:p>
      <w:pPr>
        <w:spacing w:line="360" w:lineRule="auto"/>
        <w:ind w:firstLine="480"/>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成品电缆的护套表面上应有制造厂名、产品型号、额定电压、导体截面、制造年份及计米长度的连续标志</w:t>
      </w:r>
      <w:r>
        <w:rPr>
          <w:rFonts w:hint="eastAsia" w:cs="宋体" w:asciiTheme="minorEastAsia" w:hAnsiTheme="minorEastAsia" w:eastAsiaTheme="minorEastAsia"/>
          <w:kern w:val="0"/>
          <w:sz w:val="24"/>
          <w:szCs w:val="24"/>
        </w:rPr>
        <w:t>，标志应字迹清楚，容易辨认、耐擦。</w:t>
      </w:r>
    </w:p>
    <w:p>
      <w:pPr>
        <w:spacing w:line="360" w:lineRule="auto"/>
        <w:ind w:firstLine="480"/>
        <w:rPr>
          <w:rFonts w:cs="Times New Roman" w:asciiTheme="minorEastAsia" w:hAnsiTheme="minorEastAsia" w:eastAsiaTheme="minorEastAsia"/>
          <w:kern w:val="0"/>
          <w:sz w:val="24"/>
          <w:szCs w:val="24"/>
        </w:rPr>
      </w:pPr>
      <w:r>
        <w:rPr>
          <w:rFonts w:hint="eastAsia" w:asciiTheme="minorEastAsia" w:hAnsiTheme="minorEastAsia" w:eastAsiaTheme="minorEastAsia"/>
          <w:kern w:val="0"/>
          <w:sz w:val="24"/>
          <w:szCs w:val="24"/>
        </w:rPr>
        <w:t>成品电缆标志应符合</w:t>
      </w:r>
      <w:r>
        <w:rPr>
          <w:rFonts w:asciiTheme="minorEastAsia" w:hAnsiTheme="minorEastAsia" w:eastAsiaTheme="minorEastAsia"/>
          <w:kern w:val="0"/>
          <w:sz w:val="24"/>
          <w:szCs w:val="24"/>
        </w:rPr>
        <w:t>GB6995.3</w:t>
      </w:r>
      <w:r>
        <w:rPr>
          <w:rFonts w:hint="eastAsia" w:asciiTheme="minorEastAsia" w:hAnsiTheme="minorEastAsia" w:eastAsiaTheme="minorEastAsia"/>
          <w:kern w:val="0"/>
          <w:sz w:val="24"/>
          <w:szCs w:val="24"/>
        </w:rPr>
        <w:t>规定。</w:t>
      </w:r>
    </w:p>
    <w:p>
      <w:pPr>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电缆长度误差不超过</w:t>
      </w:r>
      <w:r>
        <w:rPr>
          <w:rFonts w:asciiTheme="minorEastAsia" w:hAnsiTheme="minorEastAsia" w:eastAsiaTheme="minorEastAsia"/>
          <w:kern w:val="0"/>
          <w:sz w:val="24"/>
          <w:szCs w:val="24"/>
        </w:rPr>
        <w:t>5%</w:t>
      </w:r>
      <w:r>
        <w:rPr>
          <w:rFonts w:hint="eastAsia" w:asciiTheme="minorEastAsia" w:hAnsiTheme="minorEastAsia" w:eastAsiaTheme="minorEastAsia"/>
          <w:kern w:val="0"/>
          <w:sz w:val="24"/>
          <w:szCs w:val="24"/>
        </w:rPr>
        <w:t>。</w:t>
      </w:r>
    </w:p>
    <w:p>
      <w:pPr>
        <w:pStyle w:val="3"/>
        <w:spacing w:before="120" w:line="240" w:lineRule="auto"/>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3、动力电缆</w:t>
      </w:r>
    </w:p>
    <w:p>
      <w:pPr>
        <w:pStyle w:val="3"/>
        <w:spacing w:before="120" w:line="240" w:lineRule="auto"/>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3.1 运行条件</w:t>
      </w:r>
    </w:p>
    <w:p>
      <w:pPr>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额定电压：</w:t>
      </w:r>
      <w:r>
        <w:rPr>
          <w:rFonts w:asciiTheme="minorEastAsia" w:hAnsiTheme="minorEastAsia" w:eastAsiaTheme="minorEastAsia"/>
          <w:sz w:val="24"/>
          <w:szCs w:val="24"/>
        </w:rPr>
        <w:t>U</w:t>
      </w:r>
      <w:r>
        <w:rPr>
          <w:rFonts w:asciiTheme="minorEastAsia" w:hAnsiTheme="minorEastAsia" w:eastAsiaTheme="minorEastAsia"/>
          <w:sz w:val="24"/>
          <w:szCs w:val="24"/>
          <w:vertAlign w:val="subscript"/>
        </w:rPr>
        <w:t>0</w:t>
      </w:r>
      <w:r>
        <w:rPr>
          <w:rFonts w:asciiTheme="minorEastAsia" w:hAnsiTheme="minorEastAsia" w:eastAsiaTheme="minorEastAsia"/>
          <w:sz w:val="24"/>
          <w:szCs w:val="24"/>
        </w:rPr>
        <w:t>/U</w:t>
      </w:r>
      <w:r>
        <w:rPr>
          <w:rFonts w:hint="eastAsia" w:asciiTheme="minorEastAsia" w:hAnsiTheme="minorEastAsia" w:eastAsiaTheme="minorEastAsia"/>
          <w:sz w:val="24"/>
          <w:szCs w:val="24"/>
        </w:rPr>
        <w:t>为</w:t>
      </w:r>
      <w:r>
        <w:rPr>
          <w:rFonts w:asciiTheme="minorEastAsia" w:hAnsiTheme="minorEastAsia" w:eastAsiaTheme="minorEastAsia"/>
          <w:sz w:val="24"/>
          <w:szCs w:val="24"/>
        </w:rPr>
        <w:t>0.6/1kV</w:t>
      </w:r>
      <w:r>
        <w:rPr>
          <w:rFonts w:hint="eastAsia" w:asciiTheme="minorEastAsia" w:hAnsiTheme="minorEastAsia" w:eastAsiaTheme="minorEastAsia"/>
          <w:sz w:val="24"/>
          <w:szCs w:val="24"/>
        </w:rPr>
        <w:t>，额定频率为</w:t>
      </w:r>
      <w:r>
        <w:rPr>
          <w:rFonts w:asciiTheme="minorEastAsia" w:hAnsiTheme="minorEastAsia" w:eastAsiaTheme="minorEastAsia"/>
          <w:sz w:val="24"/>
          <w:szCs w:val="24"/>
        </w:rPr>
        <w:t>50Hz</w:t>
      </w:r>
      <w:r>
        <w:rPr>
          <w:rFonts w:hint="eastAsia" w:asciiTheme="minorEastAsia" w:hAnsiTheme="minorEastAsia" w:eastAsiaTheme="minorEastAsia"/>
          <w:sz w:val="24"/>
          <w:szCs w:val="24"/>
        </w:rPr>
        <w:t>。</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环境温度：</w:t>
      </w:r>
      <w:r>
        <w:rPr>
          <w:rFonts w:asciiTheme="minorEastAsia" w:hAnsiTheme="minorEastAsia" w:eastAsiaTheme="minorEastAsia"/>
          <w:sz w:val="24"/>
          <w:szCs w:val="24"/>
        </w:rPr>
        <w:t xml:space="preserve">-15 </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+60 </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聚氯乙烯绝缘电力电缆导体的长期允许工作温度为</w:t>
      </w:r>
      <w:r>
        <w:rPr>
          <w:rFonts w:asciiTheme="minorEastAsia" w:hAnsiTheme="minorEastAsia" w:eastAsiaTheme="minorEastAsia"/>
          <w:sz w:val="24"/>
          <w:szCs w:val="24"/>
        </w:rPr>
        <w:t>≤70</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。短路时（最长持续时间不超过</w:t>
      </w:r>
      <w:r>
        <w:rPr>
          <w:rFonts w:asciiTheme="minorEastAsia" w:hAnsiTheme="minorEastAsia" w:eastAsiaTheme="minorEastAsia"/>
          <w:sz w:val="24"/>
          <w:szCs w:val="24"/>
        </w:rPr>
        <w:t>5s</w:t>
      </w:r>
      <w:r>
        <w:rPr>
          <w:rFonts w:hint="eastAsia" w:asciiTheme="minorEastAsia" w:hAnsiTheme="minorEastAsia" w:eastAsiaTheme="minorEastAsia"/>
          <w:sz w:val="24"/>
          <w:szCs w:val="24"/>
        </w:rPr>
        <w:t>）电缆导体的最高温度不超过</w:t>
      </w:r>
      <w:r>
        <w:rPr>
          <w:rFonts w:asciiTheme="minorEastAsia" w:hAnsiTheme="minorEastAsia" w:eastAsiaTheme="minorEastAsia"/>
          <w:sz w:val="24"/>
          <w:szCs w:val="24"/>
        </w:rPr>
        <w:t>160</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交联聚氯乙烯绝缘电力电缆导体的长期允许工作温度为</w:t>
      </w:r>
      <w:r>
        <w:rPr>
          <w:rFonts w:asciiTheme="minorEastAsia" w:hAnsiTheme="minorEastAsia" w:eastAsiaTheme="minorEastAsia"/>
          <w:sz w:val="24"/>
          <w:szCs w:val="24"/>
        </w:rPr>
        <w:t>≤90</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。短路时（最长持续时间不超过</w:t>
      </w:r>
      <w:r>
        <w:rPr>
          <w:rFonts w:asciiTheme="minorEastAsia" w:hAnsiTheme="minorEastAsia" w:eastAsiaTheme="minorEastAsia"/>
          <w:sz w:val="24"/>
          <w:szCs w:val="24"/>
        </w:rPr>
        <w:t>5s</w:t>
      </w:r>
      <w:r>
        <w:rPr>
          <w:rFonts w:hint="eastAsia" w:asciiTheme="minorEastAsia" w:hAnsiTheme="minorEastAsia" w:eastAsiaTheme="minorEastAsia"/>
          <w:sz w:val="24"/>
          <w:szCs w:val="24"/>
        </w:rPr>
        <w:t>）电缆导体的最高温度不超过</w:t>
      </w:r>
      <w:r>
        <w:rPr>
          <w:rFonts w:asciiTheme="minorEastAsia" w:hAnsiTheme="minorEastAsia" w:eastAsiaTheme="minorEastAsia"/>
          <w:sz w:val="24"/>
          <w:szCs w:val="24"/>
        </w:rPr>
        <w:t>250</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w:t>
      </w:r>
    </w:p>
    <w:p>
      <w:pPr>
        <w:spacing w:line="360" w:lineRule="auto"/>
        <w:outlineLvl w:val="2"/>
        <w:rPr>
          <w:rFonts w:asciiTheme="minorEastAsia" w:hAnsiTheme="minorEastAsia" w:eastAsiaTheme="minorEastAsia"/>
          <w:sz w:val="24"/>
          <w:szCs w:val="24"/>
        </w:rPr>
      </w:pPr>
      <w:r>
        <w:rPr>
          <w:rFonts w:hint="eastAsia" w:asciiTheme="minorEastAsia" w:hAnsiTheme="minorEastAsia" w:eastAsiaTheme="minorEastAsia"/>
          <w:sz w:val="24"/>
          <w:szCs w:val="24"/>
        </w:rPr>
        <w:t>3.2 电缆允许弯曲半径</w:t>
      </w:r>
    </w:p>
    <w:p>
      <w:pPr>
        <w:spacing w:line="360" w:lineRule="auto"/>
        <w:ind w:right="48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非铠装型：单芯电缆不小于</w:t>
      </w:r>
      <w:r>
        <w:rPr>
          <w:rFonts w:asciiTheme="minorEastAsia" w:hAnsiTheme="minorEastAsia" w:eastAsiaTheme="minorEastAsia"/>
          <w:sz w:val="24"/>
          <w:szCs w:val="24"/>
        </w:rPr>
        <w:t>20</w:t>
      </w:r>
      <w:r>
        <w:rPr>
          <w:rFonts w:hint="eastAsia" w:asciiTheme="minorEastAsia" w:hAnsiTheme="minorEastAsia" w:eastAsiaTheme="minorEastAsia"/>
          <w:sz w:val="24"/>
          <w:szCs w:val="24"/>
        </w:rPr>
        <w:t>倍的电缆外径；多芯电缆不小于</w:t>
      </w:r>
      <w:r>
        <w:rPr>
          <w:rFonts w:asciiTheme="minorEastAsia" w:hAnsiTheme="minorEastAsia" w:eastAsiaTheme="minorEastAsia"/>
          <w:sz w:val="24"/>
          <w:szCs w:val="24"/>
        </w:rPr>
        <w:t>15</w:t>
      </w:r>
      <w:r>
        <w:rPr>
          <w:rFonts w:hint="eastAsia" w:asciiTheme="minorEastAsia" w:hAnsiTheme="minorEastAsia" w:eastAsiaTheme="minorEastAsia"/>
          <w:sz w:val="24"/>
          <w:szCs w:val="24"/>
        </w:rPr>
        <w:t>倍的电缆外径。</w:t>
      </w:r>
    </w:p>
    <w:p>
      <w:pPr>
        <w:spacing w:line="360" w:lineRule="auto"/>
        <w:ind w:right="48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铠装型：单芯电缆不小于</w:t>
      </w:r>
      <w:r>
        <w:rPr>
          <w:rFonts w:asciiTheme="minorEastAsia" w:hAnsiTheme="minorEastAsia" w:eastAsiaTheme="minorEastAsia"/>
          <w:sz w:val="24"/>
          <w:szCs w:val="24"/>
        </w:rPr>
        <w:t>15</w:t>
      </w:r>
      <w:r>
        <w:rPr>
          <w:rFonts w:hint="eastAsia" w:asciiTheme="minorEastAsia" w:hAnsiTheme="minorEastAsia" w:eastAsiaTheme="minorEastAsia"/>
          <w:sz w:val="24"/>
          <w:szCs w:val="24"/>
        </w:rPr>
        <w:t>倍的电缆外径；多芯电缆不小于</w:t>
      </w:r>
      <w:r>
        <w:rPr>
          <w:rFonts w:asciiTheme="minorEastAsia" w:hAnsiTheme="minorEastAsia" w:eastAsiaTheme="minorEastAsia"/>
          <w:sz w:val="24"/>
          <w:szCs w:val="24"/>
        </w:rPr>
        <w:t>12</w:t>
      </w:r>
      <w:r>
        <w:rPr>
          <w:rFonts w:hint="eastAsia" w:asciiTheme="minorEastAsia" w:hAnsiTheme="minorEastAsia" w:eastAsiaTheme="minorEastAsia"/>
          <w:sz w:val="24"/>
          <w:szCs w:val="24"/>
        </w:rPr>
        <w:t>倍的电缆外径。</w:t>
      </w:r>
    </w:p>
    <w:p>
      <w:pPr>
        <w:ind w:firstLine="480"/>
        <w:rPr>
          <w:rFonts w:ascii="Times New Roman" w:hAnsi="Times New Roman" w:cs="Times New Roman"/>
          <w:szCs w:val="20"/>
        </w:rPr>
      </w:pPr>
    </w:p>
    <w:p>
      <w:pPr>
        <w:pStyle w:val="2"/>
        <w:spacing w:before="120" w:line="240" w:lineRule="auto"/>
        <w:rPr>
          <w:rFonts w:ascii="宋体" w:hAnsi="宋体"/>
          <w:b w:val="0"/>
          <w:sz w:val="24"/>
        </w:rPr>
      </w:pPr>
      <w:r>
        <w:rPr>
          <w:rFonts w:hint="eastAsia" w:asciiTheme="minorEastAsia" w:hAnsiTheme="minorEastAsia" w:eastAsiaTheme="minorEastAsia"/>
          <w:sz w:val="24"/>
        </w:rPr>
        <w:t>4、</w:t>
      </w:r>
      <w:bookmarkStart w:id="0" w:name="_Toc472226761"/>
      <w:bookmarkStart w:id="1" w:name="_Toc472273623"/>
      <w:bookmarkStart w:id="2" w:name="_Toc472152212"/>
      <w:bookmarkStart w:id="3" w:name="_Toc424885681"/>
      <w:bookmarkStart w:id="4" w:name="_Toc472152442"/>
      <w:bookmarkStart w:id="5" w:name="_Toc67566624"/>
      <w:r>
        <w:rPr>
          <w:rFonts w:hint="eastAsia" w:ascii="宋体" w:hAnsi="宋体"/>
          <w:b w:val="0"/>
          <w:bCs w:val="0"/>
          <w:sz w:val="24"/>
        </w:rPr>
        <w:t>验收和试验</w:t>
      </w:r>
      <w:bookmarkEnd w:id="0"/>
      <w:bookmarkEnd w:id="1"/>
      <w:bookmarkEnd w:id="2"/>
      <w:bookmarkEnd w:id="3"/>
      <w:bookmarkEnd w:id="4"/>
      <w:bookmarkEnd w:id="5"/>
    </w:p>
    <w:p>
      <w:pPr>
        <w:autoSpaceDE w:val="0"/>
        <w:autoSpaceDN w:val="0"/>
        <w:adjustRightInd w:val="0"/>
        <w:spacing w:line="360" w:lineRule="auto"/>
        <w:rPr>
          <w:rFonts w:ascii="宋体" w:hAnsi="宋体"/>
          <w:sz w:val="24"/>
        </w:rPr>
      </w:pPr>
      <w:r>
        <w:rPr>
          <w:rFonts w:hint="eastAsia" w:ascii="宋体" w:hAnsi="宋体"/>
          <w:sz w:val="24"/>
        </w:rPr>
        <w:t>4.1报价方在制造过程中，应对制造电缆的材料进行试验和检查，以保证产品完全符合本技术规范书要求。</w:t>
      </w:r>
    </w:p>
    <w:p>
      <w:pPr>
        <w:autoSpaceDE w:val="0"/>
        <w:autoSpaceDN w:val="0"/>
        <w:adjustRightInd w:val="0"/>
        <w:spacing w:line="360" w:lineRule="auto"/>
        <w:rPr>
          <w:rFonts w:ascii="宋体" w:hAnsi="宋体"/>
          <w:sz w:val="24"/>
        </w:rPr>
      </w:pPr>
      <w:r>
        <w:rPr>
          <w:rFonts w:hint="eastAsia" w:ascii="宋体" w:hAnsi="宋体"/>
          <w:sz w:val="24"/>
        </w:rPr>
        <w:t>4.2询价方有权在任何时候，对电缆的质量管理情况，包括设备试验的记录进行检查。</w:t>
      </w:r>
    </w:p>
    <w:p>
      <w:pPr>
        <w:autoSpaceDE w:val="0"/>
        <w:autoSpaceDN w:val="0"/>
        <w:adjustRightInd w:val="0"/>
        <w:spacing w:line="360" w:lineRule="auto"/>
        <w:rPr>
          <w:rFonts w:ascii="宋体" w:hAnsi="宋体"/>
          <w:sz w:val="24"/>
        </w:rPr>
      </w:pPr>
      <w:r>
        <w:rPr>
          <w:rFonts w:hint="eastAsia" w:ascii="宋体" w:hAnsi="宋体"/>
          <w:sz w:val="24"/>
        </w:rPr>
        <w:t>4.3报价方应进行工厂验收试验和现场试验。在试验和检查过程中，如发现任何不符合本协议要求的原材料或成品，报价方都必须及时更换。由此而引起的所有费用都应由报价方承担。</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4.4电缆在制造、试验、检验过程中，买方有权监造和见证，随时可以对电缆的生产过程进行实地检查。</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4.5每批电缆出厂前，对每盘电缆按</w:t>
      </w:r>
      <w:r>
        <w:rPr>
          <w:rFonts w:asciiTheme="minorEastAsia" w:hAnsiTheme="minorEastAsia" w:eastAsiaTheme="minorEastAsia"/>
          <w:kern w:val="0"/>
          <w:sz w:val="24"/>
          <w:szCs w:val="24"/>
        </w:rPr>
        <w:t>GB/T12706.2</w:t>
      </w:r>
      <w:r>
        <w:rPr>
          <w:rFonts w:hint="eastAsia" w:asciiTheme="minorEastAsia" w:hAnsiTheme="minorEastAsia" w:eastAsiaTheme="minorEastAsia"/>
          <w:kern w:val="0"/>
          <w:sz w:val="24"/>
          <w:szCs w:val="24"/>
        </w:rPr>
        <w:t>以及本技术规范要求进行出厂试验。</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4.6导体直流电阻试验</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导体直流电阻试验在每一电缆长度所有导体上进行测量，符合</w:t>
      </w:r>
      <w:r>
        <w:rPr>
          <w:rFonts w:asciiTheme="minorEastAsia" w:hAnsiTheme="minorEastAsia" w:eastAsiaTheme="minorEastAsia"/>
          <w:sz w:val="24"/>
          <w:szCs w:val="24"/>
        </w:rPr>
        <w:t>GB/T3956</w:t>
      </w:r>
      <w:r>
        <w:rPr>
          <w:rFonts w:hint="eastAsia" w:asciiTheme="minorEastAsia" w:hAnsiTheme="minorEastAsia" w:eastAsiaTheme="minorEastAsia"/>
          <w:sz w:val="24"/>
          <w:szCs w:val="24"/>
        </w:rPr>
        <w:t>的规定。</w:t>
      </w:r>
    </w:p>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4.7抽样试验</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抽样试验按</w:t>
      </w:r>
      <w:r>
        <w:rPr>
          <w:rFonts w:asciiTheme="minorEastAsia" w:hAnsiTheme="minorEastAsia" w:eastAsiaTheme="minorEastAsia"/>
          <w:sz w:val="24"/>
          <w:szCs w:val="24"/>
        </w:rPr>
        <w:t>GB/T12706</w:t>
      </w:r>
      <w:r>
        <w:rPr>
          <w:rFonts w:hint="eastAsia" w:asciiTheme="minorEastAsia" w:hAnsiTheme="minorEastAsia" w:eastAsiaTheme="minorEastAsia"/>
          <w:sz w:val="24"/>
          <w:szCs w:val="24"/>
        </w:rPr>
        <w:t>及下表要求进行。</w:t>
      </w:r>
    </w:p>
    <w:tbl>
      <w:tblPr>
        <w:tblStyle w:val="16"/>
        <w:tblW w:w="8528" w:type="dxa"/>
        <w:jc w:val="center"/>
        <w:tblInd w:w="0" w:type="dxa"/>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20"/>
        <w:gridCol w:w="4308"/>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4" w:hRule="exact"/>
          <w:jc w:val="center"/>
        </w:trPr>
        <w:tc>
          <w:tcPr>
            <w:tcW w:w="4220" w:type="dxa"/>
            <w:tcBorders>
              <w:top w:val="single" w:color="auto" w:sz="12" w:space="0"/>
              <w:left w:val="nil"/>
              <w:bottom w:val="single" w:color="auto" w:sz="4" w:space="0"/>
              <w:right w:val="single" w:color="auto" w:sz="4" w:space="0"/>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抽样试验项目</w:t>
            </w:r>
          </w:p>
        </w:tc>
        <w:tc>
          <w:tcPr>
            <w:tcW w:w="4308" w:type="dxa"/>
            <w:tcBorders>
              <w:top w:val="single" w:color="auto" w:sz="12" w:space="0"/>
              <w:left w:val="single" w:color="auto" w:sz="4" w:space="0"/>
              <w:bottom w:val="single" w:color="auto" w:sz="4" w:space="0"/>
              <w:right w:val="nil"/>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试验方法标准</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4" w:hRule="exact"/>
          <w:jc w:val="center"/>
        </w:trPr>
        <w:tc>
          <w:tcPr>
            <w:tcW w:w="4220" w:type="dxa"/>
            <w:tcBorders>
              <w:top w:val="single" w:color="auto" w:sz="4" w:space="0"/>
              <w:left w:val="nil"/>
              <w:bottom w:val="nil"/>
              <w:right w:val="single" w:color="auto" w:sz="4" w:space="0"/>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电缆结构尺寸检查</w:t>
            </w:r>
          </w:p>
        </w:tc>
        <w:tc>
          <w:tcPr>
            <w:tcW w:w="4308" w:type="dxa"/>
            <w:tcBorders>
              <w:top w:val="single" w:color="auto" w:sz="4" w:space="0"/>
              <w:left w:val="single" w:color="auto" w:sz="4" w:space="0"/>
              <w:bottom w:val="nil"/>
              <w:right w:val="nil"/>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t>GB/T12706</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4" w:hRule="exact"/>
          <w:jc w:val="center"/>
        </w:trPr>
        <w:tc>
          <w:tcPr>
            <w:tcW w:w="4220" w:type="dxa"/>
            <w:tcBorders>
              <w:top w:val="nil"/>
              <w:left w:val="nil"/>
              <w:bottom w:val="nil"/>
              <w:right w:val="single" w:color="auto" w:sz="4" w:space="0"/>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电缆绝缘性能试验</w:t>
            </w:r>
          </w:p>
        </w:tc>
        <w:tc>
          <w:tcPr>
            <w:tcW w:w="4308" w:type="dxa"/>
            <w:tcBorders>
              <w:top w:val="nil"/>
              <w:left w:val="single" w:color="auto" w:sz="4" w:space="0"/>
              <w:bottom w:val="nil"/>
              <w:right w:val="nil"/>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t>GB/T2951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4" w:hRule="exact"/>
          <w:jc w:val="center"/>
        </w:trPr>
        <w:tc>
          <w:tcPr>
            <w:tcW w:w="4220" w:type="dxa"/>
            <w:tcBorders>
              <w:top w:val="nil"/>
              <w:left w:val="nil"/>
              <w:bottom w:val="nil"/>
              <w:right w:val="single" w:color="auto" w:sz="4" w:space="0"/>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热延伸试验</w:t>
            </w:r>
          </w:p>
        </w:tc>
        <w:tc>
          <w:tcPr>
            <w:tcW w:w="4308" w:type="dxa"/>
            <w:tcBorders>
              <w:top w:val="nil"/>
              <w:left w:val="single" w:color="auto" w:sz="4" w:space="0"/>
              <w:bottom w:val="nil"/>
              <w:right w:val="nil"/>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t>GB/T2951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4" w:hRule="exact"/>
          <w:jc w:val="center"/>
        </w:trPr>
        <w:tc>
          <w:tcPr>
            <w:tcW w:w="4220" w:type="dxa"/>
            <w:tcBorders>
              <w:top w:val="nil"/>
              <w:left w:val="nil"/>
              <w:bottom w:val="nil"/>
              <w:right w:val="single" w:color="auto" w:sz="4" w:space="0"/>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护套物理性能试验</w:t>
            </w:r>
          </w:p>
        </w:tc>
        <w:tc>
          <w:tcPr>
            <w:tcW w:w="4308" w:type="dxa"/>
            <w:tcBorders>
              <w:top w:val="nil"/>
              <w:left w:val="single" w:color="auto" w:sz="4" w:space="0"/>
              <w:bottom w:val="nil"/>
              <w:right w:val="nil"/>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t>GB/T2951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4" w:hRule="exact"/>
          <w:jc w:val="center"/>
        </w:trPr>
        <w:tc>
          <w:tcPr>
            <w:tcW w:w="4220" w:type="dxa"/>
            <w:tcBorders>
              <w:top w:val="nil"/>
              <w:left w:val="nil"/>
              <w:bottom w:val="single" w:color="auto" w:sz="12" w:space="0"/>
              <w:right w:val="single" w:color="auto" w:sz="4" w:space="0"/>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交流电压试验</w:t>
            </w:r>
          </w:p>
        </w:tc>
        <w:tc>
          <w:tcPr>
            <w:tcW w:w="4308" w:type="dxa"/>
            <w:tcBorders>
              <w:top w:val="nil"/>
              <w:left w:val="single" w:color="auto" w:sz="4" w:space="0"/>
              <w:bottom w:val="single" w:color="auto" w:sz="12" w:space="0"/>
              <w:right w:val="nil"/>
            </w:tcBorders>
            <w:vAlign w:val="center"/>
          </w:tcPr>
          <w:p>
            <w:pPr>
              <w:adjustRightInd w:val="0"/>
              <w:snapToGrid w:val="0"/>
              <w:spacing w:line="360" w:lineRule="auto"/>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t>GB/T3048</w:t>
            </w:r>
          </w:p>
        </w:tc>
      </w:tr>
    </w:tbl>
    <w:p>
      <w:pPr>
        <w:spacing w:line="360" w:lineRule="auto"/>
        <w:rPr>
          <w:rFonts w:cs="Times New Roman" w:asciiTheme="minorEastAsia" w:hAnsiTheme="minorEastAsia" w:eastAsiaTheme="minorEastAsia"/>
          <w:kern w:val="0"/>
          <w:sz w:val="24"/>
          <w:szCs w:val="24"/>
        </w:rPr>
      </w:pPr>
      <w:r>
        <w:rPr>
          <w:rFonts w:hint="eastAsia" w:asciiTheme="minorEastAsia" w:hAnsiTheme="minorEastAsia" w:eastAsiaTheme="minorEastAsia"/>
          <w:kern w:val="0"/>
          <w:sz w:val="24"/>
          <w:szCs w:val="24"/>
        </w:rPr>
        <w:t>4.8型式试验</w:t>
      </w:r>
    </w:p>
    <w:p>
      <w:pPr>
        <w:spacing w:line="360" w:lineRule="auto"/>
        <w:ind w:left="480"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按</w:t>
      </w:r>
      <w:r>
        <w:rPr>
          <w:rFonts w:asciiTheme="minorEastAsia" w:hAnsiTheme="minorEastAsia" w:eastAsiaTheme="minorEastAsia"/>
          <w:sz w:val="24"/>
          <w:szCs w:val="24"/>
        </w:rPr>
        <w:t>GB/T12706-2008</w:t>
      </w:r>
      <w:r>
        <w:rPr>
          <w:rFonts w:hint="eastAsia" w:asciiTheme="minorEastAsia" w:hAnsiTheme="minorEastAsia" w:eastAsiaTheme="minorEastAsia"/>
          <w:sz w:val="24"/>
          <w:szCs w:val="24"/>
        </w:rPr>
        <w:t>执行。</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4.9</w:t>
      </w:r>
      <w:r>
        <w:rPr>
          <w:rFonts w:hint="eastAsia" w:asciiTheme="minorEastAsia" w:hAnsiTheme="minorEastAsia" w:eastAsiaTheme="minorEastAsia"/>
          <w:sz w:val="24"/>
          <w:szCs w:val="24"/>
        </w:rPr>
        <w:t>试验报告提交询价方。</w:t>
      </w:r>
    </w:p>
    <w:p>
      <w:pPr>
        <w:pStyle w:val="18"/>
        <w:spacing w:line="360" w:lineRule="auto"/>
        <w:rPr>
          <w:rFonts w:asciiTheme="minorEastAsia" w:hAnsiTheme="minorEastAsia"/>
          <w:sz w:val="24"/>
        </w:rPr>
      </w:pPr>
      <w:r>
        <w:rPr>
          <w:rFonts w:hint="eastAsia" w:asciiTheme="minorEastAsia" w:hAnsiTheme="minorEastAsia"/>
          <w:sz w:val="24"/>
        </w:rPr>
        <w:t>(三)、技术服务和质保期服务要求</w:t>
      </w:r>
    </w:p>
    <w:p>
      <w:pPr>
        <w:pStyle w:val="6"/>
        <w:spacing w:after="0" w:line="360" w:lineRule="auto"/>
        <w:ind w:left="0" w:leftChars="0"/>
        <w:rPr>
          <w:rFonts w:cs="宋体" w:asciiTheme="minorEastAsia" w:hAnsiTheme="minorEastAsia" w:eastAsiaTheme="minorEastAsia"/>
          <w:sz w:val="24"/>
        </w:rPr>
      </w:pPr>
      <w:r>
        <w:rPr>
          <w:rFonts w:hint="eastAsia" w:cs="宋体" w:asciiTheme="minorEastAsia" w:hAnsiTheme="minorEastAsia" w:eastAsiaTheme="minorEastAsia"/>
          <w:sz w:val="24"/>
        </w:rPr>
        <w:t>1、技术服务</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1.1 报价方将提供24小时内的及时技术答疑与支持。</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1.2因电缆本身质量问题（材质缺陷等），免费提供备品备件并进行更换。</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1.3非电缆本身质量所造成的损坏（人为或其他第三方所造成的损坏），报价</w:t>
      </w:r>
    </w:p>
    <w:p>
      <w:pPr>
        <w:tabs>
          <w:tab w:val="left" w:pos="1320"/>
        </w:tabs>
        <w:adjustRightInd w:val="0"/>
        <w:spacing w:line="360" w:lineRule="auto"/>
        <w:jc w:val="left"/>
        <w:textAlignment w:val="baseline"/>
        <w:rPr>
          <w:rFonts w:hAnsi="宋体"/>
          <w:sz w:val="24"/>
        </w:rPr>
      </w:pPr>
      <w:r>
        <w:rPr>
          <w:rFonts w:hint="eastAsia" w:asciiTheme="minorEastAsia" w:hAnsiTheme="minorEastAsia" w:eastAsiaTheme="minorEastAsia"/>
          <w:sz w:val="24"/>
        </w:rPr>
        <w:t>方将提供及时服务，材料</w:t>
      </w:r>
      <w:r>
        <w:rPr>
          <w:rFonts w:hint="eastAsia" w:hAnsi="宋体"/>
          <w:sz w:val="24"/>
        </w:rPr>
        <w:t>费用由用户承担。</w:t>
      </w:r>
    </w:p>
    <w:p>
      <w:pPr>
        <w:tabs>
          <w:tab w:val="left" w:pos="1320"/>
        </w:tabs>
        <w:adjustRightInd w:val="0"/>
        <w:spacing w:line="360" w:lineRule="auto"/>
        <w:jc w:val="left"/>
        <w:textAlignment w:val="baseline"/>
        <w:rPr>
          <w:rFonts w:asciiTheme="minorEastAsia" w:hAnsiTheme="minorEastAsia"/>
          <w:sz w:val="24"/>
        </w:rPr>
      </w:pPr>
      <w:r>
        <w:rPr>
          <w:rFonts w:hint="eastAsia" w:asciiTheme="minorEastAsia" w:hAnsiTheme="minorEastAsia"/>
          <w:sz w:val="24"/>
        </w:rPr>
        <w:t>2、质保期服务要求</w:t>
      </w:r>
    </w:p>
    <w:p>
      <w:pPr>
        <w:tabs>
          <w:tab w:val="left" w:pos="1320"/>
        </w:tabs>
        <w:adjustRightInd w:val="0"/>
        <w:spacing w:line="360" w:lineRule="auto"/>
        <w:jc w:val="left"/>
        <w:textAlignment w:val="baseline"/>
        <w:rPr>
          <w:rFonts w:hAnsi="宋体"/>
          <w:sz w:val="24"/>
        </w:rPr>
      </w:pPr>
      <w:r>
        <w:rPr>
          <w:rFonts w:hint="eastAsia" w:asciiTheme="minorEastAsia" w:hAnsiTheme="minorEastAsia" w:eastAsiaTheme="minorEastAsia"/>
          <w:sz w:val="24"/>
        </w:rPr>
        <w:t>2.1</w:t>
      </w:r>
      <w:r>
        <w:rPr>
          <w:rFonts w:hint="eastAsia" w:hAnsi="宋体"/>
          <w:sz w:val="24"/>
        </w:rPr>
        <w:t>报价方需提供及时服务，不收服务费，并向询价方提供价格优惠的电缆备附件。</w:t>
      </w:r>
    </w:p>
    <w:p>
      <w:pPr>
        <w:autoSpaceDE w:val="0"/>
        <w:autoSpaceDN w:val="0"/>
        <w:adjustRightInd w:val="0"/>
        <w:spacing w:line="360" w:lineRule="auto"/>
        <w:rPr>
          <w:rFonts w:ascii="Times New Roman" w:hAnsi="宋体"/>
          <w:sz w:val="24"/>
          <w:szCs w:val="24"/>
        </w:rPr>
      </w:pPr>
      <w:r>
        <w:rPr>
          <w:rFonts w:hint="eastAsia" w:asciiTheme="minorEastAsia" w:hAnsiTheme="minorEastAsia" w:eastAsiaTheme="minorEastAsia"/>
          <w:sz w:val="24"/>
        </w:rPr>
        <w:t>2.2在保修</w:t>
      </w:r>
      <w:r>
        <w:rPr>
          <w:rFonts w:hint="eastAsia" w:ascii="Times New Roman" w:hAnsi="宋体"/>
          <w:sz w:val="24"/>
          <w:szCs w:val="24"/>
        </w:rPr>
        <w:t>期内，电缆出现故障，报价方负责更换。在整个寿命期内，报价方应对由电缆自身设计、材料及生产工艺中的缺陷而产生的故障负完全责任。</w:t>
      </w:r>
    </w:p>
    <w:p>
      <w:pPr>
        <w:pStyle w:val="18"/>
        <w:spacing w:line="360" w:lineRule="auto"/>
        <w:rPr>
          <w:rFonts w:asciiTheme="minorEastAsia" w:hAnsiTheme="minorEastAsia" w:eastAsiaTheme="minorEastAsia"/>
          <w:b/>
          <w:sz w:val="24"/>
        </w:rPr>
      </w:pPr>
      <w:r>
        <w:rPr>
          <w:rFonts w:hint="eastAsia" w:asciiTheme="majorEastAsia" w:hAnsiTheme="majorEastAsia" w:eastAsiaTheme="majorEastAsia"/>
          <w:b/>
          <w:sz w:val="24"/>
        </w:rPr>
        <w:t>2.3</w:t>
      </w:r>
      <w:r>
        <w:rPr>
          <w:rFonts w:hint="eastAsia" w:asciiTheme="minorEastAsia" w:hAnsiTheme="minorEastAsia" w:eastAsiaTheme="minorEastAsia"/>
          <w:sz w:val="24"/>
        </w:rPr>
        <w:t>质保期12月。</w:t>
      </w:r>
    </w:p>
    <w:sectPr>
      <w:headerReference r:id="rId4"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385774"/>
    </w:sdtPr>
    <w:sdtContent>
      <w:sdt>
        <w:sdtPr>
          <w:id w:val="113385775"/>
        </w:sdtPr>
        <w:sdtContent>
          <w:p>
            <w:pPr>
              <w:pStyle w:val="10"/>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946D8"/>
    <w:multiLevelType w:val="multilevel"/>
    <w:tmpl w:val="441946D8"/>
    <w:lvl w:ilvl="0" w:tentative="0">
      <w:start w:val="2"/>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8203DBB"/>
    <w:rsid w:val="00002CCB"/>
    <w:rsid w:val="00004B9B"/>
    <w:rsid w:val="0000519A"/>
    <w:rsid w:val="0002013D"/>
    <w:rsid w:val="00031237"/>
    <w:rsid w:val="0003277D"/>
    <w:rsid w:val="000339D0"/>
    <w:rsid w:val="00036A2B"/>
    <w:rsid w:val="00037289"/>
    <w:rsid w:val="00037FB0"/>
    <w:rsid w:val="000435D2"/>
    <w:rsid w:val="00045621"/>
    <w:rsid w:val="00056B9F"/>
    <w:rsid w:val="0006048D"/>
    <w:rsid w:val="00061FA9"/>
    <w:rsid w:val="00064743"/>
    <w:rsid w:val="00067882"/>
    <w:rsid w:val="000708D7"/>
    <w:rsid w:val="0007246E"/>
    <w:rsid w:val="00073184"/>
    <w:rsid w:val="000731B6"/>
    <w:rsid w:val="0008449E"/>
    <w:rsid w:val="000863F2"/>
    <w:rsid w:val="00090DE2"/>
    <w:rsid w:val="000A1BB0"/>
    <w:rsid w:val="000B3C33"/>
    <w:rsid w:val="000B79D8"/>
    <w:rsid w:val="000C272B"/>
    <w:rsid w:val="000C5579"/>
    <w:rsid w:val="000C5BF5"/>
    <w:rsid w:val="000D0935"/>
    <w:rsid w:val="000D47F8"/>
    <w:rsid w:val="000D4FBF"/>
    <w:rsid w:val="000E0E55"/>
    <w:rsid w:val="000E4731"/>
    <w:rsid w:val="000F0752"/>
    <w:rsid w:val="000F2282"/>
    <w:rsid w:val="000F5250"/>
    <w:rsid w:val="0010152F"/>
    <w:rsid w:val="00111295"/>
    <w:rsid w:val="0011298C"/>
    <w:rsid w:val="00114CF5"/>
    <w:rsid w:val="001317CC"/>
    <w:rsid w:val="001327BF"/>
    <w:rsid w:val="00133D4D"/>
    <w:rsid w:val="001435E0"/>
    <w:rsid w:val="00143B3A"/>
    <w:rsid w:val="001440C4"/>
    <w:rsid w:val="0014418E"/>
    <w:rsid w:val="001456FF"/>
    <w:rsid w:val="0014600F"/>
    <w:rsid w:val="0014642C"/>
    <w:rsid w:val="00150F49"/>
    <w:rsid w:val="00154899"/>
    <w:rsid w:val="0016385A"/>
    <w:rsid w:val="0017438C"/>
    <w:rsid w:val="001758C1"/>
    <w:rsid w:val="00193361"/>
    <w:rsid w:val="001A2429"/>
    <w:rsid w:val="001A43BD"/>
    <w:rsid w:val="001A6D85"/>
    <w:rsid w:val="001B0E86"/>
    <w:rsid w:val="001B1DFC"/>
    <w:rsid w:val="001B7A17"/>
    <w:rsid w:val="001C07B6"/>
    <w:rsid w:val="001C69BA"/>
    <w:rsid w:val="001D17B7"/>
    <w:rsid w:val="001D3367"/>
    <w:rsid w:val="001D4501"/>
    <w:rsid w:val="001E089F"/>
    <w:rsid w:val="001E2884"/>
    <w:rsid w:val="001F1DF0"/>
    <w:rsid w:val="00207083"/>
    <w:rsid w:val="00210939"/>
    <w:rsid w:val="00213C1B"/>
    <w:rsid w:val="00213F3E"/>
    <w:rsid w:val="00214FF4"/>
    <w:rsid w:val="0021515A"/>
    <w:rsid w:val="00215AC8"/>
    <w:rsid w:val="002163AF"/>
    <w:rsid w:val="00220AA5"/>
    <w:rsid w:val="00222396"/>
    <w:rsid w:val="0022356D"/>
    <w:rsid w:val="00233D07"/>
    <w:rsid w:val="0024606F"/>
    <w:rsid w:val="00250C2A"/>
    <w:rsid w:val="00252EFD"/>
    <w:rsid w:val="00257C16"/>
    <w:rsid w:val="002676E0"/>
    <w:rsid w:val="00267FFB"/>
    <w:rsid w:val="00282D09"/>
    <w:rsid w:val="002852B9"/>
    <w:rsid w:val="00285BB9"/>
    <w:rsid w:val="00287E2C"/>
    <w:rsid w:val="00290705"/>
    <w:rsid w:val="0029157A"/>
    <w:rsid w:val="00294003"/>
    <w:rsid w:val="002B24BF"/>
    <w:rsid w:val="002B7D14"/>
    <w:rsid w:val="002C0D79"/>
    <w:rsid w:val="002C225C"/>
    <w:rsid w:val="002D1A87"/>
    <w:rsid w:val="002D3C7B"/>
    <w:rsid w:val="002D7FCE"/>
    <w:rsid w:val="002E20E0"/>
    <w:rsid w:val="002E5CFB"/>
    <w:rsid w:val="002F50E9"/>
    <w:rsid w:val="00312134"/>
    <w:rsid w:val="003135A9"/>
    <w:rsid w:val="00322B03"/>
    <w:rsid w:val="00322DB9"/>
    <w:rsid w:val="003248D5"/>
    <w:rsid w:val="00325729"/>
    <w:rsid w:val="003270A0"/>
    <w:rsid w:val="00336583"/>
    <w:rsid w:val="003372F8"/>
    <w:rsid w:val="0035080E"/>
    <w:rsid w:val="003517EE"/>
    <w:rsid w:val="003605D4"/>
    <w:rsid w:val="0036081C"/>
    <w:rsid w:val="00363B37"/>
    <w:rsid w:val="00376816"/>
    <w:rsid w:val="0038112C"/>
    <w:rsid w:val="00381E0B"/>
    <w:rsid w:val="00384CA3"/>
    <w:rsid w:val="003854A1"/>
    <w:rsid w:val="003859FA"/>
    <w:rsid w:val="00387AD9"/>
    <w:rsid w:val="00390AAA"/>
    <w:rsid w:val="003A4DCE"/>
    <w:rsid w:val="003B3A9C"/>
    <w:rsid w:val="003B421D"/>
    <w:rsid w:val="003B5838"/>
    <w:rsid w:val="003B6BE2"/>
    <w:rsid w:val="003C4D72"/>
    <w:rsid w:val="003D1F03"/>
    <w:rsid w:val="003D373E"/>
    <w:rsid w:val="003D4D3D"/>
    <w:rsid w:val="003D532C"/>
    <w:rsid w:val="003E034C"/>
    <w:rsid w:val="003E1100"/>
    <w:rsid w:val="003E446E"/>
    <w:rsid w:val="003E6610"/>
    <w:rsid w:val="003F3235"/>
    <w:rsid w:val="00400FE6"/>
    <w:rsid w:val="004035BD"/>
    <w:rsid w:val="004119E6"/>
    <w:rsid w:val="00415E08"/>
    <w:rsid w:val="00436C63"/>
    <w:rsid w:val="00437F5B"/>
    <w:rsid w:val="00450234"/>
    <w:rsid w:val="00457EEF"/>
    <w:rsid w:val="004673D0"/>
    <w:rsid w:val="00474F31"/>
    <w:rsid w:val="0047557A"/>
    <w:rsid w:val="00481C60"/>
    <w:rsid w:val="00481C81"/>
    <w:rsid w:val="00484264"/>
    <w:rsid w:val="004942F5"/>
    <w:rsid w:val="00495A10"/>
    <w:rsid w:val="004A04E5"/>
    <w:rsid w:val="004A4CB5"/>
    <w:rsid w:val="004A5CDA"/>
    <w:rsid w:val="004A682A"/>
    <w:rsid w:val="004A6E51"/>
    <w:rsid w:val="004A7A52"/>
    <w:rsid w:val="004B3ACF"/>
    <w:rsid w:val="004B4233"/>
    <w:rsid w:val="004B7638"/>
    <w:rsid w:val="004C4936"/>
    <w:rsid w:val="004C6071"/>
    <w:rsid w:val="004C7666"/>
    <w:rsid w:val="004C7705"/>
    <w:rsid w:val="004E23D8"/>
    <w:rsid w:val="004E384D"/>
    <w:rsid w:val="004E4636"/>
    <w:rsid w:val="004F3D90"/>
    <w:rsid w:val="00500B08"/>
    <w:rsid w:val="00503713"/>
    <w:rsid w:val="00506156"/>
    <w:rsid w:val="00506D0B"/>
    <w:rsid w:val="00522294"/>
    <w:rsid w:val="00524736"/>
    <w:rsid w:val="00525881"/>
    <w:rsid w:val="005265AE"/>
    <w:rsid w:val="005318DA"/>
    <w:rsid w:val="00545ECF"/>
    <w:rsid w:val="00547435"/>
    <w:rsid w:val="005514F8"/>
    <w:rsid w:val="00573EA4"/>
    <w:rsid w:val="0057610F"/>
    <w:rsid w:val="00580C80"/>
    <w:rsid w:val="00582C06"/>
    <w:rsid w:val="0058502C"/>
    <w:rsid w:val="005A4387"/>
    <w:rsid w:val="005A6F12"/>
    <w:rsid w:val="005A73BF"/>
    <w:rsid w:val="005C4F38"/>
    <w:rsid w:val="005D3C3C"/>
    <w:rsid w:val="005E3B16"/>
    <w:rsid w:val="005E534B"/>
    <w:rsid w:val="005E73BD"/>
    <w:rsid w:val="005F29F5"/>
    <w:rsid w:val="005F754C"/>
    <w:rsid w:val="00603415"/>
    <w:rsid w:val="00605FF2"/>
    <w:rsid w:val="00606B11"/>
    <w:rsid w:val="00623631"/>
    <w:rsid w:val="00626B2B"/>
    <w:rsid w:val="0063176A"/>
    <w:rsid w:val="00632639"/>
    <w:rsid w:val="00640B5A"/>
    <w:rsid w:val="00640CCC"/>
    <w:rsid w:val="00644625"/>
    <w:rsid w:val="00644992"/>
    <w:rsid w:val="006452C0"/>
    <w:rsid w:val="0065019B"/>
    <w:rsid w:val="006529FD"/>
    <w:rsid w:val="006658AA"/>
    <w:rsid w:val="00667A90"/>
    <w:rsid w:val="00670FA1"/>
    <w:rsid w:val="006763B3"/>
    <w:rsid w:val="00680A46"/>
    <w:rsid w:val="00681D24"/>
    <w:rsid w:val="00684440"/>
    <w:rsid w:val="0068712E"/>
    <w:rsid w:val="006939C3"/>
    <w:rsid w:val="006943F8"/>
    <w:rsid w:val="0069637F"/>
    <w:rsid w:val="00696801"/>
    <w:rsid w:val="006A0D95"/>
    <w:rsid w:val="006A451F"/>
    <w:rsid w:val="006A53ED"/>
    <w:rsid w:val="006C7322"/>
    <w:rsid w:val="006D1A7C"/>
    <w:rsid w:val="006D401A"/>
    <w:rsid w:val="006E2437"/>
    <w:rsid w:val="006E2C7B"/>
    <w:rsid w:val="006E2C8D"/>
    <w:rsid w:val="006E3E02"/>
    <w:rsid w:val="006E625F"/>
    <w:rsid w:val="006F2574"/>
    <w:rsid w:val="006F2FAD"/>
    <w:rsid w:val="007075A2"/>
    <w:rsid w:val="007103B0"/>
    <w:rsid w:val="00710925"/>
    <w:rsid w:val="00711B4A"/>
    <w:rsid w:val="007131F3"/>
    <w:rsid w:val="0071586F"/>
    <w:rsid w:val="00744637"/>
    <w:rsid w:val="00746791"/>
    <w:rsid w:val="0074680A"/>
    <w:rsid w:val="00750946"/>
    <w:rsid w:val="007512DA"/>
    <w:rsid w:val="00754394"/>
    <w:rsid w:val="00754A31"/>
    <w:rsid w:val="007567B5"/>
    <w:rsid w:val="00762C60"/>
    <w:rsid w:val="00766583"/>
    <w:rsid w:val="00770F4C"/>
    <w:rsid w:val="007806A8"/>
    <w:rsid w:val="00787C68"/>
    <w:rsid w:val="00790A65"/>
    <w:rsid w:val="00791E81"/>
    <w:rsid w:val="00792A51"/>
    <w:rsid w:val="00794595"/>
    <w:rsid w:val="00797440"/>
    <w:rsid w:val="007B25C0"/>
    <w:rsid w:val="007B55F4"/>
    <w:rsid w:val="007C022C"/>
    <w:rsid w:val="007C03EA"/>
    <w:rsid w:val="007C1BE6"/>
    <w:rsid w:val="007C7319"/>
    <w:rsid w:val="007D472B"/>
    <w:rsid w:val="007E0945"/>
    <w:rsid w:val="007E0B8C"/>
    <w:rsid w:val="007E76B3"/>
    <w:rsid w:val="007F2CF2"/>
    <w:rsid w:val="007F3F32"/>
    <w:rsid w:val="00801066"/>
    <w:rsid w:val="00806CCD"/>
    <w:rsid w:val="00812276"/>
    <w:rsid w:val="008123BD"/>
    <w:rsid w:val="00812755"/>
    <w:rsid w:val="0081649B"/>
    <w:rsid w:val="00817ECF"/>
    <w:rsid w:val="0082199A"/>
    <w:rsid w:val="008221C0"/>
    <w:rsid w:val="00822790"/>
    <w:rsid w:val="00823215"/>
    <w:rsid w:val="008415EC"/>
    <w:rsid w:val="008429A1"/>
    <w:rsid w:val="0084662D"/>
    <w:rsid w:val="008472A8"/>
    <w:rsid w:val="00847D9A"/>
    <w:rsid w:val="00854CD2"/>
    <w:rsid w:val="00857AD9"/>
    <w:rsid w:val="0086430F"/>
    <w:rsid w:val="0086667B"/>
    <w:rsid w:val="008705C9"/>
    <w:rsid w:val="008760F6"/>
    <w:rsid w:val="00883667"/>
    <w:rsid w:val="008841B7"/>
    <w:rsid w:val="00886725"/>
    <w:rsid w:val="00887134"/>
    <w:rsid w:val="0089274E"/>
    <w:rsid w:val="00892B97"/>
    <w:rsid w:val="00893D69"/>
    <w:rsid w:val="00896035"/>
    <w:rsid w:val="008A0CA3"/>
    <w:rsid w:val="008A3C5D"/>
    <w:rsid w:val="008A53BD"/>
    <w:rsid w:val="008A781A"/>
    <w:rsid w:val="008B4225"/>
    <w:rsid w:val="008B4B23"/>
    <w:rsid w:val="008B56B6"/>
    <w:rsid w:val="008C27F7"/>
    <w:rsid w:val="008C3BC3"/>
    <w:rsid w:val="008E105C"/>
    <w:rsid w:val="008E26FB"/>
    <w:rsid w:val="008E7B2D"/>
    <w:rsid w:val="008F05E7"/>
    <w:rsid w:val="008F18E2"/>
    <w:rsid w:val="008F1F84"/>
    <w:rsid w:val="008F245F"/>
    <w:rsid w:val="008F43A5"/>
    <w:rsid w:val="008F4554"/>
    <w:rsid w:val="008F4A3E"/>
    <w:rsid w:val="00905CCB"/>
    <w:rsid w:val="00930E9D"/>
    <w:rsid w:val="00935D58"/>
    <w:rsid w:val="00936150"/>
    <w:rsid w:val="00940CCF"/>
    <w:rsid w:val="00942962"/>
    <w:rsid w:val="00943CD6"/>
    <w:rsid w:val="00951D40"/>
    <w:rsid w:val="00954E0A"/>
    <w:rsid w:val="00961CC4"/>
    <w:rsid w:val="009624CA"/>
    <w:rsid w:val="0096381A"/>
    <w:rsid w:val="009705AD"/>
    <w:rsid w:val="00971D07"/>
    <w:rsid w:val="00975E4B"/>
    <w:rsid w:val="00980587"/>
    <w:rsid w:val="009820C4"/>
    <w:rsid w:val="00997F4D"/>
    <w:rsid w:val="009B57C9"/>
    <w:rsid w:val="009C0D02"/>
    <w:rsid w:val="009C5FDC"/>
    <w:rsid w:val="009D1094"/>
    <w:rsid w:val="009D22A8"/>
    <w:rsid w:val="009D75C6"/>
    <w:rsid w:val="009E0BCB"/>
    <w:rsid w:val="009E2382"/>
    <w:rsid w:val="009E24EA"/>
    <w:rsid w:val="009E413D"/>
    <w:rsid w:val="009F277F"/>
    <w:rsid w:val="009F6601"/>
    <w:rsid w:val="009F7FBD"/>
    <w:rsid w:val="00A0029E"/>
    <w:rsid w:val="00A03F5B"/>
    <w:rsid w:val="00A045A4"/>
    <w:rsid w:val="00A05217"/>
    <w:rsid w:val="00A10644"/>
    <w:rsid w:val="00A11BC6"/>
    <w:rsid w:val="00A15E4A"/>
    <w:rsid w:val="00A3032E"/>
    <w:rsid w:val="00A33524"/>
    <w:rsid w:val="00A4097D"/>
    <w:rsid w:val="00A4356C"/>
    <w:rsid w:val="00A50A9F"/>
    <w:rsid w:val="00A51CED"/>
    <w:rsid w:val="00A53BAE"/>
    <w:rsid w:val="00A646E7"/>
    <w:rsid w:val="00A70753"/>
    <w:rsid w:val="00A71093"/>
    <w:rsid w:val="00A77514"/>
    <w:rsid w:val="00A8184B"/>
    <w:rsid w:val="00A81DD0"/>
    <w:rsid w:val="00A87E00"/>
    <w:rsid w:val="00A91B78"/>
    <w:rsid w:val="00AA0852"/>
    <w:rsid w:val="00AA3656"/>
    <w:rsid w:val="00AA48F1"/>
    <w:rsid w:val="00AB0D0D"/>
    <w:rsid w:val="00AB776E"/>
    <w:rsid w:val="00AC0C17"/>
    <w:rsid w:val="00AC12C7"/>
    <w:rsid w:val="00AC259C"/>
    <w:rsid w:val="00AC4091"/>
    <w:rsid w:val="00AE7789"/>
    <w:rsid w:val="00AF06C6"/>
    <w:rsid w:val="00B02C07"/>
    <w:rsid w:val="00B079D0"/>
    <w:rsid w:val="00B16060"/>
    <w:rsid w:val="00B214A7"/>
    <w:rsid w:val="00B23E56"/>
    <w:rsid w:val="00B3574C"/>
    <w:rsid w:val="00B408E3"/>
    <w:rsid w:val="00B56942"/>
    <w:rsid w:val="00B63855"/>
    <w:rsid w:val="00B63D46"/>
    <w:rsid w:val="00B70F27"/>
    <w:rsid w:val="00B71258"/>
    <w:rsid w:val="00B727F9"/>
    <w:rsid w:val="00B72C75"/>
    <w:rsid w:val="00B8355A"/>
    <w:rsid w:val="00B90DF2"/>
    <w:rsid w:val="00B95073"/>
    <w:rsid w:val="00B95B04"/>
    <w:rsid w:val="00BA36DD"/>
    <w:rsid w:val="00BA51C3"/>
    <w:rsid w:val="00BA5D97"/>
    <w:rsid w:val="00BB1C73"/>
    <w:rsid w:val="00BB27B7"/>
    <w:rsid w:val="00BB6AC6"/>
    <w:rsid w:val="00BC489C"/>
    <w:rsid w:val="00BC4E5E"/>
    <w:rsid w:val="00BC60FB"/>
    <w:rsid w:val="00BD2A84"/>
    <w:rsid w:val="00BD6259"/>
    <w:rsid w:val="00BE2943"/>
    <w:rsid w:val="00BE6B7F"/>
    <w:rsid w:val="00BF1622"/>
    <w:rsid w:val="00C045EF"/>
    <w:rsid w:val="00C0639A"/>
    <w:rsid w:val="00C06B7B"/>
    <w:rsid w:val="00C139D8"/>
    <w:rsid w:val="00C16564"/>
    <w:rsid w:val="00C21D89"/>
    <w:rsid w:val="00C234EB"/>
    <w:rsid w:val="00C3191F"/>
    <w:rsid w:val="00C31FAE"/>
    <w:rsid w:val="00C344F2"/>
    <w:rsid w:val="00C40356"/>
    <w:rsid w:val="00C4048E"/>
    <w:rsid w:val="00C41CF4"/>
    <w:rsid w:val="00C4358D"/>
    <w:rsid w:val="00C4518F"/>
    <w:rsid w:val="00C45BBE"/>
    <w:rsid w:val="00C7691A"/>
    <w:rsid w:val="00C80903"/>
    <w:rsid w:val="00C83D46"/>
    <w:rsid w:val="00C87319"/>
    <w:rsid w:val="00C9152B"/>
    <w:rsid w:val="00C93DDB"/>
    <w:rsid w:val="00C95643"/>
    <w:rsid w:val="00CB28DB"/>
    <w:rsid w:val="00CB4862"/>
    <w:rsid w:val="00CB534A"/>
    <w:rsid w:val="00CB6225"/>
    <w:rsid w:val="00CC0505"/>
    <w:rsid w:val="00CC3844"/>
    <w:rsid w:val="00CC6122"/>
    <w:rsid w:val="00CD1745"/>
    <w:rsid w:val="00CE01DF"/>
    <w:rsid w:val="00CE17A3"/>
    <w:rsid w:val="00CE6235"/>
    <w:rsid w:val="00CE62A5"/>
    <w:rsid w:val="00D04D85"/>
    <w:rsid w:val="00D06D1E"/>
    <w:rsid w:val="00D071AD"/>
    <w:rsid w:val="00D1270E"/>
    <w:rsid w:val="00D24E90"/>
    <w:rsid w:val="00D26210"/>
    <w:rsid w:val="00D307D4"/>
    <w:rsid w:val="00D4131E"/>
    <w:rsid w:val="00D423DF"/>
    <w:rsid w:val="00D51DD6"/>
    <w:rsid w:val="00D51E50"/>
    <w:rsid w:val="00D5331B"/>
    <w:rsid w:val="00D53AAF"/>
    <w:rsid w:val="00D53CCF"/>
    <w:rsid w:val="00D550C3"/>
    <w:rsid w:val="00D55A81"/>
    <w:rsid w:val="00D607E2"/>
    <w:rsid w:val="00D624C8"/>
    <w:rsid w:val="00D74AE7"/>
    <w:rsid w:val="00D77CB7"/>
    <w:rsid w:val="00D81CD9"/>
    <w:rsid w:val="00D8722F"/>
    <w:rsid w:val="00D90E19"/>
    <w:rsid w:val="00D936B2"/>
    <w:rsid w:val="00D93CAF"/>
    <w:rsid w:val="00D9568B"/>
    <w:rsid w:val="00DA5851"/>
    <w:rsid w:val="00DB167A"/>
    <w:rsid w:val="00DB4A49"/>
    <w:rsid w:val="00DB5D89"/>
    <w:rsid w:val="00DC093F"/>
    <w:rsid w:val="00DC09CA"/>
    <w:rsid w:val="00DD1E2A"/>
    <w:rsid w:val="00DD2A5C"/>
    <w:rsid w:val="00DD7799"/>
    <w:rsid w:val="00DE0D5A"/>
    <w:rsid w:val="00DE0EE9"/>
    <w:rsid w:val="00DE1F04"/>
    <w:rsid w:val="00DE333F"/>
    <w:rsid w:val="00DF2116"/>
    <w:rsid w:val="00DF26BE"/>
    <w:rsid w:val="00DF722D"/>
    <w:rsid w:val="00E06182"/>
    <w:rsid w:val="00E076B7"/>
    <w:rsid w:val="00E136F4"/>
    <w:rsid w:val="00E14CCD"/>
    <w:rsid w:val="00E17C4E"/>
    <w:rsid w:val="00E24A23"/>
    <w:rsid w:val="00E25581"/>
    <w:rsid w:val="00E3106B"/>
    <w:rsid w:val="00E32FC3"/>
    <w:rsid w:val="00E337A9"/>
    <w:rsid w:val="00E42362"/>
    <w:rsid w:val="00E44F89"/>
    <w:rsid w:val="00E506FB"/>
    <w:rsid w:val="00E52596"/>
    <w:rsid w:val="00E640A1"/>
    <w:rsid w:val="00E648C9"/>
    <w:rsid w:val="00E65701"/>
    <w:rsid w:val="00E6575E"/>
    <w:rsid w:val="00E66AD6"/>
    <w:rsid w:val="00E723F3"/>
    <w:rsid w:val="00E73EA8"/>
    <w:rsid w:val="00E80993"/>
    <w:rsid w:val="00E81316"/>
    <w:rsid w:val="00E86C5B"/>
    <w:rsid w:val="00E96CE2"/>
    <w:rsid w:val="00E97A69"/>
    <w:rsid w:val="00EA159A"/>
    <w:rsid w:val="00EA34CE"/>
    <w:rsid w:val="00EA696D"/>
    <w:rsid w:val="00EA7FC7"/>
    <w:rsid w:val="00EB19F5"/>
    <w:rsid w:val="00EB1FB0"/>
    <w:rsid w:val="00EB2B71"/>
    <w:rsid w:val="00EC2196"/>
    <w:rsid w:val="00ED2EE5"/>
    <w:rsid w:val="00EE2C0E"/>
    <w:rsid w:val="00EE3AAB"/>
    <w:rsid w:val="00EE6853"/>
    <w:rsid w:val="00EF588E"/>
    <w:rsid w:val="00F05C46"/>
    <w:rsid w:val="00F124A2"/>
    <w:rsid w:val="00F14E2C"/>
    <w:rsid w:val="00F17793"/>
    <w:rsid w:val="00F24B6E"/>
    <w:rsid w:val="00F31C02"/>
    <w:rsid w:val="00F34A5F"/>
    <w:rsid w:val="00F34F88"/>
    <w:rsid w:val="00F4236A"/>
    <w:rsid w:val="00F50896"/>
    <w:rsid w:val="00F6008A"/>
    <w:rsid w:val="00F62B99"/>
    <w:rsid w:val="00F62FCB"/>
    <w:rsid w:val="00F64ADE"/>
    <w:rsid w:val="00F64D06"/>
    <w:rsid w:val="00F833BB"/>
    <w:rsid w:val="00F90615"/>
    <w:rsid w:val="00F93842"/>
    <w:rsid w:val="00F956E4"/>
    <w:rsid w:val="00FA0061"/>
    <w:rsid w:val="00FA16DF"/>
    <w:rsid w:val="00FA1EE1"/>
    <w:rsid w:val="00FA2696"/>
    <w:rsid w:val="00FB5215"/>
    <w:rsid w:val="00FB65AD"/>
    <w:rsid w:val="00FC14C9"/>
    <w:rsid w:val="00FC7BDF"/>
    <w:rsid w:val="00FD0594"/>
    <w:rsid w:val="00FE11AC"/>
    <w:rsid w:val="00FE16D4"/>
    <w:rsid w:val="00FE6DEC"/>
    <w:rsid w:val="00FE70CF"/>
    <w:rsid w:val="00FF30F4"/>
    <w:rsid w:val="03027FE3"/>
    <w:rsid w:val="1A1116AA"/>
    <w:rsid w:val="1E413766"/>
    <w:rsid w:val="23FA1DBF"/>
    <w:rsid w:val="26134720"/>
    <w:rsid w:val="29465029"/>
    <w:rsid w:val="2BF857CF"/>
    <w:rsid w:val="2EB0295F"/>
    <w:rsid w:val="42D26023"/>
    <w:rsid w:val="44024DAF"/>
    <w:rsid w:val="6FD3711B"/>
    <w:rsid w:val="732B713F"/>
    <w:rsid w:val="78203DBB"/>
    <w:rsid w:val="794448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7"/>
    <w:qFormat/>
    <w:uiPriority w:val="0"/>
    <w:pPr>
      <w:keepNext/>
      <w:keepLines/>
      <w:adjustRightInd w:val="0"/>
      <w:spacing w:before="340" w:after="330" w:line="578" w:lineRule="auto"/>
      <w:textAlignment w:val="baseline"/>
      <w:outlineLvl w:val="0"/>
    </w:pPr>
    <w:rPr>
      <w:rFonts w:ascii="Arial" w:hAnsi="Arial" w:cs="Times New Roman"/>
      <w:b/>
      <w:bCs/>
      <w:kern w:val="44"/>
      <w:sz w:val="44"/>
      <w:szCs w:val="44"/>
    </w:rPr>
  </w:style>
  <w:style w:type="paragraph" w:styleId="3">
    <w:name w:val="heading 2"/>
    <w:basedOn w:val="1"/>
    <w:next w:val="1"/>
    <w:link w:val="3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29"/>
    <w:qFormat/>
    <w:uiPriority w:val="99"/>
    <w:pPr>
      <w:spacing w:line="360" w:lineRule="auto"/>
      <w:ind w:firstLine="420" w:firstLineChars="200"/>
    </w:pPr>
    <w:rPr>
      <w:rFonts w:ascii="Times New Roman" w:hAnsi="Times New Roman" w:cs="Times New Roman"/>
      <w:sz w:val="24"/>
      <w:szCs w:val="20"/>
    </w:rPr>
  </w:style>
  <w:style w:type="paragraph" w:styleId="6">
    <w:name w:val="Body Text Indent"/>
    <w:basedOn w:val="1"/>
    <w:link w:val="32"/>
    <w:unhideWhenUsed/>
    <w:qFormat/>
    <w:uiPriority w:val="0"/>
    <w:pPr>
      <w:spacing w:after="120"/>
      <w:ind w:left="420" w:leftChars="200"/>
    </w:pPr>
    <w:rPr>
      <w:rFonts w:ascii="Times New Roman" w:hAnsi="Times New Roman" w:cs="Times New Roman"/>
      <w:szCs w:val="24"/>
    </w:rPr>
  </w:style>
  <w:style w:type="paragraph" w:styleId="7">
    <w:name w:val="Plain Text"/>
    <w:basedOn w:val="1"/>
    <w:link w:val="25"/>
    <w:qFormat/>
    <w:uiPriority w:val="0"/>
    <w:rPr>
      <w:rFonts w:ascii="宋体" w:hAnsi="Courier New" w:cs="Times New Roman"/>
      <w:szCs w:val="20"/>
    </w:rPr>
  </w:style>
  <w:style w:type="paragraph" w:styleId="8">
    <w:name w:val="Date"/>
    <w:basedOn w:val="1"/>
    <w:next w:val="1"/>
    <w:link w:val="22"/>
    <w:qFormat/>
    <w:uiPriority w:val="0"/>
    <w:pPr>
      <w:ind w:left="100" w:leftChars="2500"/>
    </w:pPr>
  </w:style>
  <w:style w:type="paragraph" w:styleId="9">
    <w:name w:val="Balloon Text"/>
    <w:basedOn w:val="1"/>
    <w:link w:val="19"/>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qFormat/>
    <w:uiPriority w:val="10"/>
    <w:pPr>
      <w:adjustRightInd w:val="0"/>
      <w:spacing w:before="240" w:after="60" w:line="360" w:lineRule="atLeast"/>
      <w:jc w:val="center"/>
      <w:outlineLvl w:val="0"/>
    </w:pPr>
    <w:rPr>
      <w:rFonts w:ascii="Arial" w:hAnsi="Arial" w:cs="Times New Roman"/>
      <w:b/>
      <w:kern w:val="0"/>
      <w:sz w:val="32"/>
      <w:szCs w:val="20"/>
      <w:lang w:val="zh-CN"/>
    </w:rPr>
  </w:style>
  <w:style w:type="character" w:styleId="15">
    <w:name w:val="Hyperlink"/>
    <w:basedOn w:val="14"/>
    <w:unhideWhenUsed/>
    <w:qFormat/>
    <w:uiPriority w:val="99"/>
    <w:rPr>
      <w:color w:val="0000FF"/>
      <w:u w:val="single"/>
    </w:rPr>
  </w:style>
  <w:style w:type="table" w:styleId="17">
    <w:name w:val="Table Grid"/>
    <w:basedOn w:val="1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8">
    <w:name w:val="No Spacing"/>
    <w:link w:val="2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批注框文本 Char"/>
    <w:basedOn w:val="14"/>
    <w:link w:val="9"/>
    <w:qFormat/>
    <w:uiPriority w:val="0"/>
    <w:rPr>
      <w:rFonts w:ascii="Calibri" w:hAnsi="Calibri" w:cs="黑体"/>
      <w:kern w:val="2"/>
      <w:sz w:val="18"/>
      <w:szCs w:val="18"/>
    </w:rPr>
  </w:style>
  <w:style w:type="character" w:customStyle="1" w:styleId="20">
    <w:name w:val="页眉 Char"/>
    <w:basedOn w:val="14"/>
    <w:link w:val="11"/>
    <w:qFormat/>
    <w:uiPriority w:val="99"/>
    <w:rPr>
      <w:rFonts w:ascii="Calibri" w:hAnsi="Calibri" w:cs="黑体"/>
      <w:kern w:val="2"/>
      <w:sz w:val="18"/>
      <w:szCs w:val="18"/>
    </w:rPr>
  </w:style>
  <w:style w:type="paragraph" w:styleId="21">
    <w:name w:val="List Paragraph"/>
    <w:basedOn w:val="1"/>
    <w:qFormat/>
    <w:uiPriority w:val="99"/>
    <w:pPr>
      <w:ind w:firstLine="420" w:firstLineChars="200"/>
    </w:pPr>
    <w:rPr>
      <w:rFonts w:ascii="Times New Roman" w:hAnsi="Times New Roman" w:cs="Times New Roman"/>
      <w:szCs w:val="24"/>
    </w:rPr>
  </w:style>
  <w:style w:type="character" w:customStyle="1" w:styleId="22">
    <w:name w:val="日期 Char"/>
    <w:basedOn w:val="14"/>
    <w:link w:val="8"/>
    <w:qFormat/>
    <w:uiPriority w:val="0"/>
    <w:rPr>
      <w:rFonts w:ascii="Calibri" w:hAnsi="Calibri" w:cs="黑体"/>
      <w:kern w:val="2"/>
      <w:sz w:val="21"/>
      <w:szCs w:val="22"/>
    </w:rPr>
  </w:style>
  <w:style w:type="paragraph" w:customStyle="1" w:styleId="23">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无间隔 Char"/>
    <w:link w:val="18"/>
    <w:qFormat/>
    <w:uiPriority w:val="1"/>
    <w:rPr>
      <w:kern w:val="2"/>
      <w:sz w:val="21"/>
      <w:szCs w:val="24"/>
    </w:rPr>
  </w:style>
  <w:style w:type="character" w:customStyle="1" w:styleId="25">
    <w:name w:val="纯文本 Char"/>
    <w:basedOn w:val="14"/>
    <w:link w:val="7"/>
    <w:qFormat/>
    <w:uiPriority w:val="0"/>
    <w:rPr>
      <w:rFonts w:ascii="宋体" w:hAnsi="Courier New"/>
      <w:kern w:val="2"/>
      <w:sz w:val="21"/>
    </w:rPr>
  </w:style>
  <w:style w:type="paragraph" w:customStyle="1" w:styleId="26">
    <w:name w:val="正文1"/>
    <w:basedOn w:val="1"/>
    <w:qFormat/>
    <w:uiPriority w:val="0"/>
    <w:pPr>
      <w:adjustRightInd w:val="0"/>
      <w:spacing w:line="360" w:lineRule="atLeast"/>
      <w:jc w:val="left"/>
      <w:textAlignment w:val="baseline"/>
    </w:pPr>
    <w:rPr>
      <w:rFonts w:ascii="宋体" w:hAnsi="Times New Roman" w:cs="Times New Roman"/>
      <w:kern w:val="0"/>
      <w:sz w:val="24"/>
      <w:szCs w:val="20"/>
    </w:rPr>
  </w:style>
  <w:style w:type="character" w:customStyle="1" w:styleId="27">
    <w:name w:val="标题 1 Char"/>
    <w:basedOn w:val="14"/>
    <w:link w:val="2"/>
    <w:qFormat/>
    <w:uiPriority w:val="0"/>
    <w:rPr>
      <w:rFonts w:ascii="Arial" w:hAnsi="Arial"/>
      <w:b/>
      <w:bCs/>
      <w:kern w:val="44"/>
      <w:sz w:val="44"/>
      <w:szCs w:val="44"/>
    </w:rPr>
  </w:style>
  <w:style w:type="paragraph" w:customStyle="1" w:styleId="28">
    <w:name w:val="Char Char Char Char Char Char Char"/>
    <w:basedOn w:val="1"/>
    <w:qFormat/>
    <w:uiPriority w:val="0"/>
    <w:rPr>
      <w:rFonts w:ascii="Times New Roman" w:hAnsi="Times New Roman" w:cs="Times New Roman"/>
      <w:szCs w:val="24"/>
    </w:rPr>
  </w:style>
  <w:style w:type="character" w:customStyle="1" w:styleId="29">
    <w:name w:val="正文缩进 Char"/>
    <w:link w:val="5"/>
    <w:qFormat/>
    <w:locked/>
    <w:uiPriority w:val="99"/>
    <w:rPr>
      <w:kern w:val="2"/>
      <w:sz w:val="24"/>
    </w:rPr>
  </w:style>
  <w:style w:type="paragraph" w:customStyle="1" w:styleId="3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1">
    <w:name w:val="标题 3 Char"/>
    <w:basedOn w:val="14"/>
    <w:link w:val="4"/>
    <w:semiHidden/>
    <w:qFormat/>
    <w:uiPriority w:val="0"/>
    <w:rPr>
      <w:rFonts w:ascii="Calibri" w:hAnsi="Calibri" w:cs="黑体"/>
      <w:b/>
      <w:bCs/>
      <w:kern w:val="2"/>
      <w:sz w:val="32"/>
      <w:szCs w:val="32"/>
    </w:rPr>
  </w:style>
  <w:style w:type="character" w:customStyle="1" w:styleId="32">
    <w:name w:val="正文文本缩进 Char"/>
    <w:basedOn w:val="14"/>
    <w:link w:val="6"/>
    <w:qFormat/>
    <w:uiPriority w:val="0"/>
    <w:rPr>
      <w:kern w:val="2"/>
      <w:sz w:val="21"/>
      <w:szCs w:val="24"/>
    </w:rPr>
  </w:style>
  <w:style w:type="character" w:customStyle="1" w:styleId="33">
    <w:name w:val="标题 2 Char"/>
    <w:basedOn w:val="14"/>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881D4-50DF-4759-B1C2-7B2FE0CB69C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4120</Words>
  <Characters>1233</Characters>
  <Lines>10</Lines>
  <Paragraphs>10</Paragraphs>
  <TotalTime>491</TotalTime>
  <ScaleCrop>false</ScaleCrop>
  <LinksUpToDate>false</LinksUpToDate>
  <CharactersWithSpaces>5343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2020-07-09T07:29:00Z</dcterms:created>
  <dc:creator>刘纯全/BFGS/CHNG</dc:creator>
  <cp:lastModifiedBy>马涛951/BFGS/CHNG</cp:lastModifiedBy>
  <cp:lastPrinted>2020-09-10T12:36:00Z</cp:lastPrinted>
  <dcterms:modified xsi:type="dcterms:W3CDTF">2020-09-23T07:07:56Z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