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18"/>
        </w:rPr>
      </w:pPr>
    </w:p>
    <w:p>
      <w:pPr>
        <w:spacing w:line="360" w:lineRule="auto"/>
        <w:jc w:val="center"/>
        <w:rPr>
          <w:rFonts w:hint="eastAsia" w:ascii="宋体" w:hAnsi="宋体" w:eastAsia="宋体"/>
          <w:sz w:val="18"/>
          <w:lang w:eastAsia="zh-CN"/>
        </w:rPr>
      </w:pPr>
      <w:r>
        <w:rPr>
          <w:rFonts w:hint="eastAsia" w:ascii="宋体" w:hAnsi="宋体" w:eastAsia="宋体"/>
          <w:sz w:val="18"/>
          <w:lang w:eastAsia="zh-CN"/>
        </w:rPr>
        <w:drawing>
          <wp:inline distT="0" distB="0" distL="114300" distR="114300">
            <wp:extent cx="5274310" cy="7253605"/>
            <wp:effectExtent l="0" t="0" r="2540" b="4445"/>
            <wp:docPr id="1" name="图片 1" descr="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2)"/>
                    <pic:cNvPicPr>
                      <a:picLocks noChangeAspect="1"/>
                    </pic:cNvPicPr>
                  </pic:nvPicPr>
                  <pic:blipFill>
                    <a:blip r:embed="rId6"/>
                    <a:stretch>
                      <a:fillRect/>
                    </a:stretch>
                  </pic:blipFill>
                  <pic:spPr>
                    <a:xfrm>
                      <a:off x="0" y="0"/>
                      <a:ext cx="5274310" cy="7253605"/>
                    </a:xfrm>
                    <a:prstGeom prst="rect">
                      <a:avLst/>
                    </a:prstGeom>
                  </pic:spPr>
                </pic:pic>
              </a:graphicData>
            </a:graphic>
          </wp:inline>
        </w:drawing>
      </w:r>
    </w:p>
    <w:p>
      <w:pPr>
        <w:spacing w:line="360" w:lineRule="auto"/>
        <w:jc w:val="center"/>
        <w:rPr>
          <w:rFonts w:ascii="宋体" w:hAnsi="宋体"/>
          <w:sz w:val="18"/>
        </w:rPr>
      </w:pPr>
    </w:p>
    <w:p>
      <w:pPr>
        <w:spacing w:line="360" w:lineRule="auto"/>
        <w:jc w:val="center"/>
        <w:rPr>
          <w:rFonts w:hint="eastAsia" w:ascii="黑体" w:hAnsi="黑体" w:eastAsia="黑体"/>
          <w:b/>
          <w:bCs/>
          <w:sz w:val="48"/>
          <w:szCs w:val="48"/>
        </w:rPr>
      </w:pPr>
    </w:p>
    <w:p>
      <w:pPr>
        <w:spacing w:line="360" w:lineRule="auto"/>
        <w:jc w:val="both"/>
        <w:rPr>
          <w:rFonts w:asciiTheme="minorEastAsia" w:hAnsiTheme="minorEastAsia" w:eastAsiaTheme="minorEastAsia"/>
          <w:b/>
          <w:sz w:val="48"/>
          <w:szCs w:val="32"/>
        </w:rPr>
      </w:pPr>
    </w:p>
    <w:p>
      <w:pPr>
        <w:spacing w:line="360" w:lineRule="auto"/>
        <w:jc w:val="center"/>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40"/>
          <w:szCs w:val="40"/>
        </w:rPr>
      </w:pPr>
      <w:r>
        <w:rPr>
          <w:rFonts w:hint="eastAsia" w:asciiTheme="minorEastAsia" w:hAnsiTheme="minorEastAsia" w:eastAsiaTheme="minorEastAsia"/>
          <w:b/>
          <w:sz w:val="40"/>
          <w:szCs w:val="40"/>
        </w:rPr>
        <w:t>供应商报价时凡</w:t>
      </w:r>
      <w:r>
        <w:rPr>
          <w:rFonts w:hint="eastAsia" w:asciiTheme="minorEastAsia" w:hAnsiTheme="minorEastAsia" w:eastAsiaTheme="minorEastAsia"/>
          <w:b/>
          <w:color w:val="FF0000"/>
          <w:sz w:val="40"/>
          <w:szCs w:val="40"/>
        </w:rPr>
        <w:t>涉及以下任一条款</w:t>
      </w:r>
      <w:r>
        <w:rPr>
          <w:rFonts w:hint="eastAsia" w:asciiTheme="minorEastAsia" w:hAnsiTheme="minorEastAsia" w:eastAsiaTheme="minorEastAsia"/>
          <w:b/>
          <w:sz w:val="40"/>
          <w:szCs w:val="40"/>
        </w:rPr>
        <w:t>均</w:t>
      </w:r>
      <w:r>
        <w:rPr>
          <w:rFonts w:hint="eastAsia" w:asciiTheme="minorEastAsia" w:hAnsiTheme="minorEastAsia" w:eastAsiaTheme="minorEastAsia"/>
          <w:b/>
          <w:color w:val="FF0000"/>
          <w:sz w:val="40"/>
          <w:szCs w:val="40"/>
        </w:rPr>
        <w:t>视为无效报价并纳入供应商考评</w:t>
      </w:r>
      <w:r>
        <w:rPr>
          <w:rFonts w:hint="eastAsia" w:asciiTheme="minorEastAsia" w:hAnsiTheme="minorEastAsia" w:eastAsiaTheme="minorEastAsia"/>
          <w:b/>
          <w:sz w:val="40"/>
          <w:szCs w:val="40"/>
        </w:rPr>
        <w:t>，具体条款如下：</w:t>
      </w:r>
    </w:p>
    <w:p>
      <w:pPr>
        <w:spacing w:line="360" w:lineRule="auto"/>
        <w:ind w:firstLine="810"/>
        <w:jc w:val="left"/>
        <w:rPr>
          <w:rFonts w:asciiTheme="minorEastAsia" w:hAnsiTheme="minorEastAsia"/>
          <w:color w:val="00B0F0"/>
          <w:sz w:val="40"/>
          <w:szCs w:val="40"/>
        </w:rPr>
      </w:pPr>
      <w:r>
        <w:rPr>
          <w:rFonts w:hint="eastAsia" w:asciiTheme="minorEastAsia" w:hAnsiTheme="minorEastAsia"/>
          <w:sz w:val="40"/>
          <w:szCs w:val="40"/>
        </w:rPr>
        <w:t>1.供应商</w:t>
      </w:r>
      <w:r>
        <w:rPr>
          <w:rFonts w:hint="eastAsia" w:asciiTheme="minorEastAsia" w:hAnsiTheme="minorEastAsia"/>
          <w:color w:val="FF0000"/>
          <w:sz w:val="40"/>
          <w:szCs w:val="40"/>
        </w:rPr>
        <w:t>单位负责人为同一人，存在控股、管理等法律禁止的关联关系</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2.供应商处于</w:t>
      </w:r>
      <w:r>
        <w:rPr>
          <w:rFonts w:hint="eastAsia" w:asciiTheme="minorEastAsia" w:hAnsiTheme="minorEastAsia"/>
          <w:color w:val="FF0000"/>
          <w:sz w:val="40"/>
          <w:szCs w:val="40"/>
        </w:rPr>
        <w:t>人民法院“失信被执行人”名单</w:t>
      </w:r>
      <w:r>
        <w:rPr>
          <w:rFonts w:hint="eastAsia" w:asciiTheme="minorEastAsia" w:hAnsiTheme="minorEastAsia"/>
          <w:sz w:val="40"/>
          <w:szCs w:val="40"/>
        </w:rPr>
        <w:t>或</w:t>
      </w:r>
      <w:r>
        <w:rPr>
          <w:rFonts w:hint="eastAsia" w:asciiTheme="minorEastAsia" w:hAnsiTheme="minorEastAsia"/>
          <w:color w:val="FF0000"/>
          <w:sz w:val="40"/>
          <w:szCs w:val="40"/>
        </w:rPr>
        <w:t>工商行政管理机关“严重违法失信企业”名单</w:t>
      </w:r>
      <w:r>
        <w:rPr>
          <w:rFonts w:hint="eastAsia" w:asciiTheme="minorEastAsia" w:hAnsiTheme="minorEastAsia"/>
          <w:sz w:val="40"/>
          <w:szCs w:val="40"/>
        </w:rPr>
        <w:t>。</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3.供应商</w:t>
      </w:r>
      <w:r>
        <w:rPr>
          <w:rFonts w:hint="eastAsia" w:asciiTheme="minorEastAsia" w:hAnsiTheme="minorEastAsia"/>
          <w:color w:val="FF0000"/>
          <w:sz w:val="40"/>
          <w:szCs w:val="40"/>
        </w:rPr>
        <w:t>不上传附件（资格预审通知书），上传的文件未加盖本单位公章，上传的资质非原件扫描</w:t>
      </w:r>
      <w:r>
        <w:rPr>
          <w:rFonts w:hint="eastAsia" w:asciiTheme="minorEastAsia" w:hAnsiTheme="minorEastAsia"/>
          <w:sz w:val="40"/>
          <w:szCs w:val="40"/>
        </w:rPr>
        <w:t>的。</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4.供应商</w:t>
      </w:r>
      <w:r>
        <w:rPr>
          <w:rFonts w:hint="eastAsia" w:asciiTheme="minorEastAsia" w:hAnsiTheme="minorEastAsia"/>
          <w:color w:val="FF0000"/>
          <w:sz w:val="40"/>
          <w:szCs w:val="40"/>
        </w:rPr>
        <w:t>无法接受后付款</w:t>
      </w:r>
      <w:r>
        <w:rPr>
          <w:rFonts w:hint="eastAsia" w:asciiTheme="minorEastAsia" w:hAnsiTheme="minorEastAsia"/>
          <w:sz w:val="40"/>
          <w:szCs w:val="40"/>
        </w:rPr>
        <w:t>方式。</w:t>
      </w:r>
    </w:p>
    <w:p>
      <w:pPr>
        <w:spacing w:line="360" w:lineRule="auto"/>
        <w:ind w:firstLine="810"/>
        <w:jc w:val="left"/>
        <w:rPr>
          <w:rFonts w:asciiTheme="minorEastAsia" w:hAnsiTheme="minorEastAsia"/>
          <w:sz w:val="40"/>
          <w:szCs w:val="40"/>
        </w:rPr>
      </w:pPr>
      <w:r>
        <w:rPr>
          <w:rFonts w:hint="eastAsia" w:asciiTheme="minorEastAsia" w:hAnsiTheme="minorEastAsia"/>
          <w:sz w:val="40"/>
          <w:szCs w:val="40"/>
        </w:rPr>
        <w:t>5.供应商</w:t>
      </w:r>
      <w:r>
        <w:rPr>
          <w:rFonts w:hint="eastAsia" w:asciiTheme="minorEastAsia" w:hAnsiTheme="minorEastAsia"/>
          <w:color w:val="FF0000"/>
          <w:sz w:val="40"/>
          <w:szCs w:val="40"/>
        </w:rPr>
        <w:t>提供的资格、业绩、证明等材料存在造假行为</w:t>
      </w:r>
      <w:r>
        <w:rPr>
          <w:rFonts w:hint="eastAsia" w:asciiTheme="minorEastAsia" w:hAnsiTheme="minorEastAsia"/>
          <w:sz w:val="40"/>
          <w:szCs w:val="40"/>
        </w:rPr>
        <w:t>的。</w:t>
      </w: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pStyle w:val="17"/>
        <w:jc w:val="center"/>
        <w:rPr>
          <w:b/>
          <w:sz w:val="44"/>
          <w:szCs w:val="44"/>
        </w:rPr>
      </w:pPr>
      <w:r>
        <w:rPr>
          <w:rFonts w:hint="eastAsia"/>
          <w:b/>
          <w:sz w:val="44"/>
          <w:szCs w:val="44"/>
        </w:rPr>
        <w:t>总目录</w:t>
      </w:r>
    </w:p>
    <w:p>
      <w:pPr>
        <w:pStyle w:val="17"/>
        <w:rPr>
          <w:sz w:val="32"/>
          <w:szCs w:val="32"/>
        </w:rPr>
      </w:pPr>
    </w:p>
    <w:p>
      <w:pPr>
        <w:pStyle w:val="17"/>
        <w:spacing w:line="360" w:lineRule="auto"/>
        <w:rPr>
          <w:rFonts w:asciiTheme="minorEastAsia" w:hAnsiTheme="minorEastAsia"/>
          <w:b/>
          <w:sz w:val="32"/>
          <w:szCs w:val="32"/>
        </w:rPr>
      </w:pPr>
      <w:r>
        <w:rPr>
          <w:rFonts w:hint="eastAsia" w:asciiTheme="minorEastAsia" w:hAnsiTheme="minorEastAsia"/>
          <w:b/>
          <w:sz w:val="32"/>
          <w:szCs w:val="32"/>
        </w:rPr>
        <w:t>第一章  供应商须知</w:t>
      </w:r>
    </w:p>
    <w:p>
      <w:pPr>
        <w:pStyle w:val="17"/>
        <w:spacing w:line="360" w:lineRule="auto"/>
        <w:rPr>
          <w:b/>
          <w:sz w:val="32"/>
          <w:szCs w:val="32"/>
        </w:rPr>
      </w:pPr>
      <w:r>
        <w:rPr>
          <w:rFonts w:hint="eastAsia"/>
          <w:b/>
          <w:sz w:val="32"/>
          <w:szCs w:val="32"/>
        </w:rPr>
        <w:t>第二章  工程项目概况</w:t>
      </w:r>
    </w:p>
    <w:p>
      <w:pPr>
        <w:pStyle w:val="17"/>
        <w:spacing w:line="360" w:lineRule="auto"/>
        <w:rPr>
          <w:b/>
          <w:sz w:val="32"/>
          <w:szCs w:val="32"/>
        </w:rPr>
      </w:pPr>
      <w:r>
        <w:rPr>
          <w:rFonts w:hint="eastAsia"/>
          <w:b/>
          <w:sz w:val="32"/>
          <w:szCs w:val="32"/>
        </w:rPr>
        <w:t>第三章  供应商资格要求</w:t>
      </w:r>
    </w:p>
    <w:p>
      <w:pPr>
        <w:pStyle w:val="17"/>
        <w:spacing w:line="360" w:lineRule="auto"/>
        <w:rPr>
          <w:b/>
          <w:sz w:val="32"/>
          <w:szCs w:val="32"/>
        </w:rPr>
      </w:pPr>
      <w:r>
        <w:rPr>
          <w:rFonts w:hint="eastAsia"/>
          <w:b/>
          <w:sz w:val="32"/>
          <w:szCs w:val="32"/>
        </w:rPr>
        <w:t>第四章  技术规范要求</w:t>
      </w:r>
    </w:p>
    <w:p>
      <w:pPr>
        <w:pStyle w:val="17"/>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ascii="黑体" w:hAnsi="黑体" w:eastAsia="黑体"/>
          <w:sz w:val="32"/>
          <w:szCs w:val="32"/>
        </w:rPr>
      </w:pPr>
      <w:r>
        <w:rPr>
          <w:rFonts w:hint="eastAsia" w:ascii="黑体" w:hAnsi="黑体" w:eastAsia="黑体"/>
          <w:sz w:val="40"/>
          <w:szCs w:val="32"/>
        </w:rPr>
        <w:t>第一章供应商须知</w:t>
      </w:r>
    </w:p>
    <w:p>
      <w:pPr>
        <w:snapToGrid w:val="0"/>
        <w:spacing w:line="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通讯电缆采购</w:t>
      </w:r>
    </w:p>
    <w:p>
      <w:pPr>
        <w:spacing w:line="360" w:lineRule="auto"/>
        <w:jc w:val="center"/>
        <w:rPr>
          <w:rFonts w:eastAsia="黑体"/>
          <w:b/>
          <w:sz w:val="48"/>
        </w:rPr>
      </w:pPr>
      <w:r>
        <w:rPr>
          <w:rFonts w:hint="eastAsia" w:ascii="黑体" w:hAnsi="黑体" w:eastAsia="黑体"/>
          <w:sz w:val="36"/>
          <w:szCs w:val="36"/>
        </w:rPr>
        <w:t>电商询价采购文件</w:t>
      </w:r>
    </w:p>
    <w:tbl>
      <w:tblPr>
        <w:tblStyle w:val="15"/>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条款名称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主要内容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594" w:type="dxa"/>
            <w:tcBorders>
              <w:top w:val="nil"/>
              <w:left w:val="nil"/>
              <w:bottom w:val="nil"/>
              <w:right w:val="single" w:color="auto" w:sz="8" w:space="0"/>
            </w:tcBorders>
            <w:shd w:val="clear" w:color="000000" w:fill="FFFFFF"/>
            <w:vAlign w:val="center"/>
          </w:tcPr>
          <w:p>
            <w:pPr>
              <w:snapToGrid w:val="0"/>
              <w:spacing w:line="0" w:lineRule="atLeast"/>
              <w:jc w:val="center"/>
              <w:rPr>
                <w:rFonts w:asciiTheme="majorEastAsia" w:hAnsiTheme="majorEastAsia" w:eastAsiaTheme="majorEastAsia"/>
                <w:sz w:val="22"/>
              </w:rPr>
            </w:pPr>
            <w:r>
              <w:rPr>
                <w:rFonts w:hint="eastAsia" w:asciiTheme="majorEastAsia" w:hAnsiTheme="majorEastAsia" w:eastAsiaTheme="majorEastAsia"/>
                <w:sz w:val="22"/>
              </w:rPr>
              <w:t>通讯电缆采购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项目单位：包头第二热电厂</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地址：内蒙古包头市青山区</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 系 人：鲁涛</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联系方式：18947253151</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电商询价：徐磊</w:t>
            </w:r>
          </w:p>
        </w:tc>
      </w:tr>
      <w:tr>
        <w:tblPrEx>
          <w:tblLayout w:type="fixed"/>
          <w:tblCellMar>
            <w:top w:w="0" w:type="dxa"/>
            <w:left w:w="108" w:type="dxa"/>
            <w:bottom w:w="0" w:type="dxa"/>
            <w:right w:w="108" w:type="dxa"/>
          </w:tblCellMar>
        </w:tblPrEx>
        <w:trPr>
          <w:trHeight w:val="8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594" w:type="dxa"/>
            <w:tcBorders>
              <w:top w:val="nil"/>
              <w:left w:val="nil"/>
              <w:bottom w:val="single" w:color="auto" w:sz="4" w:space="0"/>
              <w:right w:val="single" w:color="auto" w:sz="4" w:space="0"/>
            </w:tcBorders>
            <w:shd w:val="clear" w:color="000000" w:fill="FFFFFF"/>
            <w:vAlign w:val="center"/>
          </w:tcPr>
          <w:p>
            <w:pPr>
              <w:rPr>
                <w:rFonts w:cs="Calibri"/>
                <w:sz w:val="22"/>
              </w:rPr>
            </w:pPr>
            <w:r>
              <w:rPr>
                <w:rFonts w:cs="Calibri"/>
                <w:sz w:val="22"/>
              </w:rPr>
              <w:t>通信电</w:t>
            </w:r>
            <w:r>
              <w:rPr>
                <w:rFonts w:hint="eastAsia" w:ascii="宋体" w:hAnsi="宋体" w:cs="宋体"/>
                <w:kern w:val="0"/>
                <w:sz w:val="22"/>
              </w:rPr>
              <w:t xml:space="preserve">缆HYA 100×2×0.7  </w:t>
            </w:r>
            <w:r>
              <w:rPr>
                <w:rFonts w:hint="eastAsia" w:asciiTheme="majorEastAsia" w:hAnsiTheme="majorEastAsia" w:eastAsiaTheme="majorEastAsia"/>
                <w:sz w:val="22"/>
              </w:rPr>
              <w:t>700米</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FF0000"/>
                <w:kern w:val="0"/>
                <w:sz w:val="22"/>
              </w:rPr>
            </w:pPr>
            <w:r>
              <w:rPr>
                <w:rFonts w:ascii="宋体" w:hAnsi="宋体" w:cs="宋体"/>
                <w:kern w:val="0"/>
                <w:sz w:val="22"/>
              </w:rPr>
              <w:t>合同</w:t>
            </w:r>
            <w:r>
              <w:rPr>
                <w:rFonts w:hint="eastAsia" w:ascii="宋体" w:hAnsi="宋体" w:cs="宋体"/>
                <w:kern w:val="0"/>
                <w:sz w:val="22"/>
              </w:rPr>
              <w:t>签订后</w:t>
            </w:r>
            <w:r>
              <w:rPr>
                <w:rFonts w:hint="eastAsia" w:ascii="宋体" w:hAnsi="宋体" w:cs="宋体"/>
                <w:color w:val="000000" w:themeColor="text1"/>
                <w:kern w:val="0"/>
                <w:sz w:val="22"/>
              </w:rPr>
              <w:t>10天内完成</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p>
          <w:p>
            <w:pPr>
              <w:widowControl/>
              <w:jc w:val="left"/>
              <w:rPr>
                <w:rFonts w:ascii="宋体" w:hAnsi="宋体" w:cs="宋体"/>
                <w:kern w:val="0"/>
                <w:sz w:val="22"/>
              </w:rPr>
            </w:pPr>
            <w:r>
              <w:rPr>
                <w:rFonts w:hint="eastAsia" w:ascii="宋体" w:hAnsi="宋体" w:cs="宋体"/>
                <w:kern w:val="0"/>
                <w:sz w:val="22"/>
              </w:rPr>
              <w:t>(2) 采购方发起电商平台公开询价；</w:t>
            </w:r>
          </w:p>
          <w:p>
            <w:pPr>
              <w:widowControl/>
              <w:jc w:val="left"/>
              <w:rPr>
                <w:rFonts w:ascii="宋体" w:hAnsi="宋体" w:cs="宋体"/>
                <w:kern w:val="0"/>
                <w:sz w:val="22"/>
                <w:highlight w:val="red"/>
              </w:rPr>
            </w:pPr>
            <w:r>
              <w:rPr>
                <w:rFonts w:hint="eastAsia" w:ascii="宋体" w:hAnsi="宋体" w:cs="宋体"/>
                <w:kern w:val="0"/>
                <w:sz w:val="22"/>
                <w:highlight w:val="red"/>
              </w:rPr>
              <w:t>(3) 供应商严格按照询价文件要求编制并按时在线递交华能集团电缆《资格预审合格通知书》；</w:t>
            </w:r>
          </w:p>
          <w:p>
            <w:pPr>
              <w:widowControl/>
              <w:jc w:val="left"/>
              <w:rPr>
                <w:rFonts w:ascii="宋体" w:hAnsi="宋体" w:cs="宋体"/>
                <w:kern w:val="0"/>
                <w:sz w:val="22"/>
              </w:rPr>
            </w:pPr>
            <w:r>
              <w:rPr>
                <w:rFonts w:hint="eastAsia" w:ascii="宋体" w:hAnsi="宋体" w:cs="宋体"/>
                <w:kern w:val="0"/>
                <w:sz w:val="22"/>
              </w:rPr>
              <w:t>(4) 采购方组织评审；</w:t>
            </w:r>
          </w:p>
          <w:p>
            <w:pPr>
              <w:widowControl/>
              <w:jc w:val="left"/>
              <w:rPr>
                <w:rFonts w:ascii="宋体" w:hAnsi="宋体" w:cs="宋体"/>
                <w:color w:val="7030A0"/>
                <w:kern w:val="0"/>
                <w:sz w:val="22"/>
              </w:rPr>
            </w:pPr>
            <w:r>
              <w:rPr>
                <w:rFonts w:hint="eastAsia" w:ascii="宋体" w:hAnsi="宋体" w:cs="宋体"/>
                <w:kern w:val="0"/>
                <w:sz w:val="22"/>
              </w:rPr>
              <w:t>(5) 采购方确定成交候选人及成交人。</w:t>
            </w:r>
          </w:p>
        </w:tc>
      </w:tr>
      <w:tr>
        <w:tblPrEx>
          <w:tblLayout w:type="fixed"/>
          <w:tblCellMar>
            <w:top w:w="0" w:type="dxa"/>
            <w:left w:w="108" w:type="dxa"/>
            <w:bottom w:w="0" w:type="dxa"/>
            <w:right w:w="108" w:type="dxa"/>
          </w:tblCellMar>
        </w:tblPrEx>
        <w:trPr>
          <w:trHeight w:val="1379"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报价方必须按照清单分项报价；</w:t>
            </w:r>
          </w:p>
          <w:p>
            <w:pPr>
              <w:widowControl/>
              <w:jc w:val="left"/>
              <w:rPr>
                <w:rFonts w:ascii="宋体" w:hAnsi="宋体" w:cs="宋体"/>
                <w:kern w:val="0"/>
                <w:sz w:val="22"/>
              </w:rPr>
            </w:pPr>
            <w:r>
              <w:rPr>
                <w:rFonts w:hint="eastAsia" w:ascii="宋体" w:hAnsi="宋体" w:cs="宋体"/>
                <w:kern w:val="0"/>
                <w:sz w:val="22"/>
              </w:rPr>
              <w:t>(2) 报价必须含运杂费，并注明有效期；</w:t>
            </w:r>
          </w:p>
          <w:p>
            <w:pPr>
              <w:widowControl/>
              <w:jc w:val="left"/>
              <w:rPr>
                <w:rFonts w:ascii="宋体" w:hAnsi="宋体" w:cs="宋体"/>
                <w:kern w:val="0"/>
                <w:sz w:val="22"/>
              </w:rPr>
            </w:pPr>
            <w:r>
              <w:rPr>
                <w:rFonts w:hint="eastAsia" w:ascii="宋体" w:hAnsi="宋体" w:cs="宋体"/>
                <w:kern w:val="0"/>
                <w:sz w:val="22"/>
              </w:rPr>
              <w:t>(3) 缺项、漏项报价视同报价无效；</w:t>
            </w:r>
          </w:p>
          <w:p>
            <w:pPr>
              <w:widowControl/>
              <w:jc w:val="left"/>
              <w:rPr>
                <w:rFonts w:ascii="宋体" w:hAnsi="宋体" w:cs="宋体"/>
                <w:kern w:val="0"/>
                <w:sz w:val="22"/>
              </w:rPr>
            </w:pPr>
            <w:r>
              <w:rPr>
                <w:rFonts w:hint="eastAsia" w:ascii="宋体" w:hAnsi="宋体" w:cs="宋体"/>
                <w:kern w:val="0"/>
                <w:sz w:val="22"/>
              </w:rPr>
              <w:t>(4) 分项报价与总价不一致视为报价无效；</w:t>
            </w:r>
          </w:p>
          <w:p>
            <w:pPr>
              <w:widowControl/>
              <w:jc w:val="left"/>
              <w:rPr>
                <w:rFonts w:ascii="宋体" w:hAnsi="宋体" w:cs="宋体"/>
                <w:kern w:val="0"/>
                <w:sz w:val="22"/>
              </w:rPr>
            </w:pPr>
            <w:r>
              <w:rPr>
                <w:rFonts w:hint="eastAsia" w:ascii="宋体" w:hAnsi="宋体" w:cs="宋体"/>
                <w:kern w:val="0"/>
                <w:sz w:val="22"/>
              </w:rPr>
              <w:t>(5)</w:t>
            </w:r>
            <w:r>
              <w:rPr>
                <w:rFonts w:hint="eastAsia" w:ascii="宋体" w:hAnsi="宋体" w:cs="宋体"/>
                <w:kern w:val="0"/>
                <w:sz w:val="22"/>
                <w:highlight w:val="red"/>
              </w:rPr>
              <w:t xml:space="preserve"> </w:t>
            </w:r>
            <w:r>
              <w:rPr>
                <w:rFonts w:hint="eastAsia" w:ascii="宋体" w:hAnsi="宋体" w:cs="宋体"/>
                <w:kern w:val="0"/>
                <w:szCs w:val="21"/>
                <w:highlight w:val="red"/>
              </w:rPr>
              <w:t>未上传</w:t>
            </w:r>
            <w:r>
              <w:rPr>
                <w:rFonts w:hint="eastAsia" w:ascii="宋体" w:hAnsi="宋体" w:cs="宋体"/>
                <w:kern w:val="0"/>
                <w:sz w:val="22"/>
                <w:highlight w:val="red"/>
              </w:rPr>
              <w:t>《资格预审合格通知书》</w:t>
            </w:r>
            <w:r>
              <w:rPr>
                <w:rFonts w:hint="eastAsia" w:ascii="宋体" w:hAnsi="宋体" w:cs="宋体"/>
                <w:kern w:val="0"/>
                <w:szCs w:val="21"/>
                <w:highlight w:val="red"/>
              </w:rPr>
              <w:t>的视为报价无效。</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Cs w:val="21"/>
              </w:rPr>
              <w:t>中国华能集团公司电子商务平台规定日期内</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报价人通过中国华能集团公司电子商务平台在规定日期内进行报价并上传要求的附件。</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付款</w:t>
            </w:r>
            <w:r>
              <w:rPr>
                <w:rFonts w:ascii="宋体" w:hAnsi="宋体" w:cs="宋体"/>
                <w:kern w:val="0"/>
                <w:sz w:val="22"/>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Theme="minorEastAsia" w:hAnsiTheme="minorEastAsia"/>
                <w:color w:val="000000" w:themeColor="text1"/>
                <w:sz w:val="24"/>
              </w:rPr>
              <w:t>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color w:val="FF0000"/>
                <w:kern w:val="0"/>
                <w:szCs w:val="21"/>
              </w:rPr>
            </w:pPr>
            <w:r>
              <w:rPr>
                <w:rFonts w:hint="eastAsia" w:ascii="宋体" w:hAnsi="宋体" w:cs="宋体"/>
                <w:color w:val="FF0000"/>
                <w:kern w:val="0"/>
                <w:szCs w:val="21"/>
              </w:rPr>
              <w:t>交货期限</w:t>
            </w:r>
          </w:p>
          <w:p>
            <w:pPr>
              <w:widowControl/>
              <w:jc w:val="left"/>
              <w:rPr>
                <w:rFonts w:ascii="宋体" w:hAnsi="宋体" w:cs="宋体"/>
                <w:color w:val="000000" w:themeColor="text1"/>
                <w:kern w:val="0"/>
                <w:sz w:val="22"/>
              </w:rPr>
            </w:pP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2"/>
              </w:rPr>
            </w:pPr>
            <w:r>
              <w:rPr>
                <w:rFonts w:hint="eastAsia" w:ascii="宋体" w:hAnsi="宋体" w:cs="宋体"/>
                <w:kern w:val="0"/>
                <w:sz w:val="22"/>
              </w:rPr>
              <w:t>要求报价</w:t>
            </w:r>
            <w:r>
              <w:rPr>
                <w:rFonts w:ascii="宋体" w:hAnsi="宋体" w:cs="宋体"/>
                <w:kern w:val="0"/>
                <w:sz w:val="22"/>
              </w:rPr>
              <w:t>方必须满足合同</w:t>
            </w:r>
            <w:r>
              <w:rPr>
                <w:rFonts w:hint="eastAsia" w:ascii="宋体" w:hAnsi="宋体" w:cs="宋体"/>
                <w:kern w:val="0"/>
                <w:sz w:val="22"/>
              </w:rPr>
              <w:t>签订</w:t>
            </w:r>
            <w:r>
              <w:rPr>
                <w:rFonts w:ascii="宋体" w:hAnsi="宋体" w:cs="宋体"/>
                <w:kern w:val="0"/>
                <w:sz w:val="22"/>
              </w:rPr>
              <w:t>后</w:t>
            </w:r>
            <w:r>
              <w:rPr>
                <w:rFonts w:hint="eastAsia" w:ascii="宋体" w:hAnsi="宋体" w:cs="宋体"/>
                <w:color w:val="000000" w:themeColor="text1"/>
                <w:kern w:val="0"/>
                <w:sz w:val="22"/>
              </w:rPr>
              <w:t>10天内完成，</w:t>
            </w:r>
            <w:r>
              <w:rPr>
                <w:rFonts w:ascii="宋体" w:hAnsi="宋体" w:cs="宋体"/>
                <w:color w:val="000000" w:themeColor="text1"/>
                <w:kern w:val="0"/>
                <w:sz w:val="22"/>
              </w:rPr>
              <w:t>如不能满足严禁</w:t>
            </w:r>
            <w:r>
              <w:rPr>
                <w:rFonts w:hint="eastAsia" w:ascii="宋体" w:hAnsi="宋体" w:cs="宋体"/>
                <w:color w:val="000000" w:themeColor="text1"/>
                <w:kern w:val="0"/>
                <w:sz w:val="22"/>
              </w:rPr>
              <w:t>参与</w:t>
            </w:r>
            <w:r>
              <w:rPr>
                <w:rFonts w:ascii="宋体" w:hAnsi="宋体" w:cs="宋体"/>
                <w:color w:val="000000" w:themeColor="text1"/>
                <w:kern w:val="0"/>
                <w:sz w:val="22"/>
              </w:rPr>
              <w:t>报价，否则</w:t>
            </w:r>
            <w:r>
              <w:rPr>
                <w:rFonts w:hint="eastAsia" w:ascii="宋体" w:hAnsi="宋体" w:cs="宋体"/>
                <w:color w:val="000000" w:themeColor="text1"/>
                <w:kern w:val="0"/>
                <w:sz w:val="22"/>
              </w:rPr>
              <w:t>终止</w:t>
            </w:r>
            <w:r>
              <w:rPr>
                <w:rFonts w:ascii="宋体" w:hAnsi="宋体" w:cs="宋体"/>
                <w:color w:val="000000" w:themeColor="text1"/>
                <w:kern w:val="0"/>
                <w:sz w:val="22"/>
              </w:rPr>
              <w:t>合同并</w:t>
            </w:r>
            <w:r>
              <w:rPr>
                <w:rFonts w:hint="eastAsia" w:ascii="宋体" w:hAnsi="宋体" w:cs="宋体"/>
                <w:color w:val="000000" w:themeColor="text1"/>
                <w:kern w:val="0"/>
                <w:sz w:val="22"/>
              </w:rPr>
              <w:t>纳入</w:t>
            </w:r>
            <w:r>
              <w:rPr>
                <w:rFonts w:ascii="宋体" w:hAnsi="宋体" w:cs="宋体"/>
                <w:color w:val="000000" w:themeColor="text1"/>
                <w:kern w:val="0"/>
                <w:sz w:val="22"/>
              </w:rPr>
              <w:t>供应商考评</w:t>
            </w:r>
            <w:r>
              <w:rPr>
                <w:rFonts w:hint="eastAsia" w:ascii="宋体" w:hAnsi="宋体" w:cs="宋体"/>
                <w:color w:val="0070C0"/>
                <w:kern w:val="0"/>
                <w:sz w:val="22"/>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kern w:val="0"/>
                <w:sz w:val="22"/>
              </w:rPr>
              <w:t>经评审的最低价法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hint="eastAsia" w:ascii="宋体" w:hAnsi="宋体" w:cs="宋体"/>
                <w:kern w:val="0"/>
                <w:sz w:val="22"/>
                <w:lang w:val="en-US" w:eastAsia="zh-CN"/>
              </w:rPr>
              <w:t xml:space="preserve"> </w:t>
            </w:r>
            <w:r>
              <w:rPr>
                <w:rFonts w:hint="eastAsia" w:ascii="宋体" w:hAnsi="宋体" w:cs="宋体"/>
                <w:color w:val="FF0000"/>
                <w:kern w:val="0"/>
                <w:sz w:val="22"/>
              </w:rPr>
              <w:t>合同后</w:t>
            </w:r>
            <w:r>
              <w:rPr>
                <w:rFonts w:ascii="宋体" w:hAnsi="宋体" w:cs="宋体"/>
                <w:color w:val="FF0000"/>
                <w:kern w:val="0"/>
                <w:sz w:val="22"/>
              </w:rPr>
              <w:t>付款；</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Style w:val="12"/>
        <w:spacing w:before="0" w:after="0" w:line="360" w:lineRule="auto"/>
        <w:jc w:val="left"/>
        <w:rPr>
          <w:shd w:val="clear" w:color="auto" w:fill="FFFFFF"/>
        </w:rPr>
      </w:pPr>
    </w:p>
    <w:p>
      <w:pPr>
        <w:spacing w:line="360" w:lineRule="auto"/>
        <w:ind w:firstLine="2000" w:firstLineChars="500"/>
        <w:rPr>
          <w:rFonts w:ascii="黑体" w:hAnsi="黑体" w:eastAsia="黑体"/>
          <w:sz w:val="40"/>
          <w:szCs w:val="32"/>
        </w:rPr>
      </w:pPr>
      <w:r>
        <w:rPr>
          <w:rFonts w:hint="eastAsia" w:ascii="黑体" w:hAnsi="黑体" w:eastAsia="黑体"/>
          <w:sz w:val="40"/>
          <w:szCs w:val="32"/>
        </w:rPr>
        <w:t>第二章  采购项目概况</w:t>
      </w:r>
    </w:p>
    <w:p>
      <w:pPr>
        <w:spacing w:line="360" w:lineRule="auto"/>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一、项目概况：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包头第二热电厂通讯新老机房互通电缆是连接我厂两台交换机（</w:t>
      </w:r>
      <w:r>
        <w:rPr>
          <w:rFonts w:asciiTheme="minorEastAsia" w:hAnsiTheme="minorEastAsia" w:eastAsiaTheme="minorEastAsia"/>
          <w:sz w:val="24"/>
          <w:szCs w:val="24"/>
        </w:rPr>
        <w:t>20</w:t>
      </w:r>
      <w:r>
        <w:rPr>
          <w:rFonts w:hint="eastAsia" w:asciiTheme="minorEastAsia" w:hAnsiTheme="minorEastAsia" w:eastAsiaTheme="minorEastAsia"/>
          <w:sz w:val="24"/>
          <w:szCs w:val="24"/>
        </w:rPr>
        <w:t>0MW机组和</w:t>
      </w:r>
      <w:r>
        <w:rPr>
          <w:rFonts w:asciiTheme="minorEastAsia" w:hAnsiTheme="minorEastAsia" w:eastAsiaTheme="minorEastAsia"/>
          <w:sz w:val="24"/>
          <w:szCs w:val="24"/>
        </w:rPr>
        <w:t>30</w:t>
      </w:r>
      <w:r>
        <w:rPr>
          <w:rFonts w:hint="eastAsia" w:asciiTheme="minorEastAsia" w:hAnsiTheme="minorEastAsia" w:eastAsiaTheme="minorEastAsia"/>
          <w:sz w:val="24"/>
          <w:szCs w:val="24"/>
        </w:rPr>
        <w:t>0MW机组）用户，互联互通的关键命脉。现有的</w:t>
      </w:r>
      <w:r>
        <w:rPr>
          <w:rFonts w:asciiTheme="minorEastAsia" w:hAnsiTheme="minorEastAsia" w:eastAsiaTheme="minorEastAsia"/>
          <w:sz w:val="24"/>
          <w:szCs w:val="24"/>
        </w:rPr>
        <w:t>200</w:t>
      </w:r>
      <w:r>
        <w:rPr>
          <w:rFonts w:hint="eastAsia" w:asciiTheme="minorEastAsia" w:hAnsiTheme="minorEastAsia" w:eastAsiaTheme="minorEastAsia"/>
          <w:sz w:val="24"/>
          <w:szCs w:val="24"/>
        </w:rPr>
        <w:t>对电缆已经使用二十多年，电缆老化绝缘降低，造成部分芯线不能使用。加上用户数的不断增加，电缆备用率不足</w:t>
      </w:r>
      <w:r>
        <w:rPr>
          <w:rFonts w:asciiTheme="minorEastAsia" w:hAnsiTheme="minorEastAsia" w:eastAsiaTheme="minorEastAsia"/>
          <w:sz w:val="24"/>
          <w:szCs w:val="24"/>
        </w:rPr>
        <w:t>5%</w:t>
      </w:r>
      <w:r>
        <w:rPr>
          <w:rFonts w:hint="eastAsia" w:asciiTheme="minorEastAsia" w:hAnsiTheme="minorEastAsia" w:eastAsiaTheme="minorEastAsia"/>
          <w:sz w:val="24"/>
          <w:szCs w:val="24"/>
        </w:rPr>
        <w:t>，现在已经满足不了当前的使用状况。为此，新增加</w:t>
      </w:r>
      <w:r>
        <w:rPr>
          <w:rFonts w:asciiTheme="minorEastAsia" w:hAnsiTheme="minorEastAsia" w:eastAsiaTheme="minorEastAsia"/>
          <w:sz w:val="24"/>
          <w:szCs w:val="24"/>
        </w:rPr>
        <w:t>100</w:t>
      </w:r>
      <w:r>
        <w:rPr>
          <w:rFonts w:hint="eastAsia" w:asciiTheme="minorEastAsia" w:hAnsiTheme="minorEastAsia" w:eastAsiaTheme="minorEastAsia"/>
          <w:sz w:val="24"/>
          <w:szCs w:val="24"/>
        </w:rPr>
        <w:t>对互通电缆，以解决问题确保通信畅通。</w:t>
      </w:r>
    </w:p>
    <w:p>
      <w:pPr>
        <w:spacing w:line="360" w:lineRule="auto"/>
        <w:rPr>
          <w:rFonts w:ascii="宋体" w:hAnsi="宋体" w:cs="宋体"/>
          <w:b/>
          <w:bCs/>
          <w:sz w:val="28"/>
          <w:szCs w:val="28"/>
        </w:rPr>
      </w:pPr>
      <w:r>
        <w:rPr>
          <w:rFonts w:hint="eastAsia" w:ascii="宋体" w:hAnsi="宋体" w:cs="宋体"/>
          <w:b/>
          <w:bCs/>
          <w:sz w:val="28"/>
          <w:szCs w:val="28"/>
        </w:rPr>
        <w:t>采购范围：</w:t>
      </w:r>
    </w:p>
    <w:p>
      <w:pPr>
        <w:rPr>
          <w:rFonts w:cs="Calibri" w:asciiTheme="minorEastAsia" w:hAnsiTheme="minorEastAsia" w:eastAsiaTheme="minorEastAsia"/>
          <w:kern w:val="0"/>
          <w:sz w:val="24"/>
          <w:szCs w:val="24"/>
        </w:rPr>
      </w:pPr>
      <w:r>
        <w:rPr>
          <w:rFonts w:hint="eastAsia" w:asciiTheme="minorEastAsia" w:hAnsiTheme="minorEastAsia" w:eastAsiaTheme="minorEastAsia"/>
          <w:b/>
          <w:sz w:val="24"/>
          <w:szCs w:val="24"/>
        </w:rPr>
        <w:t>1、</w:t>
      </w:r>
      <w:r>
        <w:rPr>
          <w:rFonts w:cs="Calibri" w:asciiTheme="minorEastAsia" w:hAnsiTheme="minorEastAsia" w:eastAsiaTheme="minorEastAsia"/>
          <w:kern w:val="0"/>
          <w:sz w:val="24"/>
          <w:szCs w:val="24"/>
        </w:rPr>
        <w:t>通信电缆HYA 100×2×0.7</w:t>
      </w:r>
      <w:r>
        <w:rPr>
          <w:rFonts w:hint="eastAsia" w:cs="Calibri" w:asciiTheme="minorEastAsia" w:hAnsiTheme="minorEastAsia" w:eastAsiaTheme="minorEastAsia"/>
          <w:kern w:val="0"/>
          <w:sz w:val="24"/>
          <w:szCs w:val="24"/>
        </w:rPr>
        <w:t xml:space="preserve">   700米</w:t>
      </w:r>
    </w:p>
    <w:p>
      <w:pPr>
        <w:rPr>
          <w:rFonts w:cs="Calibri"/>
          <w:kern w:val="0"/>
          <w:sz w:val="22"/>
        </w:rPr>
      </w:pPr>
    </w:p>
    <w:p>
      <w:pPr>
        <w:pStyle w:val="22"/>
        <w:spacing w:line="360" w:lineRule="auto"/>
        <w:rPr>
          <w:rFonts w:ascii="宋体" w:hAnsi="宋体"/>
          <w:sz w:val="28"/>
          <w:szCs w:val="28"/>
        </w:rPr>
      </w:pPr>
      <w:r>
        <w:rPr>
          <w:rFonts w:hint="eastAsia" w:ascii="宋体" w:hAnsi="宋体" w:cs="宋体"/>
          <w:b/>
          <w:bCs/>
          <w:sz w:val="28"/>
          <w:szCs w:val="28"/>
        </w:rPr>
        <w:t>二、交货期：</w:t>
      </w:r>
    </w:p>
    <w:p>
      <w:pPr>
        <w:wordWrap w:val="0"/>
        <w:spacing w:line="360" w:lineRule="auto"/>
        <w:rPr>
          <w:rFonts w:ascii="宋体" w:hAnsi="宋体" w:cs="Times New Roman"/>
          <w:sz w:val="24"/>
          <w:szCs w:val="24"/>
        </w:rPr>
      </w:pPr>
      <w:r>
        <w:rPr>
          <w:rFonts w:ascii="宋体" w:hAnsi="宋体" w:cs="Times New Roman"/>
          <w:sz w:val="24"/>
          <w:szCs w:val="24"/>
        </w:rPr>
        <w:t>合同</w:t>
      </w:r>
      <w:r>
        <w:rPr>
          <w:rFonts w:hint="eastAsia" w:ascii="宋体" w:hAnsi="宋体" w:cs="Times New Roman"/>
          <w:sz w:val="24"/>
          <w:szCs w:val="24"/>
        </w:rPr>
        <w:t>签订</w:t>
      </w:r>
      <w:r>
        <w:rPr>
          <w:rFonts w:ascii="宋体" w:hAnsi="宋体" w:cs="Times New Roman"/>
          <w:sz w:val="24"/>
          <w:szCs w:val="24"/>
        </w:rPr>
        <w:t>后</w:t>
      </w:r>
      <w:r>
        <w:rPr>
          <w:rFonts w:hint="eastAsia" w:ascii="宋体" w:hAnsi="宋体" w:cs="Times New Roman"/>
          <w:sz w:val="24"/>
          <w:szCs w:val="24"/>
        </w:rPr>
        <w:t>10天内完成</w:t>
      </w:r>
    </w:p>
    <w:p>
      <w:pPr>
        <w:wordWrap w:val="0"/>
        <w:spacing w:line="360" w:lineRule="auto"/>
        <w:rPr>
          <w:rFonts w:ascii="宋体" w:hAnsi="宋体" w:cs="宋体"/>
          <w:b/>
          <w:bCs/>
          <w:sz w:val="28"/>
          <w:szCs w:val="28"/>
        </w:rPr>
      </w:pPr>
      <w:r>
        <w:rPr>
          <w:rFonts w:hint="eastAsia" w:ascii="宋体" w:hAnsi="宋体" w:cs="宋体"/>
          <w:b/>
          <w:bCs/>
          <w:sz w:val="28"/>
          <w:szCs w:val="28"/>
        </w:rPr>
        <w:t>三、交货地点：</w:t>
      </w:r>
    </w:p>
    <w:p>
      <w:pPr>
        <w:wordWrap w:val="0"/>
        <w:spacing w:line="360" w:lineRule="auto"/>
        <w:rPr>
          <w:rFonts w:ascii="宋体" w:hAnsi="宋体" w:cs="宋体"/>
          <w:sz w:val="24"/>
          <w:szCs w:val="24"/>
        </w:rPr>
      </w:pPr>
      <w:r>
        <w:rPr>
          <w:rFonts w:hint="eastAsia" w:ascii="宋体" w:hAnsi="宋体" w:cs="宋体"/>
          <w:sz w:val="24"/>
          <w:szCs w:val="24"/>
        </w:rPr>
        <w:t>包头第二热电厂物资部</w:t>
      </w:r>
    </w:p>
    <w:p>
      <w:pPr>
        <w:pStyle w:val="17"/>
        <w:spacing w:line="360" w:lineRule="auto"/>
        <w:ind w:firstLine="560" w:firstLineChars="200"/>
        <w:rPr>
          <w:rFonts w:asciiTheme="minorEastAsia" w:hAnsiTheme="minorEastAsia"/>
          <w:sz w:val="28"/>
          <w:szCs w:val="28"/>
        </w:rPr>
      </w:pPr>
    </w:p>
    <w:p>
      <w:pPr>
        <w:pStyle w:val="17"/>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7"/>
        <w:spacing w:line="360" w:lineRule="auto"/>
        <w:rPr>
          <w:rFonts w:ascii="黑体" w:hAnsi="黑体" w:eastAsia="黑体"/>
          <w:sz w:val="24"/>
        </w:rPr>
      </w:pPr>
    </w:p>
    <w:p>
      <w:pPr>
        <w:pStyle w:val="17"/>
        <w:spacing w:line="360" w:lineRule="auto"/>
        <w:rPr>
          <w:rFonts w:ascii="黑体" w:hAnsi="黑体" w:eastAsia="黑体"/>
          <w:b/>
          <w:sz w:val="24"/>
        </w:rPr>
      </w:pPr>
      <w:r>
        <w:rPr>
          <w:rFonts w:hint="eastAsia" w:ascii="黑体" w:hAnsi="黑体" w:eastAsia="黑体"/>
          <w:b/>
          <w:sz w:val="24"/>
        </w:rPr>
        <w:t>一、通用条款</w:t>
      </w:r>
    </w:p>
    <w:p>
      <w:pPr>
        <w:pStyle w:val="17"/>
        <w:spacing w:line="360" w:lineRule="auto"/>
        <w:rPr>
          <w:rFonts w:asciiTheme="minorEastAsia" w:hAnsiTheme="minorEastAsia"/>
          <w:sz w:val="24"/>
        </w:rPr>
      </w:pPr>
      <w:bookmarkStart w:id="6" w:name="_GoBack"/>
      <w:bookmarkEnd w:id="6"/>
      <w:r>
        <w:rPr>
          <w:rFonts w:hint="eastAsia" w:asciiTheme="minorEastAsia" w:hAnsiTheme="minorEastAsia"/>
          <w:sz w:val="24"/>
        </w:rPr>
        <w:t>1.报价人必须具有中华人民共和国独立企业法人资格；</w:t>
      </w:r>
    </w:p>
    <w:p>
      <w:pPr>
        <w:pStyle w:val="17"/>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7"/>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7"/>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17"/>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17"/>
        <w:spacing w:line="360" w:lineRule="auto"/>
        <w:rPr>
          <w:rFonts w:ascii="黑体" w:hAnsi="黑体" w:eastAsia="黑体"/>
          <w:b/>
          <w:sz w:val="24"/>
        </w:rPr>
      </w:pPr>
      <w:r>
        <w:rPr>
          <w:rFonts w:hint="eastAsia" w:ascii="黑体" w:hAnsi="黑体" w:eastAsia="黑体"/>
          <w:b/>
          <w:sz w:val="24"/>
        </w:rPr>
        <w:t>二、专用条款</w:t>
      </w:r>
    </w:p>
    <w:p>
      <w:pPr>
        <w:pStyle w:val="17"/>
        <w:spacing w:line="360" w:lineRule="auto"/>
        <w:rPr>
          <w:rFonts w:asciiTheme="minorEastAsia" w:hAnsiTheme="minorEastAsia"/>
          <w:sz w:val="24"/>
        </w:rPr>
      </w:pPr>
      <w:r>
        <w:rPr>
          <w:rFonts w:hint="eastAsia" w:asciiTheme="minorEastAsia" w:hAnsiTheme="minorEastAsia"/>
          <w:sz w:val="24"/>
        </w:rPr>
        <w:t>1、仅限通过华能集团2019-2021年度资格预审的供应商参与报价，并上传</w:t>
      </w:r>
      <w:r>
        <w:rPr>
          <w:rFonts w:hint="eastAsia" w:asciiTheme="minorEastAsia" w:hAnsiTheme="minorEastAsia"/>
          <w:b/>
          <w:sz w:val="24"/>
        </w:rPr>
        <w:t>华能集团《资格预审合格通知书》，</w:t>
      </w:r>
      <w:r>
        <w:rPr>
          <w:rFonts w:hint="eastAsia" w:asciiTheme="minorEastAsia" w:hAnsiTheme="minorEastAsia"/>
          <w:sz w:val="24"/>
        </w:rPr>
        <w:t>无资格随意报价将纳入考核。</w:t>
      </w:r>
    </w:p>
    <w:p>
      <w:pPr>
        <w:pStyle w:val="17"/>
        <w:spacing w:line="360" w:lineRule="auto"/>
        <w:rPr>
          <w:rFonts w:asciiTheme="minorEastAsia" w:hAnsiTheme="minorEastAsia"/>
          <w:sz w:val="24"/>
        </w:rPr>
      </w:pPr>
    </w:p>
    <w:p>
      <w:pPr>
        <w:pStyle w:val="17"/>
        <w:spacing w:line="360" w:lineRule="auto"/>
        <w:jc w:val="center"/>
        <w:rPr>
          <w:rFonts w:ascii="黑体" w:hAnsi="黑体" w:eastAsia="黑体"/>
          <w:sz w:val="40"/>
          <w:szCs w:val="32"/>
        </w:rPr>
      </w:pPr>
    </w:p>
    <w:p>
      <w:pPr>
        <w:pStyle w:val="17"/>
        <w:spacing w:line="360" w:lineRule="auto"/>
        <w:jc w:val="center"/>
        <w:rPr>
          <w:rFonts w:ascii="黑体" w:hAnsi="黑体" w:eastAsia="黑体"/>
          <w:sz w:val="40"/>
          <w:szCs w:val="32"/>
        </w:rPr>
      </w:pPr>
    </w:p>
    <w:p>
      <w:pPr>
        <w:pStyle w:val="17"/>
        <w:spacing w:line="360" w:lineRule="auto"/>
        <w:rPr>
          <w:rFonts w:ascii="黑体" w:hAnsi="黑体" w:eastAsia="黑体"/>
          <w:sz w:val="40"/>
          <w:szCs w:val="32"/>
        </w:rPr>
        <w:sectPr>
          <w:footerReference r:id="rId3" w:type="default"/>
          <w:pgSz w:w="11906" w:h="16838"/>
          <w:pgMar w:top="1440" w:right="1800" w:bottom="1440" w:left="1800" w:header="851" w:footer="992" w:gutter="0"/>
          <w:cols w:space="720" w:num="1"/>
          <w:docGrid w:type="lines" w:linePitch="312" w:charSpace="0"/>
        </w:sectPr>
      </w:pPr>
    </w:p>
    <w:p>
      <w:pPr>
        <w:pStyle w:val="17"/>
        <w:spacing w:line="360" w:lineRule="auto"/>
        <w:jc w:val="center"/>
        <w:rPr>
          <w:rFonts w:ascii="黑体" w:hAnsi="黑体" w:eastAsia="黑体"/>
          <w:sz w:val="40"/>
          <w:szCs w:val="32"/>
        </w:rPr>
      </w:pPr>
      <w:r>
        <w:rPr>
          <w:rFonts w:hint="eastAsia" w:ascii="黑体" w:hAnsi="黑体" w:eastAsia="黑体"/>
          <w:sz w:val="40"/>
          <w:szCs w:val="32"/>
        </w:rPr>
        <w:t>第四章 技术规范要求</w:t>
      </w:r>
    </w:p>
    <w:p>
      <w:pPr>
        <w:pStyle w:val="17"/>
        <w:spacing w:line="360" w:lineRule="auto"/>
        <w:ind w:firstLine="480" w:firstLineChars="200"/>
        <w:rPr>
          <w:rFonts w:asciiTheme="minorEastAsia" w:hAnsiTheme="minorEastAsia"/>
          <w:sz w:val="24"/>
        </w:rPr>
      </w:pPr>
      <w:r>
        <w:rPr>
          <w:rFonts w:hint="eastAsia" w:asciiTheme="minorEastAsia" w:hAnsiTheme="minorEastAsia"/>
          <w:sz w:val="24"/>
        </w:rPr>
        <w:t>（一）、需求清单一览表                                                                                     单位：元</w:t>
      </w:r>
    </w:p>
    <w:tbl>
      <w:tblPr>
        <w:tblStyle w:val="16"/>
        <w:tblpPr w:leftFromText="180" w:rightFromText="180" w:vertAnchor="text" w:horzAnchor="margin" w:tblpY="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17"/>
        <w:gridCol w:w="2268"/>
        <w:gridCol w:w="2127"/>
        <w:gridCol w:w="850"/>
        <w:gridCol w:w="851"/>
        <w:gridCol w:w="992"/>
        <w:gridCol w:w="992"/>
        <w:gridCol w:w="1843"/>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92" w:type="dxa"/>
            <w:vMerge w:val="restart"/>
            <w:vAlign w:val="center"/>
          </w:tcPr>
          <w:p>
            <w:pPr>
              <w:pStyle w:val="17"/>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序号</w:t>
            </w:r>
          </w:p>
        </w:tc>
        <w:tc>
          <w:tcPr>
            <w:tcW w:w="1417" w:type="dxa"/>
            <w:vMerge w:val="restart"/>
            <w:vAlign w:val="center"/>
          </w:tcPr>
          <w:p>
            <w:pPr>
              <w:pStyle w:val="17"/>
              <w:spacing w:line="360" w:lineRule="auto"/>
              <w:jc w:val="center"/>
              <w:rPr>
                <w:rFonts w:ascii="宋体" w:hAnsi="宋体" w:eastAsiaTheme="minorEastAsia" w:cstheme="minorBidi"/>
                <w:sz w:val="24"/>
              </w:rPr>
            </w:pPr>
            <w:r>
              <w:rPr>
                <w:rFonts w:hint="eastAsia" w:ascii="宋体" w:hAnsi="宋体" w:eastAsiaTheme="minorEastAsia" w:cstheme="minorBidi"/>
                <w:sz w:val="24"/>
              </w:rPr>
              <w:t>物料编码</w:t>
            </w:r>
          </w:p>
        </w:tc>
        <w:tc>
          <w:tcPr>
            <w:tcW w:w="2268" w:type="dxa"/>
            <w:vMerge w:val="restart"/>
            <w:vAlign w:val="center"/>
          </w:tcPr>
          <w:p>
            <w:pPr>
              <w:pStyle w:val="17"/>
              <w:spacing w:line="360" w:lineRule="auto"/>
              <w:jc w:val="center"/>
              <w:rPr>
                <w:rFonts w:ascii="宋体" w:hAnsi="宋体" w:eastAsiaTheme="minorEastAsia" w:cstheme="minorBidi"/>
                <w:sz w:val="24"/>
              </w:rPr>
            </w:pPr>
            <w:r>
              <w:rPr>
                <w:rFonts w:hint="eastAsia" w:ascii="宋体" w:hAnsi="宋体" w:eastAsiaTheme="minorEastAsia" w:cstheme="minorBidi"/>
                <w:sz w:val="24"/>
              </w:rPr>
              <w:t>物料描述</w:t>
            </w:r>
          </w:p>
        </w:tc>
        <w:tc>
          <w:tcPr>
            <w:tcW w:w="2127" w:type="dxa"/>
            <w:vMerge w:val="restart"/>
            <w:vAlign w:val="center"/>
          </w:tcPr>
          <w:p>
            <w:pPr>
              <w:pStyle w:val="17"/>
              <w:spacing w:line="360" w:lineRule="auto"/>
              <w:jc w:val="center"/>
              <w:rPr>
                <w:rFonts w:asciiTheme="minorEastAsia" w:hAnsiTheme="minorEastAsia" w:eastAsiaTheme="minorEastAsia" w:cstheme="minorBidi"/>
                <w:sz w:val="24"/>
              </w:rPr>
            </w:pPr>
            <w:r>
              <w:rPr>
                <w:rFonts w:hint="eastAsia" w:ascii="宋体" w:hAnsi="宋体" w:eastAsiaTheme="minorEastAsia" w:cstheme="minorBidi"/>
                <w:sz w:val="24"/>
              </w:rPr>
              <w:t>技术参数</w:t>
            </w:r>
          </w:p>
        </w:tc>
        <w:tc>
          <w:tcPr>
            <w:tcW w:w="850" w:type="dxa"/>
            <w:vMerge w:val="restart"/>
            <w:vAlign w:val="center"/>
          </w:tcPr>
          <w:p>
            <w:pPr>
              <w:pStyle w:val="17"/>
              <w:spacing w:line="360" w:lineRule="auto"/>
              <w:jc w:val="center"/>
              <w:rPr>
                <w:rFonts w:ascii="宋体" w:hAnsi="宋体" w:eastAsiaTheme="minorEastAsia" w:cstheme="minorBidi"/>
                <w:color w:val="00B0F0"/>
                <w:sz w:val="24"/>
              </w:rPr>
            </w:pPr>
            <w:r>
              <w:rPr>
                <w:rFonts w:hint="eastAsia" w:ascii="宋体" w:hAnsi="宋体" w:eastAsiaTheme="minorEastAsia" w:cstheme="minorBidi"/>
                <w:color w:val="00B0F0"/>
                <w:sz w:val="24"/>
              </w:rPr>
              <w:t>数量</w:t>
            </w:r>
          </w:p>
        </w:tc>
        <w:tc>
          <w:tcPr>
            <w:tcW w:w="851" w:type="dxa"/>
            <w:vMerge w:val="restart"/>
            <w:vAlign w:val="center"/>
          </w:tcPr>
          <w:p>
            <w:pPr>
              <w:pStyle w:val="17"/>
              <w:spacing w:line="360" w:lineRule="auto"/>
              <w:jc w:val="center"/>
              <w:rPr>
                <w:rFonts w:ascii="宋体" w:hAnsi="宋体" w:eastAsiaTheme="minorEastAsia" w:cstheme="minorBidi"/>
                <w:color w:val="00B0F0"/>
                <w:sz w:val="24"/>
              </w:rPr>
            </w:pPr>
            <w:r>
              <w:rPr>
                <w:rFonts w:hint="eastAsia" w:ascii="宋体" w:hAnsi="宋体" w:eastAsiaTheme="minorEastAsia" w:cstheme="minorBidi"/>
                <w:color w:val="00B0F0"/>
                <w:sz w:val="24"/>
              </w:rPr>
              <w:t>单位</w:t>
            </w:r>
          </w:p>
        </w:tc>
        <w:tc>
          <w:tcPr>
            <w:tcW w:w="1984" w:type="dxa"/>
            <w:gridSpan w:val="2"/>
            <w:vAlign w:val="center"/>
          </w:tcPr>
          <w:p>
            <w:pPr>
              <w:pStyle w:val="17"/>
              <w:spacing w:line="360" w:lineRule="auto"/>
              <w:jc w:val="center"/>
              <w:rPr>
                <w:rFonts w:asciiTheme="minorEastAsia" w:hAnsiTheme="minorEastAsia" w:eastAsiaTheme="minorEastAsia" w:cstheme="minorBidi"/>
                <w:sz w:val="24"/>
              </w:rPr>
            </w:pPr>
            <w:r>
              <w:rPr>
                <w:rFonts w:hint="eastAsia" w:ascii="宋体" w:hAnsi="宋体" w:eastAsiaTheme="minorEastAsia" w:cstheme="minorBidi"/>
                <w:sz w:val="24"/>
              </w:rPr>
              <w:t>报价方</w:t>
            </w:r>
          </w:p>
        </w:tc>
        <w:tc>
          <w:tcPr>
            <w:tcW w:w="1843" w:type="dxa"/>
            <w:vMerge w:val="restart"/>
            <w:vAlign w:val="center"/>
          </w:tcPr>
          <w:p>
            <w:pPr>
              <w:pStyle w:val="17"/>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交货时间</w:t>
            </w:r>
          </w:p>
        </w:tc>
        <w:tc>
          <w:tcPr>
            <w:tcW w:w="1843" w:type="dxa"/>
            <w:vMerge w:val="restart"/>
            <w:vAlign w:val="center"/>
          </w:tcPr>
          <w:p>
            <w:pPr>
              <w:pStyle w:val="17"/>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交货地点</w:t>
            </w:r>
          </w:p>
        </w:tc>
        <w:tc>
          <w:tcPr>
            <w:tcW w:w="1559" w:type="dxa"/>
            <w:vMerge w:val="restart"/>
            <w:vAlign w:val="center"/>
          </w:tcPr>
          <w:p>
            <w:pPr>
              <w:pStyle w:val="17"/>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92" w:type="dxa"/>
            <w:vMerge w:val="continue"/>
            <w:vAlign w:val="center"/>
          </w:tcPr>
          <w:p>
            <w:pPr>
              <w:pStyle w:val="17"/>
              <w:spacing w:line="360" w:lineRule="auto"/>
              <w:rPr>
                <w:rFonts w:asciiTheme="minorEastAsia" w:hAnsiTheme="minorEastAsia" w:eastAsiaTheme="minorEastAsia" w:cstheme="minorBidi"/>
                <w:sz w:val="24"/>
              </w:rPr>
            </w:pPr>
          </w:p>
        </w:tc>
        <w:tc>
          <w:tcPr>
            <w:tcW w:w="1417"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2268"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2127"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850" w:type="dxa"/>
            <w:vMerge w:val="continue"/>
            <w:vAlign w:val="center"/>
          </w:tcPr>
          <w:p>
            <w:pPr>
              <w:pStyle w:val="17"/>
              <w:spacing w:line="360" w:lineRule="auto"/>
              <w:rPr>
                <w:rFonts w:asciiTheme="minorEastAsia" w:hAnsiTheme="minorEastAsia" w:eastAsiaTheme="minorEastAsia" w:cstheme="minorBidi"/>
                <w:sz w:val="24"/>
              </w:rPr>
            </w:pPr>
          </w:p>
        </w:tc>
        <w:tc>
          <w:tcPr>
            <w:tcW w:w="851"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992" w:type="dxa"/>
          </w:tcPr>
          <w:p>
            <w:pPr>
              <w:pStyle w:val="17"/>
              <w:spacing w:line="360" w:lineRule="auto"/>
              <w:jc w:val="center"/>
              <w:rPr>
                <w:rFonts w:ascii="宋体" w:hAnsi="宋体" w:eastAsiaTheme="minorEastAsia" w:cstheme="minorBidi"/>
                <w:b/>
                <w:color w:val="00B0F0"/>
                <w:sz w:val="24"/>
              </w:rPr>
            </w:pPr>
            <w:r>
              <w:rPr>
                <w:rFonts w:hint="eastAsia" w:ascii="宋体" w:hAnsi="宋体" w:eastAsiaTheme="minorEastAsia" w:cstheme="minorBidi"/>
                <w:b/>
                <w:color w:val="00B0F0"/>
                <w:sz w:val="24"/>
              </w:rPr>
              <w:t>含税报单价</w:t>
            </w:r>
          </w:p>
        </w:tc>
        <w:tc>
          <w:tcPr>
            <w:tcW w:w="992" w:type="dxa"/>
          </w:tcPr>
          <w:p>
            <w:pPr>
              <w:pStyle w:val="17"/>
              <w:spacing w:line="360" w:lineRule="auto"/>
              <w:jc w:val="center"/>
              <w:rPr>
                <w:rFonts w:ascii="宋体" w:hAnsi="宋体" w:eastAsiaTheme="minorEastAsia" w:cstheme="minorBidi"/>
                <w:b/>
                <w:color w:val="00B0F0"/>
                <w:sz w:val="24"/>
              </w:rPr>
            </w:pPr>
            <w:r>
              <w:rPr>
                <w:rFonts w:hint="eastAsia" w:ascii="宋体" w:hAnsi="宋体" w:eastAsiaTheme="minorEastAsia" w:cstheme="minorBidi"/>
                <w:b/>
                <w:color w:val="00B0F0"/>
                <w:sz w:val="24"/>
              </w:rPr>
              <w:t>含税报总价</w:t>
            </w:r>
          </w:p>
        </w:tc>
        <w:tc>
          <w:tcPr>
            <w:tcW w:w="1843"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1843" w:type="dxa"/>
            <w:vMerge w:val="continue"/>
            <w:vAlign w:val="center"/>
          </w:tcPr>
          <w:p>
            <w:pPr>
              <w:pStyle w:val="17"/>
              <w:spacing w:line="360" w:lineRule="auto"/>
              <w:jc w:val="center"/>
              <w:rPr>
                <w:rFonts w:asciiTheme="minorEastAsia" w:hAnsiTheme="minorEastAsia" w:eastAsiaTheme="minorEastAsia" w:cstheme="minorBidi"/>
                <w:sz w:val="24"/>
              </w:rPr>
            </w:pPr>
          </w:p>
        </w:tc>
        <w:tc>
          <w:tcPr>
            <w:tcW w:w="1559" w:type="dxa"/>
            <w:vMerge w:val="continue"/>
            <w:vAlign w:val="center"/>
          </w:tcPr>
          <w:p>
            <w:pPr>
              <w:pStyle w:val="17"/>
              <w:spacing w:line="360" w:lineRule="auto"/>
              <w:rPr>
                <w:rFonts w:asciiTheme="minorEastAsia" w:hAnsiTheme="minorEastAsia"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92" w:type="dxa"/>
          </w:tcPr>
          <w:p>
            <w:pPr>
              <w:pStyle w:val="17"/>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 w:val="24"/>
              </w:rPr>
              <w:t>1</w:t>
            </w:r>
          </w:p>
        </w:tc>
        <w:tc>
          <w:tcPr>
            <w:tcW w:w="1417" w:type="dxa"/>
          </w:tcPr>
          <w:p>
            <w:pPr>
              <w:rPr>
                <w:rFonts w:cs="Calibri" w:eastAsiaTheme="minorEastAsia"/>
                <w:sz w:val="22"/>
              </w:rPr>
            </w:pPr>
            <w:r>
              <w:rPr>
                <w:rFonts w:cs="Calibri" w:eastAsiaTheme="minorEastAsia"/>
                <w:sz w:val="22"/>
              </w:rPr>
              <w:t>2020300197</w:t>
            </w:r>
          </w:p>
          <w:p>
            <w:pPr>
              <w:rPr>
                <w:rFonts w:cs="Calibri" w:eastAsiaTheme="minorEastAsia"/>
                <w:sz w:val="22"/>
              </w:rPr>
            </w:pPr>
          </w:p>
        </w:tc>
        <w:tc>
          <w:tcPr>
            <w:tcW w:w="2268" w:type="dxa"/>
          </w:tcPr>
          <w:p>
            <w:pPr>
              <w:rPr>
                <w:rFonts w:cs="Calibri" w:eastAsiaTheme="minorEastAsia"/>
                <w:sz w:val="22"/>
              </w:rPr>
            </w:pPr>
            <w:r>
              <w:rPr>
                <w:rFonts w:cs="Calibri" w:eastAsiaTheme="minorEastAsia"/>
                <w:sz w:val="22"/>
              </w:rPr>
              <w:t>通信电缆HYA 100×2×0.7</w:t>
            </w:r>
          </w:p>
          <w:p>
            <w:pPr>
              <w:rPr>
                <w:rFonts w:cs="Calibri" w:eastAsiaTheme="minorEastAsia"/>
                <w:sz w:val="22"/>
              </w:rPr>
            </w:pPr>
          </w:p>
        </w:tc>
        <w:tc>
          <w:tcPr>
            <w:tcW w:w="2127" w:type="dxa"/>
          </w:tcPr>
          <w:p>
            <w:pPr>
              <w:rPr>
                <w:rFonts w:cs="Calibri" w:eastAsiaTheme="minorEastAsia"/>
                <w:sz w:val="22"/>
              </w:rPr>
            </w:pPr>
            <w:r>
              <w:rPr>
                <w:rFonts w:cs="Calibri" w:eastAsiaTheme="minorEastAsia"/>
                <w:sz w:val="22"/>
              </w:rPr>
              <w:t>HYA 100×2×0.7</w:t>
            </w:r>
            <w:r>
              <w:rPr>
                <w:rFonts w:hint="eastAsia" w:ascii="Helvetica" w:hAnsi="Helvetica" w:eastAsiaTheme="minorEastAsia"/>
                <w:color w:val="000000"/>
                <w:sz w:val="19"/>
                <w:szCs w:val="19"/>
              </w:rPr>
              <w:t>铜芯实心聚烯烃绝缘挡潮层护套市内通信电缆</w:t>
            </w:r>
          </w:p>
          <w:p>
            <w:pPr>
              <w:pStyle w:val="17"/>
              <w:spacing w:line="360" w:lineRule="auto"/>
              <w:rPr>
                <w:rFonts w:asciiTheme="minorEastAsia" w:hAnsiTheme="minorEastAsia" w:eastAsiaTheme="minorEastAsia" w:cstheme="minorBidi"/>
                <w:sz w:val="22"/>
                <w:szCs w:val="22"/>
              </w:rPr>
            </w:pPr>
          </w:p>
        </w:tc>
        <w:tc>
          <w:tcPr>
            <w:tcW w:w="850" w:type="dxa"/>
          </w:tcPr>
          <w:p>
            <w:pPr>
              <w:pStyle w:val="17"/>
              <w:spacing w:line="360" w:lineRule="auto"/>
              <w:rPr>
                <w:rFonts w:asciiTheme="minorEastAsia" w:hAnsiTheme="minorEastAsia" w:eastAsiaTheme="minorEastAsia" w:cstheme="minorBidi"/>
                <w:sz w:val="24"/>
              </w:rPr>
            </w:pPr>
            <w:r>
              <w:rPr>
                <w:rFonts w:hint="eastAsia" w:asciiTheme="minorEastAsia" w:hAnsiTheme="minorEastAsia" w:eastAsiaTheme="minorEastAsia" w:cstheme="minorBidi"/>
                <w:szCs w:val="21"/>
              </w:rPr>
              <w:t>700</w:t>
            </w:r>
          </w:p>
        </w:tc>
        <w:tc>
          <w:tcPr>
            <w:tcW w:w="851" w:type="dxa"/>
          </w:tcPr>
          <w:p>
            <w:pPr>
              <w:pStyle w:val="17"/>
              <w:spacing w:line="360" w:lineRule="auto"/>
              <w:rPr>
                <w:rFonts w:asciiTheme="minorEastAsia" w:hAnsiTheme="minorEastAsia" w:eastAsiaTheme="minorEastAsia" w:cstheme="minorBidi"/>
                <w:szCs w:val="21"/>
              </w:rPr>
            </w:pPr>
            <w:r>
              <w:rPr>
                <w:rFonts w:hint="eastAsia" w:asciiTheme="minorEastAsia" w:hAnsiTheme="minorEastAsia" w:eastAsiaTheme="minorEastAsia" w:cstheme="minorBidi"/>
                <w:szCs w:val="21"/>
              </w:rPr>
              <w:t>米</w:t>
            </w:r>
          </w:p>
        </w:tc>
        <w:tc>
          <w:tcPr>
            <w:tcW w:w="992" w:type="dxa"/>
          </w:tcPr>
          <w:p>
            <w:pPr>
              <w:pStyle w:val="17"/>
              <w:spacing w:line="360" w:lineRule="auto"/>
              <w:rPr>
                <w:rFonts w:asciiTheme="minorEastAsia" w:hAnsiTheme="minorEastAsia" w:eastAsiaTheme="minorEastAsia" w:cstheme="minorBidi"/>
                <w:sz w:val="24"/>
              </w:rPr>
            </w:pPr>
          </w:p>
        </w:tc>
        <w:tc>
          <w:tcPr>
            <w:tcW w:w="992" w:type="dxa"/>
          </w:tcPr>
          <w:p>
            <w:pPr>
              <w:pStyle w:val="17"/>
              <w:spacing w:line="360" w:lineRule="auto"/>
              <w:rPr>
                <w:rFonts w:asciiTheme="minorEastAsia" w:hAnsiTheme="minorEastAsia" w:eastAsiaTheme="minorEastAsia" w:cstheme="minorBidi"/>
                <w:sz w:val="24"/>
              </w:rPr>
            </w:pPr>
          </w:p>
        </w:tc>
        <w:tc>
          <w:tcPr>
            <w:tcW w:w="1843" w:type="dxa"/>
            <w:vMerge w:val="restart"/>
          </w:tcPr>
          <w:p>
            <w:pPr>
              <w:pStyle w:val="17"/>
              <w:rPr>
                <w:rFonts w:asciiTheme="minorEastAsia" w:hAnsiTheme="minorEastAsia" w:eastAsiaTheme="minorEastAsia" w:cstheme="minorBidi"/>
                <w:sz w:val="20"/>
                <w:szCs w:val="20"/>
              </w:rPr>
            </w:pPr>
            <w:r>
              <w:rPr>
                <w:rFonts w:hint="eastAsia" w:ascii="宋体" w:hAnsi="宋体" w:cs="宋体" w:eastAsiaTheme="minorEastAsia"/>
                <w:color w:val="FF0000"/>
                <w:kern w:val="0"/>
                <w:sz w:val="20"/>
                <w:szCs w:val="20"/>
              </w:rPr>
              <w:t>合同签订后10日内完成</w:t>
            </w:r>
          </w:p>
        </w:tc>
        <w:tc>
          <w:tcPr>
            <w:tcW w:w="1843" w:type="dxa"/>
            <w:vMerge w:val="restart"/>
          </w:tcPr>
          <w:p>
            <w:pPr>
              <w:pStyle w:val="17"/>
              <w:rPr>
                <w:rFonts w:asciiTheme="minorEastAsia" w:hAnsiTheme="minorEastAsia" w:eastAsiaTheme="minorEastAsia" w:cstheme="minorBidi"/>
                <w:sz w:val="20"/>
                <w:szCs w:val="20"/>
              </w:rPr>
            </w:pPr>
            <w:r>
              <w:rPr>
                <w:rFonts w:hint="eastAsia" w:asciiTheme="minorEastAsia" w:hAnsiTheme="minorEastAsia" w:eastAsiaTheme="minorEastAsia" w:cstheme="minorBidi"/>
                <w:sz w:val="20"/>
                <w:szCs w:val="20"/>
              </w:rPr>
              <w:t>包头第二热电厂物资部</w:t>
            </w:r>
          </w:p>
        </w:tc>
        <w:tc>
          <w:tcPr>
            <w:tcW w:w="1559" w:type="dxa"/>
          </w:tcPr>
          <w:p>
            <w:pPr>
              <w:pStyle w:val="17"/>
              <w:spacing w:line="360" w:lineRule="auto"/>
              <w:rPr>
                <w:rFonts w:asciiTheme="minorEastAsia" w:hAnsiTheme="minorEastAsia"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92" w:type="dxa"/>
          </w:tcPr>
          <w:p>
            <w:pPr>
              <w:pStyle w:val="17"/>
              <w:spacing w:line="360" w:lineRule="auto"/>
              <w:rPr>
                <w:rFonts w:asciiTheme="minorEastAsia" w:hAnsiTheme="minorEastAsia" w:eastAsiaTheme="minorEastAsia" w:cstheme="minorBidi"/>
                <w:sz w:val="24"/>
              </w:rPr>
            </w:pPr>
          </w:p>
        </w:tc>
        <w:tc>
          <w:tcPr>
            <w:tcW w:w="1417" w:type="dxa"/>
          </w:tcPr>
          <w:p>
            <w:pPr>
              <w:rPr>
                <w:rFonts w:cs="Calibri" w:eastAsiaTheme="minorEastAsia"/>
                <w:sz w:val="22"/>
              </w:rPr>
            </w:pPr>
          </w:p>
        </w:tc>
        <w:tc>
          <w:tcPr>
            <w:tcW w:w="2268" w:type="dxa"/>
            <w:vAlign w:val="bottom"/>
          </w:tcPr>
          <w:p>
            <w:pPr>
              <w:rPr>
                <w:rFonts w:cs="Calibri" w:eastAsiaTheme="minorEastAsia"/>
                <w:sz w:val="22"/>
              </w:rPr>
            </w:pPr>
          </w:p>
        </w:tc>
        <w:tc>
          <w:tcPr>
            <w:tcW w:w="2127" w:type="dxa"/>
          </w:tcPr>
          <w:p>
            <w:pPr>
              <w:pStyle w:val="17"/>
              <w:spacing w:line="360" w:lineRule="auto"/>
              <w:rPr>
                <w:rFonts w:asciiTheme="minorEastAsia" w:hAnsiTheme="minorEastAsia" w:eastAsiaTheme="minorEastAsia" w:cstheme="minorBidi"/>
                <w:sz w:val="22"/>
                <w:szCs w:val="22"/>
              </w:rPr>
            </w:pPr>
          </w:p>
        </w:tc>
        <w:tc>
          <w:tcPr>
            <w:tcW w:w="850" w:type="dxa"/>
          </w:tcPr>
          <w:p>
            <w:pPr>
              <w:pStyle w:val="17"/>
              <w:spacing w:line="360" w:lineRule="auto"/>
              <w:rPr>
                <w:rFonts w:asciiTheme="minorEastAsia" w:hAnsiTheme="minorEastAsia" w:eastAsiaTheme="minorEastAsia" w:cstheme="minorBidi"/>
                <w:szCs w:val="21"/>
              </w:rPr>
            </w:pPr>
          </w:p>
        </w:tc>
        <w:tc>
          <w:tcPr>
            <w:tcW w:w="851" w:type="dxa"/>
          </w:tcPr>
          <w:p>
            <w:pPr>
              <w:pStyle w:val="17"/>
              <w:spacing w:line="360" w:lineRule="auto"/>
              <w:rPr>
                <w:rFonts w:asciiTheme="minorEastAsia" w:hAnsiTheme="minorEastAsia" w:eastAsiaTheme="minorEastAsia" w:cstheme="minorBidi"/>
                <w:szCs w:val="21"/>
              </w:rPr>
            </w:pPr>
          </w:p>
        </w:tc>
        <w:tc>
          <w:tcPr>
            <w:tcW w:w="992" w:type="dxa"/>
          </w:tcPr>
          <w:p>
            <w:pPr>
              <w:pStyle w:val="17"/>
              <w:spacing w:line="360" w:lineRule="auto"/>
              <w:rPr>
                <w:rFonts w:asciiTheme="minorEastAsia" w:hAnsiTheme="minorEastAsia" w:eastAsiaTheme="minorEastAsia" w:cstheme="minorBidi"/>
                <w:sz w:val="24"/>
              </w:rPr>
            </w:pPr>
          </w:p>
        </w:tc>
        <w:tc>
          <w:tcPr>
            <w:tcW w:w="992" w:type="dxa"/>
          </w:tcPr>
          <w:p>
            <w:pPr>
              <w:pStyle w:val="17"/>
              <w:spacing w:line="360" w:lineRule="auto"/>
              <w:rPr>
                <w:rFonts w:asciiTheme="minorEastAsia" w:hAnsiTheme="minorEastAsia" w:eastAsiaTheme="minorEastAsia" w:cstheme="minorBidi"/>
                <w:sz w:val="24"/>
              </w:rPr>
            </w:pPr>
          </w:p>
        </w:tc>
        <w:tc>
          <w:tcPr>
            <w:tcW w:w="1843" w:type="dxa"/>
            <w:vMerge w:val="continue"/>
          </w:tcPr>
          <w:p>
            <w:pPr>
              <w:wordWrap w:val="0"/>
              <w:spacing w:line="360" w:lineRule="auto"/>
              <w:rPr>
                <w:rFonts w:ascii="宋体" w:hAnsi="宋体" w:cs="Times New Roman" w:eastAsiaTheme="minorEastAsia"/>
                <w:sz w:val="22"/>
              </w:rPr>
            </w:pPr>
          </w:p>
        </w:tc>
        <w:tc>
          <w:tcPr>
            <w:tcW w:w="1843" w:type="dxa"/>
            <w:vMerge w:val="continue"/>
          </w:tcPr>
          <w:p>
            <w:pPr>
              <w:pStyle w:val="17"/>
              <w:spacing w:line="360" w:lineRule="auto"/>
              <w:rPr>
                <w:rFonts w:asciiTheme="minorEastAsia" w:hAnsiTheme="minorEastAsia" w:eastAsiaTheme="minorEastAsia" w:cstheme="minorBidi"/>
                <w:sz w:val="22"/>
                <w:szCs w:val="22"/>
              </w:rPr>
            </w:pPr>
          </w:p>
        </w:tc>
        <w:tc>
          <w:tcPr>
            <w:tcW w:w="1559" w:type="dxa"/>
          </w:tcPr>
          <w:p>
            <w:pPr>
              <w:pStyle w:val="17"/>
              <w:spacing w:line="360" w:lineRule="auto"/>
              <w:rPr>
                <w:rFonts w:asciiTheme="minorEastAsia" w:hAnsiTheme="minorEastAsia"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392" w:type="dxa"/>
          </w:tcPr>
          <w:p>
            <w:pPr>
              <w:pStyle w:val="17"/>
              <w:spacing w:line="360" w:lineRule="auto"/>
              <w:rPr>
                <w:rFonts w:asciiTheme="minorEastAsia" w:hAnsiTheme="minorEastAsia" w:eastAsiaTheme="minorEastAsia" w:cstheme="minorBidi"/>
                <w:sz w:val="24"/>
              </w:rPr>
            </w:pPr>
          </w:p>
        </w:tc>
        <w:tc>
          <w:tcPr>
            <w:tcW w:w="1417" w:type="dxa"/>
          </w:tcPr>
          <w:p>
            <w:pPr>
              <w:rPr>
                <w:rFonts w:cs="Calibri" w:eastAsiaTheme="minorEastAsia"/>
                <w:sz w:val="22"/>
              </w:rPr>
            </w:pPr>
          </w:p>
        </w:tc>
        <w:tc>
          <w:tcPr>
            <w:tcW w:w="2268" w:type="dxa"/>
            <w:vAlign w:val="bottom"/>
          </w:tcPr>
          <w:p>
            <w:pPr>
              <w:rPr>
                <w:rFonts w:cs="Calibri" w:eastAsiaTheme="minorEastAsia"/>
                <w:sz w:val="22"/>
              </w:rPr>
            </w:pPr>
          </w:p>
        </w:tc>
        <w:tc>
          <w:tcPr>
            <w:tcW w:w="2127" w:type="dxa"/>
          </w:tcPr>
          <w:p>
            <w:pPr>
              <w:pStyle w:val="17"/>
              <w:spacing w:line="360" w:lineRule="auto"/>
              <w:rPr>
                <w:rFonts w:ascii="Calibri" w:hAnsi="Calibri" w:cs="Calibri" w:eastAsiaTheme="minorEastAsia"/>
                <w:sz w:val="22"/>
                <w:szCs w:val="22"/>
              </w:rPr>
            </w:pPr>
          </w:p>
        </w:tc>
        <w:tc>
          <w:tcPr>
            <w:tcW w:w="850" w:type="dxa"/>
          </w:tcPr>
          <w:p>
            <w:pPr>
              <w:pStyle w:val="17"/>
              <w:spacing w:line="360" w:lineRule="auto"/>
              <w:rPr>
                <w:rFonts w:asciiTheme="minorEastAsia" w:hAnsiTheme="minorEastAsia" w:eastAsiaTheme="minorEastAsia" w:cstheme="minorBidi"/>
                <w:szCs w:val="21"/>
              </w:rPr>
            </w:pPr>
          </w:p>
        </w:tc>
        <w:tc>
          <w:tcPr>
            <w:tcW w:w="851" w:type="dxa"/>
          </w:tcPr>
          <w:p>
            <w:pPr>
              <w:pStyle w:val="17"/>
              <w:spacing w:line="360" w:lineRule="auto"/>
              <w:rPr>
                <w:rFonts w:asciiTheme="minorEastAsia" w:hAnsiTheme="minorEastAsia" w:eastAsiaTheme="minorEastAsia" w:cstheme="minorBidi"/>
                <w:szCs w:val="21"/>
              </w:rPr>
            </w:pPr>
          </w:p>
        </w:tc>
        <w:tc>
          <w:tcPr>
            <w:tcW w:w="992" w:type="dxa"/>
          </w:tcPr>
          <w:p>
            <w:pPr>
              <w:pStyle w:val="17"/>
              <w:spacing w:line="360" w:lineRule="auto"/>
              <w:rPr>
                <w:rFonts w:asciiTheme="minorEastAsia" w:hAnsiTheme="minorEastAsia" w:eastAsiaTheme="minorEastAsia" w:cstheme="minorBidi"/>
                <w:sz w:val="24"/>
              </w:rPr>
            </w:pPr>
          </w:p>
        </w:tc>
        <w:tc>
          <w:tcPr>
            <w:tcW w:w="992" w:type="dxa"/>
          </w:tcPr>
          <w:p>
            <w:pPr>
              <w:pStyle w:val="17"/>
              <w:spacing w:line="360" w:lineRule="auto"/>
              <w:rPr>
                <w:rFonts w:asciiTheme="minorEastAsia" w:hAnsiTheme="minorEastAsia" w:eastAsiaTheme="minorEastAsia" w:cstheme="minorBidi"/>
                <w:sz w:val="24"/>
              </w:rPr>
            </w:pPr>
          </w:p>
        </w:tc>
        <w:tc>
          <w:tcPr>
            <w:tcW w:w="1843" w:type="dxa"/>
            <w:vMerge w:val="continue"/>
          </w:tcPr>
          <w:p>
            <w:pPr>
              <w:wordWrap w:val="0"/>
              <w:spacing w:line="360" w:lineRule="auto"/>
              <w:rPr>
                <w:rFonts w:ascii="宋体" w:hAnsi="宋体" w:cs="Times New Roman" w:eastAsiaTheme="minorEastAsia"/>
                <w:sz w:val="22"/>
              </w:rPr>
            </w:pPr>
          </w:p>
        </w:tc>
        <w:tc>
          <w:tcPr>
            <w:tcW w:w="1843" w:type="dxa"/>
            <w:vMerge w:val="continue"/>
          </w:tcPr>
          <w:p>
            <w:pPr>
              <w:pStyle w:val="17"/>
              <w:spacing w:line="360" w:lineRule="auto"/>
              <w:rPr>
                <w:rFonts w:asciiTheme="minorEastAsia" w:hAnsiTheme="minorEastAsia" w:eastAsiaTheme="minorEastAsia" w:cstheme="minorBidi"/>
                <w:sz w:val="22"/>
                <w:szCs w:val="22"/>
              </w:rPr>
            </w:pPr>
          </w:p>
        </w:tc>
        <w:tc>
          <w:tcPr>
            <w:tcW w:w="1559" w:type="dxa"/>
          </w:tcPr>
          <w:p>
            <w:pPr>
              <w:pStyle w:val="17"/>
              <w:spacing w:line="360" w:lineRule="auto"/>
              <w:rPr>
                <w:rFonts w:asciiTheme="minorEastAsia" w:hAnsiTheme="minorEastAsia"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392" w:type="dxa"/>
          </w:tcPr>
          <w:p>
            <w:pPr>
              <w:pStyle w:val="17"/>
              <w:spacing w:line="360" w:lineRule="auto"/>
              <w:rPr>
                <w:rFonts w:asciiTheme="minorEastAsia" w:hAnsiTheme="minorEastAsia" w:eastAsiaTheme="minorEastAsia" w:cstheme="minorBidi"/>
                <w:sz w:val="24"/>
              </w:rPr>
            </w:pPr>
          </w:p>
        </w:tc>
        <w:tc>
          <w:tcPr>
            <w:tcW w:w="1417" w:type="dxa"/>
          </w:tcPr>
          <w:p>
            <w:pPr>
              <w:rPr>
                <w:rFonts w:cs="Calibri" w:eastAsiaTheme="minorEastAsia"/>
                <w:sz w:val="22"/>
              </w:rPr>
            </w:pPr>
          </w:p>
        </w:tc>
        <w:tc>
          <w:tcPr>
            <w:tcW w:w="2268" w:type="dxa"/>
            <w:vAlign w:val="bottom"/>
          </w:tcPr>
          <w:p>
            <w:pPr>
              <w:rPr>
                <w:rFonts w:cs="Calibri" w:eastAsiaTheme="minorEastAsia"/>
                <w:sz w:val="22"/>
              </w:rPr>
            </w:pPr>
          </w:p>
        </w:tc>
        <w:tc>
          <w:tcPr>
            <w:tcW w:w="2127" w:type="dxa"/>
          </w:tcPr>
          <w:p>
            <w:pPr>
              <w:pStyle w:val="17"/>
              <w:spacing w:line="360" w:lineRule="auto"/>
              <w:rPr>
                <w:rFonts w:asciiTheme="minorEastAsia" w:hAnsiTheme="minorEastAsia" w:eastAsiaTheme="minorEastAsia" w:cstheme="minorBidi"/>
                <w:sz w:val="22"/>
                <w:szCs w:val="22"/>
              </w:rPr>
            </w:pPr>
          </w:p>
        </w:tc>
        <w:tc>
          <w:tcPr>
            <w:tcW w:w="850" w:type="dxa"/>
          </w:tcPr>
          <w:p>
            <w:pPr>
              <w:pStyle w:val="17"/>
              <w:spacing w:line="360" w:lineRule="auto"/>
              <w:rPr>
                <w:rFonts w:asciiTheme="minorEastAsia" w:hAnsiTheme="minorEastAsia" w:eastAsiaTheme="minorEastAsia" w:cstheme="minorBidi"/>
                <w:szCs w:val="21"/>
              </w:rPr>
            </w:pPr>
          </w:p>
        </w:tc>
        <w:tc>
          <w:tcPr>
            <w:tcW w:w="851" w:type="dxa"/>
          </w:tcPr>
          <w:p>
            <w:pPr>
              <w:pStyle w:val="17"/>
              <w:spacing w:line="360" w:lineRule="auto"/>
              <w:rPr>
                <w:rFonts w:asciiTheme="minorEastAsia" w:hAnsiTheme="minorEastAsia" w:eastAsiaTheme="minorEastAsia" w:cstheme="minorBidi"/>
                <w:szCs w:val="21"/>
              </w:rPr>
            </w:pPr>
          </w:p>
        </w:tc>
        <w:tc>
          <w:tcPr>
            <w:tcW w:w="992" w:type="dxa"/>
          </w:tcPr>
          <w:p>
            <w:pPr>
              <w:pStyle w:val="17"/>
              <w:spacing w:line="360" w:lineRule="auto"/>
              <w:rPr>
                <w:rFonts w:asciiTheme="minorEastAsia" w:hAnsiTheme="minorEastAsia" w:eastAsiaTheme="minorEastAsia" w:cstheme="minorBidi"/>
                <w:sz w:val="24"/>
              </w:rPr>
            </w:pPr>
          </w:p>
        </w:tc>
        <w:tc>
          <w:tcPr>
            <w:tcW w:w="992" w:type="dxa"/>
          </w:tcPr>
          <w:p>
            <w:pPr>
              <w:pStyle w:val="17"/>
              <w:spacing w:line="360" w:lineRule="auto"/>
              <w:rPr>
                <w:rFonts w:asciiTheme="minorEastAsia" w:hAnsiTheme="minorEastAsia" w:eastAsiaTheme="minorEastAsia" w:cstheme="minorBidi"/>
                <w:sz w:val="24"/>
              </w:rPr>
            </w:pPr>
          </w:p>
        </w:tc>
        <w:tc>
          <w:tcPr>
            <w:tcW w:w="1843" w:type="dxa"/>
          </w:tcPr>
          <w:p>
            <w:pPr>
              <w:wordWrap w:val="0"/>
              <w:spacing w:line="360" w:lineRule="auto"/>
              <w:rPr>
                <w:rFonts w:ascii="宋体" w:hAnsi="宋体" w:cs="Times New Roman" w:eastAsiaTheme="minorEastAsia"/>
                <w:sz w:val="22"/>
              </w:rPr>
            </w:pPr>
          </w:p>
        </w:tc>
        <w:tc>
          <w:tcPr>
            <w:tcW w:w="1843" w:type="dxa"/>
          </w:tcPr>
          <w:p>
            <w:pPr>
              <w:pStyle w:val="17"/>
              <w:spacing w:line="360" w:lineRule="auto"/>
              <w:rPr>
                <w:rFonts w:asciiTheme="minorEastAsia" w:hAnsiTheme="minorEastAsia" w:eastAsiaTheme="minorEastAsia" w:cstheme="minorBidi"/>
                <w:sz w:val="22"/>
                <w:szCs w:val="22"/>
              </w:rPr>
            </w:pPr>
          </w:p>
        </w:tc>
        <w:tc>
          <w:tcPr>
            <w:tcW w:w="1559" w:type="dxa"/>
          </w:tcPr>
          <w:p>
            <w:pPr>
              <w:pStyle w:val="17"/>
              <w:spacing w:line="360" w:lineRule="auto"/>
              <w:rPr>
                <w:rFonts w:asciiTheme="minorEastAsia" w:hAnsiTheme="minorEastAsia"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897" w:type="dxa"/>
            <w:gridSpan w:val="7"/>
            <w:shd w:val="clear" w:color="auto" w:fill="auto"/>
          </w:tcPr>
          <w:p>
            <w:pPr>
              <w:pStyle w:val="17"/>
              <w:spacing w:line="360" w:lineRule="auto"/>
              <w:jc w:val="center"/>
              <w:rPr>
                <w:rFonts w:asciiTheme="minorEastAsia" w:hAnsiTheme="minorEastAsia" w:eastAsiaTheme="minorEastAsia" w:cstheme="minorBidi"/>
                <w:sz w:val="24"/>
              </w:rPr>
            </w:pPr>
            <w:r>
              <w:rPr>
                <w:rFonts w:hint="eastAsia" w:asciiTheme="minorEastAsia" w:hAnsiTheme="minorEastAsia" w:eastAsiaTheme="minorEastAsia" w:cstheme="minorBidi"/>
                <w:sz w:val="24"/>
              </w:rPr>
              <w:t>合   计</w:t>
            </w:r>
          </w:p>
        </w:tc>
        <w:tc>
          <w:tcPr>
            <w:tcW w:w="6237" w:type="dxa"/>
            <w:gridSpan w:val="4"/>
          </w:tcPr>
          <w:p>
            <w:pPr>
              <w:pStyle w:val="17"/>
              <w:spacing w:line="360" w:lineRule="auto"/>
              <w:rPr>
                <w:rFonts w:asciiTheme="minorEastAsia" w:hAnsiTheme="minorEastAsia" w:eastAsiaTheme="minorEastAsia" w:cstheme="minorBidi"/>
                <w:sz w:val="24"/>
              </w:rPr>
            </w:pPr>
          </w:p>
        </w:tc>
      </w:tr>
    </w:tbl>
    <w:p>
      <w:pPr>
        <w:pStyle w:val="17"/>
        <w:spacing w:line="360" w:lineRule="auto"/>
        <w:ind w:firstLine="480" w:firstLineChars="200"/>
        <w:rPr>
          <w:rFonts w:asciiTheme="minorEastAsia" w:hAnsiTheme="minorEastAsia"/>
          <w:sz w:val="24"/>
        </w:rPr>
      </w:pPr>
    </w:p>
    <w:p>
      <w:pPr>
        <w:tabs>
          <w:tab w:val="left" w:pos="414"/>
          <w:tab w:val="left" w:pos="1434"/>
        </w:tabs>
        <w:spacing w:line="400" w:lineRule="exact"/>
        <w:ind w:firstLine="480"/>
        <w:rPr>
          <w:color w:val="FF0000"/>
          <w:sz w:val="24"/>
        </w:rPr>
      </w:pPr>
      <w:r>
        <w:rPr>
          <w:rFonts w:hint="eastAsia"/>
          <w:color w:val="FF0000"/>
          <w:sz w:val="24"/>
        </w:rPr>
        <w:t>注：</w:t>
      </w:r>
      <w:r>
        <w:rPr>
          <w:color w:val="FF0000"/>
          <w:sz w:val="24"/>
        </w:rPr>
        <w:t>1</w:t>
      </w:r>
      <w:r>
        <w:rPr>
          <w:rFonts w:hint="eastAsia"/>
          <w:color w:val="FF0000"/>
          <w:sz w:val="24"/>
        </w:rPr>
        <w:t>．报价方按照需求清单进行分项报价，报价为含税总价，提供的产品、技术资料、服务、货物运输费用均在报价中。</w:t>
      </w:r>
    </w:p>
    <w:p>
      <w:pPr>
        <w:tabs>
          <w:tab w:val="left" w:pos="414"/>
          <w:tab w:val="left" w:pos="1434"/>
        </w:tabs>
        <w:spacing w:line="400" w:lineRule="exact"/>
        <w:ind w:firstLine="480"/>
        <w:rPr>
          <w:color w:val="FF0000"/>
          <w:sz w:val="24"/>
        </w:rPr>
      </w:pPr>
    </w:p>
    <w:p>
      <w:pPr>
        <w:pStyle w:val="20"/>
        <w:numPr>
          <w:ilvl w:val="0"/>
          <w:numId w:val="1"/>
        </w:numPr>
        <w:ind w:firstLineChars="0"/>
        <w:rPr>
          <w:rFonts w:asciiTheme="minorEastAsia" w:hAnsiTheme="minorEastAsia"/>
          <w:color w:val="FF0000"/>
          <w:sz w:val="24"/>
        </w:rPr>
      </w:pPr>
      <w:r>
        <w:rPr>
          <w:rFonts w:hint="eastAsia" w:asciiTheme="minorEastAsia" w:hAnsiTheme="minorEastAsia"/>
          <w:color w:val="FF0000"/>
          <w:sz w:val="24"/>
        </w:rPr>
        <w:t>本采购项目具体内容：</w:t>
      </w:r>
      <w:r>
        <w:rPr>
          <w:rFonts w:cs="Calibri"/>
          <w:color w:val="FF0000"/>
          <w:sz w:val="22"/>
        </w:rPr>
        <w:t>通信电缆HYA 100×2×0.7</w:t>
      </w:r>
      <w:r>
        <w:rPr>
          <w:rFonts w:hint="eastAsia" w:cs="Calibri"/>
          <w:color w:val="FF0000"/>
          <w:sz w:val="22"/>
        </w:rPr>
        <w:t xml:space="preserve"> 700米采购。</w:t>
      </w:r>
    </w:p>
    <w:p>
      <w:pPr>
        <w:tabs>
          <w:tab w:val="left" w:pos="414"/>
          <w:tab w:val="left" w:pos="1434"/>
        </w:tabs>
        <w:spacing w:line="400" w:lineRule="exact"/>
        <w:ind w:firstLine="480"/>
        <w:rPr>
          <w:color w:val="FF0000"/>
          <w:sz w:val="24"/>
        </w:rPr>
        <w:sectPr>
          <w:pgSz w:w="16838" w:h="11906" w:orient="landscape"/>
          <w:pgMar w:top="454" w:right="720" w:bottom="454" w:left="720" w:header="851" w:footer="992" w:gutter="0"/>
          <w:cols w:space="720" w:num="1"/>
          <w:docGrid w:type="lines" w:linePitch="312" w:charSpace="0"/>
        </w:sectPr>
      </w:pPr>
    </w:p>
    <w:p>
      <w:pPr>
        <w:rPr>
          <w:rFonts w:ascii="Times New Roman" w:hAnsi="Times New Roman" w:cs="Calibri"/>
          <w:sz w:val="22"/>
          <w:szCs w:val="24"/>
        </w:rPr>
      </w:pPr>
      <w:r>
        <w:rPr>
          <w:rFonts w:hint="eastAsia" w:asciiTheme="minorEastAsia" w:hAnsiTheme="minorEastAsia"/>
          <w:b/>
          <w:sz w:val="28"/>
          <w:szCs w:val="28"/>
        </w:rPr>
        <w:t>（二）、技术要求</w:t>
      </w:r>
    </w:p>
    <w:p>
      <w:pPr>
        <w:pStyle w:val="3"/>
        <w:widowControl/>
        <w:shd w:val="clear" w:color="auto" w:fill="FFFFFF"/>
        <w:spacing w:after="45" w:line="360" w:lineRule="auto"/>
        <w:rPr>
          <w:rFonts w:asciiTheme="minorEastAsia" w:hAnsiTheme="minorEastAsia" w:eastAsiaTheme="minorEastAsia" w:cstheme="minorBidi"/>
          <w:b w:val="0"/>
          <w:sz w:val="24"/>
          <w:szCs w:val="24"/>
        </w:rPr>
      </w:pPr>
      <w:r>
        <w:rPr>
          <w:rFonts w:hint="eastAsia" w:asciiTheme="minorEastAsia" w:hAnsiTheme="minorEastAsia" w:eastAsiaTheme="minorEastAsia" w:cstheme="minorBidi"/>
          <w:b w:val="0"/>
          <w:sz w:val="24"/>
          <w:szCs w:val="24"/>
        </w:rPr>
        <w:t>1、</w:t>
      </w:r>
      <w:r>
        <w:rPr>
          <w:rFonts w:hint="eastAsia" w:asciiTheme="majorEastAsia" w:hAnsiTheme="majorEastAsia" w:eastAsiaTheme="majorEastAsia"/>
          <w:b w:val="0"/>
          <w:bCs w:val="0"/>
          <w:sz w:val="24"/>
        </w:rPr>
        <w:t>技术规范及标准</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铜芯聚烯烃绝缘铝塑综合护层市内通信电缆</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执行标准：YD/T322-2013</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w:t>
      </w:r>
      <w:r>
        <w:rPr>
          <w:rFonts w:cs="Calibri" w:asciiTheme="minorEastAsia" w:hAnsiTheme="minorEastAsia" w:eastAsiaTheme="minorEastAsia"/>
          <w:kern w:val="0"/>
          <w:sz w:val="24"/>
          <w:szCs w:val="24"/>
        </w:rPr>
        <w:t>通信电缆HYA 100×2×0.7</w:t>
      </w:r>
      <w:r>
        <w:rPr>
          <w:rFonts w:hint="eastAsia" w:asciiTheme="minorEastAsia" w:hAnsiTheme="minorEastAsia" w:eastAsiaTheme="minorEastAsia"/>
          <w:sz w:val="24"/>
        </w:rPr>
        <w:t>的采购技术要求：</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2.1电缆的工作温度为-30℃～60℃。敷设环境温度不低于-5℃。</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2.2 线芯材质: 纯铜</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2.3 标称对数:100对</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2.4导体直径：铜线直径为0.7mm；</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2.5 绝缘材料：高密度聚乙烯；</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2.6绝缘单线：在导线上连续挤制绝缘材料，采用规定的10种标准色谱以便识别，并保证电缆的电气性能；</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2.7 绝缘线对： 把单根绝缘线按照不同的节距扭绞成对，以最大限度减少串音，并采用规定的色谱组合以便识别线对；</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2.8缆芯结构：绝缘单线绞合成对后采用同芯式或单位式绞合成缆芯，各单位采用不同的扎纱，以便施工、维护识别。 以25对为基本单位,25线对的基本单位也可由12对和13对2个子单位组成，50单位的超单位由二个12对和二个13对两个子单位组成，100对的超单位由四个 25基本单位组成。每个单位都采用规定色谱的扎带绕带 100对及以上电缆加有 1%的备用线对，但最多不超过10对；</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2.9缆芯包带：缆芯外包覆非吸湿性、非吸油性的绝缘带；</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2.10电缆屏蔽：用轧纹(或不轧纹 )双面涂塑铝带纵包于缆芯包带之外，两边搭接粘合；</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2.11 电缆护套：铝塑粘结综合护套。</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2.12 识别标记：电缆外表面打印识别标记。标记内容：电缆型号、长度、公司名称及制造年份。标记间隔不大于 1m；</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 xml:space="preserve"> 2.13 HYA型电缆直径重量表</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tbl>
      <w:tblPr>
        <w:tblStyle w:val="15"/>
        <w:tblW w:w="649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0"/>
        <w:gridCol w:w="735"/>
        <w:gridCol w:w="1296"/>
        <w:gridCol w:w="1152"/>
        <w:gridCol w:w="864"/>
        <w:gridCol w:w="864"/>
        <w:gridCol w:w="8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2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标</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称</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对</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数</w:t>
            </w:r>
          </w:p>
        </w:tc>
        <w:tc>
          <w:tcPr>
            <w:tcW w:w="318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0.60mm</w:t>
            </w:r>
          </w:p>
        </w:tc>
        <w:tc>
          <w:tcPr>
            <w:tcW w:w="259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0.80mm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2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p>
        </w:tc>
        <w:tc>
          <w:tcPr>
            <w:tcW w:w="735"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铜重</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Kg/km</w:t>
            </w:r>
          </w:p>
        </w:tc>
        <w:tc>
          <w:tcPr>
            <w:tcW w:w="1296"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电缆外径</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mm</w:t>
            </w:r>
          </w:p>
        </w:tc>
        <w:tc>
          <w:tcPr>
            <w:tcW w:w="1152"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计算重量</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Kg/km</w:t>
            </w:r>
          </w:p>
        </w:tc>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铜重</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Kg/km</w:t>
            </w:r>
          </w:p>
        </w:tc>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电缆外径mm</w:t>
            </w:r>
          </w:p>
        </w:tc>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计算重量</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Kg/km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100</w:t>
            </w:r>
          </w:p>
        </w:tc>
        <w:tc>
          <w:tcPr>
            <w:tcW w:w="735"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50.6</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101.2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151.7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252.9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510.9</w:t>
            </w:r>
          </w:p>
        </w:tc>
        <w:tc>
          <w:tcPr>
            <w:tcW w:w="1296"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11.8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14.1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16.2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19.8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26.7</w:t>
            </w:r>
          </w:p>
        </w:tc>
        <w:tc>
          <w:tcPr>
            <w:tcW w:w="1152"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139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221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301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454</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850</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89.9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179.8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269.8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449.6</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908.2</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13.7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16.7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19.3</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24.4</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33.0</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199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332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464</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737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1386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200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300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400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600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800</w:t>
            </w:r>
          </w:p>
        </w:tc>
        <w:tc>
          <w:tcPr>
            <w:tcW w:w="735"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1021.7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1532.6</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2043.4</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3065.2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4076.7</w:t>
            </w:r>
          </w:p>
        </w:tc>
        <w:tc>
          <w:tcPr>
            <w:tcW w:w="1296"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35.1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40.8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46.7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56.3</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64.4</w:t>
            </w:r>
          </w:p>
        </w:tc>
        <w:tc>
          <w:tcPr>
            <w:tcW w:w="1152"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1580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2281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2999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4412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5805</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1816.4</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2724.6</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3632.8</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5449.2</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43.6</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51.3</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58.7</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74.6</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2619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3832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5049</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7486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20"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900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1000</w:t>
            </w:r>
          </w:p>
        </w:tc>
        <w:tc>
          <w:tcPr>
            <w:tcW w:w="735"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4704.0</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5226.0</w:t>
            </w:r>
          </w:p>
        </w:tc>
        <w:tc>
          <w:tcPr>
            <w:tcW w:w="1296"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72.1</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75.6</w:t>
            </w:r>
          </w:p>
        </w:tc>
        <w:tc>
          <w:tcPr>
            <w:tcW w:w="1152"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6565</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7254</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tc>
        <w:tc>
          <w:tcPr>
            <w:tcW w:w="864" w:type="dxa"/>
            <w:tcBorders>
              <w:top w:val="outset" w:color="auto" w:sz="6" w:space="0"/>
              <w:left w:val="outset" w:color="auto" w:sz="6" w:space="0"/>
              <w:bottom w:val="outset" w:color="auto" w:sz="6" w:space="0"/>
              <w:right w:val="outset" w:color="auto" w:sz="6" w:space="0"/>
            </w:tcBorders>
            <w:shd w:val="clear" w:color="auto" w:fill="FFFFFF"/>
          </w:tcPr>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tc>
      </w:tr>
    </w:tbl>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　</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3、主要电气性能：</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3.1电缆直流电阻 : 20℃ , 0.4 ≤148　 0.5 ≤95.0　 0.6 ≤65.8　 0.7≤51　 0.8 ≤36.6 欧姆/千米</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3.2电缆绝缘电气强度：导体之间1min 1kv或3S/2kv不击穿导体与屏蔽1min 3kv或3s/6kv不击穿</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3.3 电缆绝缘电阻：每根芯线与其余线芯接地，20℃时大于等于10000MΩ.km</w:t>
      </w:r>
      <w:r>
        <w:rPr>
          <w:rFonts w:hint="eastAsia" w:asciiTheme="minorEastAsia" w:hAnsiTheme="minorEastAsia" w:eastAsiaTheme="minorEastAsia"/>
          <w:sz w:val="24"/>
        </w:rPr>
        <w:br w:type="textWrapping"/>
      </w:r>
      <w:r>
        <w:rPr>
          <w:rFonts w:hint="eastAsia" w:asciiTheme="minorEastAsia" w:hAnsiTheme="minorEastAsia" w:eastAsiaTheme="minorEastAsia"/>
          <w:sz w:val="24"/>
        </w:rPr>
        <w:t>3.4电缆工作电容：平均值 52±2nF/km，最大值为平均值的1.09倍。</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3.5 电容不平衡：线对之间最大值350PF/km，线对对地之间最大平均值570PF/km，最大个别值2630PF/km，允许个别最大变异3280 PF/km.。</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3.6 固有衰减：20℃时，150KHz标称值dB/km0.4的不大于11.7，0.5的不大于8.6，0.6的不大于6.9，0.8的不大于5.4。1024 KHz标称值dB/km0.4的不大于26，0.5的不大于21.4，0.6的不大于17.6，0.8的不大于13。允许标称值偏差，-10～ 5%，允许最大变异 15%</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3.7远端串音防卫度dB/km 150KHz，均方根值不大于68，任意线对组合不小于58，允许个别最大变异52</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3.8近端串音衰减：1024 KHz M-S（dB）,基本单位内不小于58，相邻基本单位间不小于64，非相邻基本单位间不小于79。</w:t>
      </w:r>
    </w:p>
    <w:p>
      <w:pPr>
        <w:pStyle w:val="2"/>
        <w:spacing w:before="120" w:line="360" w:lineRule="auto"/>
        <w:rPr>
          <w:rFonts w:ascii="宋体" w:hAnsi="宋体"/>
          <w:b w:val="0"/>
          <w:sz w:val="24"/>
        </w:rPr>
      </w:pPr>
      <w:r>
        <w:rPr>
          <w:rFonts w:hint="eastAsia" w:asciiTheme="minorEastAsia" w:hAnsiTheme="minorEastAsia" w:eastAsiaTheme="minorEastAsia"/>
          <w:sz w:val="24"/>
        </w:rPr>
        <w:t>4、</w:t>
      </w:r>
      <w:bookmarkStart w:id="0" w:name="_Toc472273623"/>
      <w:bookmarkStart w:id="1" w:name="_Toc472152212"/>
      <w:bookmarkStart w:id="2" w:name="_Toc424885681"/>
      <w:bookmarkStart w:id="3" w:name="_Toc472226761"/>
      <w:bookmarkStart w:id="4" w:name="_Toc472152442"/>
      <w:bookmarkStart w:id="5" w:name="_Toc67566624"/>
      <w:r>
        <w:rPr>
          <w:rFonts w:hint="eastAsia" w:ascii="宋体" w:hAnsi="宋体"/>
          <w:b w:val="0"/>
          <w:bCs w:val="0"/>
          <w:sz w:val="24"/>
        </w:rPr>
        <w:t>验收和试验</w:t>
      </w:r>
      <w:bookmarkEnd w:id="0"/>
      <w:bookmarkEnd w:id="1"/>
      <w:bookmarkEnd w:id="2"/>
      <w:bookmarkEnd w:id="3"/>
      <w:bookmarkEnd w:id="4"/>
      <w:bookmarkEnd w:id="5"/>
    </w:p>
    <w:p>
      <w:pPr>
        <w:autoSpaceDE w:val="0"/>
        <w:autoSpaceDN w:val="0"/>
        <w:adjustRightInd w:val="0"/>
        <w:spacing w:line="360" w:lineRule="auto"/>
        <w:rPr>
          <w:rFonts w:ascii="宋体" w:hAnsi="宋体"/>
          <w:sz w:val="24"/>
        </w:rPr>
      </w:pPr>
      <w:r>
        <w:rPr>
          <w:rFonts w:hint="eastAsia" w:ascii="宋体" w:hAnsi="宋体"/>
          <w:sz w:val="24"/>
        </w:rPr>
        <w:t>4.1报价方在制造过程中，应对制造电缆的材料进行试验和检查，以保证产品完全符合本技术规范书要求。</w:t>
      </w:r>
    </w:p>
    <w:p>
      <w:pPr>
        <w:autoSpaceDE w:val="0"/>
        <w:autoSpaceDN w:val="0"/>
        <w:adjustRightInd w:val="0"/>
        <w:spacing w:line="360" w:lineRule="auto"/>
        <w:rPr>
          <w:rFonts w:ascii="宋体" w:hAnsi="宋体"/>
          <w:sz w:val="24"/>
        </w:rPr>
      </w:pPr>
      <w:r>
        <w:rPr>
          <w:rFonts w:hint="eastAsia" w:ascii="宋体" w:hAnsi="宋体"/>
          <w:sz w:val="24"/>
        </w:rPr>
        <w:t>4.2询价方有权在任何时候，对电缆的质量管理情况，包括设备试验的记录进行检查。</w:t>
      </w:r>
    </w:p>
    <w:p>
      <w:pPr>
        <w:autoSpaceDE w:val="0"/>
        <w:autoSpaceDN w:val="0"/>
        <w:adjustRightInd w:val="0"/>
        <w:spacing w:line="360" w:lineRule="auto"/>
        <w:rPr>
          <w:rFonts w:ascii="宋体" w:hAnsi="宋体"/>
          <w:sz w:val="24"/>
        </w:rPr>
      </w:pPr>
      <w:r>
        <w:rPr>
          <w:rFonts w:hint="eastAsia" w:ascii="宋体" w:hAnsi="宋体"/>
          <w:sz w:val="24"/>
        </w:rPr>
        <w:t>4.3报价方应进行工厂验收试验和现场试验。在试验和检查过程中，如发现任何不符合本协议要求的原材料或成品，报价方都必须及时更换。由此而引起的所有费用都应由报价方承担。</w:t>
      </w:r>
    </w:p>
    <w:p>
      <w:pPr>
        <w:tabs>
          <w:tab w:val="left" w:pos="1320"/>
        </w:tabs>
        <w:adjustRightInd w:val="0"/>
        <w:spacing w:line="360" w:lineRule="auto"/>
        <w:jc w:val="left"/>
        <w:textAlignment w:val="baseline"/>
        <w:rPr>
          <w:rFonts w:asciiTheme="minorEastAsia" w:hAnsiTheme="minorEastAsia" w:eastAsiaTheme="minorEastAsia"/>
          <w:sz w:val="24"/>
        </w:rPr>
      </w:pPr>
    </w:p>
    <w:p>
      <w:pPr>
        <w:tabs>
          <w:tab w:val="left" w:pos="1320"/>
        </w:tabs>
        <w:adjustRightInd w:val="0"/>
        <w:spacing w:line="360" w:lineRule="auto"/>
        <w:jc w:val="left"/>
        <w:textAlignment w:val="baseline"/>
        <w:rPr>
          <w:rFonts w:asciiTheme="minorEastAsia" w:hAnsiTheme="minorEastAsia" w:eastAsiaTheme="minorEastAsia"/>
          <w:sz w:val="24"/>
        </w:rPr>
      </w:pPr>
    </w:p>
    <w:p>
      <w:pPr>
        <w:pStyle w:val="17"/>
        <w:spacing w:line="360" w:lineRule="auto"/>
        <w:rPr>
          <w:rFonts w:asciiTheme="minorEastAsia" w:hAnsiTheme="minorEastAsia"/>
          <w:sz w:val="24"/>
        </w:rPr>
      </w:pPr>
      <w:r>
        <w:rPr>
          <w:rFonts w:hint="eastAsia" w:asciiTheme="minorEastAsia" w:hAnsiTheme="minorEastAsia"/>
          <w:sz w:val="24"/>
        </w:rPr>
        <w:t>(三)、技术服务和质保期服务要求</w:t>
      </w:r>
    </w:p>
    <w:p>
      <w:pPr>
        <w:pStyle w:val="5"/>
        <w:spacing w:after="0" w:line="360" w:lineRule="auto"/>
        <w:ind w:left="0" w:leftChars="0"/>
        <w:rPr>
          <w:rFonts w:cs="宋体" w:asciiTheme="minorEastAsia" w:hAnsiTheme="minorEastAsia" w:eastAsiaTheme="minorEastAsia"/>
          <w:sz w:val="24"/>
        </w:rPr>
      </w:pPr>
      <w:r>
        <w:rPr>
          <w:rFonts w:hint="eastAsia" w:cs="宋体" w:asciiTheme="minorEastAsia" w:hAnsiTheme="minorEastAsia" w:eastAsiaTheme="minorEastAsia"/>
          <w:sz w:val="24"/>
        </w:rPr>
        <w:t>1、技术服务</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1.1 报价方将提供24小时内的及时技术答疑与支持。</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1.2因电缆本身质量问题（材质缺陷等），免费提供备品备件并进行更换。</w:t>
      </w:r>
    </w:p>
    <w:p>
      <w:pPr>
        <w:tabs>
          <w:tab w:val="left" w:pos="1320"/>
        </w:tabs>
        <w:adjustRightInd w:val="0"/>
        <w:spacing w:line="360" w:lineRule="auto"/>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1.3非电缆本身质量所造成的损坏（人为或其他第三方所造成的损坏），报价</w:t>
      </w:r>
    </w:p>
    <w:p>
      <w:pPr>
        <w:tabs>
          <w:tab w:val="left" w:pos="1320"/>
        </w:tabs>
        <w:adjustRightInd w:val="0"/>
        <w:spacing w:line="360" w:lineRule="auto"/>
        <w:jc w:val="left"/>
        <w:textAlignment w:val="baseline"/>
        <w:rPr>
          <w:rFonts w:hAnsi="宋体"/>
          <w:sz w:val="24"/>
        </w:rPr>
      </w:pPr>
      <w:r>
        <w:rPr>
          <w:rFonts w:hint="eastAsia" w:asciiTheme="minorEastAsia" w:hAnsiTheme="minorEastAsia" w:eastAsiaTheme="minorEastAsia"/>
          <w:sz w:val="24"/>
        </w:rPr>
        <w:t>方将提供及时服务，材料</w:t>
      </w:r>
      <w:r>
        <w:rPr>
          <w:rFonts w:hint="eastAsia" w:hAnsi="宋体"/>
          <w:sz w:val="24"/>
        </w:rPr>
        <w:t>费用由用户承担。</w:t>
      </w:r>
    </w:p>
    <w:p>
      <w:pPr>
        <w:tabs>
          <w:tab w:val="left" w:pos="1320"/>
        </w:tabs>
        <w:adjustRightInd w:val="0"/>
        <w:spacing w:line="360" w:lineRule="auto"/>
        <w:jc w:val="left"/>
        <w:textAlignment w:val="baseline"/>
        <w:rPr>
          <w:rFonts w:hAnsi="宋体"/>
          <w:sz w:val="24"/>
        </w:rPr>
      </w:pPr>
      <w:r>
        <w:rPr>
          <w:rFonts w:hint="eastAsia" w:ascii="宋体" w:hAnsi="宋体"/>
          <w:sz w:val="24"/>
        </w:rPr>
        <w:t>1.4</w:t>
      </w:r>
      <w:r>
        <w:rPr>
          <w:rFonts w:hint="eastAsia" w:hAnsi="宋体"/>
          <w:sz w:val="24"/>
        </w:rPr>
        <w:t>在保质期内接到用户通知后，需要</w:t>
      </w:r>
      <w:r>
        <w:rPr>
          <w:rFonts w:hAnsi="宋体"/>
          <w:sz w:val="24"/>
        </w:rPr>
        <w:t>48</w:t>
      </w:r>
      <w:r>
        <w:rPr>
          <w:rFonts w:hint="eastAsia" w:hAnsi="宋体"/>
          <w:sz w:val="24"/>
        </w:rPr>
        <w:t>小时内赶到现场，处理电缆故障。</w:t>
      </w:r>
    </w:p>
    <w:p>
      <w:pPr>
        <w:tabs>
          <w:tab w:val="left" w:pos="1320"/>
        </w:tabs>
        <w:adjustRightInd w:val="0"/>
        <w:spacing w:line="360" w:lineRule="auto"/>
        <w:jc w:val="left"/>
        <w:textAlignment w:val="baseline"/>
        <w:rPr>
          <w:rFonts w:asciiTheme="minorEastAsia" w:hAnsiTheme="minorEastAsia"/>
          <w:sz w:val="24"/>
        </w:rPr>
      </w:pPr>
      <w:r>
        <w:rPr>
          <w:rFonts w:hint="eastAsia" w:asciiTheme="minorEastAsia" w:hAnsiTheme="minorEastAsia"/>
          <w:sz w:val="24"/>
        </w:rPr>
        <w:t>2、质保期服务要求</w:t>
      </w:r>
    </w:p>
    <w:p>
      <w:pPr>
        <w:tabs>
          <w:tab w:val="left" w:pos="1320"/>
        </w:tabs>
        <w:adjustRightInd w:val="0"/>
        <w:spacing w:line="360" w:lineRule="auto"/>
        <w:jc w:val="left"/>
        <w:textAlignment w:val="baseline"/>
        <w:rPr>
          <w:rFonts w:hAnsi="宋体"/>
          <w:sz w:val="24"/>
        </w:rPr>
      </w:pPr>
      <w:r>
        <w:rPr>
          <w:rFonts w:hint="eastAsia" w:asciiTheme="minorEastAsia" w:hAnsiTheme="minorEastAsia" w:eastAsiaTheme="minorEastAsia"/>
          <w:sz w:val="24"/>
        </w:rPr>
        <w:t>2.1</w:t>
      </w:r>
      <w:r>
        <w:rPr>
          <w:rFonts w:hint="eastAsia" w:hAnsi="宋体"/>
          <w:sz w:val="24"/>
        </w:rPr>
        <w:t>报价方需提供及时服务，不收服务费，并向询价方提供价格优惠的电缆备附件。</w:t>
      </w:r>
    </w:p>
    <w:p>
      <w:pPr>
        <w:autoSpaceDE w:val="0"/>
        <w:autoSpaceDN w:val="0"/>
        <w:adjustRightInd w:val="0"/>
        <w:spacing w:line="360" w:lineRule="auto"/>
        <w:rPr>
          <w:rFonts w:ascii="Times New Roman" w:hAnsi="宋体"/>
          <w:sz w:val="24"/>
          <w:szCs w:val="24"/>
        </w:rPr>
      </w:pPr>
      <w:r>
        <w:rPr>
          <w:rFonts w:hint="eastAsia" w:asciiTheme="minorEastAsia" w:hAnsiTheme="minorEastAsia" w:eastAsiaTheme="minorEastAsia"/>
          <w:sz w:val="24"/>
        </w:rPr>
        <w:t>2.2在保修</w:t>
      </w:r>
      <w:r>
        <w:rPr>
          <w:rFonts w:hint="eastAsia" w:ascii="Times New Roman" w:hAnsi="宋体"/>
          <w:sz w:val="24"/>
          <w:szCs w:val="24"/>
        </w:rPr>
        <w:t>期内，电缆出现故障，报价方负责更换。在整个寿命期内，报价方应对由电缆自身设计、材料及生产工艺中的缺陷而产生的故障负完全责任。</w:t>
      </w:r>
    </w:p>
    <w:p>
      <w:pPr>
        <w:pStyle w:val="17"/>
        <w:spacing w:line="360" w:lineRule="auto"/>
        <w:rPr>
          <w:rFonts w:asciiTheme="minorEastAsia" w:hAnsiTheme="minorEastAsia" w:eastAsiaTheme="minorEastAsia"/>
          <w:b/>
          <w:sz w:val="24"/>
        </w:rPr>
      </w:pPr>
      <w:r>
        <w:rPr>
          <w:rFonts w:hint="eastAsia" w:asciiTheme="minorEastAsia" w:hAnsiTheme="minorEastAsia" w:eastAsiaTheme="minorEastAsia"/>
          <w:b/>
          <w:sz w:val="24"/>
        </w:rPr>
        <w:t>2.3</w:t>
      </w:r>
      <w:r>
        <w:rPr>
          <w:rFonts w:hint="eastAsia" w:asciiTheme="minorEastAsia" w:hAnsiTheme="minorEastAsia" w:eastAsiaTheme="minorEastAsia"/>
          <w:sz w:val="24"/>
        </w:rPr>
        <w:t>质保期12月。</w:t>
      </w:r>
    </w:p>
    <w:p>
      <w:pPr>
        <w:pStyle w:val="17"/>
        <w:spacing w:line="360" w:lineRule="auto"/>
        <w:rPr>
          <w:rFonts w:asciiTheme="minorEastAsia" w:hAnsiTheme="minorEastAsia" w:eastAsiaTheme="minorEastAsia"/>
          <w:b/>
          <w:sz w:val="24"/>
        </w:rPr>
      </w:pPr>
    </w:p>
    <w:sectPr>
      <w:head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385774"/>
    </w:sdtPr>
    <w:sdtContent>
      <w:sdt>
        <w:sdtPr>
          <w:id w:val="113385775"/>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62E6D"/>
    <w:multiLevelType w:val="multilevel"/>
    <w:tmpl w:val="75F62E6D"/>
    <w:lvl w:ilvl="0" w:tentative="0">
      <w:start w:val="2"/>
      <w:numFmt w:val="decimal"/>
      <w:lvlText w:val="%1、"/>
      <w:lvlJc w:val="left"/>
      <w:pPr>
        <w:ind w:left="1188" w:hanging="360"/>
      </w:pPr>
      <w:rPr>
        <w:rFonts w:hint="default" w:ascii="Calibri" w:hAnsi="Calibri"/>
        <w:b w:val="0"/>
        <w:color w:val="FF0000"/>
      </w:rPr>
    </w:lvl>
    <w:lvl w:ilvl="1" w:tentative="0">
      <w:start w:val="1"/>
      <w:numFmt w:val="lowerLetter"/>
      <w:lvlText w:val="%2)"/>
      <w:lvlJc w:val="left"/>
      <w:pPr>
        <w:ind w:left="1668" w:hanging="420"/>
      </w:pPr>
    </w:lvl>
    <w:lvl w:ilvl="2" w:tentative="0">
      <w:start w:val="1"/>
      <w:numFmt w:val="lowerRoman"/>
      <w:lvlText w:val="%3."/>
      <w:lvlJc w:val="right"/>
      <w:pPr>
        <w:ind w:left="2088" w:hanging="420"/>
      </w:pPr>
    </w:lvl>
    <w:lvl w:ilvl="3" w:tentative="0">
      <w:start w:val="1"/>
      <w:numFmt w:val="decimal"/>
      <w:lvlText w:val="%4."/>
      <w:lvlJc w:val="left"/>
      <w:pPr>
        <w:ind w:left="2508" w:hanging="420"/>
      </w:pPr>
    </w:lvl>
    <w:lvl w:ilvl="4" w:tentative="0">
      <w:start w:val="1"/>
      <w:numFmt w:val="lowerLetter"/>
      <w:lvlText w:val="%5)"/>
      <w:lvlJc w:val="left"/>
      <w:pPr>
        <w:ind w:left="2928" w:hanging="420"/>
      </w:pPr>
    </w:lvl>
    <w:lvl w:ilvl="5" w:tentative="0">
      <w:start w:val="1"/>
      <w:numFmt w:val="lowerRoman"/>
      <w:lvlText w:val="%6."/>
      <w:lvlJc w:val="right"/>
      <w:pPr>
        <w:ind w:left="3348" w:hanging="420"/>
      </w:pPr>
    </w:lvl>
    <w:lvl w:ilvl="6" w:tentative="0">
      <w:start w:val="1"/>
      <w:numFmt w:val="decimal"/>
      <w:lvlText w:val="%7."/>
      <w:lvlJc w:val="left"/>
      <w:pPr>
        <w:ind w:left="3768" w:hanging="420"/>
      </w:pPr>
    </w:lvl>
    <w:lvl w:ilvl="7" w:tentative="0">
      <w:start w:val="1"/>
      <w:numFmt w:val="lowerLetter"/>
      <w:lvlText w:val="%8)"/>
      <w:lvlJc w:val="left"/>
      <w:pPr>
        <w:ind w:left="4188" w:hanging="420"/>
      </w:pPr>
    </w:lvl>
    <w:lvl w:ilvl="8" w:tentative="0">
      <w:start w:val="1"/>
      <w:numFmt w:val="lowerRoman"/>
      <w:lvlText w:val="%9."/>
      <w:lvlJc w:val="right"/>
      <w:pPr>
        <w:ind w:left="46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203DBB"/>
    <w:rsid w:val="00002CCB"/>
    <w:rsid w:val="00004B9B"/>
    <w:rsid w:val="0000519A"/>
    <w:rsid w:val="0002013D"/>
    <w:rsid w:val="00031237"/>
    <w:rsid w:val="0003277D"/>
    <w:rsid w:val="000339D0"/>
    <w:rsid w:val="00036A2B"/>
    <w:rsid w:val="00037289"/>
    <w:rsid w:val="00037FB0"/>
    <w:rsid w:val="000435D2"/>
    <w:rsid w:val="00045621"/>
    <w:rsid w:val="00056B9F"/>
    <w:rsid w:val="0006048D"/>
    <w:rsid w:val="00061FA9"/>
    <w:rsid w:val="00067882"/>
    <w:rsid w:val="000708D7"/>
    <w:rsid w:val="0007246E"/>
    <w:rsid w:val="00073184"/>
    <w:rsid w:val="000731B6"/>
    <w:rsid w:val="0008449E"/>
    <w:rsid w:val="000863F2"/>
    <w:rsid w:val="00090DE2"/>
    <w:rsid w:val="000A1BB0"/>
    <w:rsid w:val="000B3C33"/>
    <w:rsid w:val="000B79D8"/>
    <w:rsid w:val="000C272B"/>
    <w:rsid w:val="000C5BF5"/>
    <w:rsid w:val="000D0935"/>
    <w:rsid w:val="000D47F8"/>
    <w:rsid w:val="000D4FBF"/>
    <w:rsid w:val="000E0E55"/>
    <w:rsid w:val="000E4731"/>
    <w:rsid w:val="000F0752"/>
    <w:rsid w:val="000F2282"/>
    <w:rsid w:val="000F5250"/>
    <w:rsid w:val="0010152F"/>
    <w:rsid w:val="00111295"/>
    <w:rsid w:val="0011298C"/>
    <w:rsid w:val="00114CF5"/>
    <w:rsid w:val="001317CC"/>
    <w:rsid w:val="001327BF"/>
    <w:rsid w:val="00133D4D"/>
    <w:rsid w:val="001435E0"/>
    <w:rsid w:val="00143B3A"/>
    <w:rsid w:val="001440C4"/>
    <w:rsid w:val="0014418E"/>
    <w:rsid w:val="001456FF"/>
    <w:rsid w:val="0014600F"/>
    <w:rsid w:val="0014642C"/>
    <w:rsid w:val="00150F49"/>
    <w:rsid w:val="00154899"/>
    <w:rsid w:val="0016385A"/>
    <w:rsid w:val="0017438C"/>
    <w:rsid w:val="001758C1"/>
    <w:rsid w:val="00193361"/>
    <w:rsid w:val="001A2429"/>
    <w:rsid w:val="001A43BD"/>
    <w:rsid w:val="001A6D85"/>
    <w:rsid w:val="001B1DFC"/>
    <w:rsid w:val="001B7A17"/>
    <w:rsid w:val="001C07B6"/>
    <w:rsid w:val="001C69BA"/>
    <w:rsid w:val="001D17B7"/>
    <w:rsid w:val="001D3367"/>
    <w:rsid w:val="001D4501"/>
    <w:rsid w:val="001E089F"/>
    <w:rsid w:val="001E2884"/>
    <w:rsid w:val="001F1DF0"/>
    <w:rsid w:val="00207083"/>
    <w:rsid w:val="00210939"/>
    <w:rsid w:val="00213C1B"/>
    <w:rsid w:val="00213F3E"/>
    <w:rsid w:val="00214FF4"/>
    <w:rsid w:val="0021515A"/>
    <w:rsid w:val="00215AC8"/>
    <w:rsid w:val="002163AF"/>
    <w:rsid w:val="00220AA5"/>
    <w:rsid w:val="00222396"/>
    <w:rsid w:val="0022356D"/>
    <w:rsid w:val="00233D07"/>
    <w:rsid w:val="0024606F"/>
    <w:rsid w:val="00250C2A"/>
    <w:rsid w:val="00252EFD"/>
    <w:rsid w:val="00257C16"/>
    <w:rsid w:val="002676E0"/>
    <w:rsid w:val="00267FFB"/>
    <w:rsid w:val="00282D09"/>
    <w:rsid w:val="002852B9"/>
    <w:rsid w:val="00285BB9"/>
    <w:rsid w:val="00287E2C"/>
    <w:rsid w:val="00290705"/>
    <w:rsid w:val="0029157A"/>
    <w:rsid w:val="00294003"/>
    <w:rsid w:val="002B24BF"/>
    <w:rsid w:val="002B7D14"/>
    <w:rsid w:val="002C0D79"/>
    <w:rsid w:val="002C225C"/>
    <w:rsid w:val="002D1A87"/>
    <w:rsid w:val="002D3C7B"/>
    <w:rsid w:val="002D7FCE"/>
    <w:rsid w:val="002E20E0"/>
    <w:rsid w:val="002E5CFB"/>
    <w:rsid w:val="002F50E9"/>
    <w:rsid w:val="00312134"/>
    <w:rsid w:val="003135A9"/>
    <w:rsid w:val="00322B03"/>
    <w:rsid w:val="00322DB9"/>
    <w:rsid w:val="003248D5"/>
    <w:rsid w:val="00325729"/>
    <w:rsid w:val="003270A0"/>
    <w:rsid w:val="00336583"/>
    <w:rsid w:val="003372F8"/>
    <w:rsid w:val="0035080E"/>
    <w:rsid w:val="003517EE"/>
    <w:rsid w:val="003605D4"/>
    <w:rsid w:val="00363B37"/>
    <w:rsid w:val="00376816"/>
    <w:rsid w:val="0038112C"/>
    <w:rsid w:val="00381E0B"/>
    <w:rsid w:val="00384CA3"/>
    <w:rsid w:val="003854A1"/>
    <w:rsid w:val="003859FA"/>
    <w:rsid w:val="00387AD9"/>
    <w:rsid w:val="00390AAA"/>
    <w:rsid w:val="003A4DCE"/>
    <w:rsid w:val="003B421D"/>
    <w:rsid w:val="003B6BE2"/>
    <w:rsid w:val="003C4D72"/>
    <w:rsid w:val="003D1F03"/>
    <w:rsid w:val="003D4D3D"/>
    <w:rsid w:val="003D532C"/>
    <w:rsid w:val="003E1100"/>
    <w:rsid w:val="003E446E"/>
    <w:rsid w:val="003E6610"/>
    <w:rsid w:val="003F3235"/>
    <w:rsid w:val="00400FE6"/>
    <w:rsid w:val="004035BD"/>
    <w:rsid w:val="004119E6"/>
    <w:rsid w:val="00415E08"/>
    <w:rsid w:val="00436C63"/>
    <w:rsid w:val="00437F5B"/>
    <w:rsid w:val="00450234"/>
    <w:rsid w:val="00457EEF"/>
    <w:rsid w:val="004673D0"/>
    <w:rsid w:val="00474F31"/>
    <w:rsid w:val="0047557A"/>
    <w:rsid w:val="00481C60"/>
    <w:rsid w:val="00481C81"/>
    <w:rsid w:val="00484264"/>
    <w:rsid w:val="004942F5"/>
    <w:rsid w:val="00495A10"/>
    <w:rsid w:val="004A04E5"/>
    <w:rsid w:val="004A4CB5"/>
    <w:rsid w:val="004A5CDA"/>
    <w:rsid w:val="004A6E51"/>
    <w:rsid w:val="004A7A52"/>
    <w:rsid w:val="004B3ACF"/>
    <w:rsid w:val="004B4233"/>
    <w:rsid w:val="004B7638"/>
    <w:rsid w:val="004C4936"/>
    <w:rsid w:val="004C6071"/>
    <w:rsid w:val="004C7666"/>
    <w:rsid w:val="004C7705"/>
    <w:rsid w:val="004E23D8"/>
    <w:rsid w:val="004E384D"/>
    <w:rsid w:val="004E4636"/>
    <w:rsid w:val="004F3D90"/>
    <w:rsid w:val="00500B08"/>
    <w:rsid w:val="00503713"/>
    <w:rsid w:val="00506156"/>
    <w:rsid w:val="00506D0B"/>
    <w:rsid w:val="00522294"/>
    <w:rsid w:val="00524736"/>
    <w:rsid w:val="00525881"/>
    <w:rsid w:val="005265AE"/>
    <w:rsid w:val="005318DA"/>
    <w:rsid w:val="00545ECF"/>
    <w:rsid w:val="00547435"/>
    <w:rsid w:val="005514F8"/>
    <w:rsid w:val="00573EA4"/>
    <w:rsid w:val="0057610F"/>
    <w:rsid w:val="00580C80"/>
    <w:rsid w:val="00582C06"/>
    <w:rsid w:val="005A4387"/>
    <w:rsid w:val="005A73BF"/>
    <w:rsid w:val="005C4F38"/>
    <w:rsid w:val="005D3C3C"/>
    <w:rsid w:val="005E3B16"/>
    <w:rsid w:val="005E534B"/>
    <w:rsid w:val="005E73BD"/>
    <w:rsid w:val="005F29F5"/>
    <w:rsid w:val="00603415"/>
    <w:rsid w:val="00605FF2"/>
    <w:rsid w:val="00606B11"/>
    <w:rsid w:val="00623631"/>
    <w:rsid w:val="00626B2B"/>
    <w:rsid w:val="0063176A"/>
    <w:rsid w:val="00632639"/>
    <w:rsid w:val="00640B5A"/>
    <w:rsid w:val="00640CCC"/>
    <w:rsid w:val="00644992"/>
    <w:rsid w:val="006452C0"/>
    <w:rsid w:val="0065019B"/>
    <w:rsid w:val="006529FD"/>
    <w:rsid w:val="006658AA"/>
    <w:rsid w:val="00667A90"/>
    <w:rsid w:val="00670FA1"/>
    <w:rsid w:val="006763B3"/>
    <w:rsid w:val="00680A46"/>
    <w:rsid w:val="00681D24"/>
    <w:rsid w:val="00684440"/>
    <w:rsid w:val="0068712E"/>
    <w:rsid w:val="006939C3"/>
    <w:rsid w:val="006943F8"/>
    <w:rsid w:val="0069637F"/>
    <w:rsid w:val="00696801"/>
    <w:rsid w:val="006A0D95"/>
    <w:rsid w:val="006A451F"/>
    <w:rsid w:val="006A53ED"/>
    <w:rsid w:val="006C7322"/>
    <w:rsid w:val="006D1A7C"/>
    <w:rsid w:val="006D401A"/>
    <w:rsid w:val="006E2437"/>
    <w:rsid w:val="006E2C7B"/>
    <w:rsid w:val="006E2C8D"/>
    <w:rsid w:val="006E3E02"/>
    <w:rsid w:val="006E625F"/>
    <w:rsid w:val="006F2574"/>
    <w:rsid w:val="006F2FAD"/>
    <w:rsid w:val="007075A2"/>
    <w:rsid w:val="007103B0"/>
    <w:rsid w:val="00710925"/>
    <w:rsid w:val="00711B4A"/>
    <w:rsid w:val="007131F3"/>
    <w:rsid w:val="0071586F"/>
    <w:rsid w:val="00744637"/>
    <w:rsid w:val="0074680A"/>
    <w:rsid w:val="00750946"/>
    <w:rsid w:val="007512DA"/>
    <w:rsid w:val="00754394"/>
    <w:rsid w:val="00754A31"/>
    <w:rsid w:val="007567B5"/>
    <w:rsid w:val="00762C60"/>
    <w:rsid w:val="00766583"/>
    <w:rsid w:val="00770F4C"/>
    <w:rsid w:val="007806A8"/>
    <w:rsid w:val="00787C68"/>
    <w:rsid w:val="00790A65"/>
    <w:rsid w:val="00791E81"/>
    <w:rsid w:val="00792A51"/>
    <w:rsid w:val="00794595"/>
    <w:rsid w:val="00797440"/>
    <w:rsid w:val="007B25C0"/>
    <w:rsid w:val="007B55F4"/>
    <w:rsid w:val="007C022C"/>
    <w:rsid w:val="007C03EA"/>
    <w:rsid w:val="007C1BE6"/>
    <w:rsid w:val="007C7319"/>
    <w:rsid w:val="007D472B"/>
    <w:rsid w:val="007E0945"/>
    <w:rsid w:val="007E0B8C"/>
    <w:rsid w:val="007E76B3"/>
    <w:rsid w:val="007F2CF2"/>
    <w:rsid w:val="00801066"/>
    <w:rsid w:val="00806CCD"/>
    <w:rsid w:val="00812276"/>
    <w:rsid w:val="008123BD"/>
    <w:rsid w:val="00812755"/>
    <w:rsid w:val="0081649B"/>
    <w:rsid w:val="00817ECF"/>
    <w:rsid w:val="0082199A"/>
    <w:rsid w:val="008221C0"/>
    <w:rsid w:val="00822790"/>
    <w:rsid w:val="00823215"/>
    <w:rsid w:val="008429A1"/>
    <w:rsid w:val="0084662D"/>
    <w:rsid w:val="008472A8"/>
    <w:rsid w:val="00847D9A"/>
    <w:rsid w:val="00854CD2"/>
    <w:rsid w:val="00857AD9"/>
    <w:rsid w:val="0086430F"/>
    <w:rsid w:val="0086667B"/>
    <w:rsid w:val="008705C9"/>
    <w:rsid w:val="008760F6"/>
    <w:rsid w:val="00883667"/>
    <w:rsid w:val="008841B7"/>
    <w:rsid w:val="00886725"/>
    <w:rsid w:val="00887134"/>
    <w:rsid w:val="0089274E"/>
    <w:rsid w:val="00892B97"/>
    <w:rsid w:val="00893D69"/>
    <w:rsid w:val="00896035"/>
    <w:rsid w:val="008A0CA3"/>
    <w:rsid w:val="008A53BD"/>
    <w:rsid w:val="008A781A"/>
    <w:rsid w:val="008B4225"/>
    <w:rsid w:val="008B4B23"/>
    <w:rsid w:val="008B56B6"/>
    <w:rsid w:val="008C27F7"/>
    <w:rsid w:val="008C3BC3"/>
    <w:rsid w:val="008E105C"/>
    <w:rsid w:val="008E26FB"/>
    <w:rsid w:val="008E7B2D"/>
    <w:rsid w:val="008F05E7"/>
    <w:rsid w:val="008F18E2"/>
    <w:rsid w:val="008F1F84"/>
    <w:rsid w:val="008F245F"/>
    <w:rsid w:val="008F43A5"/>
    <w:rsid w:val="008F4554"/>
    <w:rsid w:val="008F4A3E"/>
    <w:rsid w:val="00905CCB"/>
    <w:rsid w:val="00930E9D"/>
    <w:rsid w:val="00935D58"/>
    <w:rsid w:val="00940CCF"/>
    <w:rsid w:val="00942962"/>
    <w:rsid w:val="00954E0A"/>
    <w:rsid w:val="00961CC4"/>
    <w:rsid w:val="009624CA"/>
    <w:rsid w:val="0096381A"/>
    <w:rsid w:val="009705AD"/>
    <w:rsid w:val="00971D07"/>
    <w:rsid w:val="00975E4B"/>
    <w:rsid w:val="00980587"/>
    <w:rsid w:val="009820C4"/>
    <w:rsid w:val="00997F4D"/>
    <w:rsid w:val="009C0D02"/>
    <w:rsid w:val="009C5FDC"/>
    <w:rsid w:val="009D22A8"/>
    <w:rsid w:val="009E0BCB"/>
    <w:rsid w:val="009E2382"/>
    <w:rsid w:val="009E24EA"/>
    <w:rsid w:val="009E413D"/>
    <w:rsid w:val="009F277F"/>
    <w:rsid w:val="009F6601"/>
    <w:rsid w:val="00A03F5B"/>
    <w:rsid w:val="00A045A4"/>
    <w:rsid w:val="00A05217"/>
    <w:rsid w:val="00A10644"/>
    <w:rsid w:val="00A11BC6"/>
    <w:rsid w:val="00A15E4A"/>
    <w:rsid w:val="00A3032E"/>
    <w:rsid w:val="00A33524"/>
    <w:rsid w:val="00A4097D"/>
    <w:rsid w:val="00A4356C"/>
    <w:rsid w:val="00A50A9F"/>
    <w:rsid w:val="00A51CED"/>
    <w:rsid w:val="00A646E7"/>
    <w:rsid w:val="00A70753"/>
    <w:rsid w:val="00A71093"/>
    <w:rsid w:val="00A8184B"/>
    <w:rsid w:val="00A81DD0"/>
    <w:rsid w:val="00A87E00"/>
    <w:rsid w:val="00A91B78"/>
    <w:rsid w:val="00AA0852"/>
    <w:rsid w:val="00AA3656"/>
    <w:rsid w:val="00AA48F1"/>
    <w:rsid w:val="00AB0D0D"/>
    <w:rsid w:val="00AB776E"/>
    <w:rsid w:val="00AC0C17"/>
    <w:rsid w:val="00AC12C7"/>
    <w:rsid w:val="00AC259C"/>
    <w:rsid w:val="00AE7789"/>
    <w:rsid w:val="00AF06C6"/>
    <w:rsid w:val="00B02C07"/>
    <w:rsid w:val="00B079D0"/>
    <w:rsid w:val="00B16060"/>
    <w:rsid w:val="00B214A7"/>
    <w:rsid w:val="00B23E56"/>
    <w:rsid w:val="00B3574C"/>
    <w:rsid w:val="00B408E3"/>
    <w:rsid w:val="00B63855"/>
    <w:rsid w:val="00B63D46"/>
    <w:rsid w:val="00B70F27"/>
    <w:rsid w:val="00B71258"/>
    <w:rsid w:val="00B727F9"/>
    <w:rsid w:val="00B72C75"/>
    <w:rsid w:val="00B8355A"/>
    <w:rsid w:val="00B90DF2"/>
    <w:rsid w:val="00B95073"/>
    <w:rsid w:val="00B95B04"/>
    <w:rsid w:val="00BA36DD"/>
    <w:rsid w:val="00BA51C3"/>
    <w:rsid w:val="00BA5D97"/>
    <w:rsid w:val="00BB1C73"/>
    <w:rsid w:val="00BB27B7"/>
    <w:rsid w:val="00BB6AC6"/>
    <w:rsid w:val="00BC4E5E"/>
    <w:rsid w:val="00BC60FB"/>
    <w:rsid w:val="00BD2A84"/>
    <w:rsid w:val="00BD6259"/>
    <w:rsid w:val="00BE2943"/>
    <w:rsid w:val="00BE6B7F"/>
    <w:rsid w:val="00BF1622"/>
    <w:rsid w:val="00C045EF"/>
    <w:rsid w:val="00C0639A"/>
    <w:rsid w:val="00C06B7B"/>
    <w:rsid w:val="00C139D8"/>
    <w:rsid w:val="00C16564"/>
    <w:rsid w:val="00C21D89"/>
    <w:rsid w:val="00C234EB"/>
    <w:rsid w:val="00C3191F"/>
    <w:rsid w:val="00C344F2"/>
    <w:rsid w:val="00C40356"/>
    <w:rsid w:val="00C4048E"/>
    <w:rsid w:val="00C41CF4"/>
    <w:rsid w:val="00C4358D"/>
    <w:rsid w:val="00C4518F"/>
    <w:rsid w:val="00C45BBE"/>
    <w:rsid w:val="00C7691A"/>
    <w:rsid w:val="00C83D46"/>
    <w:rsid w:val="00C87319"/>
    <w:rsid w:val="00C9152B"/>
    <w:rsid w:val="00C93DDB"/>
    <w:rsid w:val="00C95643"/>
    <w:rsid w:val="00CB4862"/>
    <w:rsid w:val="00CB534A"/>
    <w:rsid w:val="00CB6225"/>
    <w:rsid w:val="00CC0505"/>
    <w:rsid w:val="00CC3844"/>
    <w:rsid w:val="00CC6122"/>
    <w:rsid w:val="00CD1745"/>
    <w:rsid w:val="00CE01DF"/>
    <w:rsid w:val="00CE6235"/>
    <w:rsid w:val="00CE62A5"/>
    <w:rsid w:val="00D04D85"/>
    <w:rsid w:val="00D06D1E"/>
    <w:rsid w:val="00D1270E"/>
    <w:rsid w:val="00D24E90"/>
    <w:rsid w:val="00D26210"/>
    <w:rsid w:val="00D307D4"/>
    <w:rsid w:val="00D4131E"/>
    <w:rsid w:val="00D423DF"/>
    <w:rsid w:val="00D51DD6"/>
    <w:rsid w:val="00D51E50"/>
    <w:rsid w:val="00D5331B"/>
    <w:rsid w:val="00D53AAF"/>
    <w:rsid w:val="00D53CCF"/>
    <w:rsid w:val="00D550C3"/>
    <w:rsid w:val="00D55A81"/>
    <w:rsid w:val="00D624C8"/>
    <w:rsid w:val="00D74AE7"/>
    <w:rsid w:val="00D77CB7"/>
    <w:rsid w:val="00D81CD9"/>
    <w:rsid w:val="00D8722F"/>
    <w:rsid w:val="00D936B2"/>
    <w:rsid w:val="00D93CAF"/>
    <w:rsid w:val="00D9568B"/>
    <w:rsid w:val="00DA5851"/>
    <w:rsid w:val="00DB167A"/>
    <w:rsid w:val="00DB4A49"/>
    <w:rsid w:val="00DB5D89"/>
    <w:rsid w:val="00DC093F"/>
    <w:rsid w:val="00DC09CA"/>
    <w:rsid w:val="00DD1E2A"/>
    <w:rsid w:val="00DD2A5C"/>
    <w:rsid w:val="00DE0D5A"/>
    <w:rsid w:val="00DE0EE9"/>
    <w:rsid w:val="00DE1F04"/>
    <w:rsid w:val="00DE333F"/>
    <w:rsid w:val="00DF2116"/>
    <w:rsid w:val="00DF26BE"/>
    <w:rsid w:val="00DF722D"/>
    <w:rsid w:val="00E06182"/>
    <w:rsid w:val="00E076B7"/>
    <w:rsid w:val="00E136F4"/>
    <w:rsid w:val="00E14CCD"/>
    <w:rsid w:val="00E24A23"/>
    <w:rsid w:val="00E25581"/>
    <w:rsid w:val="00E3106B"/>
    <w:rsid w:val="00E32FC3"/>
    <w:rsid w:val="00E337A9"/>
    <w:rsid w:val="00E42362"/>
    <w:rsid w:val="00E44F89"/>
    <w:rsid w:val="00E506FB"/>
    <w:rsid w:val="00E52596"/>
    <w:rsid w:val="00E640A1"/>
    <w:rsid w:val="00E648C9"/>
    <w:rsid w:val="00E65701"/>
    <w:rsid w:val="00E6575E"/>
    <w:rsid w:val="00E66AD6"/>
    <w:rsid w:val="00E723F3"/>
    <w:rsid w:val="00E73EA8"/>
    <w:rsid w:val="00E80993"/>
    <w:rsid w:val="00E81316"/>
    <w:rsid w:val="00E86C5B"/>
    <w:rsid w:val="00E96CE2"/>
    <w:rsid w:val="00E97A69"/>
    <w:rsid w:val="00EA159A"/>
    <w:rsid w:val="00EA34CE"/>
    <w:rsid w:val="00EA696D"/>
    <w:rsid w:val="00EA7FC7"/>
    <w:rsid w:val="00EB19F5"/>
    <w:rsid w:val="00EB1FB0"/>
    <w:rsid w:val="00EB2B71"/>
    <w:rsid w:val="00EC2196"/>
    <w:rsid w:val="00ED2EE5"/>
    <w:rsid w:val="00EE2C0E"/>
    <w:rsid w:val="00EE3AAB"/>
    <w:rsid w:val="00EE6853"/>
    <w:rsid w:val="00EF588E"/>
    <w:rsid w:val="00F05C46"/>
    <w:rsid w:val="00F124A2"/>
    <w:rsid w:val="00F14E2C"/>
    <w:rsid w:val="00F17793"/>
    <w:rsid w:val="00F24B6E"/>
    <w:rsid w:val="00F31C02"/>
    <w:rsid w:val="00F34A5F"/>
    <w:rsid w:val="00F34F88"/>
    <w:rsid w:val="00F4236A"/>
    <w:rsid w:val="00F50896"/>
    <w:rsid w:val="00F6008A"/>
    <w:rsid w:val="00F62B99"/>
    <w:rsid w:val="00F62FCB"/>
    <w:rsid w:val="00F64ADE"/>
    <w:rsid w:val="00F64D06"/>
    <w:rsid w:val="00F90615"/>
    <w:rsid w:val="00F93842"/>
    <w:rsid w:val="00FA0061"/>
    <w:rsid w:val="00FA16DF"/>
    <w:rsid w:val="00FA1EE1"/>
    <w:rsid w:val="00FB5215"/>
    <w:rsid w:val="00FB65AD"/>
    <w:rsid w:val="00FC14C9"/>
    <w:rsid w:val="00FC7BDF"/>
    <w:rsid w:val="00FD0594"/>
    <w:rsid w:val="00FE11AC"/>
    <w:rsid w:val="00FE16D4"/>
    <w:rsid w:val="00FE6DEC"/>
    <w:rsid w:val="00FE70CF"/>
    <w:rsid w:val="00FF30F4"/>
    <w:rsid w:val="1A1116AA"/>
    <w:rsid w:val="23FA1DBF"/>
    <w:rsid w:val="255F3A5A"/>
    <w:rsid w:val="26134720"/>
    <w:rsid w:val="29465029"/>
    <w:rsid w:val="2EB0295F"/>
    <w:rsid w:val="3CB14CE6"/>
    <w:rsid w:val="42D26023"/>
    <w:rsid w:val="6FD3711B"/>
    <w:rsid w:val="78203DBB"/>
    <w:rsid w:val="7944481D"/>
    <w:rsid w:val="7AFB4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0"/>
    <w:pPr>
      <w:keepNext/>
      <w:keepLines/>
      <w:adjustRightInd w:val="0"/>
      <w:spacing w:before="340" w:after="330" w:line="578" w:lineRule="auto"/>
      <w:textAlignment w:val="baseline"/>
      <w:outlineLvl w:val="0"/>
    </w:pPr>
    <w:rPr>
      <w:rFonts w:ascii="Arial" w:hAnsi="Arial" w:cs="Times New Roman"/>
      <w:b/>
      <w:bCs/>
      <w:kern w:val="44"/>
      <w:sz w:val="44"/>
      <w:szCs w:val="44"/>
    </w:rPr>
  </w:style>
  <w:style w:type="paragraph" w:styleId="3">
    <w:name w:val="heading 3"/>
    <w:basedOn w:val="1"/>
    <w:next w:val="1"/>
    <w:link w:val="30"/>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28"/>
    <w:qFormat/>
    <w:uiPriority w:val="99"/>
    <w:pPr>
      <w:spacing w:line="360" w:lineRule="auto"/>
      <w:ind w:firstLine="420" w:firstLineChars="200"/>
    </w:pPr>
    <w:rPr>
      <w:rFonts w:ascii="Times New Roman" w:hAnsi="Times New Roman" w:cs="Times New Roman"/>
      <w:sz w:val="24"/>
      <w:szCs w:val="20"/>
    </w:rPr>
  </w:style>
  <w:style w:type="paragraph" w:styleId="5">
    <w:name w:val="Body Text Indent"/>
    <w:basedOn w:val="1"/>
    <w:link w:val="31"/>
    <w:unhideWhenUsed/>
    <w:qFormat/>
    <w:uiPriority w:val="0"/>
    <w:pPr>
      <w:spacing w:after="120"/>
      <w:ind w:left="420" w:leftChars="200"/>
    </w:pPr>
    <w:rPr>
      <w:rFonts w:ascii="Times New Roman" w:hAnsi="Times New Roman" w:cs="Times New Roman"/>
      <w:szCs w:val="24"/>
    </w:rPr>
  </w:style>
  <w:style w:type="paragraph" w:styleId="6">
    <w:name w:val="Plain Text"/>
    <w:basedOn w:val="1"/>
    <w:link w:val="24"/>
    <w:qFormat/>
    <w:uiPriority w:val="0"/>
    <w:rPr>
      <w:rFonts w:ascii="宋体" w:hAnsi="Courier New" w:cs="Times New Roman"/>
      <w:szCs w:val="20"/>
    </w:rPr>
  </w:style>
  <w:style w:type="paragraph" w:styleId="7">
    <w:name w:val="Date"/>
    <w:basedOn w:val="1"/>
    <w:next w:val="1"/>
    <w:link w:val="21"/>
    <w:qFormat/>
    <w:uiPriority w:val="0"/>
    <w:pPr>
      <w:ind w:left="100" w:leftChars="2500"/>
    </w:pPr>
  </w:style>
  <w:style w:type="paragraph" w:styleId="8">
    <w:name w:val="Balloon Text"/>
    <w:basedOn w:val="1"/>
    <w:link w:val="18"/>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character" w:styleId="14">
    <w:name w:val="Hyperlink"/>
    <w:basedOn w:val="13"/>
    <w:unhideWhenUsed/>
    <w:qFormat/>
    <w:uiPriority w:val="99"/>
    <w:rPr>
      <w:color w:val="0000FF"/>
      <w:u w:val="single"/>
    </w:rPr>
  </w:style>
  <w:style w:type="table" w:styleId="16">
    <w:name w:val="Table Grid"/>
    <w:basedOn w:val="1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7">
    <w:name w:val="No Spacing"/>
    <w:link w:val="23"/>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批注框文本 Char"/>
    <w:basedOn w:val="13"/>
    <w:link w:val="8"/>
    <w:qFormat/>
    <w:uiPriority w:val="0"/>
    <w:rPr>
      <w:rFonts w:ascii="Calibri" w:hAnsi="Calibri" w:cs="黑体"/>
      <w:kern w:val="2"/>
      <w:sz w:val="18"/>
      <w:szCs w:val="18"/>
    </w:rPr>
  </w:style>
  <w:style w:type="character" w:customStyle="1" w:styleId="19">
    <w:name w:val="页眉 Char"/>
    <w:basedOn w:val="13"/>
    <w:link w:val="10"/>
    <w:qFormat/>
    <w:uiPriority w:val="99"/>
    <w:rPr>
      <w:rFonts w:ascii="Calibri" w:hAnsi="Calibri" w:cs="黑体"/>
      <w:kern w:val="2"/>
      <w:sz w:val="18"/>
      <w:szCs w:val="18"/>
    </w:rPr>
  </w:style>
  <w:style w:type="paragraph" w:styleId="20">
    <w:name w:val="List Paragraph"/>
    <w:basedOn w:val="1"/>
    <w:qFormat/>
    <w:uiPriority w:val="99"/>
    <w:pPr>
      <w:ind w:firstLine="420" w:firstLineChars="200"/>
    </w:pPr>
    <w:rPr>
      <w:rFonts w:ascii="Times New Roman" w:hAnsi="Times New Roman" w:cs="Times New Roman"/>
      <w:szCs w:val="24"/>
    </w:rPr>
  </w:style>
  <w:style w:type="character" w:customStyle="1" w:styleId="21">
    <w:name w:val="日期 Char"/>
    <w:basedOn w:val="13"/>
    <w:link w:val="7"/>
    <w:qFormat/>
    <w:uiPriority w:val="0"/>
    <w:rPr>
      <w:rFonts w:ascii="Calibri" w:hAnsi="Calibri" w:cs="黑体"/>
      <w:kern w:val="2"/>
      <w:sz w:val="21"/>
      <w:szCs w:val="22"/>
    </w:rPr>
  </w:style>
  <w:style w:type="paragraph" w:customStyle="1" w:styleId="2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无间隔 Char"/>
    <w:link w:val="17"/>
    <w:qFormat/>
    <w:uiPriority w:val="1"/>
    <w:rPr>
      <w:kern w:val="2"/>
      <w:sz w:val="21"/>
      <w:szCs w:val="24"/>
    </w:rPr>
  </w:style>
  <w:style w:type="character" w:customStyle="1" w:styleId="24">
    <w:name w:val="纯文本 Char"/>
    <w:basedOn w:val="13"/>
    <w:link w:val="6"/>
    <w:qFormat/>
    <w:uiPriority w:val="0"/>
    <w:rPr>
      <w:rFonts w:ascii="宋体" w:hAnsi="Courier New"/>
      <w:kern w:val="2"/>
      <w:sz w:val="21"/>
    </w:rPr>
  </w:style>
  <w:style w:type="paragraph" w:customStyle="1" w:styleId="25">
    <w:name w:val="正文1"/>
    <w:basedOn w:val="1"/>
    <w:qFormat/>
    <w:uiPriority w:val="0"/>
    <w:pPr>
      <w:adjustRightInd w:val="0"/>
      <w:spacing w:line="360" w:lineRule="atLeast"/>
      <w:jc w:val="left"/>
      <w:textAlignment w:val="baseline"/>
    </w:pPr>
    <w:rPr>
      <w:rFonts w:ascii="宋体" w:hAnsi="Times New Roman" w:cs="Times New Roman"/>
      <w:kern w:val="0"/>
      <w:sz w:val="24"/>
      <w:szCs w:val="20"/>
    </w:rPr>
  </w:style>
  <w:style w:type="character" w:customStyle="1" w:styleId="26">
    <w:name w:val="标题 1 Char"/>
    <w:basedOn w:val="13"/>
    <w:link w:val="2"/>
    <w:uiPriority w:val="0"/>
    <w:rPr>
      <w:rFonts w:ascii="Arial" w:hAnsi="Arial"/>
      <w:b/>
      <w:bCs/>
      <w:kern w:val="44"/>
      <w:sz w:val="44"/>
      <w:szCs w:val="44"/>
    </w:rPr>
  </w:style>
  <w:style w:type="paragraph" w:customStyle="1" w:styleId="27">
    <w:name w:val="Char Char Char Char Char Char Char"/>
    <w:basedOn w:val="1"/>
    <w:uiPriority w:val="0"/>
    <w:rPr>
      <w:rFonts w:ascii="Times New Roman" w:hAnsi="Times New Roman" w:cs="Times New Roman"/>
      <w:szCs w:val="24"/>
    </w:rPr>
  </w:style>
  <w:style w:type="character" w:customStyle="1" w:styleId="28">
    <w:name w:val="正文缩进 Char"/>
    <w:link w:val="4"/>
    <w:locked/>
    <w:uiPriority w:val="99"/>
    <w:rPr>
      <w:kern w:val="2"/>
      <w:sz w:val="24"/>
    </w:rPr>
  </w:style>
  <w:style w:type="paragraph" w:customStyle="1" w:styleId="29">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0">
    <w:name w:val="标题 3 Char"/>
    <w:basedOn w:val="13"/>
    <w:link w:val="3"/>
    <w:semiHidden/>
    <w:uiPriority w:val="0"/>
    <w:rPr>
      <w:rFonts w:ascii="Calibri" w:hAnsi="Calibri" w:cs="黑体"/>
      <w:b/>
      <w:bCs/>
      <w:kern w:val="2"/>
      <w:sz w:val="32"/>
      <w:szCs w:val="32"/>
    </w:rPr>
  </w:style>
  <w:style w:type="character" w:customStyle="1" w:styleId="31">
    <w:name w:val="正文文本缩进 Char"/>
    <w:basedOn w:val="13"/>
    <w:link w:val="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6E0E3-AEBC-4B34-8215-8662A93175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641</Words>
  <Characters>3657</Characters>
  <Lines>30</Lines>
  <Paragraphs>8</Paragraphs>
  <TotalTime>318</TotalTime>
  <ScaleCrop>false</ScaleCrop>
  <LinksUpToDate>false</LinksUpToDate>
  <CharactersWithSpaces>4290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2020-07-09T07:29:00Z</dcterms:created>
  <dc:creator>刘纯全/BFGS/CHNG</dc:creator>
  <cp:lastModifiedBy>马涛951/BFGS/CHNG</cp:lastModifiedBy>
  <cp:lastPrinted>2020-07-14T00:48:00Z</cp:lastPrinted>
  <dcterms:modified xsi:type="dcterms:W3CDTF">2020-09-23T07:06:34Z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