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outlineLvl w:val="9"/>
        <w:rPr>
          <w:rFonts w:hint="eastAsia" w:ascii="宋体" w:hAnsi="宋体" w:eastAsia="宋体"/>
          <w:b/>
          <w:szCs w:val="28"/>
        </w:rPr>
      </w:pPr>
      <w:bookmarkStart w:id="0" w:name="_Toc5794"/>
      <w:bookmarkStart w:id="1" w:name="_Toc10863"/>
      <w:bookmarkStart w:id="2" w:name="_Toc7067"/>
      <w:bookmarkStart w:id="3" w:name="_Toc492541988"/>
      <w:r>
        <w:rPr>
          <w:rFonts w:hint="eastAsia" w:ascii="宋体" w:hAnsi="宋体" w:eastAsia="宋体"/>
          <w:b/>
          <w:szCs w:val="28"/>
        </w:rPr>
        <w:t>附件1：</w:t>
      </w:r>
      <w:bookmarkEnd w:id="0"/>
      <w:r>
        <w:rPr>
          <w:rFonts w:hint="eastAsia" w:ascii="宋体" w:hAnsi="宋体" w:eastAsia="宋体"/>
          <w:b/>
          <w:szCs w:val="28"/>
        </w:rPr>
        <w:t xml:space="preserve">    </w:t>
      </w:r>
      <w:bookmarkEnd w:id="1"/>
      <w:bookmarkEnd w:id="2"/>
      <w:bookmarkEnd w:id="3"/>
      <w:bookmarkStart w:id="4" w:name="_Toc15615"/>
      <w:bookmarkStart w:id="5" w:name="_Toc492541989"/>
    </w:p>
    <w:p>
      <w:pPr>
        <w:tabs>
          <w:tab w:val="center" w:pos="4620"/>
          <w:tab w:val="left" w:pos="6720"/>
        </w:tabs>
        <w:snapToGrid w:val="0"/>
        <w:spacing w:line="360" w:lineRule="auto"/>
        <w:jc w:val="center"/>
        <w:rPr>
          <w:rFonts w:hint="eastAsia" w:ascii="宋体" w:hAnsi="宋体" w:eastAsia="宋体"/>
          <w:b/>
          <w:sz w:val="28"/>
          <w:szCs w:val="28"/>
          <w:lang w:eastAsia="zh-CN"/>
        </w:rPr>
      </w:pPr>
      <w:bookmarkStart w:id="6" w:name="_Toc4837"/>
      <w:r>
        <w:rPr>
          <w:rFonts w:hint="eastAsia" w:ascii="宋体" w:hAnsi="宋体" w:eastAsia="宋体"/>
          <w:b/>
          <w:sz w:val="28"/>
          <w:szCs w:val="28"/>
          <w:lang w:eastAsia="zh-CN"/>
        </w:rPr>
        <w:t>成都枢纽扩能改造工程低压电缆采购</w:t>
      </w:r>
    </w:p>
    <w:p>
      <w:pPr>
        <w:pStyle w:val="7"/>
        <w:spacing w:line="360" w:lineRule="auto"/>
        <w:ind w:firstLine="281" w:firstLineChars="100"/>
        <w:jc w:val="center"/>
        <w:outlineLvl w:val="9"/>
        <w:rPr>
          <w:rFonts w:ascii="宋体" w:hAnsi="宋体"/>
          <w:b/>
          <w:bCs/>
          <w:color w:val="000000"/>
          <w:sz w:val="24"/>
          <w:szCs w:val="21"/>
        </w:rPr>
      </w:pPr>
      <w:r>
        <w:rPr>
          <w:rFonts w:hint="eastAsia" w:ascii="宋体" w:hAnsi="宋体" w:eastAsia="宋体"/>
          <w:b/>
          <w:szCs w:val="28"/>
          <w:lang w:eastAsia="zh-CN"/>
        </w:rPr>
        <w:t>竞争性谈判</w:t>
      </w:r>
      <w:r>
        <w:rPr>
          <w:rFonts w:hint="eastAsia" w:ascii="宋体" w:hAnsi="宋体" w:eastAsia="宋体"/>
          <w:b/>
          <w:szCs w:val="28"/>
        </w:rPr>
        <w:t>包件一览表</w:t>
      </w:r>
      <w:bookmarkEnd w:id="6"/>
    </w:p>
    <w:p>
      <w:pPr>
        <w:pStyle w:val="7"/>
        <w:spacing w:line="360" w:lineRule="auto"/>
        <w:outlineLvl w:val="9"/>
        <w:rPr>
          <w:rFonts w:hint="eastAsia" w:ascii="宋体" w:hAnsi="宋体" w:eastAsia="宋体"/>
          <w:b/>
          <w:sz w:val="22"/>
          <w:szCs w:val="22"/>
          <w:lang w:eastAsia="zh-CN"/>
        </w:rPr>
      </w:pPr>
      <w:bookmarkStart w:id="7" w:name="_Toc19862"/>
      <w:bookmarkStart w:id="8" w:name="_Toc21311"/>
      <w:r>
        <w:rPr>
          <w:rFonts w:hint="eastAsia" w:ascii="宋体" w:hAnsi="宋体" w:eastAsia="宋体"/>
          <w:b/>
          <w:sz w:val="21"/>
          <w:szCs w:val="21"/>
        </w:rPr>
        <w:t>填制单位：</w:t>
      </w:r>
      <w:bookmarkStart w:id="9" w:name="OLE_LINK13"/>
      <w:r>
        <w:rPr>
          <w:rFonts w:hint="eastAsia" w:ascii="宋体" w:hAnsi="宋体" w:eastAsia="宋体"/>
          <w:b/>
          <w:sz w:val="21"/>
          <w:szCs w:val="21"/>
        </w:rPr>
        <w:t>中铁电气化局集团有限公司西安电气化工程分公司</w:t>
      </w:r>
      <w:r>
        <w:rPr>
          <w:rFonts w:hint="eastAsia" w:ascii="宋体" w:hAnsi="宋体" w:eastAsia="宋体"/>
          <w:b/>
          <w:sz w:val="21"/>
          <w:szCs w:val="21"/>
          <w:lang w:eastAsia="zh-CN"/>
        </w:rPr>
        <w:t>西成客专成都枢纽配套还建道岔工区项目部</w:t>
      </w:r>
      <w:r>
        <w:rPr>
          <w:rFonts w:hint="eastAsia" w:ascii="宋体" w:hAnsi="宋体" w:eastAsia="宋体"/>
          <w:b/>
          <w:sz w:val="21"/>
          <w:szCs w:val="21"/>
        </w:rPr>
        <w:t xml:space="preserve">                       </w:t>
      </w:r>
      <w:bookmarkEnd w:id="4"/>
      <w:bookmarkEnd w:id="5"/>
      <w:bookmarkEnd w:id="7"/>
      <w:bookmarkEnd w:id="8"/>
      <w:bookmarkEnd w:id="9"/>
      <w:r>
        <w:rPr>
          <w:rFonts w:hint="eastAsia" w:ascii="宋体" w:hAnsi="宋体" w:eastAsia="宋体"/>
          <w:b/>
          <w:sz w:val="21"/>
          <w:szCs w:val="21"/>
          <w:lang w:val="en-US" w:eastAsia="zh-CN"/>
        </w:rPr>
        <w:t>谈判编号：CDSN2020-01TP</w:t>
      </w:r>
    </w:p>
    <w:tbl>
      <w:tblPr>
        <w:tblStyle w:val="4"/>
        <w:tblW w:w="0" w:type="auto"/>
        <w:tblInd w:w="0" w:type="dxa"/>
        <w:tblLayout w:type="fixed"/>
        <w:tblCellMar>
          <w:top w:w="0" w:type="dxa"/>
          <w:left w:w="0" w:type="dxa"/>
          <w:bottom w:w="0" w:type="dxa"/>
          <w:right w:w="0" w:type="dxa"/>
        </w:tblCellMar>
      </w:tblPr>
      <w:tblGrid>
        <w:gridCol w:w="582"/>
        <w:gridCol w:w="1100"/>
        <w:gridCol w:w="1050"/>
        <w:gridCol w:w="1916"/>
        <w:gridCol w:w="580"/>
        <w:gridCol w:w="998"/>
        <w:gridCol w:w="1596"/>
        <w:gridCol w:w="5130"/>
        <w:gridCol w:w="980"/>
        <w:gridCol w:w="1150"/>
      </w:tblGrid>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包件号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物资设备名称</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规格型号</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计量单位</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val="en-US" w:eastAsia="zh-CN" w:bidi="ar"/>
              </w:rPr>
              <w:t>需求</w:t>
            </w:r>
            <w:r>
              <w:rPr>
                <w:rFonts w:hint="eastAsia" w:ascii="宋体" w:hAnsi="宋体" w:cs="宋体"/>
                <w:b/>
                <w:color w:val="000000"/>
                <w:kern w:val="0"/>
                <w:sz w:val="20"/>
                <w:szCs w:val="20"/>
                <w:lang w:bidi="ar"/>
              </w:rPr>
              <w:t>数量</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交货时间</w:t>
            </w:r>
          </w:p>
        </w:tc>
        <w:tc>
          <w:tcPr>
            <w:tcW w:w="513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供应商资格条件</w:t>
            </w:r>
          </w:p>
        </w:tc>
        <w:tc>
          <w:tcPr>
            <w:tcW w:w="9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标书售价</w:t>
            </w:r>
          </w:p>
          <w:p>
            <w:pPr>
              <w:widowControl/>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bidi="ar"/>
              </w:rPr>
              <w:t>（</w:t>
            </w:r>
            <w:r>
              <w:rPr>
                <w:rFonts w:hint="eastAsia" w:ascii="宋体" w:hAnsi="宋体" w:cs="宋体"/>
                <w:b/>
                <w:color w:val="000000"/>
                <w:kern w:val="0"/>
                <w:sz w:val="20"/>
                <w:szCs w:val="20"/>
                <w:lang w:val="en-US" w:eastAsia="zh-CN" w:bidi="ar"/>
              </w:rPr>
              <w:t>元</w:t>
            </w:r>
            <w:r>
              <w:rPr>
                <w:rFonts w:hint="eastAsia" w:ascii="宋体" w:hAnsi="宋体" w:cs="宋体"/>
                <w:b/>
                <w:color w:val="000000"/>
                <w:kern w:val="0"/>
                <w:sz w:val="20"/>
                <w:szCs w:val="20"/>
                <w:lang w:eastAsia="zh-CN" w:bidi="ar"/>
              </w:rPr>
              <w:t>）</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24"/>
              </w:rPr>
            </w:pPr>
            <w:r>
              <w:rPr>
                <w:rFonts w:hint="eastAsia" w:ascii="宋体" w:hAnsi="宋体" w:cs="宋体"/>
                <w:b/>
                <w:bCs/>
                <w:color w:val="000000"/>
                <w:kern w:val="0"/>
                <w:sz w:val="24"/>
                <w:lang w:bidi="ar"/>
              </w:rPr>
              <w:t>备注</w:t>
            </w:r>
          </w:p>
        </w:tc>
      </w:tr>
      <w:tr>
        <w:tblPrEx>
          <w:tblCellMar>
            <w:top w:w="0" w:type="dxa"/>
            <w:left w:w="0" w:type="dxa"/>
            <w:bottom w:w="0" w:type="dxa"/>
            <w:right w:w="0" w:type="dxa"/>
          </w:tblCellMar>
        </w:tblPrEx>
        <w:trPr>
          <w:trHeight w:val="178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w:t>
            </w:r>
          </w:p>
        </w:tc>
        <w:tc>
          <w:tcPr>
            <w:tcW w:w="110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val="en-US" w:eastAsia="zh-CN" w:bidi="ar"/>
              </w:rPr>
              <w:t>DCGX-01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YJV22-1KV 4*10mm2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ind w:firstLine="420" w:firstLineChars="200"/>
              <w:jc w:val="left"/>
              <w:textAlignment w:val="center"/>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eastAsia="zh-CN"/>
              </w:rPr>
              <w:t>电缆：</w:t>
            </w:r>
            <w:r>
              <w:rPr>
                <w:rFonts w:hint="eastAsia" w:ascii="宋体" w:hAnsi="宋体" w:cs="宋体"/>
                <w:color w:val="000000"/>
                <w:kern w:val="0"/>
                <w:szCs w:val="21"/>
              </w:rPr>
              <w:t xml:space="preserve">生产企业注册资本金不少于 </w:t>
            </w:r>
            <w:r>
              <w:rPr>
                <w:rFonts w:hint="eastAsia" w:ascii="宋体" w:hAnsi="宋体" w:cs="宋体"/>
                <w:color w:val="000000"/>
                <w:kern w:val="0"/>
                <w:szCs w:val="21"/>
                <w:lang w:val="en-US" w:eastAsia="zh-CN"/>
              </w:rPr>
              <w:t>1000</w:t>
            </w:r>
            <w:r>
              <w:rPr>
                <w:rFonts w:hint="eastAsia" w:ascii="宋体" w:hAnsi="宋体" w:cs="宋体"/>
                <w:color w:val="000000"/>
                <w:kern w:val="0"/>
                <w:szCs w:val="21"/>
              </w:rPr>
              <w:t>0万元人民币；</w:t>
            </w:r>
          </w:p>
          <w:p>
            <w:pPr>
              <w:widowControl/>
              <w:ind w:firstLine="420" w:firstLineChars="200"/>
              <w:jc w:val="left"/>
              <w:textAlignment w:val="center"/>
              <w:rPr>
                <w:rFonts w:hint="eastAsia" w:ascii="宋体" w:hAnsi="宋体" w:cs="宋体"/>
                <w:color w:val="000000"/>
                <w:szCs w:val="21"/>
              </w:rPr>
            </w:pPr>
            <w:r>
              <w:rPr>
                <w:rFonts w:hint="eastAsia" w:ascii="宋体" w:hAnsi="宋体" w:cs="宋体"/>
                <w:color w:val="000000"/>
                <w:kern w:val="0"/>
                <w:szCs w:val="21"/>
              </w:rPr>
              <w:t>2.</w:t>
            </w:r>
            <w:r>
              <w:rPr>
                <w:rFonts w:hint="eastAsia" w:ascii="宋体" w:hAnsi="宋体" w:eastAsia="宋体" w:cs="宋体"/>
                <w:sz w:val="21"/>
                <w:szCs w:val="21"/>
                <w:lang w:val="en-US" w:eastAsia="zh-CN"/>
              </w:rPr>
              <w:t>投标物资须具有省部级及以上国家权威机构出具的产品型式试验报告及第三方试验报告；</w:t>
            </w:r>
          </w:p>
          <w:p>
            <w:pPr>
              <w:widowControl/>
              <w:ind w:firstLine="420" w:firstLineChars="20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color w:val="000000"/>
                <w:kern w:val="0"/>
                <w:szCs w:val="21"/>
              </w:rPr>
              <w:t>3.</w:t>
            </w:r>
            <w:r>
              <w:rPr>
                <w:rFonts w:hint="eastAsia" w:ascii="宋体" w:hAnsi="宋体" w:eastAsia="宋体" w:cs="宋体"/>
                <w:sz w:val="21"/>
                <w:szCs w:val="21"/>
                <w:lang w:val="en-US" w:eastAsia="zh-CN"/>
              </w:rPr>
              <w:t>投标物资须具</w:t>
            </w:r>
            <w:r>
              <w:rPr>
                <w:rFonts w:hint="eastAsia" w:ascii="宋体" w:hAnsi="宋体" w:cs="宋体"/>
                <w:sz w:val="21"/>
                <w:szCs w:val="21"/>
                <w:lang w:val="en-US" w:eastAsia="zh-CN"/>
              </w:rPr>
              <w:t>2016年-2019年</w:t>
            </w:r>
            <w:r>
              <w:rPr>
                <w:rFonts w:hint="eastAsia" w:ascii="宋体" w:hAnsi="宋体" w:eastAsia="宋体" w:cs="宋体"/>
                <w:sz w:val="21"/>
                <w:szCs w:val="21"/>
                <w:lang w:val="en-US" w:eastAsia="zh-CN"/>
              </w:rPr>
              <w:t>运行速度200km/h及以上客专供货业绩，</w:t>
            </w:r>
            <w:r>
              <w:rPr>
                <w:rFonts w:hint="eastAsia" w:ascii="宋体" w:hAnsi="宋体" w:cs="宋体"/>
                <w:sz w:val="21"/>
                <w:szCs w:val="21"/>
                <w:lang w:val="en-US" w:eastAsia="zh-CN"/>
              </w:rPr>
              <w:t>并</w:t>
            </w:r>
            <w:r>
              <w:rPr>
                <w:rFonts w:hint="eastAsia" w:ascii="宋体" w:hAnsi="宋体" w:eastAsia="宋体" w:cs="宋体"/>
                <w:sz w:val="21"/>
                <w:szCs w:val="21"/>
                <w:lang w:val="en-US" w:eastAsia="zh-CN"/>
              </w:rPr>
              <w:t>开通运营一年（含）以上</w:t>
            </w:r>
            <w:r>
              <w:rPr>
                <w:rFonts w:hint="eastAsia" w:ascii="宋体" w:hAnsi="宋体" w:cs="宋体"/>
                <w:sz w:val="21"/>
                <w:szCs w:val="21"/>
                <w:lang w:val="en-US" w:eastAsia="zh-CN"/>
              </w:rPr>
              <w:t>的</w:t>
            </w:r>
            <w:r>
              <w:rPr>
                <w:rFonts w:hint="eastAsia" w:ascii="宋体" w:hAnsi="宋体" w:eastAsia="宋体" w:cs="宋体"/>
                <w:sz w:val="21"/>
                <w:szCs w:val="21"/>
                <w:lang w:val="en-US" w:eastAsia="zh-CN"/>
              </w:rPr>
              <w:t>相应的购售合同影印件；</w:t>
            </w:r>
          </w:p>
          <w:p>
            <w:pPr>
              <w:ind w:firstLine="420" w:firstLineChars="200"/>
              <w:jc w:val="left"/>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4.不接受代理商和联合体投标。</w:t>
            </w:r>
          </w:p>
          <w:p>
            <w:pPr>
              <w:keepNext w:val="0"/>
              <w:keepLines w:val="0"/>
              <w:widowControl/>
              <w:suppressLineNumbers w:val="0"/>
              <w:jc w:val="left"/>
              <w:textAlignment w:val="center"/>
              <w:rPr>
                <w:rFonts w:hint="eastAsia" w:ascii="宋体" w:hAnsi="宋体" w:cs="宋体"/>
                <w:b/>
                <w:color w:val="000000"/>
                <w:kern w:val="0"/>
                <w:sz w:val="20"/>
                <w:szCs w:val="20"/>
                <w:lang w:bidi="ar"/>
              </w:rPr>
            </w:pPr>
            <w:r>
              <w:rPr>
                <w:rFonts w:hint="eastAsia" w:ascii="宋体" w:hAnsi="宋体"/>
                <w:b/>
                <w:bCs/>
                <w:color w:val="000000"/>
                <w:szCs w:val="22"/>
                <w:highlight w:val="none"/>
              </w:rPr>
              <w:t>电线电缆包件供应商须在《中国中铁电线电缆供应商准入名录》内</w:t>
            </w:r>
            <w:r>
              <w:rPr>
                <w:rFonts w:hint="eastAsia" w:ascii="宋体" w:hAnsi="宋体"/>
                <w:color w:val="000000"/>
                <w:szCs w:val="22"/>
                <w:highlight w:val="none"/>
              </w:rPr>
              <w:t>。</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500元</w:t>
            </w: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YJV22-1KV 5*10mm2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YJV22-1KV 4*16mm2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4</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YJV22-1KV 3*240+1*120mm2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5</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ZRNH-YJV22-1KV 3*50+1*25mm2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6</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3*25+2*16mm2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7</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3*50+2*25mm2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8</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3*70+2*25mm2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ind w:firstLine="420" w:firstLineChars="200"/>
              <w:jc w:val="left"/>
              <w:textAlignment w:val="center"/>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eastAsia="zh-CN"/>
              </w:rPr>
              <w:t>电缆：</w:t>
            </w:r>
            <w:r>
              <w:rPr>
                <w:rFonts w:hint="eastAsia" w:ascii="宋体" w:hAnsi="宋体" w:cs="宋体"/>
                <w:color w:val="000000"/>
                <w:kern w:val="0"/>
                <w:szCs w:val="21"/>
              </w:rPr>
              <w:t xml:space="preserve">生产企业注册资本金不少于 </w:t>
            </w:r>
            <w:r>
              <w:rPr>
                <w:rFonts w:hint="eastAsia" w:ascii="宋体" w:hAnsi="宋体" w:cs="宋体"/>
                <w:color w:val="000000"/>
                <w:kern w:val="0"/>
                <w:szCs w:val="21"/>
                <w:lang w:val="en-US" w:eastAsia="zh-CN"/>
              </w:rPr>
              <w:t>1000</w:t>
            </w:r>
            <w:r>
              <w:rPr>
                <w:rFonts w:hint="eastAsia" w:ascii="宋体" w:hAnsi="宋体" w:cs="宋体"/>
                <w:color w:val="000000"/>
                <w:kern w:val="0"/>
                <w:szCs w:val="21"/>
              </w:rPr>
              <w:t>0万元人民币；</w:t>
            </w:r>
          </w:p>
          <w:p>
            <w:pPr>
              <w:widowControl/>
              <w:ind w:firstLine="420" w:firstLineChars="200"/>
              <w:jc w:val="left"/>
              <w:textAlignment w:val="center"/>
              <w:rPr>
                <w:rFonts w:hint="eastAsia" w:ascii="宋体" w:hAnsi="宋体" w:cs="宋体"/>
                <w:color w:val="000000"/>
                <w:szCs w:val="21"/>
              </w:rPr>
            </w:pPr>
            <w:r>
              <w:rPr>
                <w:rFonts w:hint="eastAsia" w:ascii="宋体" w:hAnsi="宋体" w:cs="宋体"/>
                <w:color w:val="000000"/>
                <w:kern w:val="0"/>
                <w:szCs w:val="21"/>
              </w:rPr>
              <w:t>2.</w:t>
            </w:r>
            <w:r>
              <w:rPr>
                <w:rFonts w:hint="eastAsia" w:ascii="宋体" w:hAnsi="宋体" w:eastAsia="宋体" w:cs="宋体"/>
                <w:sz w:val="21"/>
                <w:szCs w:val="21"/>
                <w:lang w:val="en-US" w:eastAsia="zh-CN"/>
              </w:rPr>
              <w:t>投标物资须具有省部级及以上国家权威机构出具的产品型式试验报告及第三方试验报告；</w:t>
            </w:r>
          </w:p>
          <w:p>
            <w:pPr>
              <w:widowControl/>
              <w:ind w:firstLine="420" w:firstLineChars="20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color w:val="000000"/>
                <w:kern w:val="0"/>
                <w:szCs w:val="21"/>
              </w:rPr>
              <w:t>3.</w:t>
            </w:r>
            <w:r>
              <w:rPr>
                <w:rFonts w:hint="eastAsia" w:ascii="宋体" w:hAnsi="宋体" w:eastAsia="宋体" w:cs="宋体"/>
                <w:sz w:val="21"/>
                <w:szCs w:val="21"/>
                <w:lang w:val="en-US" w:eastAsia="zh-CN"/>
              </w:rPr>
              <w:t>投标物资须具</w:t>
            </w:r>
            <w:r>
              <w:rPr>
                <w:rFonts w:hint="eastAsia" w:ascii="宋体" w:hAnsi="宋体" w:cs="宋体"/>
                <w:sz w:val="21"/>
                <w:szCs w:val="21"/>
                <w:lang w:val="en-US" w:eastAsia="zh-CN"/>
              </w:rPr>
              <w:t>2016年-2019年</w:t>
            </w:r>
            <w:r>
              <w:rPr>
                <w:rFonts w:hint="eastAsia" w:ascii="宋体" w:hAnsi="宋体" w:eastAsia="宋体" w:cs="宋体"/>
                <w:sz w:val="21"/>
                <w:szCs w:val="21"/>
                <w:lang w:val="en-US" w:eastAsia="zh-CN"/>
              </w:rPr>
              <w:t>运行速度200km/h及以上客专供货业绩，</w:t>
            </w:r>
            <w:r>
              <w:rPr>
                <w:rFonts w:hint="eastAsia" w:ascii="宋体" w:hAnsi="宋体" w:cs="宋体"/>
                <w:sz w:val="21"/>
                <w:szCs w:val="21"/>
                <w:lang w:val="en-US" w:eastAsia="zh-CN"/>
              </w:rPr>
              <w:t>并</w:t>
            </w:r>
            <w:r>
              <w:rPr>
                <w:rFonts w:hint="eastAsia" w:ascii="宋体" w:hAnsi="宋体" w:eastAsia="宋体" w:cs="宋体"/>
                <w:sz w:val="21"/>
                <w:szCs w:val="21"/>
                <w:lang w:val="en-US" w:eastAsia="zh-CN"/>
              </w:rPr>
              <w:t>开通运营一年（含）以上</w:t>
            </w:r>
            <w:r>
              <w:rPr>
                <w:rFonts w:hint="eastAsia" w:ascii="宋体" w:hAnsi="宋体" w:cs="宋体"/>
                <w:sz w:val="21"/>
                <w:szCs w:val="21"/>
                <w:lang w:val="en-US" w:eastAsia="zh-CN"/>
              </w:rPr>
              <w:t>的</w:t>
            </w:r>
            <w:r>
              <w:rPr>
                <w:rFonts w:hint="eastAsia" w:ascii="宋体" w:hAnsi="宋体" w:eastAsia="宋体" w:cs="宋体"/>
                <w:sz w:val="21"/>
                <w:szCs w:val="21"/>
                <w:lang w:val="en-US" w:eastAsia="zh-CN"/>
              </w:rPr>
              <w:t>相应的购售合同影印件；</w:t>
            </w:r>
          </w:p>
          <w:p>
            <w:pPr>
              <w:ind w:firstLine="420" w:firstLineChars="200"/>
              <w:jc w:val="left"/>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4.不接受代理商和联合体投标。</w:t>
            </w:r>
          </w:p>
          <w:p>
            <w:pPr>
              <w:widowControl/>
              <w:jc w:val="left"/>
              <w:textAlignment w:val="center"/>
              <w:rPr>
                <w:rFonts w:hint="eastAsia" w:ascii="宋体" w:hAnsi="宋体" w:cs="宋体"/>
                <w:b/>
                <w:color w:val="000000"/>
                <w:kern w:val="0"/>
                <w:sz w:val="20"/>
                <w:szCs w:val="20"/>
                <w:lang w:bidi="ar"/>
              </w:rPr>
            </w:pPr>
            <w:r>
              <w:rPr>
                <w:rFonts w:hint="eastAsia" w:ascii="宋体" w:hAnsi="宋体"/>
                <w:b/>
                <w:bCs/>
                <w:color w:val="000000"/>
                <w:szCs w:val="22"/>
                <w:highlight w:val="none"/>
              </w:rPr>
              <w:t>电线电缆包件供应商须在《中国中铁电线电缆供应商准入名录》内</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9</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3*95+2*50mm2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10</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3*120+2*70mm2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11</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3*150+2*95mm2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12</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3*185+2*95mm2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13</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ZBN-YJV-0.6/1KV 4*4mm2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14</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ZBN-YJV-0.6/1KV 5*16mm2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15</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ZBN-YJV-0.6/1KV 4*25+1*16mm2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16</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4*25+1*16mm2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17</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5*4mm2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18</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YJV-0.6/1KV 1*240mm2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19</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YJV22-0.6/1KV-4*95mm2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20</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YJV22-0.6/1KV-4*16mm2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260</w:t>
            </w:r>
          </w:p>
        </w:tc>
        <w:tc>
          <w:tcPr>
            <w:tcW w:w="1596"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21</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ZB-YJV22-0.6/1KV-5*6mm2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190</w:t>
            </w:r>
          </w:p>
        </w:tc>
        <w:tc>
          <w:tcPr>
            <w:tcW w:w="1596"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ind w:firstLine="420" w:firstLineChars="200"/>
              <w:jc w:val="left"/>
              <w:textAlignment w:val="center"/>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eastAsia="zh-CN"/>
              </w:rPr>
              <w:t>电缆：</w:t>
            </w:r>
            <w:r>
              <w:rPr>
                <w:rFonts w:hint="eastAsia" w:ascii="宋体" w:hAnsi="宋体" w:cs="宋体"/>
                <w:color w:val="000000"/>
                <w:kern w:val="0"/>
                <w:szCs w:val="21"/>
              </w:rPr>
              <w:t xml:space="preserve">生产企业注册资本金不少于 </w:t>
            </w:r>
            <w:r>
              <w:rPr>
                <w:rFonts w:hint="eastAsia" w:ascii="宋体" w:hAnsi="宋体" w:cs="宋体"/>
                <w:color w:val="000000"/>
                <w:kern w:val="0"/>
                <w:szCs w:val="21"/>
                <w:lang w:val="en-US" w:eastAsia="zh-CN"/>
              </w:rPr>
              <w:t>1000</w:t>
            </w:r>
            <w:r>
              <w:rPr>
                <w:rFonts w:hint="eastAsia" w:ascii="宋体" w:hAnsi="宋体" w:cs="宋体"/>
                <w:color w:val="000000"/>
                <w:kern w:val="0"/>
                <w:szCs w:val="21"/>
              </w:rPr>
              <w:t>0万元人民币；</w:t>
            </w:r>
          </w:p>
          <w:p>
            <w:pPr>
              <w:widowControl/>
              <w:ind w:firstLine="420" w:firstLineChars="200"/>
              <w:jc w:val="left"/>
              <w:textAlignment w:val="center"/>
              <w:rPr>
                <w:rFonts w:hint="eastAsia" w:ascii="宋体" w:hAnsi="宋体" w:cs="宋体"/>
                <w:color w:val="000000"/>
                <w:szCs w:val="21"/>
              </w:rPr>
            </w:pPr>
            <w:r>
              <w:rPr>
                <w:rFonts w:hint="eastAsia" w:ascii="宋体" w:hAnsi="宋体" w:cs="宋体"/>
                <w:color w:val="000000"/>
                <w:kern w:val="0"/>
                <w:szCs w:val="21"/>
              </w:rPr>
              <w:t>2.</w:t>
            </w:r>
            <w:r>
              <w:rPr>
                <w:rFonts w:hint="eastAsia" w:ascii="宋体" w:hAnsi="宋体" w:eastAsia="宋体" w:cs="宋体"/>
                <w:sz w:val="21"/>
                <w:szCs w:val="21"/>
                <w:lang w:val="en-US" w:eastAsia="zh-CN"/>
              </w:rPr>
              <w:t>投标物资须具有省部级及以上国家权威机构出具的产品型式试验报告及第三方试验报告；</w:t>
            </w:r>
          </w:p>
          <w:p>
            <w:pPr>
              <w:widowControl/>
              <w:ind w:firstLine="420" w:firstLineChars="20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color w:val="000000"/>
                <w:kern w:val="0"/>
                <w:szCs w:val="21"/>
              </w:rPr>
              <w:t>3.</w:t>
            </w:r>
            <w:r>
              <w:rPr>
                <w:rFonts w:hint="eastAsia" w:ascii="宋体" w:hAnsi="宋体" w:eastAsia="宋体" w:cs="宋体"/>
                <w:sz w:val="21"/>
                <w:szCs w:val="21"/>
                <w:lang w:val="en-US" w:eastAsia="zh-CN"/>
              </w:rPr>
              <w:t>投标物资须具</w:t>
            </w:r>
            <w:r>
              <w:rPr>
                <w:rFonts w:hint="eastAsia" w:ascii="宋体" w:hAnsi="宋体" w:cs="宋体"/>
                <w:sz w:val="21"/>
                <w:szCs w:val="21"/>
                <w:lang w:val="en-US" w:eastAsia="zh-CN"/>
              </w:rPr>
              <w:t>2016年-2019年</w:t>
            </w:r>
            <w:r>
              <w:rPr>
                <w:rFonts w:hint="eastAsia" w:ascii="宋体" w:hAnsi="宋体" w:eastAsia="宋体" w:cs="宋体"/>
                <w:sz w:val="21"/>
                <w:szCs w:val="21"/>
                <w:lang w:val="en-US" w:eastAsia="zh-CN"/>
              </w:rPr>
              <w:t>运行速度200km/h及以上客专供货业绩，</w:t>
            </w:r>
            <w:r>
              <w:rPr>
                <w:rFonts w:hint="eastAsia" w:ascii="宋体" w:hAnsi="宋体" w:cs="宋体"/>
                <w:sz w:val="21"/>
                <w:szCs w:val="21"/>
                <w:lang w:val="en-US" w:eastAsia="zh-CN"/>
              </w:rPr>
              <w:t>并</w:t>
            </w:r>
            <w:r>
              <w:rPr>
                <w:rFonts w:hint="eastAsia" w:ascii="宋体" w:hAnsi="宋体" w:eastAsia="宋体" w:cs="宋体"/>
                <w:sz w:val="21"/>
                <w:szCs w:val="21"/>
                <w:lang w:val="en-US" w:eastAsia="zh-CN"/>
              </w:rPr>
              <w:t>开通运营一年（含）以上</w:t>
            </w:r>
            <w:r>
              <w:rPr>
                <w:rFonts w:hint="eastAsia" w:ascii="宋体" w:hAnsi="宋体" w:cs="宋体"/>
                <w:sz w:val="21"/>
                <w:szCs w:val="21"/>
                <w:lang w:val="en-US" w:eastAsia="zh-CN"/>
              </w:rPr>
              <w:t>的</w:t>
            </w:r>
            <w:r>
              <w:rPr>
                <w:rFonts w:hint="eastAsia" w:ascii="宋体" w:hAnsi="宋体" w:eastAsia="宋体" w:cs="宋体"/>
                <w:sz w:val="21"/>
                <w:szCs w:val="21"/>
                <w:lang w:val="en-US" w:eastAsia="zh-CN"/>
              </w:rPr>
              <w:t>相应的购售合同影印件；</w:t>
            </w:r>
          </w:p>
          <w:p>
            <w:pPr>
              <w:ind w:firstLine="420" w:firstLineChars="200"/>
              <w:jc w:val="left"/>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4.不接受代理商和联合体投标。</w:t>
            </w:r>
          </w:p>
          <w:p>
            <w:pPr>
              <w:widowControl/>
              <w:jc w:val="left"/>
              <w:textAlignment w:val="center"/>
              <w:rPr>
                <w:rFonts w:hint="eastAsia" w:ascii="宋体" w:hAnsi="宋体" w:cs="宋体"/>
                <w:b/>
                <w:color w:val="000000"/>
                <w:kern w:val="0"/>
                <w:sz w:val="20"/>
                <w:szCs w:val="20"/>
                <w:lang w:bidi="ar"/>
              </w:rPr>
            </w:pPr>
            <w:r>
              <w:rPr>
                <w:rFonts w:hint="eastAsia" w:ascii="宋体" w:hAnsi="宋体"/>
                <w:b/>
                <w:bCs/>
                <w:color w:val="000000"/>
                <w:szCs w:val="22"/>
                <w:highlight w:val="none"/>
              </w:rPr>
              <w:t>电线电缆包件供应商须在《中国中铁电线电缆供应商准入名录》内</w:t>
            </w:r>
          </w:p>
        </w:tc>
        <w:tc>
          <w:tcPr>
            <w:tcW w:w="980" w:type="dxa"/>
            <w:vMerge w:val="restart"/>
            <w:tcBorders>
              <w:top w:val="single" w:color="000000" w:sz="4" w:space="0"/>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both"/>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22</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YJV22-0.6/1KV-3*25mm2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625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23</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YJV22-0.6/1KV-3*4mm2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24</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YJV22-0.6/1KV-5*16mm2</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25</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BV-450/750V 2.5mm2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4095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26</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BV-450/750V 4mm2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2675</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27</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BV-450/750V 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28</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BV-450/750V 10mm2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17100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29</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BV-450/750V 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30</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ZBN-BV-450/750V 2.5mm2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31</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ZBN-BV-450/750V 10mm2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32</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ZBN-BV-450/750V 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96"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33</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ZB-BV-450/750V 2.5mm2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650</w:t>
            </w:r>
          </w:p>
        </w:tc>
        <w:tc>
          <w:tcPr>
            <w:tcW w:w="1596" w:type="dxa"/>
            <w:vMerge w:val="continue"/>
            <w:tcBorders>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34</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ZB-BV-450/750V 4mm2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596" w:type="dxa"/>
            <w:vMerge w:val="restart"/>
            <w:tcBorders>
              <w:top w:val="single" w:color="auto" w:sz="4" w:space="0"/>
              <w:left w:val="single" w:color="auto" w:sz="4" w:space="0"/>
              <w:bottom w:val="single" w:color="auto"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5130" w:type="dxa"/>
            <w:vMerge w:val="restart"/>
            <w:tcBorders>
              <w:top w:val="single" w:color="auto"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hint="eastAsia" w:ascii="宋体" w:hAnsi="宋体" w:cs="宋体"/>
                <w:b/>
                <w:color w:val="000000"/>
                <w:kern w:val="0"/>
                <w:sz w:val="20"/>
                <w:szCs w:val="20"/>
                <w:lang w:bidi="ar"/>
              </w:rPr>
            </w:pPr>
          </w:p>
        </w:tc>
        <w:tc>
          <w:tcPr>
            <w:tcW w:w="980" w:type="dxa"/>
            <w:vMerge w:val="restart"/>
            <w:tcBorders>
              <w:top w:val="single" w:color="auto" w:sz="4" w:space="0"/>
              <w:left w:val="single" w:color="000000" w:sz="4" w:space="0"/>
              <w:bottom w:val="single" w:color="auto" w:sz="4" w:space="0"/>
              <w:right w:val="single" w:color="auto"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35</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ZB-BV-450/750V 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596" w:type="dxa"/>
            <w:vMerge w:val="continue"/>
            <w:tcBorders>
              <w:top w:val="single" w:color="auto" w:sz="4" w:space="0"/>
              <w:left w:val="single" w:color="auto"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top w:val="single" w:color="auto" w:sz="4" w:space="0"/>
              <w:left w:val="single" w:color="000000" w:sz="4" w:space="0"/>
              <w:bottom w:val="single" w:color="auto" w:sz="4" w:space="0"/>
              <w:right w:val="single" w:color="auto"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r>
        <w:tblPrEx>
          <w:tblCellMar>
            <w:top w:w="0" w:type="dxa"/>
            <w:left w:w="0" w:type="dxa"/>
            <w:bottom w:w="0" w:type="dxa"/>
            <w:right w:w="0" w:type="dxa"/>
          </w:tblCellMar>
        </w:tblPrEx>
        <w:trPr>
          <w:trHeight w:val="7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36</w:t>
            </w:r>
          </w:p>
        </w:tc>
        <w:tc>
          <w:tcPr>
            <w:tcW w:w="1100" w:type="dxa"/>
            <w:vMerge w:val="continue"/>
            <w:tcBorders>
              <w:left w:val="single" w:color="000000" w:sz="4" w:space="0"/>
              <w:right w:val="single" w:color="000000" w:sz="4" w:space="0"/>
            </w:tcBorders>
            <w:shd w:val="clear" w:color="auto" w:fill="FFFFFF"/>
            <w:noWrap w:val="0"/>
            <w:tcMar>
              <w:top w:w="10" w:type="dxa"/>
              <w:left w:w="10" w:type="dxa"/>
              <w:right w:w="10" w:type="dxa"/>
            </w:tcMar>
            <w:vAlign w:val="center"/>
          </w:tcPr>
          <w:p>
            <w:pPr>
              <w:rPr>
                <w:rFonts w:hint="eastAsia" w:ascii="宋体" w:hAnsi="宋体" w:cs="宋体"/>
                <w:b/>
                <w:color w:val="000000"/>
                <w:kern w:val="0"/>
                <w:sz w:val="20"/>
                <w:szCs w:val="20"/>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BV线</w:t>
            </w:r>
          </w:p>
        </w:tc>
        <w:tc>
          <w:tcPr>
            <w:tcW w:w="191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ZB-BV-450/750V 16mm2 </w:t>
            </w:r>
          </w:p>
        </w:tc>
        <w:tc>
          <w:tcPr>
            <w:tcW w:w="580"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98" w:type="dxa"/>
            <w:tcBorders>
              <w:top w:val="single" w:color="000000" w:sz="4" w:space="0"/>
              <w:left w:val="single" w:color="000000" w:sz="4" w:space="0"/>
              <w:bottom w:val="single" w:color="000000" w:sz="4" w:space="0"/>
              <w:right w:val="single" w:color="auto"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175</w:t>
            </w:r>
          </w:p>
        </w:tc>
        <w:tc>
          <w:tcPr>
            <w:tcW w:w="1596" w:type="dxa"/>
            <w:vMerge w:val="continue"/>
            <w:tcBorders>
              <w:top w:val="single" w:color="auto" w:sz="4" w:space="0"/>
              <w:left w:val="single" w:color="auto" w:sz="4" w:space="0"/>
              <w:bottom w:val="single" w:color="auto" w:sz="4" w:space="0"/>
              <w:right w:val="single" w:color="000000" w:sz="4" w:space="0"/>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color w:val="000000"/>
                <w:kern w:val="0"/>
                <w:sz w:val="20"/>
                <w:szCs w:val="20"/>
                <w:lang w:bidi="ar"/>
              </w:rPr>
            </w:pPr>
          </w:p>
        </w:tc>
        <w:tc>
          <w:tcPr>
            <w:tcW w:w="5130" w:type="dxa"/>
            <w:vMerge w:val="continue"/>
            <w:tcBorders>
              <w:top w:val="single" w:color="auto" w:sz="4" w:space="0"/>
              <w:left w:val="single" w:color="000000" w:sz="4" w:space="0"/>
              <w:bottom w:val="single" w:color="auto" w:sz="4" w:space="0"/>
              <w:right w:val="single" w:color="000000"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980" w:type="dxa"/>
            <w:vMerge w:val="continue"/>
            <w:tcBorders>
              <w:top w:val="single" w:color="auto" w:sz="4" w:space="0"/>
              <w:left w:val="single" w:color="000000" w:sz="4" w:space="0"/>
              <w:bottom w:val="single" w:color="auto" w:sz="4" w:space="0"/>
              <w:right w:val="single" w:color="auto" w:sz="4" w:space="0"/>
            </w:tcBorders>
            <w:shd w:val="clear" w:color="auto" w:fill="FFFFFF"/>
            <w:noWrap w:val="0"/>
            <w:tcMar>
              <w:top w:w="10" w:type="dxa"/>
              <w:left w:w="10" w:type="dxa"/>
              <w:right w:w="10" w:type="dxa"/>
            </w:tcMar>
            <w:vAlign w:val="center"/>
          </w:tcPr>
          <w:p>
            <w:pPr>
              <w:widowControl/>
              <w:jc w:val="center"/>
              <w:textAlignment w:val="center"/>
              <w:rPr>
                <w:rFonts w:hint="eastAsia" w:ascii="宋体" w:hAnsi="宋体" w:cs="宋体"/>
                <w:b/>
                <w:color w:val="000000"/>
                <w:kern w:val="0"/>
                <w:sz w:val="20"/>
                <w:szCs w:val="20"/>
                <w:lang w:bidi="ar"/>
              </w:rPr>
            </w:pPr>
          </w:p>
        </w:tc>
        <w:tc>
          <w:tcPr>
            <w:tcW w:w="115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b/>
                <w:bCs/>
                <w:color w:val="000000"/>
                <w:kern w:val="0"/>
                <w:sz w:val="20"/>
                <w:szCs w:val="20"/>
                <w:lang w:bidi="ar"/>
              </w:rPr>
            </w:pPr>
          </w:p>
        </w:tc>
      </w:tr>
    </w:tbl>
    <w:p>
      <w:pPr>
        <w:widowControl/>
        <w:rPr>
          <w:rFonts w:hint="eastAsia" w:ascii="仿宋" w:hAnsi="仿宋" w:eastAsia="仿宋" w:cs="仿宋"/>
          <w:b/>
          <w:bCs/>
          <w:sz w:val="24"/>
        </w:rPr>
      </w:pPr>
    </w:p>
    <w:p>
      <w:pPr>
        <w:widowControl/>
        <w:rPr>
          <w:rFonts w:hint="eastAsia" w:ascii="仿宋" w:hAnsi="仿宋" w:eastAsia="仿宋" w:cs="仿宋"/>
          <w:b/>
          <w:bCs/>
          <w:sz w:val="24"/>
        </w:rPr>
      </w:pPr>
      <w:r>
        <w:rPr>
          <w:rFonts w:hint="eastAsia" w:ascii="仿宋" w:hAnsi="仿宋" w:eastAsia="仿宋" w:cs="仿宋"/>
          <w:b/>
          <w:bCs/>
          <w:sz w:val="24"/>
        </w:rPr>
        <w:t>说明：1</w:t>
      </w:r>
      <w:r>
        <w:rPr>
          <w:rFonts w:ascii="仿宋" w:hAnsi="仿宋" w:eastAsia="仿宋" w:cs="仿宋"/>
          <w:b/>
          <w:bCs/>
          <w:sz w:val="24"/>
        </w:rPr>
        <w:t xml:space="preserve"> </w:t>
      </w:r>
      <w:r>
        <w:rPr>
          <w:rFonts w:hint="eastAsia" w:ascii="仿宋" w:hAnsi="仿宋" w:eastAsia="仿宋" w:cs="仿宋"/>
          <w:b/>
          <w:bCs/>
          <w:sz w:val="24"/>
        </w:rPr>
        <w:t>最终供货规格型号数量以现场确定单及订货通知单为准。</w:t>
      </w:r>
    </w:p>
    <w:p>
      <w:pPr>
        <w:widowControl/>
        <w:rPr>
          <w:rFonts w:hint="eastAsia" w:ascii="仿宋" w:hAnsi="仿宋" w:eastAsia="仿宋" w:cs="仿宋"/>
          <w:b/>
          <w:bCs/>
          <w:sz w:val="24"/>
        </w:rPr>
        <w:sectPr>
          <w:footerReference r:id="rId3" w:type="default"/>
          <w:footerReference r:id="rId4" w:type="even"/>
          <w:pgSz w:w="16838" w:h="11906" w:orient="landscape"/>
          <w:pgMar w:top="680" w:right="567" w:bottom="454" w:left="567" w:header="851" w:footer="992" w:gutter="0"/>
          <w:pgNumType w:fmt="decimal"/>
          <w:cols w:space="720" w:num="1"/>
          <w:docGrid w:type="lines" w:linePitch="312" w:charSpace="0"/>
        </w:sectPr>
      </w:pPr>
    </w:p>
    <w:p>
      <w:pPr>
        <w:pStyle w:val="7"/>
        <w:tabs>
          <w:tab w:val="left" w:pos="5250"/>
        </w:tabs>
        <w:spacing w:line="360" w:lineRule="auto"/>
        <w:outlineLvl w:val="9"/>
        <w:rPr>
          <w:rFonts w:ascii="宋体" w:hAnsi="宋体" w:eastAsia="宋体"/>
          <w:b/>
        </w:rPr>
      </w:pPr>
      <w:bookmarkStart w:id="10" w:name="_Toc372367584"/>
      <w:bookmarkStart w:id="11" w:name="_Toc429659471"/>
      <w:bookmarkStart w:id="12" w:name="_Toc492541990"/>
      <w:bookmarkStart w:id="13" w:name="_Toc364849453"/>
      <w:bookmarkStart w:id="14" w:name="_Toc416375813"/>
      <w:bookmarkStart w:id="15" w:name="_Toc7907"/>
      <w:bookmarkStart w:id="16" w:name="_Toc4647"/>
      <w:bookmarkStart w:id="17" w:name="_Toc19138"/>
      <w:r>
        <w:rPr>
          <w:rFonts w:ascii="宋体" w:hAnsi="宋体" w:eastAsia="宋体"/>
          <w:b/>
        </w:rPr>
        <w:t>附件2</w:t>
      </w:r>
      <w:bookmarkEnd w:id="10"/>
      <w:bookmarkEnd w:id="11"/>
      <w:bookmarkEnd w:id="12"/>
      <w:bookmarkEnd w:id="13"/>
      <w:bookmarkEnd w:id="14"/>
      <w:bookmarkEnd w:id="15"/>
      <w:bookmarkEnd w:id="16"/>
      <w:bookmarkEnd w:id="17"/>
    </w:p>
    <w:p>
      <w:pPr>
        <w:spacing w:line="440" w:lineRule="exact"/>
        <w:jc w:val="center"/>
        <w:rPr>
          <w:rFonts w:ascii="宋体" w:hAnsi="宋体" w:cs="宋体"/>
          <w:b/>
          <w:sz w:val="28"/>
          <w:szCs w:val="28"/>
        </w:rPr>
      </w:pPr>
      <w:r>
        <w:rPr>
          <w:rFonts w:hint="eastAsia" w:ascii="宋体" w:hAnsi="宋体" w:cs="宋体"/>
          <w:b/>
          <w:sz w:val="28"/>
          <w:szCs w:val="28"/>
        </w:rPr>
        <w:t>谈判</w:t>
      </w:r>
      <w:r>
        <w:rPr>
          <w:rFonts w:hint="eastAsia"/>
          <w:b/>
          <w:color w:val="000000"/>
          <w:sz w:val="28"/>
          <w:szCs w:val="28"/>
        </w:rPr>
        <w:t>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4"/>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8"/>
        <w:gridCol w:w="3483"/>
        <w:gridCol w:w="1296"/>
        <w:gridCol w:w="23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b/>
                <w:color w:val="000000"/>
                <w:szCs w:val="21"/>
              </w:rPr>
              <w:t>申请单位</w:t>
            </w:r>
          </w:p>
        </w:tc>
        <w:tc>
          <w:tcPr>
            <w:tcW w:w="7169" w:type="dxa"/>
            <w:gridSpan w:val="3"/>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谈判项目名称</w:t>
            </w:r>
          </w:p>
        </w:tc>
        <w:tc>
          <w:tcPr>
            <w:tcW w:w="7169" w:type="dxa"/>
            <w:gridSpan w:val="3"/>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谈判联系人</w:t>
            </w:r>
          </w:p>
        </w:tc>
        <w:tc>
          <w:tcPr>
            <w:tcW w:w="3483" w:type="dxa"/>
            <w:noWrap w:val="0"/>
            <w:vAlign w:val="center"/>
          </w:tcPr>
          <w:p>
            <w:pPr>
              <w:jc w:val="center"/>
              <w:rPr>
                <w:rFonts w:hint="eastAsia" w:ascii="宋体" w:hAnsi="宋体" w:cs="宋体"/>
                <w:szCs w:val="21"/>
              </w:rPr>
            </w:pPr>
          </w:p>
        </w:tc>
        <w:tc>
          <w:tcPr>
            <w:tcW w:w="1296" w:type="dxa"/>
            <w:noWrap w:val="0"/>
            <w:vAlign w:val="center"/>
          </w:tcPr>
          <w:p>
            <w:pPr>
              <w:jc w:val="center"/>
              <w:rPr>
                <w:rFonts w:hint="eastAsia" w:ascii="宋体" w:hAnsi="宋体" w:cs="宋体"/>
                <w:b/>
                <w:szCs w:val="21"/>
              </w:rPr>
            </w:pPr>
            <w:r>
              <w:rPr>
                <w:rFonts w:hint="eastAsia" w:ascii="宋体" w:hAnsi="宋体" w:cs="宋体"/>
                <w:b/>
                <w:szCs w:val="21"/>
              </w:rPr>
              <w:t>谈判编号</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联系电话</w:t>
            </w:r>
          </w:p>
        </w:tc>
        <w:tc>
          <w:tcPr>
            <w:tcW w:w="3483" w:type="dxa"/>
            <w:noWrap w:val="0"/>
            <w:vAlign w:val="center"/>
          </w:tcPr>
          <w:p>
            <w:pPr>
              <w:jc w:val="center"/>
              <w:rPr>
                <w:rFonts w:hint="eastAsia" w:ascii="宋体" w:hAnsi="宋体" w:cs="宋体"/>
                <w:szCs w:val="21"/>
              </w:rPr>
            </w:pPr>
          </w:p>
        </w:tc>
        <w:tc>
          <w:tcPr>
            <w:tcW w:w="1296" w:type="dxa"/>
            <w:noWrap w:val="0"/>
            <w:vAlign w:val="center"/>
          </w:tcPr>
          <w:p>
            <w:pPr>
              <w:jc w:val="center"/>
              <w:rPr>
                <w:rFonts w:hint="eastAsia" w:ascii="宋体" w:hAnsi="宋体" w:cs="宋体"/>
                <w:b/>
                <w:szCs w:val="21"/>
              </w:rPr>
            </w:pPr>
            <w:r>
              <w:rPr>
                <w:rFonts w:hint="eastAsia" w:ascii="宋体" w:hAnsi="宋体" w:cs="宋体"/>
                <w:b/>
                <w:szCs w:val="21"/>
              </w:rPr>
              <w:t>谈判内容</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传真电话</w:t>
            </w:r>
          </w:p>
        </w:tc>
        <w:tc>
          <w:tcPr>
            <w:tcW w:w="3483" w:type="dxa"/>
            <w:noWrap w:val="0"/>
            <w:vAlign w:val="center"/>
          </w:tcPr>
          <w:p>
            <w:pPr>
              <w:jc w:val="center"/>
              <w:rPr>
                <w:rFonts w:hint="eastAsia" w:ascii="宋体" w:hAnsi="宋体" w:cs="宋体"/>
                <w:b/>
                <w:szCs w:val="21"/>
              </w:rPr>
            </w:pPr>
          </w:p>
        </w:tc>
        <w:tc>
          <w:tcPr>
            <w:tcW w:w="1296" w:type="dxa"/>
            <w:noWrap w:val="0"/>
            <w:vAlign w:val="center"/>
          </w:tcPr>
          <w:p>
            <w:pPr>
              <w:jc w:val="center"/>
              <w:rPr>
                <w:rFonts w:hint="eastAsia" w:ascii="宋体" w:hAnsi="宋体" w:cs="宋体"/>
                <w:szCs w:val="21"/>
              </w:rPr>
            </w:pPr>
            <w:r>
              <w:rPr>
                <w:rFonts w:hint="eastAsia" w:ascii="宋体" w:hAnsi="宋体" w:cs="宋体"/>
                <w:b/>
                <w:szCs w:val="21"/>
              </w:rPr>
              <w:t>邮    箱</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宋体" w:hAnsi="宋体" w:cs="宋体"/>
                <w:b/>
                <w:szCs w:val="21"/>
              </w:rPr>
            </w:pPr>
            <w:r>
              <w:rPr>
                <w:rFonts w:hint="eastAsia" w:ascii="宋体" w:hAnsi="宋体" w:cs="宋体"/>
                <w:b/>
                <w:szCs w:val="21"/>
              </w:rPr>
              <w:t>注册资金</w:t>
            </w:r>
          </w:p>
        </w:tc>
        <w:tc>
          <w:tcPr>
            <w:tcW w:w="3483" w:type="dxa"/>
            <w:noWrap w:val="0"/>
            <w:vAlign w:val="center"/>
          </w:tcPr>
          <w:p>
            <w:pPr>
              <w:jc w:val="center"/>
              <w:rPr>
                <w:rFonts w:hint="eastAsia" w:ascii="宋体" w:hAnsi="宋体" w:cs="宋体"/>
                <w:b/>
                <w:szCs w:val="21"/>
              </w:rPr>
            </w:pPr>
          </w:p>
        </w:tc>
        <w:tc>
          <w:tcPr>
            <w:tcW w:w="1296" w:type="dxa"/>
            <w:noWrap w:val="0"/>
            <w:vAlign w:val="center"/>
          </w:tcPr>
          <w:p>
            <w:pPr>
              <w:jc w:val="center"/>
              <w:rPr>
                <w:rFonts w:hint="eastAsia" w:ascii="宋体" w:hAnsi="宋体" w:cs="宋体"/>
                <w:b/>
                <w:szCs w:val="21"/>
              </w:rPr>
            </w:pPr>
            <w:r>
              <w:rPr>
                <w:rFonts w:hint="eastAsia" w:ascii="宋体" w:hAnsi="宋体" w:cs="宋体"/>
                <w:b/>
                <w:szCs w:val="21"/>
              </w:rPr>
              <w:t>代理生产厂（如有）</w:t>
            </w:r>
          </w:p>
        </w:tc>
        <w:tc>
          <w:tcPr>
            <w:tcW w:w="2390" w:type="dxa"/>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8" w:type="dxa"/>
            <w:tcBorders>
              <w:top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单位地址</w:t>
            </w:r>
          </w:p>
        </w:tc>
        <w:tc>
          <w:tcPr>
            <w:tcW w:w="7169" w:type="dxa"/>
            <w:gridSpan w:val="3"/>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1" w:hRule="atLeast"/>
        </w:trPr>
        <w:tc>
          <w:tcPr>
            <w:tcW w:w="8897" w:type="dxa"/>
            <w:gridSpan w:val="4"/>
            <w:noWrap w:val="0"/>
            <w:vAlign w:val="top"/>
          </w:tcPr>
          <w:p>
            <w:pPr>
              <w:jc w:val="left"/>
              <w:rPr>
                <w:rFonts w:hint="eastAsia" w:ascii="宋体" w:hAnsi="宋体" w:cs="宋体"/>
                <w:szCs w:val="21"/>
              </w:rPr>
            </w:pPr>
            <w:r>
              <w:rPr>
                <w:rFonts w:hint="eastAsia"/>
                <w:b/>
                <w:color w:val="000000"/>
                <w:szCs w:val="21"/>
              </w:rPr>
              <w:t>申请谈判范围：（注明拟投标包件号）</w:t>
            </w: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ascii="宋体" w:cs="宋体"/>
                <w:b/>
                <w:szCs w:val="21"/>
              </w:rPr>
            </w:pPr>
            <w:r>
              <w:rPr>
                <w:rFonts w:hint="eastAsia" w:ascii="宋体" w:hAnsi="宋体" w:cs="宋体"/>
                <w:b/>
                <w:szCs w:val="21"/>
              </w:rPr>
              <w:t>供应商开票信息</w:t>
            </w: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ascii="宋体" w:cs="宋体"/>
                <w:b/>
                <w:szCs w:val="21"/>
              </w:rPr>
            </w:pPr>
            <w:r>
              <w:rPr>
                <w:rFonts w:hint="eastAsia" w:ascii="宋体" w:hAnsi="宋体" w:cs="宋体"/>
                <w:b/>
                <w:szCs w:val="21"/>
              </w:rPr>
              <w:t>单位名称：</w:t>
            </w:r>
          </w:p>
          <w:p>
            <w:pPr>
              <w:spacing w:line="360" w:lineRule="auto"/>
              <w:rPr>
                <w:rFonts w:hint="eastAsia"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hint="eastAsia"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hint="eastAsia" w:ascii="宋体" w:hAnsi="宋体" w:cs="宋体"/>
                <w:b/>
                <w:szCs w:val="21"/>
              </w:rPr>
            </w:pPr>
          </w:p>
          <w:p>
            <w:pPr>
              <w:jc w:val="left"/>
              <w:rPr>
                <w:rFonts w:hint="eastAsia" w:ascii="宋体" w:hAnsi="宋体" w:cs="宋体"/>
                <w:b/>
                <w:szCs w:val="21"/>
              </w:rPr>
            </w:pPr>
          </w:p>
          <w:p>
            <w:pPr>
              <w:jc w:val="left"/>
              <w:rPr>
                <w:rFonts w:hint="eastAsia" w:ascii="宋体" w:hAnsi="宋体" w:cs="宋体"/>
                <w:b/>
                <w:szCs w:val="21"/>
              </w:rPr>
            </w:pPr>
          </w:p>
          <w:p>
            <w:pPr>
              <w:jc w:val="left"/>
              <w:rPr>
                <w:rFonts w:hint="eastAsia" w:ascii="宋体" w:hAnsi="宋体" w:cs="宋体"/>
                <w:b/>
                <w:szCs w:val="21"/>
              </w:rPr>
            </w:pPr>
            <w:r>
              <w:rPr>
                <w:rFonts w:hint="eastAsia" w:ascii="宋体" w:hAnsi="宋体" w:cs="宋体"/>
                <w:b/>
                <w:szCs w:val="21"/>
              </w:rPr>
              <w:t>备注：</w:t>
            </w:r>
          </w:p>
          <w:p>
            <w:pPr>
              <w:jc w:val="left"/>
              <w:rPr>
                <w:rFonts w:hint="eastAsia" w:ascii="宋体" w:hAnsi="宋体" w:cs="宋体"/>
                <w:bCs/>
                <w:szCs w:val="21"/>
              </w:rPr>
            </w:pPr>
            <w:r>
              <w:rPr>
                <w:rFonts w:hint="eastAsia" w:ascii="宋体" w:hAnsi="宋体" w:cs="宋体"/>
                <w:bCs/>
                <w:szCs w:val="21"/>
              </w:rPr>
              <w:t>1、标书款发票采用电子发票形式，开具后发送至本申请表提供的邮箱内，并短信通知，请确认本申请表提供邮箱及电话的准确性。</w:t>
            </w:r>
          </w:p>
          <w:p>
            <w:pPr>
              <w:jc w:val="left"/>
              <w:rPr>
                <w:rFonts w:hint="eastAsia" w:ascii="宋体" w:hAnsi="宋体" w:cs="宋体"/>
                <w:bCs/>
                <w:szCs w:val="21"/>
              </w:rPr>
            </w:pPr>
            <w:r>
              <w:rPr>
                <w:rFonts w:hint="eastAsia"/>
                <w:bCs/>
                <w:color w:val="000000"/>
                <w:szCs w:val="21"/>
              </w:rPr>
              <w:t>2、退还谈判保证金需填写</w:t>
            </w:r>
            <w:r>
              <w:rPr>
                <w:rFonts w:hint="eastAsia"/>
                <w:b/>
                <w:color w:val="000000"/>
                <w:szCs w:val="21"/>
              </w:rPr>
              <w:t>开户行</w:t>
            </w:r>
            <w:r>
              <w:rPr>
                <w:rFonts w:hint="eastAsia" w:ascii="宋体" w:hAnsi="宋体" w:cs="宋体"/>
                <w:b/>
                <w:szCs w:val="21"/>
              </w:rPr>
              <w:t>联行号</w:t>
            </w:r>
            <w:r>
              <w:rPr>
                <w:rFonts w:hint="eastAsia" w:ascii="宋体" w:hAnsi="宋体" w:cs="宋体"/>
                <w:bCs/>
                <w:szCs w:val="21"/>
              </w:rPr>
              <w:t>，请准确填写。</w:t>
            </w:r>
          </w:p>
          <w:p>
            <w:pPr>
              <w:jc w:val="left"/>
              <w:rPr>
                <w:rFonts w:hint="eastAsia" w:ascii="宋体" w:hAnsi="宋体" w:cs="宋体"/>
                <w:b/>
                <w:szCs w:val="21"/>
              </w:rPr>
            </w:pPr>
          </w:p>
          <w:p>
            <w:pPr>
              <w:jc w:val="left"/>
              <w:rPr>
                <w:rFonts w:ascii="宋体" w:hAnsi="宋体" w:cs="宋体"/>
                <w:b/>
                <w:szCs w:val="21"/>
              </w:rPr>
            </w:pPr>
          </w:p>
          <w:p>
            <w:pPr>
              <w:ind w:firstLine="5483" w:firstLineChars="2601"/>
              <w:rPr>
                <w:b/>
                <w:color w:val="000000"/>
                <w:szCs w:val="21"/>
              </w:rPr>
            </w:pPr>
            <w:r>
              <w:rPr>
                <w:rFonts w:hint="eastAsia"/>
                <w:b/>
                <w:color w:val="000000"/>
                <w:szCs w:val="21"/>
              </w:rPr>
              <w:t>申请单位（章）</w:t>
            </w:r>
          </w:p>
          <w:p>
            <w:pPr>
              <w:ind w:firstLine="5682" w:firstLineChars="2695"/>
              <w:rPr>
                <w:rFonts w:hint="eastAsia" w:ascii="宋体" w:hAnsi="宋体" w:cs="宋体"/>
                <w:b/>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360" w:firstLineChars="2300"/>
      <w:rPr>
        <w:rFonts w:hint="eastAsia" w:ascii="楷体_GB2312" w:eastAsia="楷体_GB2312"/>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644BE"/>
    <w:rsid w:val="4A46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0"/>
      <w:sz w:val="18"/>
      <w:szCs w:val="18"/>
    </w:rPr>
  </w:style>
  <w:style w:type="character" w:styleId="6">
    <w:name w:val="page number"/>
    <w:basedOn w:val="5"/>
    <w:uiPriority w:val="0"/>
    <w:rPr>
      <w:rFonts w:hint="default" w:ascii="Times New Roman"/>
    </w:rPr>
  </w:style>
  <w:style w:type="paragraph" w:customStyle="1" w:styleId="7">
    <w:name w:val="样式 标题 2 + Times New Roman 四号 非加粗 段前: 5 磅 段后: 0 磅 行距: 固定值 20..."/>
    <w:basedOn w:val="2"/>
    <w:uiPriority w:val="0"/>
    <w:pPr>
      <w:spacing w:before="100" w:after="0" w:line="400" w:lineRule="exact"/>
    </w:pPr>
    <w:rPr>
      <w:rFonts w:ascii="Times New Roman" w:hAnsi="Times New Roman" w:cs="宋体"/>
      <w:b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2020-10-29T08:09:00Z</dcterms:created>
  <dc:creator>龚杰</dc:creator>
  <cp:lastModifiedBy>龚杰</cp:lastModifiedBy>
  <dcterms:modified xsi:type="dcterms:W3CDTF">2020-10-29T08:09:49Z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