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b/>
          <w:sz w:val="44"/>
          <w:szCs w:val="44"/>
        </w:rPr>
      </w:pP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w:t>
      </w:r>
      <w:r>
        <w:rPr>
          <w:rFonts w:asciiTheme="minorEastAsia" w:hAnsiTheme="minorEastAsia" w:eastAsiaTheme="minorEastAsia"/>
          <w:b/>
          <w:sz w:val="40"/>
          <w:szCs w:val="40"/>
        </w:rPr>
        <w:t>报价</w:t>
      </w:r>
      <w:r>
        <w:rPr>
          <w:rFonts w:hint="eastAsia" w:asciiTheme="minorEastAsia" w:hAnsiTheme="minorEastAsia" w:eastAsiaTheme="minorEastAsia"/>
          <w:b/>
          <w:sz w:val="40"/>
          <w:szCs w:val="40"/>
        </w:rPr>
        <w:t>时凡</w:t>
      </w:r>
      <w:r>
        <w:rPr>
          <w:rFonts w:asciiTheme="minorEastAsia" w:hAnsiTheme="minorEastAsia" w:eastAsiaTheme="minorEastAsia"/>
          <w:b/>
          <w:sz w:val="40"/>
          <w:szCs w:val="40"/>
        </w:rPr>
        <w:t>涉及</w:t>
      </w:r>
      <w:r>
        <w:rPr>
          <w:rFonts w:hint="eastAsia" w:asciiTheme="minorEastAsia" w:hAnsiTheme="minorEastAsia" w:eastAsiaTheme="minorEastAsia"/>
          <w:b/>
          <w:sz w:val="40"/>
          <w:szCs w:val="40"/>
        </w:rPr>
        <w:t>以下</w:t>
      </w:r>
      <w:r>
        <w:rPr>
          <w:rFonts w:asciiTheme="minorEastAsia" w:hAnsiTheme="minorEastAsia" w:eastAsiaTheme="minorEastAsia"/>
          <w:b/>
          <w:sz w:val="40"/>
          <w:szCs w:val="40"/>
        </w:rPr>
        <w:t>任一</w:t>
      </w:r>
      <w:r>
        <w:rPr>
          <w:rFonts w:hint="eastAsia" w:asciiTheme="minorEastAsia" w:hAnsiTheme="minorEastAsia" w:eastAsiaTheme="minorEastAsia"/>
          <w:b/>
          <w:sz w:val="40"/>
          <w:szCs w:val="40"/>
        </w:rPr>
        <w:t>条款</w:t>
      </w:r>
      <w:r>
        <w:rPr>
          <w:rFonts w:asciiTheme="minorEastAsia" w:hAnsiTheme="minorEastAsia" w:eastAsiaTheme="minorEastAsia"/>
          <w:b/>
          <w:sz w:val="40"/>
          <w:szCs w:val="40"/>
        </w:rPr>
        <w:t>均视为无效报价</w:t>
      </w:r>
      <w:r>
        <w:rPr>
          <w:rFonts w:hint="eastAsia" w:asciiTheme="minorEastAsia" w:hAnsiTheme="minorEastAsia" w:eastAsiaTheme="minorEastAsia"/>
          <w:b/>
          <w:sz w:val="40"/>
          <w:szCs w:val="40"/>
        </w:rPr>
        <w:t>并</w:t>
      </w:r>
      <w:r>
        <w:rPr>
          <w:rFonts w:asciiTheme="minorEastAsia" w:hAnsiTheme="minorEastAsia" w:eastAsiaTheme="minorEastAsia"/>
          <w:b/>
          <w:sz w:val="40"/>
          <w:szCs w:val="40"/>
        </w:rPr>
        <w:t>纳入供应商考评</w:t>
      </w:r>
      <w:r>
        <w:rPr>
          <w:rFonts w:hint="eastAsia" w:asciiTheme="minorEastAsia" w:hAnsiTheme="minorEastAsia" w:eastAsiaTheme="minorEastAsia"/>
          <w:b/>
          <w:sz w:val="40"/>
          <w:szCs w:val="40"/>
        </w:rPr>
        <w:t>，具体</w:t>
      </w:r>
      <w:r>
        <w:rPr>
          <w:rFonts w:asciiTheme="minorEastAsia" w:hAnsiTheme="minorEastAsia" w:eastAsiaTheme="minorEastAsia"/>
          <w:b/>
          <w:sz w:val="40"/>
          <w:szCs w:val="40"/>
        </w:rPr>
        <w:t>条款如下</w:t>
      </w:r>
      <w:r>
        <w:rPr>
          <w:rFonts w:hint="eastAsia" w:asciiTheme="minorEastAsia" w:hAnsiTheme="minorEastAsia" w:eastAsiaTheme="minorEastAsia"/>
          <w:b/>
          <w:sz w:val="40"/>
          <w:szCs w:val="40"/>
        </w:rPr>
        <w:t>：</w:t>
      </w:r>
    </w:p>
    <w:p>
      <w:pPr>
        <w:spacing w:line="360" w:lineRule="auto"/>
        <w:ind w:firstLine="810"/>
        <w:jc w:val="left"/>
        <w:rPr>
          <w:rFonts w:hint="eastAsia" w:asciiTheme="minorEastAsia" w:hAnsiTheme="minorEastAsia" w:eastAsiaTheme="minorEastAsia"/>
          <w:sz w:val="40"/>
          <w:szCs w:val="40"/>
          <w:lang w:eastAsia="zh-CN"/>
        </w:rPr>
      </w:pPr>
      <w:r>
        <w:rPr>
          <w:rFonts w:asciiTheme="minorEastAsia" w:hAnsiTheme="minorEastAsia" w:eastAsiaTheme="minorEastAsia"/>
          <w:sz w:val="40"/>
          <w:szCs w:val="40"/>
        </w:rPr>
        <w:t>1</w:t>
      </w:r>
      <w:r>
        <w:rPr>
          <w:rFonts w:hint="eastAsia" w:asciiTheme="minorEastAsia" w:hAnsiTheme="minorEastAsia" w:eastAsiaTheme="minorEastAsia"/>
          <w:sz w:val="40"/>
          <w:szCs w:val="40"/>
        </w:rPr>
        <w:t>、</w:t>
      </w:r>
      <w:r>
        <w:rPr>
          <w:rFonts w:hint="eastAsia" w:asciiTheme="minorEastAsia" w:hAnsiTheme="minorEastAsia" w:eastAsiaTheme="minorEastAsia"/>
          <w:sz w:val="40"/>
          <w:szCs w:val="40"/>
          <w:lang w:eastAsia="zh-CN"/>
        </w:rPr>
        <w:t>供应商单位负责人为同一人，存在控股、管理等法律禁止的关联关系；</w:t>
      </w:r>
    </w:p>
    <w:p>
      <w:pPr>
        <w:spacing w:line="360" w:lineRule="auto"/>
        <w:ind w:firstLine="810"/>
        <w:jc w:val="left"/>
        <w:rPr>
          <w:rFonts w:hint="eastAsia" w:asciiTheme="minorEastAsia" w:hAnsiTheme="minorEastAsia" w:eastAsiaTheme="minorEastAsia"/>
          <w:sz w:val="40"/>
          <w:szCs w:val="40"/>
          <w:lang w:eastAsia="zh-CN"/>
        </w:rPr>
      </w:pPr>
      <w:r>
        <w:rPr>
          <w:rFonts w:hint="eastAsia" w:asciiTheme="minorEastAsia" w:hAnsiTheme="minorEastAsia" w:eastAsiaTheme="minorEastAsia"/>
          <w:sz w:val="40"/>
          <w:szCs w:val="40"/>
        </w:rPr>
        <w:t>2、</w:t>
      </w:r>
      <w:r>
        <w:rPr>
          <w:rFonts w:hint="eastAsia" w:asciiTheme="minorEastAsia" w:hAnsiTheme="minorEastAsia" w:eastAsiaTheme="minorEastAsia"/>
          <w:sz w:val="40"/>
          <w:szCs w:val="40"/>
          <w:lang w:eastAsia="zh-CN"/>
        </w:rPr>
        <w:t>供应商处于人民法院“失信被执行人”名单或工商行政管理机关“严重违法失信企业”名单。</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3、供应商不上传</w:t>
      </w:r>
      <w:r>
        <w:rPr>
          <w:rFonts w:asciiTheme="minorEastAsia" w:hAnsiTheme="minorEastAsia" w:eastAsiaTheme="minorEastAsia"/>
          <w:sz w:val="40"/>
          <w:szCs w:val="40"/>
        </w:rPr>
        <w:t>报价清单或</w:t>
      </w:r>
      <w:r>
        <w:rPr>
          <w:rFonts w:hint="eastAsia" w:asciiTheme="minorEastAsia" w:hAnsiTheme="minorEastAsia" w:eastAsiaTheme="minorEastAsia"/>
          <w:sz w:val="40"/>
          <w:szCs w:val="40"/>
        </w:rPr>
        <w:t>报价清单未</w:t>
      </w:r>
      <w:r>
        <w:rPr>
          <w:rFonts w:asciiTheme="minorEastAsia" w:hAnsiTheme="minorEastAsia" w:eastAsiaTheme="minorEastAsia"/>
          <w:sz w:val="40"/>
          <w:szCs w:val="40"/>
        </w:rPr>
        <w:t>盖章</w:t>
      </w:r>
      <w:r>
        <w:rPr>
          <w:rFonts w:hint="eastAsia" w:asciiTheme="minorEastAsia" w:hAnsiTheme="minorEastAsia" w:eastAsiaTheme="minorEastAsia"/>
          <w:sz w:val="40"/>
          <w:szCs w:val="40"/>
        </w:rPr>
        <w:t>的；</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4、供应商未按发布报价清单进行对应分项报价或报价清单缺项、漏项、多项的；供应商分项</w:t>
      </w:r>
      <w:r>
        <w:rPr>
          <w:rFonts w:asciiTheme="minorEastAsia" w:hAnsiTheme="minorEastAsia" w:eastAsiaTheme="minorEastAsia"/>
          <w:sz w:val="40"/>
          <w:szCs w:val="40"/>
        </w:rPr>
        <w:t>报价与总价不一致</w:t>
      </w:r>
      <w:r>
        <w:rPr>
          <w:rFonts w:hint="eastAsia" w:asciiTheme="minorEastAsia" w:hAnsiTheme="minorEastAsia" w:eastAsiaTheme="minorEastAsia"/>
          <w:sz w:val="40"/>
          <w:szCs w:val="40"/>
        </w:rPr>
        <w:t>的；</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rPr>
        <w:t>5、供应商无法接受</w:t>
      </w:r>
      <w:r>
        <w:rPr>
          <w:rFonts w:hint="eastAsia" w:asciiTheme="minorEastAsia" w:hAnsiTheme="minorEastAsia" w:eastAsiaTheme="minorEastAsia"/>
          <w:b/>
          <w:sz w:val="40"/>
          <w:szCs w:val="40"/>
        </w:rPr>
        <w:t>后付款</w:t>
      </w:r>
      <w:r>
        <w:rPr>
          <w:rFonts w:hint="eastAsia" w:asciiTheme="minorEastAsia" w:hAnsiTheme="minorEastAsia" w:eastAsiaTheme="minorEastAsia"/>
          <w:sz w:val="40"/>
          <w:szCs w:val="40"/>
        </w:rPr>
        <w:t>方式的；</w:t>
      </w:r>
    </w:p>
    <w:p>
      <w:pPr>
        <w:spacing w:line="360" w:lineRule="auto"/>
        <w:ind w:firstLine="810"/>
        <w:jc w:val="left"/>
        <w:rPr>
          <w:rFonts w:asciiTheme="minorEastAsia" w:hAnsiTheme="minorEastAsia" w:eastAsiaTheme="minorEastAsia"/>
          <w:sz w:val="40"/>
          <w:szCs w:val="40"/>
        </w:rPr>
      </w:pPr>
      <w:r>
        <w:rPr>
          <w:rFonts w:asciiTheme="minorEastAsia" w:hAnsiTheme="minorEastAsia" w:eastAsiaTheme="minorEastAsia"/>
          <w:sz w:val="40"/>
          <w:szCs w:val="40"/>
        </w:rPr>
        <w:t>6</w:t>
      </w:r>
      <w:r>
        <w:rPr>
          <w:rFonts w:hint="eastAsia" w:asciiTheme="minorEastAsia" w:hAnsiTheme="minorEastAsia" w:eastAsiaTheme="minorEastAsia"/>
          <w:sz w:val="40"/>
          <w:szCs w:val="40"/>
        </w:rPr>
        <w:t>、供应商未上传</w:t>
      </w:r>
      <w:r>
        <w:rPr>
          <w:rFonts w:asciiTheme="minorEastAsia" w:hAnsiTheme="minorEastAsia" w:eastAsiaTheme="minorEastAsia"/>
          <w:sz w:val="40"/>
          <w:szCs w:val="40"/>
        </w:rPr>
        <w:t>要求的</w:t>
      </w:r>
      <w:r>
        <w:rPr>
          <w:rFonts w:hint="eastAsia" w:asciiTheme="minorEastAsia" w:hAnsiTheme="minorEastAsia" w:eastAsiaTheme="minorEastAsia"/>
          <w:sz w:val="40"/>
          <w:szCs w:val="40"/>
        </w:rPr>
        <w:t>资格原件扫描件或</w:t>
      </w:r>
      <w:r>
        <w:rPr>
          <w:rFonts w:asciiTheme="minorEastAsia" w:hAnsiTheme="minorEastAsia" w:eastAsiaTheme="minorEastAsia"/>
          <w:sz w:val="40"/>
          <w:szCs w:val="40"/>
        </w:rPr>
        <w:t>上传的资格与专用条款要求不一致的；</w:t>
      </w:r>
      <w:r>
        <w:rPr>
          <w:rFonts w:hint="eastAsia" w:asciiTheme="minorEastAsia" w:hAnsiTheme="minorEastAsia" w:eastAsiaTheme="minorEastAsia"/>
          <w:sz w:val="40"/>
          <w:szCs w:val="40"/>
        </w:rPr>
        <w:t>（经评审</w:t>
      </w:r>
      <w:r>
        <w:rPr>
          <w:rFonts w:asciiTheme="minorEastAsia" w:hAnsiTheme="minorEastAsia" w:eastAsiaTheme="minorEastAsia"/>
          <w:sz w:val="40"/>
          <w:szCs w:val="40"/>
        </w:rPr>
        <w:t>最低价法</w:t>
      </w:r>
      <w:r>
        <w:rPr>
          <w:rFonts w:hint="eastAsia" w:asciiTheme="minorEastAsia" w:hAnsiTheme="minorEastAsia" w:eastAsiaTheme="minorEastAsia"/>
          <w:sz w:val="40"/>
          <w:szCs w:val="40"/>
        </w:rPr>
        <w:t>方有</w:t>
      </w:r>
      <w:r>
        <w:rPr>
          <w:rFonts w:asciiTheme="minorEastAsia" w:hAnsiTheme="minorEastAsia" w:eastAsiaTheme="minorEastAsia"/>
          <w:sz w:val="40"/>
          <w:szCs w:val="40"/>
        </w:rPr>
        <w:t>此条款</w:t>
      </w:r>
      <w:r>
        <w:rPr>
          <w:rFonts w:hint="eastAsia" w:asciiTheme="minorEastAsia" w:hAnsiTheme="minorEastAsia" w:eastAsiaTheme="minorEastAsia"/>
          <w:sz w:val="40"/>
          <w:szCs w:val="40"/>
        </w:rPr>
        <w:t>）</w:t>
      </w:r>
    </w:p>
    <w:p>
      <w:pPr>
        <w:spacing w:line="360" w:lineRule="auto"/>
        <w:ind w:firstLine="810"/>
        <w:jc w:val="left"/>
        <w:rPr>
          <w:rFonts w:asciiTheme="minorEastAsia" w:hAnsiTheme="minorEastAsia" w:eastAsiaTheme="minorEastAsia"/>
          <w:sz w:val="40"/>
          <w:szCs w:val="40"/>
        </w:rPr>
      </w:pPr>
      <w:r>
        <w:rPr>
          <w:rFonts w:hint="eastAsia" w:asciiTheme="minorEastAsia" w:hAnsiTheme="minorEastAsia" w:eastAsiaTheme="minorEastAsia"/>
          <w:sz w:val="40"/>
          <w:szCs w:val="40"/>
          <w:lang w:val="en-US" w:eastAsia="zh-CN"/>
        </w:rPr>
        <w:t>7、</w:t>
      </w:r>
      <w:r>
        <w:rPr>
          <w:rFonts w:hint="eastAsia" w:asciiTheme="minorEastAsia" w:hAnsiTheme="minorEastAsia" w:eastAsiaTheme="minorEastAsia"/>
          <w:sz w:val="40"/>
          <w:szCs w:val="40"/>
        </w:rPr>
        <w:t>供应商上传的资格扫描件是</w:t>
      </w:r>
      <w:r>
        <w:rPr>
          <w:rFonts w:asciiTheme="minorEastAsia" w:hAnsiTheme="minorEastAsia" w:eastAsiaTheme="minorEastAsia"/>
          <w:sz w:val="40"/>
          <w:szCs w:val="40"/>
        </w:rPr>
        <w:t>复印件</w:t>
      </w:r>
      <w:r>
        <w:rPr>
          <w:rFonts w:hint="eastAsia" w:asciiTheme="minorEastAsia" w:hAnsiTheme="minorEastAsia" w:eastAsiaTheme="minorEastAsia"/>
          <w:sz w:val="40"/>
          <w:szCs w:val="40"/>
        </w:rPr>
        <w:t>或</w:t>
      </w:r>
      <w:r>
        <w:rPr>
          <w:rFonts w:asciiTheme="minorEastAsia" w:hAnsiTheme="minorEastAsia" w:eastAsiaTheme="minorEastAsia"/>
          <w:sz w:val="40"/>
          <w:szCs w:val="40"/>
        </w:rPr>
        <w:t>缺少</w:t>
      </w:r>
      <w:r>
        <w:rPr>
          <w:rFonts w:hint="eastAsia" w:asciiTheme="minorEastAsia" w:hAnsiTheme="minorEastAsia" w:eastAsiaTheme="minorEastAsia"/>
          <w:sz w:val="40"/>
          <w:szCs w:val="40"/>
        </w:rPr>
        <w:t>合同</w:t>
      </w:r>
      <w:r>
        <w:rPr>
          <w:rFonts w:asciiTheme="minorEastAsia" w:hAnsiTheme="minorEastAsia" w:eastAsiaTheme="minorEastAsia"/>
          <w:sz w:val="40"/>
          <w:szCs w:val="40"/>
        </w:rPr>
        <w:t>关键页扫描件的</w:t>
      </w:r>
      <w:r>
        <w:rPr>
          <w:rFonts w:hint="eastAsia" w:asciiTheme="minorEastAsia" w:hAnsiTheme="minorEastAsia" w:eastAsiaTheme="minorEastAsia"/>
          <w:sz w:val="40"/>
          <w:szCs w:val="40"/>
        </w:rPr>
        <w:t>。（经评审</w:t>
      </w:r>
      <w:r>
        <w:rPr>
          <w:rFonts w:asciiTheme="minorEastAsia" w:hAnsiTheme="minorEastAsia" w:eastAsiaTheme="minorEastAsia"/>
          <w:sz w:val="40"/>
          <w:szCs w:val="40"/>
        </w:rPr>
        <w:t>最低价法</w:t>
      </w:r>
      <w:r>
        <w:rPr>
          <w:rFonts w:hint="eastAsia" w:asciiTheme="minorEastAsia" w:hAnsiTheme="minorEastAsia" w:eastAsiaTheme="minorEastAsia"/>
          <w:sz w:val="40"/>
          <w:szCs w:val="40"/>
        </w:rPr>
        <w:t>方有</w:t>
      </w:r>
      <w:r>
        <w:rPr>
          <w:rFonts w:asciiTheme="minorEastAsia" w:hAnsiTheme="minorEastAsia" w:eastAsiaTheme="minorEastAsia"/>
          <w:sz w:val="40"/>
          <w:szCs w:val="40"/>
        </w:rPr>
        <w:t>此条款</w:t>
      </w:r>
      <w:r>
        <w:rPr>
          <w:rFonts w:hint="eastAsia" w:asciiTheme="minorEastAsia" w:hAnsiTheme="minorEastAsia" w:eastAsiaTheme="minorEastAsia"/>
          <w:sz w:val="40"/>
          <w:szCs w:val="40"/>
        </w:rPr>
        <w:t>）</w:t>
      </w:r>
    </w:p>
    <w:p>
      <w:pPr>
        <w:pStyle w:val="14"/>
        <w:jc w:val="center"/>
        <w:rPr>
          <w:b/>
          <w:sz w:val="44"/>
          <w:szCs w:val="44"/>
        </w:rPr>
      </w:pPr>
    </w:p>
    <w:p>
      <w:pPr>
        <w:pStyle w:val="14"/>
        <w:jc w:val="center"/>
        <w:rPr>
          <w:b/>
          <w:sz w:val="44"/>
          <w:szCs w:val="44"/>
        </w:rPr>
      </w:pPr>
    </w:p>
    <w:p>
      <w:pPr>
        <w:pStyle w:val="14"/>
        <w:jc w:val="center"/>
        <w:rPr>
          <w:b/>
          <w:sz w:val="44"/>
          <w:szCs w:val="44"/>
        </w:rPr>
      </w:pPr>
    </w:p>
    <w:p>
      <w:pPr>
        <w:pStyle w:val="14"/>
        <w:jc w:val="center"/>
        <w:rPr>
          <w:b/>
          <w:sz w:val="44"/>
          <w:szCs w:val="44"/>
        </w:rPr>
      </w:pPr>
    </w:p>
    <w:p>
      <w:pPr>
        <w:pStyle w:val="14"/>
        <w:jc w:val="center"/>
        <w:rPr>
          <w:b/>
          <w:sz w:val="44"/>
          <w:szCs w:val="44"/>
        </w:rPr>
      </w:pPr>
    </w:p>
    <w:p>
      <w:pPr>
        <w:pStyle w:val="14"/>
        <w:jc w:val="center"/>
        <w:rPr>
          <w:b/>
          <w:sz w:val="44"/>
          <w:szCs w:val="44"/>
        </w:rPr>
      </w:pPr>
    </w:p>
    <w:p>
      <w:pPr>
        <w:pStyle w:val="14"/>
        <w:jc w:val="center"/>
        <w:rPr>
          <w:b/>
          <w:sz w:val="44"/>
          <w:szCs w:val="44"/>
        </w:rPr>
      </w:pPr>
      <w:r>
        <w:rPr>
          <w:rFonts w:hint="eastAsia"/>
          <w:b/>
          <w:sz w:val="44"/>
          <w:szCs w:val="44"/>
        </w:rPr>
        <w:t>总目录</w:t>
      </w:r>
    </w:p>
    <w:p>
      <w:pPr>
        <w:pStyle w:val="14"/>
        <w:rPr>
          <w:sz w:val="32"/>
          <w:szCs w:val="32"/>
        </w:rPr>
      </w:pPr>
    </w:p>
    <w:p>
      <w:pPr>
        <w:pStyle w:val="14"/>
        <w:spacing w:line="360" w:lineRule="auto"/>
        <w:rPr>
          <w:rFonts w:ascii="宋体"/>
          <w:b/>
          <w:color w:val="000000"/>
          <w:sz w:val="32"/>
          <w:szCs w:val="32"/>
        </w:rPr>
      </w:pPr>
      <w:r>
        <w:rPr>
          <w:rFonts w:hint="eastAsia" w:ascii="宋体" w:hAnsi="宋体"/>
          <w:b/>
          <w:color w:val="000000"/>
          <w:sz w:val="32"/>
          <w:szCs w:val="32"/>
        </w:rPr>
        <w:t>第一章供应商须知</w:t>
      </w:r>
    </w:p>
    <w:p>
      <w:pPr>
        <w:pStyle w:val="14"/>
        <w:spacing w:line="360" w:lineRule="auto"/>
        <w:rPr>
          <w:b/>
          <w:sz w:val="32"/>
          <w:szCs w:val="32"/>
        </w:rPr>
      </w:pPr>
      <w:r>
        <w:rPr>
          <w:rFonts w:hint="eastAsia"/>
          <w:b/>
          <w:sz w:val="32"/>
          <w:szCs w:val="32"/>
        </w:rPr>
        <w:t>第二章采购项目概况</w:t>
      </w:r>
    </w:p>
    <w:p>
      <w:pPr>
        <w:pStyle w:val="14"/>
        <w:spacing w:line="360" w:lineRule="auto"/>
        <w:rPr>
          <w:b/>
          <w:sz w:val="32"/>
          <w:szCs w:val="32"/>
        </w:rPr>
      </w:pPr>
      <w:r>
        <w:rPr>
          <w:rFonts w:hint="eastAsia"/>
          <w:b/>
          <w:sz w:val="32"/>
          <w:szCs w:val="32"/>
        </w:rPr>
        <w:t>第三章供应商资格要求</w:t>
      </w:r>
    </w:p>
    <w:p>
      <w:pPr>
        <w:pStyle w:val="14"/>
        <w:spacing w:line="360" w:lineRule="auto"/>
        <w:rPr>
          <w:b/>
          <w:sz w:val="32"/>
          <w:szCs w:val="32"/>
        </w:rPr>
      </w:pPr>
      <w:r>
        <w:rPr>
          <w:rFonts w:hint="eastAsia"/>
          <w:b/>
          <w:sz w:val="32"/>
          <w:szCs w:val="32"/>
        </w:rPr>
        <w:t>第四章技术规范要求</w:t>
      </w:r>
    </w:p>
    <w:p>
      <w:pPr>
        <w:pStyle w:val="14"/>
        <w:spacing w:line="360" w:lineRule="auto"/>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ascii="黑体" w:hAnsi="黑体" w:eastAsia="黑体"/>
          <w:sz w:val="32"/>
          <w:szCs w:val="32"/>
        </w:rPr>
      </w:pPr>
      <w:r>
        <w:rPr>
          <w:rFonts w:hint="eastAsia" w:ascii="黑体" w:hAnsi="黑体" w:eastAsia="黑体"/>
          <w:sz w:val="40"/>
          <w:szCs w:val="32"/>
        </w:rPr>
        <w:t>第一章供应商须知</w:t>
      </w:r>
    </w:p>
    <w:p>
      <w:pPr>
        <w:spacing w:line="360" w:lineRule="auto"/>
        <w:jc w:val="center"/>
        <w:rPr>
          <w:rFonts w:eastAsia="黑体"/>
          <w:b/>
          <w:sz w:val="48"/>
        </w:rPr>
      </w:pPr>
      <w:r>
        <w:rPr>
          <w:rFonts w:hint="eastAsia" w:ascii="黑体" w:hAnsi="黑体" w:eastAsia="黑体"/>
          <w:sz w:val="36"/>
          <w:szCs w:val="36"/>
        </w:rPr>
        <w:t>控制电缆KVVP 4×1.5电商询价采购文件</w:t>
      </w:r>
    </w:p>
    <w:tbl>
      <w:tblPr>
        <w:tblStyle w:val="8"/>
        <w:tblW w:w="10120" w:type="dxa"/>
        <w:tblInd w:w="-318" w:type="dxa"/>
        <w:tblLayout w:type="fixed"/>
        <w:tblCellMar>
          <w:top w:w="0" w:type="dxa"/>
          <w:left w:w="108" w:type="dxa"/>
          <w:bottom w:w="0" w:type="dxa"/>
          <w:right w:w="108" w:type="dxa"/>
        </w:tblCellMar>
      </w:tblPr>
      <w:tblGrid>
        <w:gridCol w:w="1299"/>
        <w:gridCol w:w="2431"/>
        <w:gridCol w:w="6390"/>
      </w:tblGrid>
      <w:tr>
        <w:tblPrEx>
          <w:tblLayout w:type="fixed"/>
          <w:tblCellMar>
            <w:top w:w="0" w:type="dxa"/>
            <w:left w:w="108" w:type="dxa"/>
            <w:bottom w:w="0" w:type="dxa"/>
            <w:right w:w="108" w:type="dxa"/>
          </w:tblCellMar>
        </w:tblPrEx>
        <w:trPr>
          <w:trHeight w:val="340" w:hRule="atLeast"/>
        </w:trPr>
        <w:tc>
          <w:tcPr>
            <w:tcW w:w="12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43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条款名称</w:t>
            </w:r>
          </w:p>
        </w:tc>
        <w:tc>
          <w:tcPr>
            <w:tcW w:w="639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主要内容</w:t>
            </w:r>
          </w:p>
        </w:tc>
      </w:tr>
      <w:tr>
        <w:tblPrEx>
          <w:tblLayout w:type="fixed"/>
          <w:tblCellMar>
            <w:top w:w="0" w:type="dxa"/>
            <w:left w:w="108" w:type="dxa"/>
            <w:bottom w:w="0" w:type="dxa"/>
            <w:right w:w="108" w:type="dxa"/>
          </w:tblCellMar>
        </w:tblPrEx>
        <w:trPr>
          <w:trHeight w:val="337" w:hRule="atLeast"/>
        </w:trPr>
        <w:tc>
          <w:tcPr>
            <w:tcW w:w="1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431"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6390"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cs="宋体"/>
                <w:sz w:val="22"/>
              </w:rPr>
              <w:t>KVVP 4×1.5控制电缆</w:t>
            </w:r>
            <w:r>
              <w:rPr>
                <w:rFonts w:hint="eastAsia" w:ascii="宋体" w:hAnsi="宋体" w:cs="宋体"/>
                <w:sz w:val="22"/>
                <w:lang w:val="en-US" w:eastAsia="zh-CN"/>
              </w:rPr>
              <w:t>采购</w:t>
            </w:r>
            <w:r>
              <w:rPr>
                <w:rFonts w:hint="eastAsia" w:ascii="宋体" w:hAnsi="宋体" w:cs="宋体"/>
                <w:sz w:val="22"/>
              </w:rPr>
              <w:t>项目</w:t>
            </w:r>
          </w:p>
        </w:tc>
      </w:tr>
      <w:tr>
        <w:tblPrEx>
          <w:tblLayout w:type="fixed"/>
          <w:tblCellMar>
            <w:top w:w="0" w:type="dxa"/>
            <w:left w:w="108" w:type="dxa"/>
            <w:bottom w:w="0" w:type="dxa"/>
            <w:right w:w="108" w:type="dxa"/>
          </w:tblCellMar>
        </w:tblPrEx>
        <w:trPr>
          <w:trHeight w:val="327" w:hRule="atLeast"/>
        </w:trPr>
        <w:tc>
          <w:tcPr>
            <w:tcW w:w="12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w:t>
            </w:r>
          </w:p>
        </w:tc>
        <w:tc>
          <w:tcPr>
            <w:tcW w:w="243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6390"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项目单位：内蒙古丰电能源发电有限责任公司</w:t>
            </w:r>
          </w:p>
        </w:tc>
      </w:tr>
      <w:tr>
        <w:tblPrEx>
          <w:tblLayout w:type="fixed"/>
          <w:tblCellMar>
            <w:top w:w="0" w:type="dxa"/>
            <w:left w:w="108" w:type="dxa"/>
            <w:bottom w:w="0" w:type="dxa"/>
            <w:right w:w="108" w:type="dxa"/>
          </w:tblCellMar>
        </w:tblPrEx>
        <w:trPr>
          <w:trHeight w:val="327" w:hRule="atLeast"/>
        </w:trPr>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6390"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地址：内蒙古丰镇市</w:t>
            </w:r>
          </w:p>
        </w:tc>
      </w:tr>
      <w:tr>
        <w:tblPrEx>
          <w:tblLayout w:type="fixed"/>
          <w:tblCellMar>
            <w:top w:w="0" w:type="dxa"/>
            <w:left w:w="108" w:type="dxa"/>
            <w:bottom w:w="0" w:type="dxa"/>
            <w:right w:w="108" w:type="dxa"/>
          </w:tblCellMar>
        </w:tblPrEx>
        <w:trPr>
          <w:trHeight w:val="327" w:hRule="atLeast"/>
        </w:trPr>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6390"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人：刘爱民</w:t>
            </w:r>
          </w:p>
        </w:tc>
      </w:tr>
      <w:tr>
        <w:tblPrEx>
          <w:tblLayout w:type="fixed"/>
          <w:tblCellMar>
            <w:top w:w="0" w:type="dxa"/>
            <w:left w:w="108" w:type="dxa"/>
            <w:bottom w:w="0" w:type="dxa"/>
            <w:right w:w="108" w:type="dxa"/>
          </w:tblCellMar>
        </w:tblPrEx>
        <w:trPr>
          <w:trHeight w:val="327" w:hRule="atLeast"/>
        </w:trPr>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6390"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w:t>
            </w:r>
            <w:r>
              <w:rPr>
                <w:rFonts w:hint="eastAsia" w:ascii="宋体" w:hAnsi="宋体" w:cs="宋体"/>
                <w:bCs/>
                <w:sz w:val="22"/>
              </w:rPr>
              <w:t>13847433590</w:t>
            </w:r>
          </w:p>
        </w:tc>
      </w:tr>
      <w:tr>
        <w:tblPrEx>
          <w:tblLayout w:type="fixed"/>
          <w:tblCellMar>
            <w:top w:w="0" w:type="dxa"/>
            <w:left w:w="108" w:type="dxa"/>
            <w:bottom w:w="0" w:type="dxa"/>
            <w:right w:w="108" w:type="dxa"/>
          </w:tblCellMar>
        </w:tblPrEx>
        <w:trPr>
          <w:trHeight w:val="327" w:hRule="atLeast"/>
        </w:trPr>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639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w:t>
            </w:r>
          </w:p>
        </w:tc>
      </w:tr>
      <w:tr>
        <w:tblPrEx>
          <w:tblLayout w:type="fixed"/>
          <w:tblCellMar>
            <w:top w:w="0" w:type="dxa"/>
            <w:left w:w="108" w:type="dxa"/>
            <w:bottom w:w="0" w:type="dxa"/>
            <w:right w:w="108" w:type="dxa"/>
          </w:tblCellMar>
        </w:tblPrEx>
        <w:trPr>
          <w:trHeight w:val="823" w:hRule="atLeast"/>
        </w:trPr>
        <w:tc>
          <w:tcPr>
            <w:tcW w:w="1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w:t>
            </w:r>
          </w:p>
        </w:tc>
        <w:tc>
          <w:tcPr>
            <w:tcW w:w="24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6390"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rPr>
              <w:t>控制电缆KVVP 4×1.5</w:t>
            </w:r>
            <w:r>
              <w:rPr>
                <w:rFonts w:hint="eastAsia" w:ascii="宋体" w:hAnsi="宋体" w:cs="宋体"/>
                <w:kern w:val="0"/>
                <w:sz w:val="22"/>
                <w:lang w:val="en-US" w:eastAsia="zh-CN"/>
              </w:rPr>
              <w:t xml:space="preserve"> 5000米</w:t>
            </w:r>
          </w:p>
        </w:tc>
      </w:tr>
      <w:tr>
        <w:tblPrEx>
          <w:tblLayout w:type="fixed"/>
          <w:tblCellMar>
            <w:top w:w="0" w:type="dxa"/>
            <w:left w:w="108" w:type="dxa"/>
            <w:bottom w:w="0" w:type="dxa"/>
            <w:right w:w="108" w:type="dxa"/>
          </w:tblCellMar>
        </w:tblPrEx>
        <w:trPr>
          <w:trHeight w:val="468" w:hRule="atLeast"/>
        </w:trPr>
        <w:tc>
          <w:tcPr>
            <w:tcW w:w="1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w:t>
            </w:r>
          </w:p>
        </w:tc>
        <w:tc>
          <w:tcPr>
            <w:tcW w:w="24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6390"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2"/>
                <w:lang w:eastAsia="zh-CN"/>
              </w:rPr>
            </w:pPr>
            <w:r>
              <w:rPr>
                <w:rFonts w:hint="eastAsia" w:ascii="宋体" w:hAnsi="宋体"/>
                <w:sz w:val="22"/>
              </w:rPr>
              <w:t>合同签订</w:t>
            </w:r>
            <w:r>
              <w:rPr>
                <w:rFonts w:hint="eastAsia" w:ascii="宋体" w:hAnsi="宋体"/>
                <w:color w:val="FF0000"/>
                <w:sz w:val="22"/>
              </w:rPr>
              <w:t>后</w:t>
            </w:r>
            <w:r>
              <w:rPr>
                <w:rFonts w:hint="eastAsia" w:ascii="宋体" w:hAnsi="宋体"/>
                <w:color w:val="FF0000"/>
                <w:sz w:val="22"/>
                <w:lang w:val="en-US" w:eastAsia="zh-CN"/>
              </w:rPr>
              <w:t xml:space="preserve"> 15 </w:t>
            </w:r>
            <w:r>
              <w:rPr>
                <w:rFonts w:hint="eastAsia" w:ascii="宋体" w:hAnsi="宋体"/>
                <w:color w:val="FF0000"/>
                <w:sz w:val="22"/>
              </w:rPr>
              <w:t>日</w:t>
            </w:r>
            <w:r>
              <w:rPr>
                <w:rFonts w:hint="eastAsia" w:ascii="宋体" w:hAnsi="宋体"/>
                <w:color w:val="FF0000"/>
                <w:sz w:val="22"/>
                <w:lang w:eastAsia="zh-CN"/>
              </w:rPr>
              <w:t>前货到丰电能源发电有限公司物资站</w:t>
            </w:r>
          </w:p>
        </w:tc>
      </w:tr>
      <w:tr>
        <w:tblPrEx>
          <w:tblLayout w:type="fixed"/>
          <w:tblCellMar>
            <w:top w:w="0" w:type="dxa"/>
            <w:left w:w="108" w:type="dxa"/>
            <w:bottom w:w="0" w:type="dxa"/>
            <w:right w:w="108" w:type="dxa"/>
          </w:tblCellMar>
        </w:tblPrEx>
        <w:trPr>
          <w:trHeight w:val="1390" w:hRule="atLeast"/>
        </w:trPr>
        <w:tc>
          <w:tcPr>
            <w:tcW w:w="1299"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w:t>
            </w:r>
          </w:p>
        </w:tc>
        <w:tc>
          <w:tcPr>
            <w:tcW w:w="24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kern w:val="0"/>
                <w:sz w:val="22"/>
              </w:rPr>
              <w:t>询价程序</w:t>
            </w:r>
          </w:p>
        </w:tc>
        <w:tc>
          <w:tcPr>
            <w:tcW w:w="639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ascii="宋体" w:hAnsi="宋体" w:cs="宋体"/>
                <w:kern w:val="0"/>
                <w:sz w:val="22"/>
              </w:rPr>
              <w:t xml:space="preserve">(1) </w:t>
            </w:r>
            <w:r>
              <w:rPr>
                <w:rFonts w:hint="eastAsia" w:ascii="宋体" w:hAnsi="宋体" w:cs="宋体"/>
                <w:kern w:val="0"/>
                <w:sz w:val="22"/>
              </w:rPr>
              <w:t>采购方制定询价文件；</w:t>
            </w:r>
            <w:r>
              <w:rPr>
                <w:rFonts w:ascii="宋体" w:cs="宋体"/>
                <w:kern w:val="0"/>
                <w:sz w:val="22"/>
              </w:rPr>
              <w:br w:type="textWrapping"/>
            </w:r>
            <w:r>
              <w:rPr>
                <w:rFonts w:ascii="宋体" w:hAnsi="宋体" w:cs="宋体"/>
                <w:kern w:val="0"/>
                <w:sz w:val="22"/>
              </w:rPr>
              <w:t xml:space="preserve">(2) </w:t>
            </w:r>
            <w:r>
              <w:rPr>
                <w:rFonts w:hint="eastAsia" w:ascii="宋体" w:hAnsi="宋体" w:cs="宋体"/>
                <w:kern w:val="0"/>
                <w:sz w:val="22"/>
              </w:rPr>
              <w:t>闭环发起电商平台公开询价；</w:t>
            </w:r>
            <w:r>
              <w:rPr>
                <w:rFonts w:ascii="宋体" w:cs="宋体"/>
                <w:kern w:val="0"/>
                <w:sz w:val="22"/>
              </w:rPr>
              <w:br w:type="textWrapping"/>
            </w:r>
            <w:r>
              <w:rPr>
                <w:rFonts w:ascii="宋体" w:hAnsi="宋体" w:cs="宋体"/>
                <w:kern w:val="0"/>
                <w:sz w:val="22"/>
              </w:rPr>
              <w:t xml:space="preserve">(3) </w:t>
            </w:r>
            <w:r>
              <w:rPr>
                <w:rFonts w:hint="eastAsia" w:ascii="宋体" w:hAnsi="宋体" w:cs="宋体"/>
                <w:kern w:val="0"/>
                <w:sz w:val="22"/>
              </w:rPr>
              <w:t>报价方编制并在线递交盖章签字报价清单；</w:t>
            </w:r>
            <w:r>
              <w:rPr>
                <w:rFonts w:ascii="宋体" w:cs="宋体"/>
                <w:kern w:val="0"/>
                <w:sz w:val="22"/>
              </w:rPr>
              <w:br w:type="textWrapping"/>
            </w:r>
            <w:r>
              <w:rPr>
                <w:rFonts w:ascii="宋体" w:hAnsi="宋体" w:cs="宋体"/>
                <w:kern w:val="0"/>
                <w:sz w:val="22"/>
              </w:rPr>
              <w:t xml:space="preserve">(4) </w:t>
            </w:r>
            <w:r>
              <w:rPr>
                <w:rFonts w:hint="eastAsia" w:ascii="宋体" w:hAnsi="宋体" w:cs="宋体"/>
                <w:kern w:val="0"/>
                <w:sz w:val="22"/>
              </w:rPr>
              <w:t>采购方确定成交候选人及成交人。</w:t>
            </w:r>
          </w:p>
        </w:tc>
      </w:tr>
      <w:tr>
        <w:tblPrEx>
          <w:tblLayout w:type="fixed"/>
          <w:tblCellMar>
            <w:top w:w="0" w:type="dxa"/>
            <w:left w:w="108" w:type="dxa"/>
            <w:bottom w:w="0" w:type="dxa"/>
            <w:right w:w="108" w:type="dxa"/>
          </w:tblCellMar>
        </w:tblPrEx>
        <w:trPr>
          <w:trHeight w:val="1412" w:hRule="atLeast"/>
        </w:trPr>
        <w:tc>
          <w:tcPr>
            <w:tcW w:w="1299"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6</w:t>
            </w:r>
          </w:p>
        </w:tc>
        <w:tc>
          <w:tcPr>
            <w:tcW w:w="24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kern w:val="0"/>
                <w:sz w:val="22"/>
              </w:rPr>
              <w:t>报价要求</w:t>
            </w:r>
          </w:p>
        </w:tc>
        <w:tc>
          <w:tcPr>
            <w:tcW w:w="6390" w:type="dxa"/>
            <w:tcBorders>
              <w:top w:val="nil"/>
              <w:left w:val="nil"/>
              <w:bottom w:val="single" w:color="auto" w:sz="4" w:space="0"/>
              <w:right w:val="single" w:color="auto" w:sz="4" w:space="0"/>
            </w:tcBorders>
            <w:shd w:val="clear" w:color="000000" w:fill="FFFFFF"/>
            <w:vAlign w:val="center"/>
          </w:tcPr>
          <w:p>
            <w:pPr>
              <w:widowControl/>
              <w:jc w:val="left"/>
              <w:rPr>
                <w:rFonts w:ascii="宋体" w:cs="宋体"/>
                <w:kern w:val="0"/>
                <w:sz w:val="22"/>
              </w:rPr>
            </w:pPr>
            <w:r>
              <w:rPr>
                <w:rFonts w:ascii="宋体" w:hAnsi="宋体" w:cs="宋体"/>
                <w:kern w:val="0"/>
                <w:sz w:val="22"/>
              </w:rPr>
              <w:t xml:space="preserve">(1) </w:t>
            </w:r>
            <w:r>
              <w:rPr>
                <w:rFonts w:hint="eastAsia" w:ascii="宋体" w:hAnsi="宋体" w:cs="宋体"/>
                <w:kern w:val="0"/>
                <w:sz w:val="22"/>
              </w:rPr>
              <w:t>报价方必须按照清单分项报价；</w:t>
            </w:r>
          </w:p>
          <w:p>
            <w:pPr>
              <w:widowControl/>
              <w:jc w:val="left"/>
              <w:rPr>
                <w:rFonts w:ascii="宋体" w:cs="宋体"/>
                <w:kern w:val="0"/>
                <w:sz w:val="22"/>
              </w:rPr>
            </w:pPr>
            <w:r>
              <w:rPr>
                <w:rFonts w:ascii="宋体" w:hAnsi="宋体" w:cs="宋体"/>
                <w:kern w:val="0"/>
                <w:sz w:val="22"/>
              </w:rPr>
              <w:t xml:space="preserve">(2) </w:t>
            </w:r>
            <w:r>
              <w:rPr>
                <w:rFonts w:hint="eastAsia" w:ascii="宋体" w:hAnsi="宋体" w:cs="宋体"/>
                <w:kern w:val="0"/>
                <w:sz w:val="22"/>
              </w:rPr>
              <w:t>报价必须含运杂费，并注明有效期；</w:t>
            </w:r>
          </w:p>
          <w:p>
            <w:pPr>
              <w:widowControl/>
              <w:jc w:val="left"/>
              <w:rPr>
                <w:rFonts w:ascii="宋体" w:cs="宋体"/>
                <w:kern w:val="0"/>
                <w:sz w:val="22"/>
              </w:rPr>
            </w:pPr>
            <w:r>
              <w:rPr>
                <w:rFonts w:ascii="宋体" w:hAnsi="宋体" w:cs="宋体"/>
                <w:kern w:val="0"/>
                <w:sz w:val="22"/>
              </w:rPr>
              <w:t xml:space="preserve">(3) </w:t>
            </w:r>
            <w:r>
              <w:rPr>
                <w:rFonts w:hint="eastAsia" w:ascii="宋体" w:hAnsi="宋体" w:cs="宋体"/>
                <w:kern w:val="0"/>
                <w:sz w:val="22"/>
              </w:rPr>
              <w:t>缺项、漏项或无分项报价视同报价无效；</w:t>
            </w:r>
          </w:p>
          <w:p>
            <w:pPr>
              <w:widowControl/>
              <w:jc w:val="left"/>
              <w:rPr>
                <w:rFonts w:ascii="宋体" w:hAnsi="宋体" w:cs="宋体"/>
                <w:kern w:val="0"/>
                <w:sz w:val="22"/>
              </w:rPr>
            </w:pPr>
            <w:r>
              <w:rPr>
                <w:rFonts w:ascii="宋体" w:hAnsi="宋体" w:cs="宋体"/>
                <w:kern w:val="0"/>
                <w:sz w:val="22"/>
              </w:rPr>
              <w:t xml:space="preserve">(4) </w:t>
            </w:r>
            <w:r>
              <w:rPr>
                <w:rFonts w:hint="eastAsia" w:ascii="宋体" w:hAnsi="宋体" w:cs="宋体"/>
                <w:kern w:val="0"/>
                <w:sz w:val="22"/>
              </w:rPr>
              <w:t>分项报价与总价不一致视为报价无效。</w:t>
            </w:r>
          </w:p>
        </w:tc>
      </w:tr>
      <w:tr>
        <w:tblPrEx>
          <w:tblLayout w:type="fixed"/>
          <w:tblCellMar>
            <w:top w:w="0" w:type="dxa"/>
            <w:left w:w="108" w:type="dxa"/>
            <w:bottom w:w="0" w:type="dxa"/>
            <w:right w:w="108" w:type="dxa"/>
          </w:tblCellMar>
        </w:tblPrEx>
        <w:trPr>
          <w:trHeight w:val="644" w:hRule="atLeast"/>
        </w:trPr>
        <w:tc>
          <w:tcPr>
            <w:tcW w:w="1299"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7</w:t>
            </w:r>
          </w:p>
        </w:tc>
        <w:tc>
          <w:tcPr>
            <w:tcW w:w="24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6390" w:type="dxa"/>
            <w:tcBorders>
              <w:top w:val="nil"/>
              <w:left w:val="nil"/>
              <w:bottom w:val="single" w:color="auto" w:sz="8" w:space="0"/>
              <w:right w:val="single" w:color="auto" w:sz="8" w:space="0"/>
            </w:tcBorders>
            <w:shd w:val="clear" w:color="000000" w:fill="FFFFFF"/>
            <w:vAlign w:val="center"/>
          </w:tcPr>
          <w:p>
            <w:pPr>
              <w:widowControl/>
              <w:jc w:val="left"/>
              <w:rPr>
                <w:rFonts w:hint="eastAsia" w:ascii="宋体" w:hAnsi="宋体" w:cs="宋体"/>
                <w:kern w:val="0"/>
                <w:sz w:val="22"/>
                <w:lang w:eastAsia="zh-CN"/>
              </w:rPr>
            </w:pPr>
            <w:r>
              <w:rPr>
                <w:rFonts w:ascii="宋体" w:hAnsi="宋体" w:cs="宋体"/>
                <w:kern w:val="0"/>
                <w:sz w:val="22"/>
              </w:rPr>
              <w:t>2</w:t>
            </w:r>
            <w:r>
              <w:rPr>
                <w:rFonts w:hint="eastAsia" w:ascii="宋体" w:hAnsi="宋体" w:cs="宋体"/>
                <w:kern w:val="0"/>
                <w:sz w:val="22"/>
                <w:lang w:eastAsia="zh-CN"/>
              </w:rPr>
              <w:t>以华能电子商务平台报价截止时间为准</w:t>
            </w:r>
          </w:p>
        </w:tc>
      </w:tr>
      <w:tr>
        <w:tblPrEx>
          <w:tblLayout w:type="fixed"/>
          <w:tblCellMar>
            <w:top w:w="0" w:type="dxa"/>
            <w:left w:w="108" w:type="dxa"/>
            <w:bottom w:w="0" w:type="dxa"/>
            <w:right w:w="108" w:type="dxa"/>
          </w:tblCellMar>
        </w:tblPrEx>
        <w:trPr>
          <w:trHeight w:val="654"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24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6390" w:type="dxa"/>
            <w:tcBorders>
              <w:top w:val="nil"/>
              <w:left w:val="nil"/>
              <w:bottom w:val="single" w:color="auto" w:sz="4" w:space="0"/>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报价人通过中国华能集团公司电子商务平台在规定日期内进行报价并上传附件</w:t>
            </w:r>
          </w:p>
        </w:tc>
      </w:tr>
      <w:tr>
        <w:tblPrEx>
          <w:tblLayout w:type="fixed"/>
          <w:tblCellMar>
            <w:top w:w="0" w:type="dxa"/>
            <w:left w:w="108" w:type="dxa"/>
            <w:bottom w:w="0" w:type="dxa"/>
            <w:right w:w="108" w:type="dxa"/>
          </w:tblCellMar>
        </w:tblPrEx>
        <w:trPr>
          <w:trHeight w:val="788" w:hRule="atLeast"/>
        </w:trPr>
        <w:tc>
          <w:tcPr>
            <w:tcW w:w="1299" w:type="dxa"/>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8</w:t>
            </w:r>
          </w:p>
        </w:tc>
        <w:tc>
          <w:tcPr>
            <w:tcW w:w="2431"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付款方式</w:t>
            </w:r>
          </w:p>
        </w:tc>
        <w:tc>
          <w:tcPr>
            <w:tcW w:w="6390"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宋体" w:hAnsi="宋体" w:cs="宋体"/>
                <w:kern w:val="0"/>
                <w:sz w:val="22"/>
              </w:rPr>
              <w:t>合同后付款</w:t>
            </w:r>
          </w:p>
        </w:tc>
      </w:tr>
      <w:tr>
        <w:tblPrEx>
          <w:tblLayout w:type="fixed"/>
          <w:tblCellMar>
            <w:top w:w="0" w:type="dxa"/>
            <w:left w:w="108" w:type="dxa"/>
            <w:bottom w:w="0" w:type="dxa"/>
            <w:right w:w="108" w:type="dxa"/>
          </w:tblCellMar>
        </w:tblPrEx>
        <w:trPr>
          <w:trHeight w:val="788" w:hRule="atLeast"/>
        </w:trPr>
        <w:tc>
          <w:tcPr>
            <w:tcW w:w="1299" w:type="dxa"/>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9</w:t>
            </w:r>
          </w:p>
        </w:tc>
        <w:tc>
          <w:tcPr>
            <w:tcW w:w="2431"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交货期限(物资)/</w:t>
            </w:r>
          </w:p>
          <w:p>
            <w:pPr>
              <w:widowControl/>
              <w:jc w:val="left"/>
              <w:rPr>
                <w:rFonts w:ascii="宋体" w:hAnsi="宋体" w:cs="宋体"/>
                <w:kern w:val="0"/>
                <w:sz w:val="22"/>
              </w:rPr>
            </w:pPr>
            <w:r>
              <w:rPr>
                <w:rFonts w:hint="eastAsia" w:ascii="宋体" w:hAnsi="宋体" w:cs="宋体"/>
                <w:kern w:val="0"/>
                <w:sz w:val="22"/>
              </w:rPr>
              <w:t>工期(工程服务)</w:t>
            </w:r>
          </w:p>
        </w:tc>
        <w:tc>
          <w:tcPr>
            <w:tcW w:w="6390" w:type="dxa"/>
            <w:tcBorders>
              <w:top w:val="single" w:color="auto" w:sz="4" w:space="0"/>
              <w:left w:val="nil"/>
              <w:right w:val="single" w:color="auto" w:sz="4" w:space="0"/>
            </w:tcBorders>
            <w:shd w:val="clear" w:color="000000" w:fill="FFFFFF"/>
            <w:vAlign w:val="center"/>
          </w:tcPr>
          <w:p>
            <w:pPr>
              <w:widowControl/>
              <w:rPr>
                <w:rFonts w:hint="eastAsia" w:ascii="宋体" w:hAnsi="宋体" w:eastAsia="宋体" w:cs="宋体"/>
                <w:color w:val="0070C0"/>
                <w:kern w:val="0"/>
                <w:sz w:val="22"/>
                <w:lang w:eastAsia="zh-CN"/>
              </w:rPr>
            </w:pPr>
            <w:r>
              <w:rPr>
                <w:rFonts w:hint="eastAsia" w:ascii="宋体" w:hAnsi="宋体"/>
                <w:sz w:val="22"/>
                <w:lang w:eastAsia="zh-CN"/>
              </w:rPr>
              <w:t>要求报价方必须满足</w:t>
            </w:r>
            <w:r>
              <w:rPr>
                <w:rFonts w:hint="eastAsia" w:ascii="宋体" w:hAnsi="宋体"/>
                <w:sz w:val="22"/>
              </w:rPr>
              <w:t>合同</w:t>
            </w:r>
            <w:r>
              <w:rPr>
                <w:rFonts w:hint="eastAsia" w:ascii="宋体" w:hAnsi="宋体"/>
                <w:color w:val="FF0000"/>
                <w:sz w:val="22"/>
              </w:rPr>
              <w:t>签订后</w:t>
            </w:r>
            <w:r>
              <w:rPr>
                <w:rFonts w:hint="eastAsia" w:ascii="宋体" w:hAnsi="宋体"/>
                <w:color w:val="FF0000"/>
                <w:sz w:val="22"/>
                <w:lang w:val="en-US" w:eastAsia="zh-CN"/>
              </w:rPr>
              <w:t xml:space="preserve"> 15 </w:t>
            </w:r>
            <w:r>
              <w:rPr>
                <w:rFonts w:hint="eastAsia" w:ascii="宋体" w:hAnsi="宋体"/>
                <w:color w:val="FF0000"/>
                <w:sz w:val="22"/>
              </w:rPr>
              <w:t>日内</w:t>
            </w:r>
            <w:r>
              <w:rPr>
                <w:rFonts w:hint="eastAsia" w:ascii="宋体" w:hAnsi="宋体" w:cs="宋体"/>
                <w:kern w:val="0"/>
                <w:sz w:val="22"/>
                <w:lang w:eastAsia="zh-CN"/>
              </w:rPr>
              <w:t>到货，如不能满足严禁参与报价，否则终止合同并纳入供应商考评。</w:t>
            </w:r>
          </w:p>
        </w:tc>
      </w:tr>
      <w:tr>
        <w:tblPrEx>
          <w:tblLayout w:type="fixed"/>
          <w:tblCellMar>
            <w:top w:w="0" w:type="dxa"/>
            <w:left w:w="108" w:type="dxa"/>
            <w:bottom w:w="0" w:type="dxa"/>
            <w:right w:w="108" w:type="dxa"/>
          </w:tblCellMar>
        </w:tblPrEx>
        <w:trPr>
          <w:trHeight w:val="788" w:hRule="atLeast"/>
        </w:trPr>
        <w:tc>
          <w:tcPr>
            <w:tcW w:w="1299" w:type="dxa"/>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10</w:t>
            </w:r>
          </w:p>
        </w:tc>
        <w:tc>
          <w:tcPr>
            <w:tcW w:w="2431"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6390"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lang w:eastAsia="zh-CN"/>
              </w:rPr>
              <w:t>经评审的</w:t>
            </w:r>
            <w:r>
              <w:rPr>
                <w:rFonts w:hint="eastAsia" w:ascii="宋体" w:hAnsi="宋体" w:cs="宋体"/>
                <w:kern w:val="0"/>
                <w:sz w:val="22"/>
              </w:rPr>
              <w:t>最低价法</w:t>
            </w:r>
          </w:p>
        </w:tc>
      </w:tr>
      <w:tr>
        <w:tblPrEx>
          <w:tblLayout w:type="fixed"/>
          <w:tblCellMar>
            <w:top w:w="0" w:type="dxa"/>
            <w:left w:w="108" w:type="dxa"/>
            <w:bottom w:w="0" w:type="dxa"/>
            <w:right w:w="108" w:type="dxa"/>
          </w:tblCellMar>
        </w:tblPrEx>
        <w:trPr>
          <w:trHeight w:val="1606" w:hRule="atLeast"/>
        </w:trPr>
        <w:tc>
          <w:tcPr>
            <w:tcW w:w="12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11</w:t>
            </w:r>
          </w:p>
        </w:tc>
        <w:tc>
          <w:tcPr>
            <w:tcW w:w="2431"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63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(3)合同后</w:t>
            </w:r>
            <w:r>
              <w:rPr>
                <w:rFonts w:ascii="宋体" w:hAnsi="宋体" w:cs="宋体"/>
                <w:kern w:val="0"/>
                <w:sz w:val="22"/>
              </w:rPr>
              <w:t>付款；</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spacing w:line="360" w:lineRule="auto"/>
        <w:jc w:val="center"/>
        <w:rPr>
          <w:rFonts w:ascii="黑体fal" w:hAnsi="黑体fal" w:eastAsia="黑体fal"/>
          <w:sz w:val="40"/>
          <w:szCs w:val="32"/>
        </w:rPr>
      </w:pPr>
      <w:r>
        <w:rPr>
          <w:rFonts w:hint="eastAsia" w:ascii="黑体fal" w:hAnsi="黑体fal" w:eastAsia="黑体fal"/>
          <w:sz w:val="40"/>
          <w:szCs w:val="32"/>
        </w:rPr>
        <w:t>第二章采购项目概况</w:t>
      </w:r>
    </w:p>
    <w:p>
      <w:pPr>
        <w:spacing w:line="360" w:lineRule="auto"/>
        <w:ind w:firstLine="560"/>
        <w:contextualSpacing/>
        <w:rPr>
          <w:rFonts w:ascii="宋体" w:hAnsi="宋体" w:cs="宋体fal"/>
          <w:sz w:val="24"/>
          <w:szCs w:val="24"/>
        </w:rPr>
      </w:pPr>
      <w:r>
        <w:rPr>
          <w:rFonts w:hint="eastAsia" w:ascii="宋体" w:hAnsi="宋体" w:cs="宋体fal"/>
          <w:sz w:val="24"/>
          <w:szCs w:val="24"/>
        </w:rPr>
        <w:t>内蒙古丰电能源发电有限责任公司</w:t>
      </w:r>
      <w:r>
        <w:rPr>
          <w:rFonts w:hint="eastAsia" w:ascii="宋体" w:hAnsi="宋体" w:cs="宋体fal"/>
          <w:sz w:val="24"/>
          <w:szCs w:val="24"/>
          <w:lang w:eastAsia="zh-CN"/>
        </w:rPr>
        <w:t>采购</w:t>
      </w:r>
      <w:r>
        <w:rPr>
          <w:rFonts w:hint="eastAsia" w:ascii="宋体" w:hAnsi="宋体" w:cs="宋体fal"/>
          <w:sz w:val="24"/>
          <w:szCs w:val="24"/>
        </w:rPr>
        <w:t>控制电缆</w:t>
      </w:r>
      <w:r>
        <w:rPr>
          <w:rFonts w:hint="eastAsia" w:ascii="宋体" w:hAnsi="宋体" w:cs="宋体fal"/>
          <w:sz w:val="24"/>
          <w:szCs w:val="24"/>
          <w:lang w:val="en-US" w:eastAsia="zh-CN"/>
        </w:rPr>
        <w:t>5000米</w:t>
      </w:r>
      <w:r>
        <w:rPr>
          <w:rFonts w:hint="eastAsia" w:ascii="宋体" w:hAnsi="宋体" w:cs="宋体fal"/>
          <w:sz w:val="24"/>
          <w:szCs w:val="24"/>
          <w:lang w:eastAsia="zh-CN"/>
        </w:rPr>
        <w:t>，型号为：</w:t>
      </w:r>
      <w:r>
        <w:rPr>
          <w:rFonts w:hint="eastAsia" w:ascii="宋体" w:hAnsi="宋体" w:cs="宋体fal"/>
          <w:sz w:val="24"/>
          <w:szCs w:val="24"/>
        </w:rPr>
        <w:t>KVVP 4×1.5。</w:t>
      </w:r>
    </w:p>
    <w:p>
      <w:pPr>
        <w:pStyle w:val="14"/>
        <w:spacing w:line="360" w:lineRule="auto"/>
        <w:jc w:val="center"/>
        <w:rPr>
          <w:rFonts w:ascii="黑体fal" w:hAnsi="黑体fal" w:eastAsia="黑体fal"/>
          <w:sz w:val="40"/>
          <w:szCs w:val="32"/>
        </w:rPr>
      </w:pPr>
      <w:r>
        <w:rPr>
          <w:rFonts w:hint="eastAsia" w:ascii="黑体fal" w:hAnsi="黑体fal" w:eastAsia="黑体fal"/>
          <w:sz w:val="40"/>
          <w:szCs w:val="32"/>
        </w:rPr>
        <w:t>第三章供应商资格要求</w:t>
      </w:r>
    </w:p>
    <w:p>
      <w:pPr>
        <w:pStyle w:val="14"/>
        <w:spacing w:line="360" w:lineRule="auto"/>
        <w:rPr>
          <w:rFonts w:ascii="黑体" w:hAnsi="黑体" w:eastAsia="黑体"/>
          <w:b/>
          <w:sz w:val="24"/>
        </w:rPr>
      </w:pPr>
      <w:r>
        <w:rPr>
          <w:rFonts w:hint="eastAsia" w:ascii="黑体" w:hAnsi="黑体" w:eastAsia="黑体"/>
          <w:b/>
          <w:sz w:val="24"/>
        </w:rPr>
        <w:t>一、通用条款</w:t>
      </w:r>
    </w:p>
    <w:p>
      <w:pPr>
        <w:pStyle w:val="14"/>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14"/>
        <w:spacing w:line="360" w:lineRule="auto"/>
        <w:rPr>
          <w:rFonts w:asciiTheme="minorEastAsia" w:hAnsiTheme="minorEastAsia"/>
          <w:sz w:val="24"/>
        </w:rPr>
      </w:pPr>
      <w:r>
        <w:rPr>
          <w:rFonts w:hint="eastAsia" w:asciiTheme="minorEastAsia" w:hAnsiTheme="minorEastAsia"/>
          <w:sz w:val="24"/>
          <w:lang w:eastAsia="zh-CN"/>
        </w:rPr>
        <w:t>1.</w:t>
      </w:r>
      <w:r>
        <w:rPr>
          <w:rFonts w:hint="eastAsia" w:asciiTheme="minorEastAsia" w:hAnsiTheme="minorEastAsia"/>
          <w:sz w:val="24"/>
        </w:rPr>
        <w:t>具有良好的银行资信和商业信誉，未处于财产被接管、冻结、破产状态，未处于有关禁止经营的行政处罚期间；</w:t>
      </w:r>
      <w:bookmarkStart w:id="0" w:name="_GoBack"/>
      <w:bookmarkEnd w:id="0"/>
    </w:p>
    <w:p>
      <w:pPr>
        <w:pStyle w:val="14"/>
        <w:spacing w:line="360" w:lineRule="auto"/>
        <w:rPr>
          <w:rFonts w:asciiTheme="minorEastAsia" w:hAnsiTheme="minorEastAsia"/>
          <w:sz w:val="24"/>
        </w:rPr>
      </w:pPr>
      <w:r>
        <w:rPr>
          <w:rFonts w:hint="eastAsia" w:asciiTheme="minorEastAsia" w:hAnsiTheme="minorEastAsia"/>
          <w:sz w:val="24"/>
          <w:lang w:eastAsia="zh-CN"/>
        </w:rPr>
        <w:t>2.</w:t>
      </w:r>
      <w:r>
        <w:rPr>
          <w:rFonts w:hint="eastAsia" w:asciiTheme="minorEastAsia" w:hAnsiTheme="minorEastAsia"/>
          <w:sz w:val="24"/>
        </w:rPr>
        <w:t>单位负责人为同一人或者存在控股、管理关系的不同单位，不得同时参加此次报价；</w:t>
      </w:r>
    </w:p>
    <w:p>
      <w:pPr>
        <w:pStyle w:val="14"/>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4"/>
        <w:spacing w:line="360" w:lineRule="auto"/>
        <w:rPr>
          <w:rFonts w:ascii="黑体" w:hAnsi="黑体" w:eastAsia="黑体"/>
          <w:b/>
          <w:sz w:val="24"/>
        </w:rPr>
      </w:pPr>
      <w:r>
        <w:rPr>
          <w:rFonts w:hint="eastAsia" w:ascii="黑体" w:hAnsi="黑体" w:eastAsia="黑体"/>
          <w:b/>
          <w:sz w:val="24"/>
        </w:rPr>
        <w:t>二、专用条款</w:t>
      </w:r>
    </w:p>
    <w:p>
      <w:pPr>
        <w:pStyle w:val="14"/>
        <w:spacing w:line="360" w:lineRule="auto"/>
        <w:rPr>
          <w:rFonts w:hint="eastAsia" w:ascii="宋体" w:eastAsia="宋体"/>
          <w:sz w:val="24"/>
          <w:lang w:val="en-US" w:eastAsia="zh-CN"/>
        </w:rPr>
      </w:pPr>
      <w:r>
        <w:rPr>
          <w:rFonts w:hint="eastAsia" w:asciiTheme="minorEastAsia" w:hAnsiTheme="minorEastAsia"/>
          <w:sz w:val="24"/>
          <w:lang w:eastAsia="zh-CN"/>
        </w:rPr>
        <w:t>仅限于通过北方公司年度资格预审的供应商方有资格参与投标或报价</w:t>
      </w:r>
      <w:r>
        <w:rPr>
          <w:rFonts w:hint="eastAsia" w:asciiTheme="minorEastAsia" w:hAnsiTheme="minorEastAsia"/>
          <w:sz w:val="24"/>
          <w:lang w:val="en-US" w:eastAsia="zh-CN"/>
        </w:rPr>
        <w:t xml:space="preserve"> ，无资格报价将纳入考核。</w:t>
      </w:r>
    </w:p>
    <w:p>
      <w:pPr>
        <w:pStyle w:val="14"/>
        <w:spacing w:line="360" w:lineRule="auto"/>
        <w:jc w:val="center"/>
        <w:rPr>
          <w:rFonts w:ascii="黑体fal" w:hAnsi="黑体fal" w:eastAsia="黑体fal"/>
          <w:sz w:val="40"/>
          <w:szCs w:val="32"/>
        </w:rPr>
      </w:pPr>
    </w:p>
    <w:p>
      <w:pPr>
        <w:pStyle w:val="14"/>
        <w:spacing w:line="360" w:lineRule="auto"/>
        <w:jc w:val="center"/>
        <w:rPr>
          <w:rFonts w:ascii="黑体fal" w:hAnsi="黑体fal" w:eastAsia="黑体fal"/>
          <w:sz w:val="40"/>
          <w:szCs w:val="32"/>
        </w:rPr>
      </w:pPr>
      <w:r>
        <w:rPr>
          <w:rFonts w:ascii="黑体fal" w:hAnsi="黑体fal" w:eastAsia="黑体fal"/>
          <w:sz w:val="40"/>
          <w:szCs w:val="32"/>
        </w:rPr>
        <w:br w:type="page"/>
      </w:r>
    </w:p>
    <w:p>
      <w:pPr>
        <w:pStyle w:val="14"/>
        <w:spacing w:line="360" w:lineRule="auto"/>
        <w:jc w:val="center"/>
        <w:rPr>
          <w:rFonts w:ascii="黑体fal" w:hAnsi="黑体fal" w:eastAsia="黑体fal"/>
          <w:sz w:val="40"/>
          <w:szCs w:val="32"/>
        </w:rPr>
      </w:pPr>
      <w:r>
        <w:rPr>
          <w:rFonts w:hint="eastAsia" w:ascii="黑体fal" w:hAnsi="黑体fal" w:eastAsia="黑体fal"/>
          <w:sz w:val="40"/>
          <w:szCs w:val="32"/>
        </w:rPr>
        <w:t>第四章技术规范要求</w:t>
      </w:r>
    </w:p>
    <w:p>
      <w:pPr>
        <w:pStyle w:val="14"/>
        <w:spacing w:line="360" w:lineRule="auto"/>
        <w:ind w:firstLine="482" w:firstLineChars="200"/>
        <w:rPr>
          <w:rFonts w:ascii="宋体fal"/>
          <w:b/>
          <w:sz w:val="24"/>
        </w:rPr>
      </w:pPr>
      <w:r>
        <w:rPr>
          <w:rFonts w:hint="eastAsia" w:ascii="宋体fal" w:hAnsi="宋体fal"/>
          <w:b/>
          <w:sz w:val="24"/>
        </w:rPr>
        <w:t>（一）、服务需求清单一览表</w:t>
      </w:r>
    </w:p>
    <w:tbl>
      <w:tblPr>
        <w:tblStyle w:val="9"/>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20"/>
        <w:gridCol w:w="1253"/>
        <w:gridCol w:w="2759"/>
        <w:gridCol w:w="405"/>
        <w:gridCol w:w="360"/>
        <w:gridCol w:w="405"/>
        <w:gridCol w:w="465"/>
        <w:gridCol w:w="960"/>
        <w:gridCol w:w="945"/>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19" w:type="dxa"/>
            <w:vMerge w:val="restart"/>
            <w:vAlign w:val="center"/>
          </w:tcPr>
          <w:p>
            <w:pPr>
              <w:pStyle w:val="14"/>
              <w:spacing w:line="360" w:lineRule="auto"/>
              <w:rPr>
                <w:rFonts w:ascii="宋体" w:hAnsi="宋体" w:cs="宋体"/>
                <w:sz w:val="18"/>
                <w:szCs w:val="18"/>
              </w:rPr>
            </w:pPr>
            <w:r>
              <w:rPr>
                <w:rFonts w:hint="eastAsia" w:ascii="宋体" w:hAnsi="宋体" w:cs="宋体"/>
                <w:sz w:val="18"/>
                <w:szCs w:val="18"/>
              </w:rPr>
              <w:t>序号</w:t>
            </w:r>
          </w:p>
        </w:tc>
        <w:tc>
          <w:tcPr>
            <w:tcW w:w="1020" w:type="dxa"/>
            <w:vMerge w:val="restart"/>
            <w:vAlign w:val="center"/>
          </w:tcPr>
          <w:p>
            <w:pPr>
              <w:pStyle w:val="14"/>
              <w:spacing w:line="360" w:lineRule="auto"/>
              <w:jc w:val="center"/>
              <w:rPr>
                <w:rFonts w:ascii="宋体" w:hAnsi="宋体" w:cs="宋体"/>
                <w:sz w:val="18"/>
                <w:szCs w:val="18"/>
              </w:rPr>
            </w:pPr>
            <w:r>
              <w:rPr>
                <w:rFonts w:hint="eastAsia" w:ascii="宋体" w:hAnsi="宋体" w:cs="宋体"/>
                <w:sz w:val="18"/>
                <w:szCs w:val="18"/>
              </w:rPr>
              <w:t>工程服务编码</w:t>
            </w:r>
          </w:p>
        </w:tc>
        <w:tc>
          <w:tcPr>
            <w:tcW w:w="1253" w:type="dxa"/>
            <w:vMerge w:val="restart"/>
            <w:vAlign w:val="center"/>
          </w:tcPr>
          <w:p>
            <w:pPr>
              <w:pStyle w:val="14"/>
              <w:spacing w:line="360" w:lineRule="auto"/>
              <w:jc w:val="center"/>
              <w:rPr>
                <w:rFonts w:ascii="宋体" w:hAnsi="宋体" w:cs="宋体"/>
                <w:sz w:val="18"/>
                <w:szCs w:val="18"/>
              </w:rPr>
            </w:pPr>
            <w:r>
              <w:rPr>
                <w:rFonts w:hint="eastAsia" w:ascii="宋体" w:hAnsi="宋体" w:cs="宋体"/>
                <w:sz w:val="18"/>
                <w:szCs w:val="18"/>
              </w:rPr>
              <w:t>项目分项名称</w:t>
            </w:r>
          </w:p>
        </w:tc>
        <w:tc>
          <w:tcPr>
            <w:tcW w:w="2759" w:type="dxa"/>
            <w:vMerge w:val="restart"/>
            <w:vAlign w:val="center"/>
          </w:tcPr>
          <w:p>
            <w:pPr>
              <w:pStyle w:val="14"/>
              <w:spacing w:line="360" w:lineRule="auto"/>
              <w:jc w:val="center"/>
              <w:rPr>
                <w:rFonts w:ascii="宋体" w:hAnsi="宋体" w:cs="宋体"/>
                <w:sz w:val="18"/>
                <w:szCs w:val="18"/>
              </w:rPr>
            </w:pPr>
            <w:r>
              <w:rPr>
                <w:rFonts w:hint="eastAsia" w:ascii="宋体" w:hAnsi="宋体" w:cs="宋体"/>
                <w:sz w:val="18"/>
                <w:szCs w:val="18"/>
              </w:rPr>
              <w:t>分项技术标准</w:t>
            </w:r>
          </w:p>
        </w:tc>
        <w:tc>
          <w:tcPr>
            <w:tcW w:w="405" w:type="dxa"/>
            <w:vMerge w:val="restart"/>
            <w:vAlign w:val="center"/>
          </w:tcPr>
          <w:p>
            <w:pPr>
              <w:pStyle w:val="14"/>
              <w:spacing w:line="360" w:lineRule="auto"/>
              <w:rPr>
                <w:rFonts w:ascii="宋体" w:hAnsi="宋体" w:cs="宋体"/>
                <w:sz w:val="18"/>
                <w:szCs w:val="18"/>
              </w:rPr>
            </w:pPr>
            <w:r>
              <w:rPr>
                <w:rFonts w:hint="eastAsia" w:ascii="宋体" w:hAnsi="宋体" w:cs="宋体"/>
                <w:sz w:val="18"/>
                <w:szCs w:val="18"/>
              </w:rPr>
              <w:t>数量</w:t>
            </w:r>
          </w:p>
        </w:tc>
        <w:tc>
          <w:tcPr>
            <w:tcW w:w="360" w:type="dxa"/>
            <w:vMerge w:val="restart"/>
            <w:vAlign w:val="center"/>
          </w:tcPr>
          <w:p>
            <w:pPr>
              <w:pStyle w:val="14"/>
              <w:spacing w:line="360" w:lineRule="auto"/>
              <w:jc w:val="center"/>
              <w:rPr>
                <w:rFonts w:ascii="宋体" w:hAnsi="宋体" w:cs="宋体"/>
                <w:sz w:val="18"/>
                <w:szCs w:val="18"/>
              </w:rPr>
            </w:pPr>
            <w:r>
              <w:rPr>
                <w:rFonts w:hint="eastAsia" w:ascii="宋体" w:hAnsi="宋体" w:cs="宋体"/>
                <w:sz w:val="18"/>
                <w:szCs w:val="18"/>
              </w:rPr>
              <w:t>单位</w:t>
            </w:r>
          </w:p>
        </w:tc>
        <w:tc>
          <w:tcPr>
            <w:tcW w:w="870" w:type="dxa"/>
            <w:gridSpan w:val="2"/>
            <w:vAlign w:val="center"/>
          </w:tcPr>
          <w:p>
            <w:pPr>
              <w:pStyle w:val="14"/>
              <w:spacing w:line="360" w:lineRule="auto"/>
              <w:jc w:val="center"/>
              <w:rPr>
                <w:rFonts w:ascii="宋体" w:hAnsi="宋体" w:cs="宋体"/>
                <w:sz w:val="18"/>
                <w:szCs w:val="18"/>
              </w:rPr>
            </w:pPr>
            <w:r>
              <w:rPr>
                <w:rFonts w:hint="eastAsia" w:ascii="宋体" w:hAnsi="宋体" w:cs="宋体"/>
                <w:sz w:val="18"/>
                <w:szCs w:val="18"/>
              </w:rPr>
              <w:t>报价方</w:t>
            </w:r>
          </w:p>
        </w:tc>
        <w:tc>
          <w:tcPr>
            <w:tcW w:w="960" w:type="dxa"/>
            <w:vMerge w:val="restart"/>
            <w:vAlign w:val="center"/>
          </w:tcPr>
          <w:p>
            <w:pPr>
              <w:pStyle w:val="14"/>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交货时间</w:t>
            </w:r>
          </w:p>
        </w:tc>
        <w:tc>
          <w:tcPr>
            <w:tcW w:w="945" w:type="dxa"/>
            <w:vMerge w:val="restart"/>
            <w:vAlign w:val="center"/>
          </w:tcPr>
          <w:p>
            <w:pPr>
              <w:pStyle w:val="14"/>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交货地点</w:t>
            </w:r>
          </w:p>
        </w:tc>
        <w:tc>
          <w:tcPr>
            <w:tcW w:w="669" w:type="dxa"/>
            <w:vMerge w:val="restart"/>
            <w:vAlign w:val="center"/>
          </w:tcPr>
          <w:p>
            <w:pPr>
              <w:pStyle w:val="14"/>
              <w:spacing w:line="360" w:lineRule="auto"/>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719" w:type="dxa"/>
            <w:vMerge w:val="continue"/>
            <w:vAlign w:val="center"/>
          </w:tcPr>
          <w:p>
            <w:pPr>
              <w:pStyle w:val="14"/>
              <w:spacing w:line="360" w:lineRule="auto"/>
              <w:rPr>
                <w:rFonts w:ascii="宋体" w:hAnsi="宋体" w:cs="宋体"/>
                <w:sz w:val="18"/>
                <w:szCs w:val="18"/>
              </w:rPr>
            </w:pPr>
          </w:p>
        </w:tc>
        <w:tc>
          <w:tcPr>
            <w:tcW w:w="1020" w:type="dxa"/>
            <w:vMerge w:val="continue"/>
            <w:vAlign w:val="center"/>
          </w:tcPr>
          <w:p>
            <w:pPr>
              <w:pStyle w:val="14"/>
              <w:spacing w:line="360" w:lineRule="auto"/>
              <w:jc w:val="center"/>
              <w:rPr>
                <w:rFonts w:ascii="宋体" w:hAnsi="宋体" w:cs="宋体"/>
                <w:sz w:val="18"/>
                <w:szCs w:val="18"/>
              </w:rPr>
            </w:pPr>
          </w:p>
        </w:tc>
        <w:tc>
          <w:tcPr>
            <w:tcW w:w="1253" w:type="dxa"/>
            <w:vMerge w:val="continue"/>
            <w:vAlign w:val="center"/>
          </w:tcPr>
          <w:p>
            <w:pPr>
              <w:pStyle w:val="14"/>
              <w:spacing w:line="360" w:lineRule="auto"/>
              <w:jc w:val="center"/>
              <w:rPr>
                <w:rFonts w:ascii="宋体" w:hAnsi="宋体" w:cs="宋体"/>
                <w:color w:val="00B0F0"/>
                <w:sz w:val="18"/>
                <w:szCs w:val="18"/>
              </w:rPr>
            </w:pPr>
          </w:p>
        </w:tc>
        <w:tc>
          <w:tcPr>
            <w:tcW w:w="2759" w:type="dxa"/>
            <w:vMerge w:val="continue"/>
            <w:vAlign w:val="center"/>
          </w:tcPr>
          <w:p>
            <w:pPr>
              <w:pStyle w:val="14"/>
              <w:spacing w:line="360" w:lineRule="auto"/>
              <w:jc w:val="center"/>
              <w:rPr>
                <w:rFonts w:ascii="宋体" w:hAnsi="宋体" w:cs="宋体"/>
                <w:color w:val="00B0F0"/>
                <w:sz w:val="18"/>
                <w:szCs w:val="18"/>
              </w:rPr>
            </w:pPr>
          </w:p>
        </w:tc>
        <w:tc>
          <w:tcPr>
            <w:tcW w:w="405" w:type="dxa"/>
            <w:vMerge w:val="continue"/>
            <w:vAlign w:val="center"/>
          </w:tcPr>
          <w:p>
            <w:pPr>
              <w:pStyle w:val="14"/>
              <w:spacing w:line="360" w:lineRule="auto"/>
              <w:rPr>
                <w:rFonts w:ascii="宋体" w:hAnsi="宋体" w:cs="宋体"/>
                <w:color w:val="00B0F0"/>
                <w:sz w:val="18"/>
                <w:szCs w:val="18"/>
              </w:rPr>
            </w:pPr>
          </w:p>
        </w:tc>
        <w:tc>
          <w:tcPr>
            <w:tcW w:w="360" w:type="dxa"/>
            <w:vMerge w:val="continue"/>
            <w:vAlign w:val="center"/>
          </w:tcPr>
          <w:p>
            <w:pPr>
              <w:pStyle w:val="14"/>
              <w:spacing w:line="360" w:lineRule="auto"/>
              <w:jc w:val="center"/>
              <w:rPr>
                <w:rFonts w:ascii="宋体" w:hAnsi="宋体" w:cs="宋体"/>
                <w:color w:val="00B0F0"/>
                <w:sz w:val="18"/>
                <w:szCs w:val="18"/>
              </w:rPr>
            </w:pPr>
          </w:p>
        </w:tc>
        <w:tc>
          <w:tcPr>
            <w:tcW w:w="405" w:type="dxa"/>
            <w:vAlign w:val="center"/>
          </w:tcPr>
          <w:p>
            <w:pPr>
              <w:pStyle w:val="14"/>
              <w:spacing w:line="360" w:lineRule="auto"/>
              <w:jc w:val="center"/>
              <w:rPr>
                <w:rFonts w:ascii="宋体" w:hAnsi="宋体" w:cs="宋体"/>
                <w:bCs/>
                <w:sz w:val="18"/>
                <w:szCs w:val="18"/>
              </w:rPr>
            </w:pPr>
            <w:r>
              <w:rPr>
                <w:rFonts w:hint="eastAsia" w:ascii="宋体" w:hAnsi="宋体" w:cs="宋体"/>
                <w:bCs/>
                <w:sz w:val="18"/>
                <w:szCs w:val="18"/>
              </w:rPr>
              <w:t>含税报单价</w:t>
            </w:r>
          </w:p>
        </w:tc>
        <w:tc>
          <w:tcPr>
            <w:tcW w:w="465" w:type="dxa"/>
          </w:tcPr>
          <w:p>
            <w:pPr>
              <w:pStyle w:val="14"/>
              <w:spacing w:line="360" w:lineRule="auto"/>
              <w:jc w:val="center"/>
              <w:rPr>
                <w:rFonts w:ascii="宋体" w:hAnsi="宋体" w:cs="宋体"/>
                <w:bCs/>
                <w:sz w:val="18"/>
                <w:szCs w:val="18"/>
              </w:rPr>
            </w:pPr>
            <w:r>
              <w:rPr>
                <w:rFonts w:hint="eastAsia" w:ascii="宋体" w:hAnsi="宋体" w:cs="宋体"/>
                <w:bCs/>
                <w:sz w:val="18"/>
                <w:szCs w:val="18"/>
              </w:rPr>
              <w:t>含税报总价</w:t>
            </w:r>
          </w:p>
        </w:tc>
        <w:tc>
          <w:tcPr>
            <w:tcW w:w="960" w:type="dxa"/>
            <w:vMerge w:val="continue"/>
            <w:vAlign w:val="center"/>
          </w:tcPr>
          <w:p>
            <w:pPr>
              <w:pStyle w:val="14"/>
              <w:spacing w:line="360" w:lineRule="auto"/>
              <w:jc w:val="center"/>
              <w:rPr>
                <w:rFonts w:ascii="宋体" w:hAnsi="宋体" w:cs="宋体"/>
                <w:color w:val="00B0F0"/>
                <w:sz w:val="18"/>
                <w:szCs w:val="18"/>
              </w:rPr>
            </w:pPr>
          </w:p>
        </w:tc>
        <w:tc>
          <w:tcPr>
            <w:tcW w:w="945" w:type="dxa"/>
            <w:vMerge w:val="continue"/>
            <w:vAlign w:val="center"/>
          </w:tcPr>
          <w:p>
            <w:pPr>
              <w:pStyle w:val="14"/>
              <w:spacing w:line="360" w:lineRule="auto"/>
              <w:jc w:val="center"/>
              <w:rPr>
                <w:rFonts w:ascii="宋体" w:hAnsi="宋体" w:cs="宋体"/>
                <w:color w:val="00B0F0"/>
                <w:sz w:val="18"/>
                <w:szCs w:val="18"/>
              </w:rPr>
            </w:pPr>
          </w:p>
        </w:tc>
        <w:tc>
          <w:tcPr>
            <w:tcW w:w="669" w:type="dxa"/>
            <w:vMerge w:val="continue"/>
            <w:vAlign w:val="center"/>
          </w:tcPr>
          <w:p>
            <w:pPr>
              <w:pStyle w:val="14"/>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5" w:hRule="atLeast"/>
        </w:trPr>
        <w:tc>
          <w:tcPr>
            <w:tcW w:w="719" w:type="dxa"/>
            <w:vAlign w:val="center"/>
          </w:tcPr>
          <w:p>
            <w:pPr>
              <w:pStyle w:val="14"/>
              <w:spacing w:line="360" w:lineRule="auto"/>
              <w:jc w:val="both"/>
              <w:rPr>
                <w:rFonts w:ascii="宋体" w:hAnsi="宋体" w:cs="宋体"/>
                <w:sz w:val="18"/>
                <w:szCs w:val="18"/>
              </w:rPr>
            </w:pPr>
            <w:r>
              <w:rPr>
                <w:rFonts w:hint="eastAsia" w:ascii="宋体" w:hAnsi="宋体" w:cs="宋体"/>
                <w:sz w:val="18"/>
                <w:szCs w:val="18"/>
              </w:rPr>
              <w:t>1</w:t>
            </w:r>
          </w:p>
        </w:tc>
        <w:tc>
          <w:tcPr>
            <w:tcW w:w="1020" w:type="dxa"/>
            <w:vAlign w:val="center"/>
          </w:tcPr>
          <w:p>
            <w:pPr>
              <w:pStyle w:val="14"/>
              <w:spacing w:line="360" w:lineRule="auto"/>
              <w:jc w:val="both"/>
              <w:rPr>
                <w:rFonts w:ascii="宋体" w:hAnsi="宋体" w:cs="宋体"/>
                <w:sz w:val="18"/>
                <w:szCs w:val="18"/>
              </w:rPr>
            </w:pPr>
            <w:r>
              <w:rPr>
                <w:rFonts w:hint="eastAsia" w:ascii="宋体" w:hAnsi="宋体" w:cs="宋体"/>
                <w:sz w:val="18"/>
                <w:szCs w:val="18"/>
              </w:rPr>
              <w:t>2020300098</w:t>
            </w:r>
          </w:p>
        </w:tc>
        <w:tc>
          <w:tcPr>
            <w:tcW w:w="1253" w:type="dxa"/>
            <w:vAlign w:val="center"/>
          </w:tcPr>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ascii="宋体fal" w:hAnsi="宋体fal" w:cs="黑体"/>
                <w:sz w:val="18"/>
                <w:szCs w:val="18"/>
              </w:rPr>
            </w:pPr>
            <w:r>
              <w:rPr>
                <w:rFonts w:hint="eastAsia" w:ascii="宋体fal" w:hAnsi="宋体fal" w:cs="黑体"/>
                <w:kern w:val="2"/>
                <w:sz w:val="18"/>
                <w:szCs w:val="18"/>
                <w:lang w:val="en-US" w:eastAsia="zh-CN" w:bidi="ar-SA"/>
              </w:rPr>
              <w:t>采购</w:t>
            </w:r>
            <w:r>
              <w:rPr>
                <w:rFonts w:hint="eastAsia" w:ascii="宋体fal" w:hAnsi="宋体fal" w:eastAsia="宋体" w:cs="黑体"/>
                <w:kern w:val="2"/>
                <w:sz w:val="18"/>
                <w:szCs w:val="18"/>
                <w:lang w:val="en-US" w:eastAsia="zh-CN" w:bidi="ar-SA"/>
              </w:rPr>
              <w:t>控制电缆</w:t>
            </w:r>
          </w:p>
        </w:tc>
        <w:tc>
          <w:tcPr>
            <w:tcW w:w="2759"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firstLine="0" w:firstLineChars="0"/>
              <w:jc w:val="both"/>
              <w:textAlignment w:val="auto"/>
              <w:outlineLvl w:val="9"/>
              <w:rPr>
                <w:rFonts w:hint="eastAsia" w:ascii="宋体fal" w:hAnsi="宋体fal"/>
                <w:sz w:val="18"/>
                <w:szCs w:val="18"/>
                <w:lang w:val="en-US" w:eastAsia="zh-CN"/>
              </w:rPr>
            </w:pPr>
            <w:r>
              <w:rPr>
                <w:rFonts w:hint="eastAsia" w:ascii="宋体fal" w:hAnsi="宋体fal"/>
                <w:sz w:val="18"/>
                <w:szCs w:val="18"/>
                <w:lang w:val="en-US" w:eastAsia="zh-CN"/>
              </w:rPr>
              <w:t>型号：</w:t>
            </w:r>
            <w:r>
              <w:rPr>
                <w:rFonts w:hint="eastAsia" w:ascii="宋体fal" w:hAnsi="宋体fal" w:eastAsia="宋体" w:cs="黑体"/>
                <w:kern w:val="2"/>
                <w:sz w:val="18"/>
                <w:szCs w:val="18"/>
                <w:lang w:val="en-US" w:eastAsia="zh-CN" w:bidi="ar-SA"/>
              </w:rPr>
              <w:t>KVVP</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firstLine="0" w:firstLineChars="0"/>
              <w:jc w:val="both"/>
              <w:textAlignment w:val="auto"/>
              <w:outlineLvl w:val="9"/>
              <w:rPr>
                <w:rFonts w:hint="eastAsia" w:ascii="宋体fal" w:hAnsi="宋体fal"/>
                <w:sz w:val="18"/>
                <w:szCs w:val="18"/>
                <w:lang w:val="en-US" w:eastAsia="zh-CN"/>
              </w:rPr>
            </w:pPr>
            <w:r>
              <w:rPr>
                <w:rFonts w:hint="eastAsia" w:ascii="宋体fal" w:hAnsi="宋体fal"/>
                <w:sz w:val="18"/>
                <w:szCs w:val="18"/>
                <w:lang w:val="en-US" w:eastAsia="zh-CN"/>
              </w:rPr>
              <w:t>芯数：</w:t>
            </w:r>
            <w:r>
              <w:rPr>
                <w:rFonts w:hint="eastAsia" w:ascii="宋体fal" w:hAnsi="宋体fal" w:eastAsia="宋体" w:cs="黑体"/>
                <w:kern w:val="2"/>
                <w:sz w:val="18"/>
                <w:szCs w:val="18"/>
                <w:lang w:val="en-US" w:eastAsia="zh-CN" w:bidi="ar-SA"/>
              </w:rPr>
              <w:t xml:space="preserve"> 4×1.5</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firstLine="0" w:firstLineChars="0"/>
              <w:jc w:val="both"/>
              <w:textAlignment w:val="auto"/>
              <w:outlineLvl w:val="9"/>
              <w:rPr>
                <w:rFonts w:hint="eastAsia" w:ascii="宋体fal" w:hAnsi="宋体fal"/>
                <w:sz w:val="18"/>
                <w:szCs w:val="18"/>
                <w:lang w:val="en-US" w:eastAsia="zh-CN"/>
              </w:rPr>
            </w:pPr>
            <w:r>
              <w:rPr>
                <w:rFonts w:hint="eastAsia" w:ascii="宋体fal" w:hAnsi="宋体fal" w:cs="黑体"/>
                <w:kern w:val="2"/>
                <w:sz w:val="18"/>
                <w:szCs w:val="18"/>
                <w:lang w:val="en-US" w:eastAsia="zh-CN" w:bidi="ar-SA"/>
              </w:rPr>
              <w:t>其他：带屏蔽层，铜芯</w:t>
            </w:r>
          </w:p>
          <w:p>
            <w:pPr>
              <w:keepNext w:val="0"/>
              <w:keepLines w:val="0"/>
              <w:pageBreakBefore w:val="0"/>
              <w:widowControl w:val="0"/>
              <w:numPr>
                <w:numId w:val="0"/>
              </w:numPr>
              <w:kinsoku/>
              <w:wordWrap/>
              <w:overflowPunct/>
              <w:topLinePunct w:val="0"/>
              <w:autoSpaceDE/>
              <w:autoSpaceDN/>
              <w:bidi w:val="0"/>
              <w:adjustRightInd w:val="0"/>
              <w:snapToGrid w:val="0"/>
              <w:spacing w:line="312" w:lineRule="auto"/>
              <w:jc w:val="both"/>
              <w:textAlignment w:val="auto"/>
              <w:outlineLvl w:val="9"/>
              <w:rPr>
                <w:rFonts w:hint="eastAsia" w:ascii="宋体fal" w:hAnsi="宋体fal"/>
                <w:sz w:val="18"/>
                <w:szCs w:val="18"/>
                <w:lang w:val="en-US" w:eastAsia="zh-CN"/>
              </w:rPr>
            </w:pPr>
          </w:p>
        </w:tc>
        <w:tc>
          <w:tcPr>
            <w:tcW w:w="405" w:type="dxa"/>
            <w:vAlign w:val="center"/>
          </w:tcPr>
          <w:p>
            <w:pPr>
              <w:pStyle w:val="14"/>
              <w:spacing w:line="360" w:lineRule="auto"/>
              <w:jc w:val="both"/>
              <w:rPr>
                <w:rFonts w:hint="eastAsia" w:ascii="宋体" w:hAnsi="宋体" w:eastAsia="宋体" w:cs="宋体"/>
                <w:sz w:val="18"/>
                <w:szCs w:val="18"/>
                <w:lang w:val="en-US" w:eastAsia="zh-CN"/>
              </w:rPr>
            </w:pPr>
            <w:r>
              <w:rPr>
                <w:rFonts w:hint="eastAsia" w:ascii="宋体" w:hAnsi="宋体" w:cs="宋体"/>
                <w:sz w:val="18"/>
                <w:szCs w:val="18"/>
                <w:lang w:val="en-US" w:eastAsia="zh-CN"/>
              </w:rPr>
              <w:t>5000</w:t>
            </w:r>
          </w:p>
        </w:tc>
        <w:tc>
          <w:tcPr>
            <w:tcW w:w="360" w:type="dxa"/>
            <w:vAlign w:val="center"/>
          </w:tcPr>
          <w:p>
            <w:pPr>
              <w:pStyle w:val="14"/>
              <w:spacing w:line="360" w:lineRule="auto"/>
              <w:jc w:val="both"/>
              <w:rPr>
                <w:rFonts w:hint="eastAsia" w:ascii="宋体" w:hAnsi="宋体" w:eastAsia="宋体" w:cs="宋体"/>
                <w:sz w:val="18"/>
                <w:szCs w:val="18"/>
                <w:lang w:eastAsia="zh-CN"/>
              </w:rPr>
            </w:pPr>
            <w:r>
              <w:rPr>
                <w:rFonts w:hint="eastAsia" w:ascii="宋体" w:hAnsi="宋体" w:cs="宋体"/>
                <w:sz w:val="18"/>
                <w:szCs w:val="18"/>
                <w:lang w:eastAsia="zh-CN"/>
              </w:rPr>
              <w:t>米</w:t>
            </w:r>
          </w:p>
        </w:tc>
        <w:tc>
          <w:tcPr>
            <w:tcW w:w="405" w:type="dxa"/>
            <w:vAlign w:val="center"/>
          </w:tcPr>
          <w:p>
            <w:pPr>
              <w:pStyle w:val="14"/>
              <w:spacing w:line="360" w:lineRule="auto"/>
              <w:jc w:val="both"/>
              <w:rPr>
                <w:rFonts w:ascii="宋体" w:hAnsi="宋体" w:cs="宋体"/>
                <w:sz w:val="18"/>
                <w:szCs w:val="18"/>
              </w:rPr>
            </w:pPr>
          </w:p>
        </w:tc>
        <w:tc>
          <w:tcPr>
            <w:tcW w:w="465" w:type="dxa"/>
            <w:vAlign w:val="center"/>
          </w:tcPr>
          <w:p>
            <w:pPr>
              <w:pStyle w:val="14"/>
              <w:spacing w:line="360" w:lineRule="auto"/>
              <w:jc w:val="both"/>
              <w:rPr>
                <w:rFonts w:ascii="宋体" w:hAnsi="宋体" w:cs="宋体"/>
                <w:sz w:val="18"/>
                <w:szCs w:val="18"/>
              </w:rPr>
            </w:pPr>
          </w:p>
        </w:tc>
        <w:tc>
          <w:tcPr>
            <w:tcW w:w="960" w:type="dxa"/>
            <w:vAlign w:val="center"/>
          </w:tcPr>
          <w:p>
            <w:pPr>
              <w:pStyle w:val="14"/>
              <w:spacing w:line="360" w:lineRule="auto"/>
              <w:jc w:val="both"/>
              <w:rPr>
                <w:rFonts w:ascii="宋体" w:hAnsi="宋体" w:cs="宋体"/>
                <w:sz w:val="18"/>
                <w:szCs w:val="18"/>
              </w:rPr>
            </w:pPr>
            <w:r>
              <w:rPr>
                <w:rFonts w:hint="eastAsia" w:ascii="宋体" w:hAnsi="宋体" w:cs="宋体"/>
                <w:sz w:val="18"/>
                <w:szCs w:val="18"/>
              </w:rPr>
              <w:t>合同签</w:t>
            </w:r>
            <w:r>
              <w:rPr>
                <w:rFonts w:hint="eastAsia" w:ascii="宋体" w:hAnsi="宋体" w:cs="宋体"/>
                <w:color w:val="FF0000"/>
                <w:sz w:val="18"/>
                <w:szCs w:val="18"/>
              </w:rPr>
              <w:t>订后</w:t>
            </w:r>
            <w:r>
              <w:rPr>
                <w:rFonts w:hint="eastAsia" w:ascii="宋体" w:hAnsi="宋体" w:cs="宋体"/>
                <w:color w:val="FF0000"/>
                <w:sz w:val="18"/>
                <w:szCs w:val="18"/>
                <w:lang w:val="en-US" w:eastAsia="zh-CN"/>
              </w:rPr>
              <w:t>15</w:t>
            </w:r>
            <w:r>
              <w:rPr>
                <w:rFonts w:hint="eastAsia" w:ascii="宋体" w:hAnsi="宋体" w:cs="宋体"/>
                <w:color w:val="FF0000"/>
                <w:sz w:val="18"/>
                <w:szCs w:val="18"/>
              </w:rPr>
              <w:t>日内</w:t>
            </w:r>
          </w:p>
        </w:tc>
        <w:tc>
          <w:tcPr>
            <w:tcW w:w="945" w:type="dxa"/>
            <w:vAlign w:val="center"/>
          </w:tcPr>
          <w:p>
            <w:pPr>
              <w:pStyle w:val="14"/>
              <w:spacing w:line="360" w:lineRule="auto"/>
              <w:jc w:val="both"/>
              <w:rPr>
                <w:rFonts w:hint="eastAsia" w:ascii="宋体" w:hAnsi="宋体" w:eastAsia="宋体" w:cs="宋体"/>
                <w:sz w:val="18"/>
                <w:szCs w:val="18"/>
                <w:lang w:val="en-US" w:eastAsia="zh-CN"/>
              </w:rPr>
            </w:pPr>
            <w:r>
              <w:rPr>
                <w:rFonts w:hint="eastAsia" w:ascii="宋体" w:hAnsi="宋体"/>
                <w:color w:val="auto"/>
                <w:sz w:val="22"/>
                <w:lang w:eastAsia="zh-CN"/>
              </w:rPr>
              <w:t>丰电能源发电有限公司物资站</w:t>
            </w:r>
          </w:p>
        </w:tc>
        <w:tc>
          <w:tcPr>
            <w:tcW w:w="669" w:type="dxa"/>
          </w:tcPr>
          <w:p>
            <w:pPr>
              <w:pStyle w:val="14"/>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trPr>
        <w:tc>
          <w:tcPr>
            <w:tcW w:w="719" w:type="dxa"/>
            <w:vAlign w:val="center"/>
          </w:tcPr>
          <w:p>
            <w:pPr>
              <w:pStyle w:val="14"/>
              <w:spacing w:line="360" w:lineRule="auto"/>
              <w:jc w:val="both"/>
              <w:rPr>
                <w:rFonts w:ascii="宋体" w:hAnsi="宋体" w:cs="宋体"/>
                <w:sz w:val="18"/>
                <w:szCs w:val="18"/>
              </w:rPr>
            </w:pPr>
          </w:p>
        </w:tc>
        <w:tc>
          <w:tcPr>
            <w:tcW w:w="1020" w:type="dxa"/>
            <w:vAlign w:val="center"/>
          </w:tcPr>
          <w:p>
            <w:pPr>
              <w:pStyle w:val="14"/>
              <w:spacing w:line="360" w:lineRule="auto"/>
              <w:jc w:val="both"/>
              <w:rPr>
                <w:rFonts w:ascii="宋体" w:hAnsi="宋体" w:cs="宋体"/>
                <w:sz w:val="18"/>
                <w:szCs w:val="18"/>
              </w:rPr>
            </w:pPr>
          </w:p>
        </w:tc>
        <w:tc>
          <w:tcPr>
            <w:tcW w:w="1253" w:type="dxa"/>
            <w:vAlign w:val="center"/>
          </w:tcPr>
          <w:p>
            <w:pPr>
              <w:adjustRightInd w:val="0"/>
              <w:snapToGrid w:val="0"/>
              <w:spacing w:line="312" w:lineRule="auto"/>
              <w:jc w:val="both"/>
              <w:rPr>
                <w:rFonts w:hint="eastAsia" w:ascii="宋体fal" w:hAnsi="宋体fal" w:eastAsia="宋体"/>
                <w:sz w:val="18"/>
                <w:szCs w:val="18"/>
                <w:lang w:val="en-US" w:eastAsia="zh-CN"/>
              </w:rPr>
            </w:pPr>
          </w:p>
        </w:tc>
        <w:tc>
          <w:tcPr>
            <w:tcW w:w="2759" w:type="dxa"/>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0" w:firstLineChars="0"/>
              <w:jc w:val="both"/>
              <w:textAlignment w:val="auto"/>
              <w:outlineLvl w:val="9"/>
              <w:rPr>
                <w:rFonts w:ascii="宋体fal" w:hAnsi="宋体fal"/>
                <w:sz w:val="18"/>
                <w:szCs w:val="18"/>
              </w:rPr>
            </w:pPr>
          </w:p>
        </w:tc>
        <w:tc>
          <w:tcPr>
            <w:tcW w:w="405" w:type="dxa"/>
            <w:vAlign w:val="center"/>
          </w:tcPr>
          <w:p>
            <w:pPr>
              <w:pStyle w:val="14"/>
              <w:spacing w:line="360" w:lineRule="auto"/>
              <w:jc w:val="both"/>
              <w:rPr>
                <w:rFonts w:ascii="宋体" w:hAnsi="宋体" w:cs="宋体"/>
                <w:sz w:val="18"/>
                <w:szCs w:val="18"/>
              </w:rPr>
            </w:pPr>
          </w:p>
        </w:tc>
        <w:tc>
          <w:tcPr>
            <w:tcW w:w="360" w:type="dxa"/>
            <w:vAlign w:val="center"/>
          </w:tcPr>
          <w:p>
            <w:pPr>
              <w:pStyle w:val="14"/>
              <w:spacing w:line="360" w:lineRule="auto"/>
              <w:jc w:val="both"/>
              <w:rPr>
                <w:rFonts w:hint="eastAsia" w:ascii="宋体" w:hAnsi="宋体" w:eastAsia="宋体" w:cs="宋体"/>
                <w:sz w:val="18"/>
                <w:szCs w:val="18"/>
                <w:lang w:eastAsia="zh-CN"/>
              </w:rPr>
            </w:pPr>
          </w:p>
        </w:tc>
        <w:tc>
          <w:tcPr>
            <w:tcW w:w="405" w:type="dxa"/>
            <w:vAlign w:val="center"/>
          </w:tcPr>
          <w:p>
            <w:pPr>
              <w:pStyle w:val="14"/>
              <w:spacing w:line="360" w:lineRule="auto"/>
              <w:jc w:val="both"/>
              <w:rPr>
                <w:rFonts w:ascii="宋体" w:hAnsi="宋体" w:cs="宋体"/>
                <w:sz w:val="18"/>
                <w:szCs w:val="18"/>
              </w:rPr>
            </w:pPr>
          </w:p>
        </w:tc>
        <w:tc>
          <w:tcPr>
            <w:tcW w:w="465" w:type="dxa"/>
            <w:vAlign w:val="center"/>
          </w:tcPr>
          <w:p>
            <w:pPr>
              <w:pStyle w:val="14"/>
              <w:spacing w:line="360" w:lineRule="auto"/>
              <w:jc w:val="both"/>
              <w:rPr>
                <w:rFonts w:ascii="宋体" w:hAnsi="宋体" w:cs="宋体"/>
                <w:sz w:val="18"/>
                <w:szCs w:val="18"/>
              </w:rPr>
            </w:pPr>
          </w:p>
        </w:tc>
        <w:tc>
          <w:tcPr>
            <w:tcW w:w="960" w:type="dxa"/>
            <w:vAlign w:val="center"/>
          </w:tcPr>
          <w:p>
            <w:pPr>
              <w:pStyle w:val="14"/>
              <w:spacing w:line="360" w:lineRule="auto"/>
              <w:jc w:val="both"/>
              <w:rPr>
                <w:rFonts w:hint="eastAsia" w:ascii="宋体" w:hAnsi="宋体" w:eastAsia="宋体" w:cs="宋体"/>
                <w:sz w:val="18"/>
                <w:szCs w:val="18"/>
                <w:lang w:eastAsia="zh-CN"/>
              </w:rPr>
            </w:pPr>
          </w:p>
        </w:tc>
        <w:tc>
          <w:tcPr>
            <w:tcW w:w="945" w:type="dxa"/>
            <w:vAlign w:val="center"/>
          </w:tcPr>
          <w:p>
            <w:pPr>
              <w:pStyle w:val="14"/>
              <w:spacing w:line="360" w:lineRule="auto"/>
              <w:jc w:val="both"/>
              <w:rPr>
                <w:rFonts w:ascii="宋体" w:hAnsi="宋体" w:cs="宋体"/>
                <w:sz w:val="18"/>
                <w:szCs w:val="18"/>
              </w:rPr>
            </w:pPr>
          </w:p>
        </w:tc>
        <w:tc>
          <w:tcPr>
            <w:tcW w:w="669" w:type="dxa"/>
          </w:tcPr>
          <w:p>
            <w:pPr>
              <w:pStyle w:val="14"/>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719" w:type="dxa"/>
            <w:vAlign w:val="center"/>
          </w:tcPr>
          <w:p>
            <w:pPr>
              <w:pStyle w:val="14"/>
              <w:spacing w:line="360" w:lineRule="auto"/>
              <w:jc w:val="both"/>
              <w:rPr>
                <w:rFonts w:ascii="宋体" w:hAnsi="宋体" w:cs="宋体"/>
                <w:sz w:val="18"/>
                <w:szCs w:val="18"/>
              </w:rPr>
            </w:pPr>
          </w:p>
        </w:tc>
        <w:tc>
          <w:tcPr>
            <w:tcW w:w="1020" w:type="dxa"/>
            <w:vAlign w:val="center"/>
          </w:tcPr>
          <w:p>
            <w:pPr>
              <w:pStyle w:val="14"/>
              <w:spacing w:line="360" w:lineRule="auto"/>
              <w:jc w:val="both"/>
              <w:rPr>
                <w:rFonts w:ascii="宋体" w:hAnsi="宋体" w:cs="宋体"/>
                <w:sz w:val="18"/>
                <w:szCs w:val="18"/>
              </w:rPr>
            </w:pPr>
          </w:p>
        </w:tc>
        <w:tc>
          <w:tcPr>
            <w:tcW w:w="1253" w:type="dxa"/>
            <w:vAlign w:val="center"/>
          </w:tcPr>
          <w:p>
            <w:pPr>
              <w:adjustRightInd w:val="0"/>
              <w:snapToGrid w:val="0"/>
              <w:spacing w:line="312" w:lineRule="auto"/>
              <w:jc w:val="both"/>
              <w:rPr>
                <w:rFonts w:hint="eastAsia" w:ascii="宋体fal" w:hAnsi="宋体fal" w:eastAsia="宋体"/>
                <w:sz w:val="18"/>
                <w:szCs w:val="18"/>
                <w:lang w:eastAsia="zh-CN"/>
              </w:rPr>
            </w:pPr>
          </w:p>
        </w:tc>
        <w:tc>
          <w:tcPr>
            <w:tcW w:w="2759" w:type="dxa"/>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0" w:firstLineChars="0"/>
              <w:jc w:val="both"/>
              <w:textAlignment w:val="auto"/>
              <w:outlineLvl w:val="9"/>
              <w:rPr>
                <w:rFonts w:hint="eastAsia" w:ascii="宋体fal" w:hAnsi="宋体fal" w:eastAsia="宋体"/>
                <w:sz w:val="18"/>
                <w:szCs w:val="18"/>
                <w:lang w:eastAsia="zh-CN"/>
              </w:rPr>
            </w:pPr>
          </w:p>
        </w:tc>
        <w:tc>
          <w:tcPr>
            <w:tcW w:w="405" w:type="dxa"/>
            <w:vAlign w:val="center"/>
          </w:tcPr>
          <w:p>
            <w:pPr>
              <w:pStyle w:val="14"/>
              <w:spacing w:line="360" w:lineRule="auto"/>
              <w:jc w:val="both"/>
              <w:rPr>
                <w:rFonts w:ascii="宋体" w:hAnsi="宋体" w:cs="宋体"/>
                <w:sz w:val="18"/>
                <w:szCs w:val="18"/>
              </w:rPr>
            </w:pPr>
          </w:p>
        </w:tc>
        <w:tc>
          <w:tcPr>
            <w:tcW w:w="360" w:type="dxa"/>
            <w:vAlign w:val="center"/>
          </w:tcPr>
          <w:p>
            <w:pPr>
              <w:pStyle w:val="14"/>
              <w:spacing w:line="360" w:lineRule="auto"/>
              <w:jc w:val="both"/>
              <w:rPr>
                <w:rFonts w:ascii="宋体" w:hAnsi="宋体" w:cs="宋体"/>
                <w:sz w:val="18"/>
                <w:szCs w:val="18"/>
              </w:rPr>
            </w:pPr>
          </w:p>
        </w:tc>
        <w:tc>
          <w:tcPr>
            <w:tcW w:w="405" w:type="dxa"/>
            <w:vAlign w:val="center"/>
          </w:tcPr>
          <w:p>
            <w:pPr>
              <w:pStyle w:val="14"/>
              <w:spacing w:line="360" w:lineRule="auto"/>
              <w:jc w:val="both"/>
              <w:rPr>
                <w:rFonts w:ascii="宋体" w:hAnsi="宋体" w:cs="宋体"/>
                <w:sz w:val="18"/>
                <w:szCs w:val="18"/>
              </w:rPr>
            </w:pPr>
          </w:p>
        </w:tc>
        <w:tc>
          <w:tcPr>
            <w:tcW w:w="465" w:type="dxa"/>
            <w:vAlign w:val="center"/>
          </w:tcPr>
          <w:p>
            <w:pPr>
              <w:pStyle w:val="14"/>
              <w:spacing w:line="360" w:lineRule="auto"/>
              <w:jc w:val="both"/>
              <w:rPr>
                <w:rFonts w:ascii="宋体" w:hAnsi="宋体" w:cs="宋体"/>
                <w:sz w:val="18"/>
                <w:szCs w:val="18"/>
              </w:rPr>
            </w:pPr>
          </w:p>
        </w:tc>
        <w:tc>
          <w:tcPr>
            <w:tcW w:w="960" w:type="dxa"/>
            <w:vAlign w:val="center"/>
          </w:tcPr>
          <w:p>
            <w:pPr>
              <w:pStyle w:val="14"/>
              <w:spacing w:line="360" w:lineRule="auto"/>
              <w:jc w:val="both"/>
              <w:rPr>
                <w:rFonts w:ascii="宋体" w:hAnsi="宋体" w:cs="宋体"/>
                <w:sz w:val="18"/>
                <w:szCs w:val="18"/>
              </w:rPr>
            </w:pPr>
          </w:p>
        </w:tc>
        <w:tc>
          <w:tcPr>
            <w:tcW w:w="945" w:type="dxa"/>
            <w:vAlign w:val="center"/>
          </w:tcPr>
          <w:p>
            <w:pPr>
              <w:pStyle w:val="14"/>
              <w:spacing w:line="360" w:lineRule="auto"/>
              <w:jc w:val="both"/>
              <w:rPr>
                <w:rFonts w:hint="eastAsia" w:ascii="宋体" w:hAnsi="宋体" w:eastAsia="宋体" w:cs="宋体"/>
                <w:sz w:val="18"/>
                <w:szCs w:val="18"/>
                <w:lang w:eastAsia="zh-CN"/>
              </w:rPr>
            </w:pPr>
          </w:p>
        </w:tc>
        <w:tc>
          <w:tcPr>
            <w:tcW w:w="669" w:type="dxa"/>
          </w:tcPr>
          <w:p>
            <w:pPr>
              <w:pStyle w:val="14"/>
              <w:spacing w:line="360" w:lineRule="auto"/>
              <w:rPr>
                <w:rFonts w:ascii="宋体" w:hAnsi="宋体" w:cs="宋体"/>
                <w:sz w:val="18"/>
                <w:szCs w:val="18"/>
              </w:rPr>
            </w:pPr>
          </w:p>
        </w:tc>
      </w:tr>
    </w:tbl>
    <w:p>
      <w:pPr>
        <w:pStyle w:val="14"/>
        <w:spacing w:line="360" w:lineRule="auto"/>
        <w:ind w:firstLine="482" w:firstLineChars="200"/>
        <w:rPr>
          <w:rFonts w:hint="eastAsia" w:ascii="宋体fal" w:hAnsi="宋体fal"/>
          <w:b/>
          <w:sz w:val="24"/>
        </w:rPr>
      </w:pPr>
      <w:r>
        <w:rPr>
          <w:rFonts w:hint="eastAsia" w:ascii="宋体fal" w:hAnsi="宋体fal"/>
          <w:b/>
          <w:sz w:val="24"/>
        </w:rPr>
        <w:br w:type="page"/>
      </w:r>
    </w:p>
    <w:p>
      <w:pPr>
        <w:pStyle w:val="14"/>
        <w:spacing w:line="360" w:lineRule="auto"/>
        <w:ind w:firstLine="482" w:firstLineChars="200"/>
        <w:rPr>
          <w:rFonts w:ascii="宋体fal"/>
          <w:b/>
          <w:sz w:val="24"/>
        </w:rPr>
      </w:pPr>
      <w:r>
        <w:rPr>
          <w:rFonts w:hint="eastAsia" w:ascii="宋体fal" w:hAnsi="宋体fal"/>
          <w:b/>
          <w:sz w:val="24"/>
        </w:rPr>
        <w:t>（二）、技术要求</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rPr>
        <w:t>、对控制电缆KVVP 4×1.5的要求：</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宋体" w:hAnsi="宋体" w:eastAsia="宋体" w:cs="宋体"/>
          <w:b w:val="0"/>
          <w:bCs w:val="0"/>
          <w:sz w:val="28"/>
          <w:szCs w:val="28"/>
        </w:rPr>
      </w:pPr>
      <w:r>
        <w:rPr>
          <w:rFonts w:hint="eastAsia" w:ascii="宋体" w:hAnsi="宋体" w:cs="宋体"/>
          <w:b w:val="0"/>
          <w:bCs w:val="0"/>
          <w:sz w:val="28"/>
          <w:szCs w:val="28"/>
          <w:lang w:eastAsia="zh-CN"/>
        </w:rPr>
        <w:t>1.</w:t>
      </w:r>
      <w:r>
        <w:rPr>
          <w:rFonts w:hint="eastAsia" w:ascii="宋体" w:hAnsi="宋体" w:eastAsia="宋体" w:cs="宋体"/>
          <w:b w:val="0"/>
          <w:bCs w:val="0"/>
          <w:sz w:val="28"/>
          <w:szCs w:val="28"/>
        </w:rPr>
        <w:t>1</w:t>
      </w:r>
      <w:r>
        <w:rPr>
          <w:rFonts w:hint="eastAsia" w:ascii="宋体" w:hAnsi="宋体" w:cs="宋体"/>
          <w:b w:val="0"/>
          <w:bCs w:val="0"/>
          <w:sz w:val="28"/>
          <w:szCs w:val="28"/>
          <w:lang w:eastAsia="zh-CN"/>
        </w:rPr>
        <w:t>带有金属屏蔽层</w:t>
      </w:r>
      <w:r>
        <w:rPr>
          <w:rFonts w:hint="eastAsia" w:ascii="宋体" w:hAnsi="宋体" w:eastAsia="宋体" w:cs="宋体"/>
          <w:b w:val="0"/>
          <w:bCs w:val="0"/>
          <w:sz w:val="28"/>
          <w:szCs w:val="28"/>
        </w:rPr>
        <w:t>。</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宋体" w:hAnsi="宋体" w:cs="宋体"/>
          <w:b w:val="0"/>
          <w:bCs w:val="0"/>
          <w:sz w:val="28"/>
          <w:szCs w:val="28"/>
          <w:lang w:val="en-US" w:eastAsia="zh-CN"/>
        </w:rPr>
      </w:pPr>
      <w:r>
        <w:rPr>
          <w:rFonts w:hint="eastAsia" w:ascii="宋体" w:hAnsi="宋体" w:cs="宋体"/>
          <w:b w:val="0"/>
          <w:bCs w:val="0"/>
          <w:color w:val="auto"/>
          <w:sz w:val="28"/>
          <w:szCs w:val="28"/>
          <w:lang w:eastAsia="zh-CN"/>
        </w:rPr>
        <w:t>1.</w:t>
      </w:r>
      <w:r>
        <w:rPr>
          <w:rFonts w:hint="eastAsia" w:ascii="宋体" w:hAnsi="宋体" w:eastAsia="宋体" w:cs="宋体"/>
          <w:b w:val="0"/>
          <w:bCs w:val="0"/>
          <w:color w:val="auto"/>
          <w:sz w:val="28"/>
          <w:szCs w:val="28"/>
          <w:lang w:val="en-US" w:eastAsia="zh-CN"/>
        </w:rPr>
        <w:t>2</w:t>
      </w:r>
      <w:r>
        <w:rPr>
          <w:rFonts w:hint="eastAsia" w:ascii="宋体" w:hAnsi="宋体" w:cs="宋体"/>
          <w:b w:val="0"/>
          <w:bCs w:val="0"/>
          <w:color w:val="auto"/>
          <w:sz w:val="28"/>
          <w:szCs w:val="28"/>
          <w:lang w:val="en-US" w:eastAsia="zh-CN"/>
        </w:rPr>
        <w:t>电缆为铜芯，</w:t>
      </w:r>
      <w:r>
        <w:rPr>
          <w:rFonts w:hint="eastAsia" w:ascii="宋体" w:hAnsi="宋体" w:eastAsia="宋体" w:cs="宋体"/>
          <w:b w:val="0"/>
          <w:bCs w:val="0"/>
          <w:color w:val="auto"/>
          <w:sz w:val="28"/>
          <w:szCs w:val="28"/>
        </w:rPr>
        <w:t>4</w:t>
      </w:r>
      <w:r>
        <w:rPr>
          <w:rFonts w:hint="eastAsia" w:ascii="宋体" w:hAnsi="宋体" w:eastAsia="宋体" w:cs="宋体"/>
          <w:b w:val="0"/>
          <w:bCs w:val="0"/>
          <w:sz w:val="28"/>
          <w:szCs w:val="28"/>
        </w:rPr>
        <w:t>×1.5</w:t>
      </w:r>
      <w:r>
        <w:rPr>
          <w:rFonts w:hint="eastAsia" w:ascii="宋体" w:hAnsi="宋体" w:cs="宋体"/>
          <w:b w:val="0"/>
          <w:bCs w:val="0"/>
          <w:sz w:val="28"/>
          <w:szCs w:val="28"/>
          <w:lang w:val="en-US" w:eastAsia="zh-CN"/>
        </w:rPr>
        <w:t>.</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宋体" w:hAnsi="宋体" w:cs="宋体"/>
          <w:b w:val="0"/>
          <w:bCs w:val="0"/>
          <w:sz w:val="28"/>
          <w:szCs w:val="28"/>
          <w:lang w:val="en-US" w:eastAsia="zh-CN"/>
        </w:rPr>
      </w:pPr>
      <w:r>
        <w:rPr>
          <w:rFonts w:hint="eastAsia" w:ascii="宋体" w:hAnsi="宋体"/>
          <w:sz w:val="28"/>
          <w:szCs w:val="28"/>
          <w:lang w:val="en-US" w:eastAsia="zh-CN"/>
        </w:rPr>
        <w:t>1</w:t>
      </w: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 xml:space="preserve"> 质保期为产品交付一年，质保期内出现任何质量问题</w:t>
      </w:r>
      <w:r>
        <w:rPr>
          <w:rFonts w:hint="eastAsia" w:ascii="宋体" w:hAnsi="宋体"/>
          <w:sz w:val="24"/>
          <w:szCs w:val="24"/>
        </w:rPr>
        <w:t>投标方</w:t>
      </w:r>
      <w:r>
        <w:rPr>
          <w:rFonts w:hint="eastAsia" w:ascii="宋体" w:hAnsi="宋体"/>
          <w:sz w:val="28"/>
          <w:szCs w:val="28"/>
        </w:rPr>
        <w:t>负责免费更换。</w:t>
      </w:r>
    </w:p>
    <w:p>
      <w:pPr>
        <w:pStyle w:val="17"/>
        <w:keepNext w:val="0"/>
        <w:keepLines w:val="0"/>
        <w:pageBreakBefore w:val="0"/>
        <w:numPr>
          <w:ilvl w:val="0"/>
          <w:numId w:val="0"/>
        </w:numPr>
        <w:kinsoku/>
        <w:wordWrap/>
        <w:overflowPunct/>
        <w:topLinePunct w:val="0"/>
        <w:autoSpaceDE/>
        <w:autoSpaceDN/>
        <w:bidi w:val="0"/>
        <w:spacing w:beforeLines="0" w:line="360" w:lineRule="auto"/>
        <w:textAlignment w:val="auto"/>
        <w:outlineLvl w:val="9"/>
        <w:rPr>
          <w:rFonts w:hint="eastAsia" w:ascii="宋体" w:hAnsi="宋体" w:eastAsia="宋体" w:cs="宋体"/>
          <w:b w:val="0"/>
          <w:bCs w:val="0"/>
          <w:spacing w:val="0"/>
          <w:sz w:val="28"/>
          <w:szCs w:val="28"/>
          <w:lang w:val="en-US" w:eastAsia="zh-CN"/>
        </w:rPr>
      </w:pPr>
      <w:r>
        <w:rPr>
          <w:rFonts w:hint="eastAsia" w:ascii="宋体" w:hAnsi="宋体" w:cs="宋体"/>
          <w:b w:val="0"/>
          <w:bCs w:val="0"/>
          <w:spacing w:val="0"/>
          <w:sz w:val="28"/>
          <w:szCs w:val="28"/>
          <w:lang w:val="en-US" w:eastAsia="zh-CN"/>
        </w:rPr>
        <w:t>1.</w:t>
      </w:r>
      <w:r>
        <w:rPr>
          <w:rFonts w:hint="eastAsia" w:ascii="宋体" w:hAnsi="宋体" w:eastAsia="宋体" w:cs="宋体"/>
          <w:b w:val="0"/>
          <w:bCs w:val="0"/>
          <w:spacing w:val="0"/>
          <w:sz w:val="28"/>
          <w:szCs w:val="28"/>
          <w:lang w:val="en-US" w:eastAsia="zh-CN"/>
        </w:rPr>
        <w:t>3 中标方需提供资料</w:t>
      </w:r>
    </w:p>
    <w:p>
      <w:pPr>
        <w:pStyle w:val="17"/>
        <w:keepNext w:val="0"/>
        <w:keepLines w:val="0"/>
        <w:pageBreakBefore w:val="0"/>
        <w:numPr>
          <w:ilvl w:val="0"/>
          <w:numId w:val="0"/>
        </w:numPr>
        <w:kinsoku/>
        <w:wordWrap/>
        <w:overflowPunct/>
        <w:topLinePunct w:val="0"/>
        <w:autoSpaceDE/>
        <w:autoSpaceDN/>
        <w:bidi w:val="0"/>
        <w:spacing w:beforeLines="0" w:line="360" w:lineRule="auto"/>
        <w:textAlignment w:val="auto"/>
        <w:outlineLvl w:val="9"/>
        <w:rPr>
          <w:rFonts w:hint="eastAsia" w:ascii="宋体" w:hAnsi="宋体" w:eastAsia="宋体" w:cs="宋体"/>
          <w:b w:val="0"/>
          <w:bCs w:val="0"/>
          <w:spacing w:val="0"/>
          <w:sz w:val="28"/>
          <w:szCs w:val="28"/>
        </w:rPr>
      </w:pPr>
      <w:r>
        <w:rPr>
          <w:rFonts w:hint="eastAsia" w:ascii="宋体" w:hAnsi="宋体" w:cs="宋体"/>
          <w:b w:val="0"/>
          <w:bCs w:val="0"/>
          <w:spacing w:val="0"/>
          <w:sz w:val="28"/>
          <w:szCs w:val="28"/>
          <w:lang w:val="en-US" w:eastAsia="zh-CN"/>
        </w:rPr>
        <w:t>1.3.</w:t>
      </w:r>
      <w:r>
        <w:rPr>
          <w:rFonts w:hint="eastAsia" w:ascii="宋体" w:hAnsi="宋体" w:eastAsia="宋体" w:cs="宋体"/>
          <w:b w:val="0"/>
          <w:bCs w:val="0"/>
          <w:spacing w:val="0"/>
          <w:sz w:val="28"/>
          <w:szCs w:val="28"/>
          <w:lang w:val="en-US" w:eastAsia="zh-CN"/>
        </w:rPr>
        <w:t>1</w:t>
      </w:r>
      <w:r>
        <w:rPr>
          <w:rFonts w:hint="eastAsia" w:ascii="宋体" w:hAnsi="宋体" w:eastAsia="宋体" w:cs="宋体"/>
          <w:b w:val="0"/>
          <w:bCs w:val="0"/>
          <w:spacing w:val="0"/>
          <w:sz w:val="28"/>
          <w:szCs w:val="28"/>
        </w:rPr>
        <w:t>权威机关颁发的ISO-9000系列的认证书或等同的质量保证体系认证证书。</w:t>
      </w:r>
    </w:p>
    <w:p>
      <w:pPr>
        <w:pStyle w:val="17"/>
        <w:keepNext w:val="0"/>
        <w:keepLines w:val="0"/>
        <w:pageBreakBefore w:val="0"/>
        <w:numPr>
          <w:ilvl w:val="0"/>
          <w:numId w:val="0"/>
        </w:numPr>
        <w:kinsoku/>
        <w:wordWrap/>
        <w:overflowPunct/>
        <w:topLinePunct w:val="0"/>
        <w:autoSpaceDE/>
        <w:autoSpaceDN/>
        <w:bidi w:val="0"/>
        <w:spacing w:beforeLines="0" w:line="360" w:lineRule="auto"/>
        <w:textAlignment w:val="auto"/>
        <w:outlineLvl w:val="9"/>
        <w:rPr>
          <w:rFonts w:hint="eastAsia" w:ascii="宋体" w:hAnsi="宋体" w:eastAsia="宋体" w:cs="宋体"/>
          <w:b w:val="0"/>
          <w:bCs w:val="0"/>
          <w:spacing w:val="0"/>
          <w:sz w:val="28"/>
          <w:szCs w:val="28"/>
          <w:lang w:eastAsia="zh-CN"/>
        </w:rPr>
      </w:pPr>
      <w:r>
        <w:rPr>
          <w:rFonts w:hint="eastAsia" w:ascii="宋体" w:hAnsi="宋体" w:cs="宋体"/>
          <w:b w:val="0"/>
          <w:bCs w:val="0"/>
          <w:spacing w:val="0"/>
          <w:sz w:val="28"/>
          <w:szCs w:val="28"/>
          <w:lang w:val="en-US" w:eastAsia="zh-CN"/>
        </w:rPr>
        <w:t>1.3.</w:t>
      </w:r>
      <w:r>
        <w:rPr>
          <w:rFonts w:hint="eastAsia" w:ascii="宋体" w:hAnsi="宋体" w:eastAsia="宋体" w:cs="宋体"/>
          <w:b w:val="0"/>
          <w:bCs w:val="0"/>
          <w:spacing w:val="0"/>
          <w:sz w:val="28"/>
          <w:szCs w:val="28"/>
          <w:lang w:val="en-US" w:eastAsia="zh-CN"/>
        </w:rPr>
        <w:t>2</w:t>
      </w:r>
      <w:r>
        <w:rPr>
          <w:rFonts w:hint="eastAsia" w:ascii="宋体" w:hAnsi="宋体" w:eastAsia="宋体" w:cs="宋体"/>
          <w:b w:val="0"/>
          <w:bCs w:val="0"/>
          <w:spacing w:val="0"/>
          <w:sz w:val="28"/>
          <w:szCs w:val="28"/>
        </w:rPr>
        <w:t>权威机关颁发的该产品质量检验监督报告</w:t>
      </w:r>
      <w:r>
        <w:rPr>
          <w:rFonts w:hint="eastAsia" w:ascii="宋体" w:hAnsi="宋体" w:cs="宋体"/>
          <w:b w:val="0"/>
          <w:bCs w:val="0"/>
          <w:spacing w:val="0"/>
          <w:sz w:val="28"/>
          <w:szCs w:val="28"/>
          <w:lang w:eastAsia="zh-CN"/>
        </w:rPr>
        <w:t>、</w:t>
      </w:r>
      <w:r>
        <w:rPr>
          <w:rFonts w:hint="eastAsia" w:ascii="宋体" w:hAnsi="宋体" w:eastAsia="宋体" w:cs="宋体"/>
          <w:b w:val="0"/>
          <w:bCs w:val="0"/>
          <w:spacing w:val="0"/>
          <w:sz w:val="28"/>
          <w:szCs w:val="28"/>
        </w:rPr>
        <w:t>金属材料检测报告</w:t>
      </w:r>
      <w:r>
        <w:rPr>
          <w:rFonts w:hint="eastAsia" w:ascii="宋体" w:hAnsi="宋体" w:eastAsia="宋体" w:cs="宋体"/>
          <w:b w:val="0"/>
          <w:bCs w:val="0"/>
          <w:spacing w:val="0"/>
          <w:sz w:val="28"/>
          <w:szCs w:val="28"/>
          <w:lang w:eastAsia="zh-CN"/>
        </w:rPr>
        <w:t>。</w:t>
      </w:r>
    </w:p>
    <w:p>
      <w:pPr>
        <w:pStyle w:val="17"/>
        <w:keepNext w:val="0"/>
        <w:keepLines w:val="0"/>
        <w:pageBreakBefore w:val="0"/>
        <w:widowControl w:val="0"/>
        <w:numPr>
          <w:ilvl w:val="0"/>
          <w:numId w:val="0"/>
        </w:numPr>
        <w:kinsoku/>
        <w:wordWrap/>
        <w:overflowPunct/>
        <w:topLinePunct w:val="0"/>
        <w:autoSpaceDE/>
        <w:autoSpaceDN/>
        <w:bidi w:val="0"/>
        <w:spacing w:beforeLines="0" w:line="360" w:lineRule="auto"/>
        <w:jc w:val="both"/>
        <w:textAlignment w:val="auto"/>
        <w:outlineLvl w:val="9"/>
        <w:rPr>
          <w:rFonts w:hint="eastAsia" w:ascii="宋体" w:hAnsi="宋体" w:eastAsia="宋体" w:cs="宋体"/>
          <w:b w:val="0"/>
          <w:bCs w:val="0"/>
          <w:spacing w:val="0"/>
          <w:sz w:val="28"/>
          <w:szCs w:val="28"/>
        </w:rPr>
      </w:pPr>
      <w:r>
        <w:rPr>
          <w:rFonts w:hint="eastAsia" w:ascii="宋体" w:hAnsi="宋体" w:cs="宋体"/>
          <w:b w:val="0"/>
          <w:bCs w:val="0"/>
          <w:spacing w:val="0"/>
          <w:sz w:val="28"/>
          <w:szCs w:val="28"/>
          <w:lang w:val="en-US" w:eastAsia="zh-CN"/>
        </w:rPr>
        <w:t>1.3.</w:t>
      </w:r>
      <w:r>
        <w:rPr>
          <w:rFonts w:hint="eastAsia" w:ascii="宋体" w:hAnsi="宋体" w:eastAsia="宋体" w:cs="宋体"/>
          <w:b w:val="0"/>
          <w:bCs w:val="0"/>
          <w:spacing w:val="0"/>
          <w:sz w:val="28"/>
          <w:szCs w:val="28"/>
          <w:lang w:val="en-US" w:eastAsia="zh-CN"/>
        </w:rPr>
        <w:t>3</w:t>
      </w:r>
      <w:r>
        <w:rPr>
          <w:rFonts w:hint="eastAsia" w:ascii="宋体" w:hAnsi="宋体" w:eastAsia="宋体" w:cs="宋体"/>
          <w:b w:val="0"/>
          <w:bCs w:val="0"/>
          <w:spacing w:val="0"/>
          <w:sz w:val="28"/>
          <w:szCs w:val="28"/>
        </w:rPr>
        <w:t>具有履行合同所需的技术和主要设备等生产能力的文件资料。</w:t>
      </w:r>
    </w:p>
    <w:p>
      <w:pPr>
        <w:pStyle w:val="17"/>
        <w:keepNext w:val="0"/>
        <w:keepLines w:val="0"/>
        <w:pageBreakBefore w:val="0"/>
        <w:widowControl w:val="0"/>
        <w:numPr>
          <w:ilvl w:val="0"/>
          <w:numId w:val="0"/>
        </w:numPr>
        <w:kinsoku/>
        <w:wordWrap/>
        <w:overflowPunct/>
        <w:topLinePunct w:val="0"/>
        <w:autoSpaceDE/>
        <w:autoSpaceDN/>
        <w:bidi w:val="0"/>
        <w:spacing w:beforeLines="0" w:line="360" w:lineRule="auto"/>
        <w:jc w:val="both"/>
        <w:textAlignment w:val="auto"/>
        <w:outlineLvl w:val="9"/>
        <w:rPr>
          <w:rFonts w:hint="eastAsia" w:ascii="宋体" w:hAnsi="宋体" w:eastAsia="宋体" w:cs="宋体"/>
          <w:b w:val="0"/>
          <w:bCs w:val="0"/>
          <w:spacing w:val="0"/>
          <w:sz w:val="28"/>
          <w:szCs w:val="28"/>
          <w:lang w:eastAsia="zh-CN"/>
        </w:rPr>
      </w:pPr>
      <w:r>
        <w:rPr>
          <w:rFonts w:hint="eastAsia" w:ascii="宋体" w:hAnsi="宋体" w:cs="宋体"/>
          <w:b w:val="0"/>
          <w:bCs w:val="0"/>
          <w:spacing w:val="0"/>
          <w:sz w:val="28"/>
          <w:szCs w:val="28"/>
          <w:lang w:val="en-US" w:eastAsia="zh-CN"/>
        </w:rPr>
        <w:t>1.3.</w:t>
      </w:r>
      <w:r>
        <w:rPr>
          <w:rFonts w:hint="eastAsia" w:ascii="宋体" w:hAnsi="宋体" w:eastAsia="宋体" w:cs="宋体"/>
          <w:b w:val="0"/>
          <w:bCs w:val="0"/>
          <w:spacing w:val="0"/>
          <w:sz w:val="28"/>
          <w:szCs w:val="28"/>
          <w:lang w:val="en-US" w:eastAsia="zh-CN"/>
        </w:rPr>
        <w:t>4</w:t>
      </w:r>
      <w:r>
        <w:rPr>
          <w:rFonts w:hint="eastAsia" w:ascii="宋体" w:hAnsi="宋体" w:eastAsia="宋体" w:cs="宋体"/>
          <w:b w:val="0"/>
          <w:bCs w:val="0"/>
          <w:spacing w:val="0"/>
          <w:sz w:val="28"/>
          <w:szCs w:val="28"/>
        </w:rPr>
        <w:t>权威机关颁发的该产品生产合格证书</w:t>
      </w:r>
      <w:r>
        <w:rPr>
          <w:rFonts w:hint="eastAsia" w:ascii="宋体" w:hAnsi="宋体" w:eastAsia="宋体" w:cs="宋体"/>
          <w:b w:val="0"/>
          <w:bCs w:val="0"/>
          <w:spacing w:val="0"/>
          <w:sz w:val="28"/>
          <w:szCs w:val="28"/>
          <w:lang w:eastAsia="zh-CN"/>
        </w:rPr>
        <w:t>。</w:t>
      </w:r>
    </w:p>
    <w:p>
      <w:pPr>
        <w:rPr>
          <w:rFonts w:hint="eastAsia" w:ascii="宋体" w:hAnsi="宋体"/>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fal">
    <w:altName w:val="Arial Unicode MS"/>
    <w:panose1 w:val="00000000000000000000"/>
    <w:charset w:val="86"/>
    <w:family w:val="auto"/>
    <w:pitch w:val="default"/>
    <w:sig w:usb0="00000000" w:usb1="00000000" w:usb2="00000010" w:usb3="00000000" w:csb0="00040000" w:csb1="00000000"/>
  </w:font>
  <w:font w:name="宋体fal">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795D"/>
    <w:multiLevelType w:val="singleLevel"/>
    <w:tmpl w:val="066479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02CAF"/>
    <w:rsid w:val="000031E8"/>
    <w:rsid w:val="00016F61"/>
    <w:rsid w:val="00031557"/>
    <w:rsid w:val="000368B3"/>
    <w:rsid w:val="000832E1"/>
    <w:rsid w:val="00086226"/>
    <w:rsid w:val="000A24BA"/>
    <w:rsid w:val="000A7F7E"/>
    <w:rsid w:val="000B6D26"/>
    <w:rsid w:val="000D7503"/>
    <w:rsid w:val="000E29E9"/>
    <w:rsid w:val="000E6298"/>
    <w:rsid w:val="000F2AEB"/>
    <w:rsid w:val="000F7D5C"/>
    <w:rsid w:val="00114E4D"/>
    <w:rsid w:val="00116728"/>
    <w:rsid w:val="0012769A"/>
    <w:rsid w:val="00130B66"/>
    <w:rsid w:val="00135293"/>
    <w:rsid w:val="00142E6F"/>
    <w:rsid w:val="00161442"/>
    <w:rsid w:val="00161FEB"/>
    <w:rsid w:val="001643D2"/>
    <w:rsid w:val="0017759D"/>
    <w:rsid w:val="00197487"/>
    <w:rsid w:val="001A1715"/>
    <w:rsid w:val="001A63D6"/>
    <w:rsid w:val="001A63F8"/>
    <w:rsid w:val="001B2878"/>
    <w:rsid w:val="001C098E"/>
    <w:rsid w:val="001C234E"/>
    <w:rsid w:val="001F7EDA"/>
    <w:rsid w:val="00202BFB"/>
    <w:rsid w:val="002052E0"/>
    <w:rsid w:val="00220CD6"/>
    <w:rsid w:val="0022148F"/>
    <w:rsid w:val="002334A1"/>
    <w:rsid w:val="0023626C"/>
    <w:rsid w:val="00250E80"/>
    <w:rsid w:val="002559D0"/>
    <w:rsid w:val="00260B48"/>
    <w:rsid w:val="00263244"/>
    <w:rsid w:val="002717E3"/>
    <w:rsid w:val="002728D8"/>
    <w:rsid w:val="00283359"/>
    <w:rsid w:val="002A030E"/>
    <w:rsid w:val="002D507A"/>
    <w:rsid w:val="002E0DC0"/>
    <w:rsid w:val="002E791B"/>
    <w:rsid w:val="002F0629"/>
    <w:rsid w:val="00301736"/>
    <w:rsid w:val="00323769"/>
    <w:rsid w:val="00334A85"/>
    <w:rsid w:val="00340502"/>
    <w:rsid w:val="00373420"/>
    <w:rsid w:val="003A2BFA"/>
    <w:rsid w:val="003B39A4"/>
    <w:rsid w:val="003C7217"/>
    <w:rsid w:val="003D182D"/>
    <w:rsid w:val="003E2082"/>
    <w:rsid w:val="00404D69"/>
    <w:rsid w:val="00415BA2"/>
    <w:rsid w:val="00425381"/>
    <w:rsid w:val="0043314E"/>
    <w:rsid w:val="004341C7"/>
    <w:rsid w:val="00451229"/>
    <w:rsid w:val="00465279"/>
    <w:rsid w:val="004762AD"/>
    <w:rsid w:val="00481AA1"/>
    <w:rsid w:val="004846B5"/>
    <w:rsid w:val="00484C36"/>
    <w:rsid w:val="00490FF7"/>
    <w:rsid w:val="004A7240"/>
    <w:rsid w:val="004A7979"/>
    <w:rsid w:val="004C3A15"/>
    <w:rsid w:val="004F25CA"/>
    <w:rsid w:val="004F4FA5"/>
    <w:rsid w:val="00501916"/>
    <w:rsid w:val="0050444C"/>
    <w:rsid w:val="00522FB4"/>
    <w:rsid w:val="00531117"/>
    <w:rsid w:val="00590BA4"/>
    <w:rsid w:val="005948A0"/>
    <w:rsid w:val="005A2892"/>
    <w:rsid w:val="005D08EA"/>
    <w:rsid w:val="005D32A5"/>
    <w:rsid w:val="005D4818"/>
    <w:rsid w:val="005D73CF"/>
    <w:rsid w:val="005F249B"/>
    <w:rsid w:val="006247FC"/>
    <w:rsid w:val="0064405C"/>
    <w:rsid w:val="00666ECB"/>
    <w:rsid w:val="006729B1"/>
    <w:rsid w:val="00674040"/>
    <w:rsid w:val="0069211A"/>
    <w:rsid w:val="0069246C"/>
    <w:rsid w:val="006A4975"/>
    <w:rsid w:val="006B08B3"/>
    <w:rsid w:val="006C3A9B"/>
    <w:rsid w:val="006E0175"/>
    <w:rsid w:val="006E2336"/>
    <w:rsid w:val="00706E3D"/>
    <w:rsid w:val="00751076"/>
    <w:rsid w:val="007528FC"/>
    <w:rsid w:val="00776978"/>
    <w:rsid w:val="00780542"/>
    <w:rsid w:val="0079271D"/>
    <w:rsid w:val="00794CE8"/>
    <w:rsid w:val="007A5009"/>
    <w:rsid w:val="00801D13"/>
    <w:rsid w:val="0081421C"/>
    <w:rsid w:val="008312B6"/>
    <w:rsid w:val="0084505C"/>
    <w:rsid w:val="00876C74"/>
    <w:rsid w:val="00876D58"/>
    <w:rsid w:val="008862EA"/>
    <w:rsid w:val="008A2F54"/>
    <w:rsid w:val="008A2F72"/>
    <w:rsid w:val="008C4CDE"/>
    <w:rsid w:val="008E22E6"/>
    <w:rsid w:val="008E2C41"/>
    <w:rsid w:val="008F16A4"/>
    <w:rsid w:val="008F2557"/>
    <w:rsid w:val="008F665F"/>
    <w:rsid w:val="0090497F"/>
    <w:rsid w:val="00920AF7"/>
    <w:rsid w:val="00937001"/>
    <w:rsid w:val="009631C9"/>
    <w:rsid w:val="00964E56"/>
    <w:rsid w:val="00992B53"/>
    <w:rsid w:val="009A0B78"/>
    <w:rsid w:val="009B2228"/>
    <w:rsid w:val="009C1CD3"/>
    <w:rsid w:val="009C23E9"/>
    <w:rsid w:val="009C49D0"/>
    <w:rsid w:val="009D131C"/>
    <w:rsid w:val="009D1785"/>
    <w:rsid w:val="009E440A"/>
    <w:rsid w:val="009F7DF9"/>
    <w:rsid w:val="00A00426"/>
    <w:rsid w:val="00A229D2"/>
    <w:rsid w:val="00A3744A"/>
    <w:rsid w:val="00A42004"/>
    <w:rsid w:val="00A45A4C"/>
    <w:rsid w:val="00A54094"/>
    <w:rsid w:val="00A558C6"/>
    <w:rsid w:val="00A62D94"/>
    <w:rsid w:val="00A64C14"/>
    <w:rsid w:val="00A662AC"/>
    <w:rsid w:val="00A71C50"/>
    <w:rsid w:val="00A81912"/>
    <w:rsid w:val="00A85C1E"/>
    <w:rsid w:val="00A952A3"/>
    <w:rsid w:val="00AA1C76"/>
    <w:rsid w:val="00AB65CF"/>
    <w:rsid w:val="00AB7B89"/>
    <w:rsid w:val="00AC6F10"/>
    <w:rsid w:val="00AE5482"/>
    <w:rsid w:val="00AF3FFF"/>
    <w:rsid w:val="00B002BE"/>
    <w:rsid w:val="00B06584"/>
    <w:rsid w:val="00B11428"/>
    <w:rsid w:val="00B4392E"/>
    <w:rsid w:val="00B77F8D"/>
    <w:rsid w:val="00B82225"/>
    <w:rsid w:val="00B86EE2"/>
    <w:rsid w:val="00BB56FE"/>
    <w:rsid w:val="00BE7066"/>
    <w:rsid w:val="00BE780A"/>
    <w:rsid w:val="00BF3BCE"/>
    <w:rsid w:val="00C119C1"/>
    <w:rsid w:val="00C564B1"/>
    <w:rsid w:val="00C64AA1"/>
    <w:rsid w:val="00C727D6"/>
    <w:rsid w:val="00C74172"/>
    <w:rsid w:val="00C84E2A"/>
    <w:rsid w:val="00CA70CA"/>
    <w:rsid w:val="00CB4F9B"/>
    <w:rsid w:val="00CC39CC"/>
    <w:rsid w:val="00CC5C8F"/>
    <w:rsid w:val="00CC73AB"/>
    <w:rsid w:val="00CD4F7A"/>
    <w:rsid w:val="00CF4593"/>
    <w:rsid w:val="00D05614"/>
    <w:rsid w:val="00D45823"/>
    <w:rsid w:val="00D458D9"/>
    <w:rsid w:val="00D54445"/>
    <w:rsid w:val="00D55961"/>
    <w:rsid w:val="00D65135"/>
    <w:rsid w:val="00D67FAA"/>
    <w:rsid w:val="00D77445"/>
    <w:rsid w:val="00D80C9F"/>
    <w:rsid w:val="00D90EF7"/>
    <w:rsid w:val="00DA0720"/>
    <w:rsid w:val="00DA294A"/>
    <w:rsid w:val="00DA4A26"/>
    <w:rsid w:val="00DB32AC"/>
    <w:rsid w:val="00DB6F7E"/>
    <w:rsid w:val="00DF48B7"/>
    <w:rsid w:val="00E12EA4"/>
    <w:rsid w:val="00E16227"/>
    <w:rsid w:val="00E43D4C"/>
    <w:rsid w:val="00E5083C"/>
    <w:rsid w:val="00E53D9A"/>
    <w:rsid w:val="00E571EB"/>
    <w:rsid w:val="00E642BD"/>
    <w:rsid w:val="00E91AC2"/>
    <w:rsid w:val="00EA5E35"/>
    <w:rsid w:val="00EB31DA"/>
    <w:rsid w:val="00EC03EF"/>
    <w:rsid w:val="00F1756A"/>
    <w:rsid w:val="00F600ED"/>
    <w:rsid w:val="00F62EEE"/>
    <w:rsid w:val="00F90D22"/>
    <w:rsid w:val="00F923B5"/>
    <w:rsid w:val="00F93D53"/>
    <w:rsid w:val="00F96721"/>
    <w:rsid w:val="00FA185D"/>
    <w:rsid w:val="00FD0A3E"/>
    <w:rsid w:val="00FD0FC3"/>
    <w:rsid w:val="00FD2EE8"/>
    <w:rsid w:val="00FD4D02"/>
    <w:rsid w:val="00FD6401"/>
    <w:rsid w:val="00FE432E"/>
    <w:rsid w:val="013127ED"/>
    <w:rsid w:val="01E7578B"/>
    <w:rsid w:val="05EC1230"/>
    <w:rsid w:val="086164DD"/>
    <w:rsid w:val="0960742D"/>
    <w:rsid w:val="09726D0F"/>
    <w:rsid w:val="0A277F2F"/>
    <w:rsid w:val="0AC746C4"/>
    <w:rsid w:val="0CDB1611"/>
    <w:rsid w:val="0D780F6B"/>
    <w:rsid w:val="0E1B7DB2"/>
    <w:rsid w:val="11B3156A"/>
    <w:rsid w:val="143265D3"/>
    <w:rsid w:val="145C6110"/>
    <w:rsid w:val="17FC447A"/>
    <w:rsid w:val="188B6B99"/>
    <w:rsid w:val="1B00320B"/>
    <w:rsid w:val="1B520068"/>
    <w:rsid w:val="1BCB2FD7"/>
    <w:rsid w:val="217317D0"/>
    <w:rsid w:val="23465CC4"/>
    <w:rsid w:val="26922A6E"/>
    <w:rsid w:val="295F725A"/>
    <w:rsid w:val="2A9863E9"/>
    <w:rsid w:val="2B655CF0"/>
    <w:rsid w:val="2D3E7E8B"/>
    <w:rsid w:val="2E5056A6"/>
    <w:rsid w:val="2EA97012"/>
    <w:rsid w:val="2FE76035"/>
    <w:rsid w:val="305D663F"/>
    <w:rsid w:val="34D82EEA"/>
    <w:rsid w:val="35156FDB"/>
    <w:rsid w:val="354616E7"/>
    <w:rsid w:val="3592501A"/>
    <w:rsid w:val="37035A0D"/>
    <w:rsid w:val="372B0864"/>
    <w:rsid w:val="376A01CC"/>
    <w:rsid w:val="38263CEF"/>
    <w:rsid w:val="38E611E7"/>
    <w:rsid w:val="3D330990"/>
    <w:rsid w:val="3D483C9A"/>
    <w:rsid w:val="3D8D36E2"/>
    <w:rsid w:val="3EA40AA4"/>
    <w:rsid w:val="426903BF"/>
    <w:rsid w:val="42880BE3"/>
    <w:rsid w:val="44114804"/>
    <w:rsid w:val="444618E4"/>
    <w:rsid w:val="44894FD4"/>
    <w:rsid w:val="44D439F4"/>
    <w:rsid w:val="45B8340F"/>
    <w:rsid w:val="48352FE3"/>
    <w:rsid w:val="48536F90"/>
    <w:rsid w:val="49A601B6"/>
    <w:rsid w:val="4C2474F7"/>
    <w:rsid w:val="501F3731"/>
    <w:rsid w:val="52DE1494"/>
    <w:rsid w:val="54F66D13"/>
    <w:rsid w:val="5798194E"/>
    <w:rsid w:val="59532417"/>
    <w:rsid w:val="5B90020F"/>
    <w:rsid w:val="5FB02401"/>
    <w:rsid w:val="60810BB3"/>
    <w:rsid w:val="61B422F0"/>
    <w:rsid w:val="63187E46"/>
    <w:rsid w:val="64F34D19"/>
    <w:rsid w:val="64F74099"/>
    <w:rsid w:val="658F093B"/>
    <w:rsid w:val="683F6926"/>
    <w:rsid w:val="6BD00E49"/>
    <w:rsid w:val="6DD152B9"/>
    <w:rsid w:val="6F8C02A6"/>
    <w:rsid w:val="70B06C89"/>
    <w:rsid w:val="714652FA"/>
    <w:rsid w:val="71F806AF"/>
    <w:rsid w:val="735E267F"/>
    <w:rsid w:val="74492FD5"/>
    <w:rsid w:val="74886CDD"/>
    <w:rsid w:val="74BC422D"/>
    <w:rsid w:val="756D587E"/>
    <w:rsid w:val="76FD09D4"/>
    <w:rsid w:val="772120BA"/>
    <w:rsid w:val="7AB23BD1"/>
    <w:rsid w:val="7AE50973"/>
    <w:rsid w:val="7BBA4E84"/>
    <w:rsid w:val="7D8629D2"/>
    <w:rsid w:val="7E595471"/>
    <w:rsid w:val="7ED06C43"/>
    <w:rsid w:val="7EEA22E6"/>
    <w:rsid w:val="7F4D2574"/>
    <w:rsid w:val="7F8731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99"/>
    <w:pPr>
      <w:spacing w:after="120" w:line="480" w:lineRule="auto"/>
    </w:pPr>
    <w:rPr>
      <w:rFonts w:ascii="Times New Roman" w:hAnsi="Times New Roman" w:cs="Times New Roman"/>
      <w:szCs w:val="20"/>
    </w:rPr>
  </w:style>
  <w:style w:type="paragraph" w:styleId="6">
    <w:name w:val="Title"/>
    <w:basedOn w:val="1"/>
    <w:link w:val="13"/>
    <w:qFormat/>
    <w:uiPriority w:val="99"/>
    <w:pPr>
      <w:adjustRightInd w:val="0"/>
      <w:spacing w:before="240" w:after="60" w:line="360" w:lineRule="atLeast"/>
      <w:jc w:val="center"/>
      <w:outlineLvl w:val="0"/>
    </w:pPr>
    <w:rPr>
      <w:rFonts w:ascii="Arial" w:hAnsi="Arial" w:cs="Times New Roman"/>
      <w:b/>
      <w:kern w:val="0"/>
      <w:sz w:val="32"/>
      <w:szCs w:val="20"/>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7"/>
    <w:link w:val="3"/>
    <w:locked/>
    <w:uiPriority w:val="99"/>
    <w:rPr>
      <w:rFonts w:ascii="Calibri" w:hAnsi="Calibri" w:eastAsia="宋体"/>
      <w:sz w:val="18"/>
    </w:rPr>
  </w:style>
  <w:style w:type="character" w:customStyle="1" w:styleId="11">
    <w:name w:val="页眉 Char"/>
    <w:basedOn w:val="7"/>
    <w:link w:val="4"/>
    <w:qFormat/>
    <w:locked/>
    <w:uiPriority w:val="99"/>
    <w:rPr>
      <w:rFonts w:ascii="Calibri" w:hAnsi="Calibri" w:eastAsia="宋体"/>
      <w:sz w:val="18"/>
    </w:rPr>
  </w:style>
  <w:style w:type="character" w:customStyle="1" w:styleId="12">
    <w:name w:val="正文文本 2 Char"/>
    <w:basedOn w:val="7"/>
    <w:link w:val="5"/>
    <w:qFormat/>
    <w:locked/>
    <w:uiPriority w:val="99"/>
    <w:rPr>
      <w:rFonts w:ascii="Times New Roman" w:hAnsi="Times New Roman" w:eastAsia="宋体"/>
      <w:sz w:val="20"/>
    </w:rPr>
  </w:style>
  <w:style w:type="character" w:customStyle="1" w:styleId="13">
    <w:name w:val="标题 Char"/>
    <w:basedOn w:val="7"/>
    <w:link w:val="6"/>
    <w:qFormat/>
    <w:locked/>
    <w:uiPriority w:val="99"/>
    <w:rPr>
      <w:rFonts w:ascii="Arial" w:hAnsi="Arial" w:eastAsia="宋体"/>
      <w:b/>
      <w:kern w:val="0"/>
      <w:sz w:val="20"/>
    </w:rPr>
  </w:style>
  <w:style w:type="paragraph" w:styleId="14">
    <w:name w:val="No Spacing"/>
    <w:link w:val="15"/>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无间隔 Char"/>
    <w:link w:val="14"/>
    <w:qFormat/>
    <w:locked/>
    <w:uiPriority w:val="99"/>
    <w:rPr>
      <w:rFonts w:ascii="Times New Roman" w:hAnsi="Times New Roman" w:eastAsia="宋体"/>
      <w:sz w:val="24"/>
    </w:rPr>
  </w:style>
  <w:style w:type="character" w:customStyle="1" w:styleId="16">
    <w:name w:val="批注框文本 Char"/>
    <w:basedOn w:val="7"/>
    <w:link w:val="2"/>
    <w:semiHidden/>
    <w:qFormat/>
    <w:locked/>
    <w:uiPriority w:val="99"/>
    <w:rPr>
      <w:rFonts w:ascii="Calibri" w:hAnsi="Calibri"/>
      <w:kern w:val="2"/>
      <w:sz w:val="18"/>
    </w:rPr>
  </w:style>
  <w:style w:type="paragraph" w:customStyle="1" w:styleId="17">
    <w:name w:val="标书首行缩进"/>
    <w:qFormat/>
    <w:uiPriority w:val="0"/>
    <w:pPr>
      <w:spacing w:beforeLines="50" w:line="360" w:lineRule="auto"/>
      <w:ind w:firstLine="540" w:firstLineChars="200"/>
    </w:pPr>
    <w:rPr>
      <w:rFonts w:ascii="Times New Roman" w:hAnsi="Times New Roman" w:eastAsia="宋体" w:cs="Times New Roman"/>
      <w:spacing w:val="30"/>
      <w:kern w:val="16"/>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352</Words>
  <Characters>2013</Characters>
  <Lines>16</Lines>
  <Paragraphs>4</Paragraphs>
  <TotalTime>2</TotalTime>
  <ScaleCrop>false</ScaleCrop>
  <LinksUpToDate>false</LinksUpToDate>
  <CharactersWithSpaces>2361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2020-09-10T08:20:00Z</dcterms:created>
  <dc:creator>李银广/BFGS/CHNG</dc:creator>
  <cp:lastModifiedBy>admin</cp:lastModifiedBy>
  <dcterms:modified xsi:type="dcterms:W3CDTF">2020-11-27T07:16:26Z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