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82"/>
        <w:jc w:val="center"/>
        <w:rPr>
          <w:rFonts w:hint="eastAsia" w:hAnsi="宋体"/>
          <w:b/>
          <w:sz w:val="36"/>
          <w:szCs w:val="36"/>
        </w:rPr>
      </w:pPr>
    </w:p>
    <w:p>
      <w:pPr>
        <w:spacing w:line="360" w:lineRule="auto"/>
        <w:ind w:right="-82"/>
        <w:jc w:val="center"/>
        <w:rPr>
          <w:rFonts w:hint="eastAsia" w:hAnsi="宋体"/>
          <w:b/>
          <w:sz w:val="36"/>
          <w:szCs w:val="36"/>
        </w:rPr>
      </w:pPr>
    </w:p>
    <w:p>
      <w:pPr>
        <w:spacing w:line="360" w:lineRule="auto"/>
        <w:ind w:right="-82"/>
        <w:jc w:val="center"/>
        <w:rPr>
          <w:rFonts w:hint="eastAsia" w:hAnsi="宋体"/>
          <w:b/>
          <w:sz w:val="32"/>
          <w:szCs w:val="32"/>
        </w:rPr>
      </w:pPr>
      <w:r>
        <w:rPr>
          <w:rFonts w:hint="eastAsia" w:hAnsi="宋体"/>
          <w:b/>
          <w:sz w:val="32"/>
          <w:szCs w:val="32"/>
        </w:rPr>
        <w:t>华能山东发电有限公司众泰电厂1、2号机组脱硝升级改造工程电缆及电气元件和仪表采购项目技术规范书</w:t>
      </w:r>
    </w:p>
    <w:p>
      <w:pPr>
        <w:spacing w:line="360" w:lineRule="auto"/>
        <w:ind w:right="-82"/>
        <w:jc w:val="center"/>
        <w:rPr>
          <w:rFonts w:hint="eastAsia" w:hAnsi="宋体"/>
          <w:b/>
          <w:sz w:val="36"/>
          <w:szCs w:val="36"/>
        </w:rPr>
      </w:pPr>
    </w:p>
    <w:p>
      <w:pPr>
        <w:pStyle w:val="8"/>
        <w:tabs>
          <w:tab w:val="clear" w:pos="120"/>
        </w:tabs>
        <w:spacing w:line="480" w:lineRule="exact"/>
        <w:ind w:left="0" w:right="-147"/>
        <w:jc w:val="center"/>
        <w:rPr>
          <w:rFonts w:hint="eastAsia"/>
          <w:b/>
        </w:rPr>
      </w:pPr>
    </w:p>
    <w:p>
      <w:pPr>
        <w:pStyle w:val="8"/>
        <w:tabs>
          <w:tab w:val="clear" w:pos="120"/>
        </w:tabs>
        <w:spacing w:line="480" w:lineRule="exact"/>
        <w:ind w:left="0" w:right="-147"/>
        <w:jc w:val="center"/>
        <w:rPr>
          <w:rFonts w:hint="eastAsia"/>
          <w:b/>
        </w:rPr>
      </w:pPr>
    </w:p>
    <w:p>
      <w:pPr>
        <w:pStyle w:val="8"/>
        <w:tabs>
          <w:tab w:val="clear" w:pos="120"/>
        </w:tabs>
        <w:spacing w:line="480" w:lineRule="exact"/>
        <w:ind w:left="0" w:right="-147"/>
        <w:jc w:val="center"/>
        <w:rPr>
          <w:rFonts w:hint="eastAsia"/>
          <w:b/>
        </w:rPr>
      </w:pPr>
    </w:p>
    <w:p>
      <w:pPr>
        <w:pStyle w:val="8"/>
        <w:tabs>
          <w:tab w:val="clear" w:pos="120"/>
        </w:tabs>
        <w:spacing w:line="480" w:lineRule="exact"/>
        <w:ind w:left="0" w:right="-147"/>
        <w:jc w:val="center"/>
        <w:rPr>
          <w:rFonts w:hint="eastAsia"/>
          <w:b/>
        </w:rPr>
      </w:pPr>
    </w:p>
    <w:p>
      <w:pPr>
        <w:pStyle w:val="8"/>
        <w:tabs>
          <w:tab w:val="clear" w:pos="120"/>
        </w:tabs>
        <w:spacing w:line="480" w:lineRule="exact"/>
        <w:ind w:left="0" w:right="-147"/>
        <w:jc w:val="center"/>
        <w:rPr>
          <w:rFonts w:hint="eastAsia"/>
          <w:b/>
        </w:rPr>
      </w:pPr>
    </w:p>
    <w:p>
      <w:pPr>
        <w:pStyle w:val="8"/>
        <w:tabs>
          <w:tab w:val="clear" w:pos="120"/>
        </w:tabs>
        <w:spacing w:line="480" w:lineRule="exact"/>
        <w:ind w:left="0" w:right="-147"/>
        <w:jc w:val="center"/>
        <w:rPr>
          <w:rFonts w:hint="eastAsia"/>
          <w:b/>
        </w:rPr>
      </w:pPr>
    </w:p>
    <w:p>
      <w:pPr>
        <w:pStyle w:val="8"/>
        <w:tabs>
          <w:tab w:val="clear" w:pos="120"/>
        </w:tabs>
        <w:spacing w:line="480" w:lineRule="exact"/>
        <w:ind w:left="0" w:right="-147"/>
        <w:jc w:val="center"/>
        <w:rPr>
          <w:rFonts w:hint="eastAsia"/>
          <w:b/>
        </w:rPr>
      </w:pPr>
    </w:p>
    <w:p>
      <w:pPr>
        <w:pStyle w:val="8"/>
        <w:tabs>
          <w:tab w:val="clear" w:pos="120"/>
        </w:tabs>
        <w:spacing w:line="480" w:lineRule="exact"/>
        <w:ind w:left="0" w:right="-147"/>
        <w:jc w:val="center"/>
        <w:rPr>
          <w:rFonts w:hint="eastAsia"/>
          <w:b/>
        </w:rPr>
      </w:pPr>
    </w:p>
    <w:p>
      <w:pPr>
        <w:pStyle w:val="8"/>
        <w:tabs>
          <w:tab w:val="clear" w:pos="120"/>
        </w:tabs>
        <w:spacing w:line="480" w:lineRule="exact"/>
        <w:ind w:left="0" w:right="-147"/>
        <w:jc w:val="center"/>
        <w:rPr>
          <w:rFonts w:hint="eastAsia"/>
          <w:b/>
        </w:rPr>
      </w:pPr>
    </w:p>
    <w:p>
      <w:pPr>
        <w:pStyle w:val="8"/>
        <w:tabs>
          <w:tab w:val="clear" w:pos="120"/>
        </w:tabs>
        <w:spacing w:line="480" w:lineRule="exact"/>
        <w:ind w:left="0" w:right="-147"/>
        <w:jc w:val="center"/>
        <w:rPr>
          <w:rFonts w:hint="eastAsia"/>
          <w:b/>
        </w:rPr>
      </w:pPr>
    </w:p>
    <w:p>
      <w:pPr>
        <w:pStyle w:val="8"/>
        <w:tabs>
          <w:tab w:val="clear" w:pos="120"/>
        </w:tabs>
        <w:spacing w:line="480" w:lineRule="exact"/>
        <w:ind w:left="0" w:right="-147"/>
        <w:jc w:val="both"/>
        <w:rPr>
          <w:rFonts w:hint="eastAsia"/>
          <w:b/>
        </w:rPr>
      </w:pPr>
    </w:p>
    <w:p>
      <w:pPr>
        <w:spacing w:line="360" w:lineRule="auto"/>
        <w:rPr>
          <w:rFonts w:hint="eastAsia" w:hAnsi="宋体" w:cs="宋体"/>
          <w:b/>
          <w:sz w:val="28"/>
        </w:rPr>
      </w:pPr>
    </w:p>
    <w:p>
      <w:pPr>
        <w:spacing w:line="360" w:lineRule="auto"/>
        <w:ind w:left="0" w:leftChars="0" w:firstLine="0" w:firstLineChars="0"/>
        <w:jc w:val="center"/>
        <w:rPr>
          <w:rFonts w:hint="eastAsia" w:ascii="宋体" w:hAnsi="宋体" w:cs="宋体"/>
          <w:b/>
          <w:bCs/>
          <w:kern w:val="0"/>
          <w:sz w:val="28"/>
          <w:szCs w:val="28"/>
        </w:rPr>
      </w:pPr>
    </w:p>
    <w:p>
      <w:pPr>
        <w:spacing w:line="360" w:lineRule="auto"/>
        <w:ind w:left="0" w:leftChars="0" w:firstLine="0" w:firstLineChars="0"/>
        <w:jc w:val="center"/>
        <w:rPr>
          <w:rFonts w:hint="eastAsia" w:ascii="宋体" w:hAnsi="宋体" w:cs="宋体"/>
          <w:b/>
          <w:bCs/>
          <w:kern w:val="0"/>
          <w:sz w:val="28"/>
          <w:szCs w:val="28"/>
        </w:rPr>
      </w:pPr>
    </w:p>
    <w:p>
      <w:pPr>
        <w:spacing w:line="360" w:lineRule="auto"/>
        <w:ind w:left="0" w:leftChars="0" w:firstLine="0" w:firstLineChars="0"/>
        <w:jc w:val="center"/>
        <w:rPr>
          <w:rFonts w:hint="eastAsia" w:ascii="宋体" w:hAnsi="宋体" w:cs="宋体"/>
          <w:b/>
          <w:bCs/>
          <w:kern w:val="0"/>
          <w:sz w:val="28"/>
          <w:szCs w:val="28"/>
        </w:rPr>
      </w:pPr>
    </w:p>
    <w:p>
      <w:pPr>
        <w:spacing w:line="360" w:lineRule="auto"/>
        <w:ind w:left="0" w:leftChars="0" w:firstLine="0" w:firstLineChars="0"/>
        <w:jc w:val="center"/>
        <w:rPr>
          <w:rFonts w:hint="eastAsia" w:ascii="宋体" w:hAnsi="宋体" w:cs="宋体"/>
          <w:b/>
          <w:bCs/>
          <w:kern w:val="0"/>
          <w:sz w:val="28"/>
          <w:szCs w:val="28"/>
        </w:rPr>
      </w:pPr>
      <w:r>
        <w:rPr>
          <w:rFonts w:hint="eastAsia" w:ascii="宋体" w:hAnsi="宋体" w:cs="宋体"/>
          <w:b/>
          <w:bCs/>
          <w:kern w:val="0"/>
          <w:sz w:val="28"/>
          <w:szCs w:val="28"/>
        </w:rPr>
        <w:t>中国华能集团清洁能源技术研究院有限公司</w:t>
      </w:r>
    </w:p>
    <w:p>
      <w:pPr>
        <w:spacing w:line="360" w:lineRule="auto"/>
        <w:jc w:val="center"/>
        <w:rPr>
          <w:rFonts w:hint="eastAsia" w:ascii="宋体" w:hAnsi="宋体" w:eastAsia="宋体" w:cs="宋体"/>
          <w:b/>
          <w:bCs/>
          <w:kern w:val="0"/>
          <w:sz w:val="28"/>
          <w:szCs w:val="28"/>
          <w:lang w:eastAsia="zh-CN"/>
        </w:rPr>
      </w:pPr>
      <w:r>
        <w:rPr>
          <w:rFonts w:hint="eastAsia" w:hAnsi="宋体" w:cs="宋体"/>
          <w:b/>
          <w:bCs/>
          <w:kern w:val="0"/>
          <w:sz w:val="28"/>
          <w:szCs w:val="28"/>
          <w:lang w:val="en-US" w:eastAsia="zh-CN"/>
        </w:rPr>
        <w:t xml:space="preserve"> </w:t>
      </w:r>
    </w:p>
    <w:p>
      <w:pPr>
        <w:spacing w:line="360" w:lineRule="auto"/>
        <w:jc w:val="center"/>
        <w:rPr>
          <w:rFonts w:hint="eastAsia" w:ascii="宋体" w:hAnsi="宋体" w:cs="宋体"/>
          <w:b/>
          <w:bCs/>
          <w:kern w:val="0"/>
          <w:sz w:val="28"/>
          <w:szCs w:val="28"/>
        </w:rPr>
      </w:pPr>
      <w:r>
        <w:rPr>
          <w:rFonts w:hint="eastAsia" w:ascii="宋体" w:hAnsi="宋体" w:cs="宋体"/>
          <w:b/>
          <w:bCs/>
          <w:kern w:val="0"/>
          <w:sz w:val="28"/>
          <w:szCs w:val="28"/>
        </w:rPr>
        <w:t>20</w:t>
      </w:r>
      <w:r>
        <w:rPr>
          <w:rFonts w:hint="eastAsia" w:ascii="宋体" w:hAnsi="宋体" w:cs="宋体"/>
          <w:b/>
          <w:bCs/>
          <w:kern w:val="0"/>
          <w:sz w:val="28"/>
          <w:szCs w:val="28"/>
          <w:lang w:val="en-US" w:eastAsia="zh-CN"/>
        </w:rPr>
        <w:t>2</w:t>
      </w:r>
      <w:r>
        <w:rPr>
          <w:rFonts w:hint="eastAsia" w:hAnsi="宋体" w:cs="宋体"/>
          <w:b/>
          <w:bCs/>
          <w:kern w:val="0"/>
          <w:sz w:val="28"/>
          <w:szCs w:val="28"/>
          <w:lang w:val="en-US" w:eastAsia="zh-CN"/>
        </w:rPr>
        <w:t>1</w:t>
      </w:r>
      <w:r>
        <w:rPr>
          <w:rFonts w:hint="eastAsia" w:ascii="宋体" w:hAnsi="宋体" w:cs="宋体"/>
          <w:b/>
          <w:bCs/>
          <w:kern w:val="0"/>
          <w:sz w:val="28"/>
          <w:szCs w:val="28"/>
        </w:rPr>
        <w:t>年</w:t>
      </w:r>
      <w:r>
        <w:rPr>
          <w:rFonts w:hint="eastAsia" w:hAnsi="宋体" w:cs="宋体"/>
          <w:b/>
          <w:bCs/>
          <w:kern w:val="0"/>
          <w:sz w:val="28"/>
          <w:szCs w:val="28"/>
          <w:lang w:val="en-US" w:eastAsia="zh-CN"/>
        </w:rPr>
        <w:t>01</w:t>
      </w:r>
      <w:r>
        <w:rPr>
          <w:rFonts w:hint="eastAsia" w:ascii="宋体" w:hAnsi="宋体" w:cs="宋体"/>
          <w:b/>
          <w:bCs/>
          <w:kern w:val="0"/>
          <w:sz w:val="28"/>
          <w:szCs w:val="28"/>
        </w:rPr>
        <w:t>月</w:t>
      </w:r>
    </w:p>
    <w:p>
      <w:pPr>
        <w:pStyle w:val="2"/>
        <w:spacing w:before="0" w:after="0" w:line="240" w:lineRule="auto"/>
        <w:jc w:val="center"/>
        <w:rPr>
          <w:rFonts w:hint="eastAsia" w:hAnsi="宋体" w:eastAsia="宋体"/>
          <w:lang w:val="en-US" w:eastAsia="zh-CN"/>
        </w:rPr>
      </w:pPr>
      <w:r>
        <w:rPr>
          <w:rFonts w:hint="eastAsia" w:hAnsi="宋体"/>
        </w:rPr>
        <w:t>技术</w:t>
      </w:r>
      <w:r>
        <w:rPr>
          <w:rFonts w:hint="eastAsia" w:hAnsi="宋体"/>
          <w:lang w:val="en-US" w:eastAsia="zh-CN"/>
        </w:rPr>
        <w:t>规范书</w:t>
      </w:r>
    </w:p>
    <w:p>
      <w:pPr>
        <w:spacing w:before="100" w:beforeAutospacing="1" w:after="100" w:afterAutospacing="1" w:line="240" w:lineRule="auto"/>
        <w:rPr>
          <w:rFonts w:hAnsi="宋体"/>
          <w:b/>
          <w:bCs/>
          <w:sz w:val="28"/>
        </w:rPr>
      </w:pPr>
      <w:r>
        <w:rPr>
          <w:rFonts w:hint="eastAsia" w:hAnsi="宋体"/>
          <w:b/>
          <w:bCs/>
          <w:sz w:val="28"/>
        </w:rPr>
        <w:t>1 总则</w:t>
      </w:r>
    </w:p>
    <w:p>
      <w:pPr>
        <w:numPr>
          <w:ilvl w:val="0"/>
          <w:numId w:val="1"/>
        </w:numPr>
        <w:spacing w:line="360" w:lineRule="auto"/>
        <w:rPr>
          <w:rFonts w:hAnsi="宋体"/>
          <w:sz w:val="24"/>
        </w:rPr>
      </w:pPr>
      <w:r>
        <w:rPr>
          <w:rFonts w:hint="eastAsia" w:hAnsi="宋体"/>
          <w:sz w:val="24"/>
        </w:rPr>
        <w:t>本</w:t>
      </w:r>
      <w:r>
        <w:rPr>
          <w:rFonts w:hint="eastAsia" w:hAnsi="宋体"/>
          <w:sz w:val="24"/>
          <w:lang w:eastAsia="zh-CN"/>
        </w:rPr>
        <w:t>技术规范书</w:t>
      </w:r>
      <w:r>
        <w:rPr>
          <w:rFonts w:hint="eastAsia" w:hAnsi="宋体"/>
          <w:sz w:val="24"/>
        </w:rPr>
        <w:t>用于华能山东发电有限公司众泰电厂1、2号机组脱硝升级改造工程电缆及电气元件和仪表采购项目的技术要求。</w:t>
      </w:r>
    </w:p>
    <w:p>
      <w:pPr>
        <w:numPr>
          <w:ilvl w:val="0"/>
          <w:numId w:val="1"/>
        </w:numPr>
        <w:spacing w:line="360" w:lineRule="auto"/>
        <w:rPr>
          <w:rFonts w:hAnsi="宋体"/>
          <w:sz w:val="24"/>
        </w:rPr>
      </w:pPr>
      <w:r>
        <w:rPr>
          <w:rFonts w:hint="eastAsia" w:hAnsi="宋体"/>
          <w:sz w:val="24"/>
        </w:rPr>
        <w:t>本</w:t>
      </w:r>
      <w:r>
        <w:rPr>
          <w:rFonts w:hint="eastAsia" w:hAnsi="宋体"/>
          <w:sz w:val="24"/>
          <w:lang w:eastAsia="zh-CN"/>
        </w:rPr>
        <w:t>技术规范书</w:t>
      </w:r>
      <w:r>
        <w:rPr>
          <w:rFonts w:hint="eastAsia" w:hAnsi="宋体"/>
          <w:sz w:val="24"/>
        </w:rPr>
        <w:t>提出的是最低限度的技术要求</w:t>
      </w:r>
      <w:r>
        <w:rPr>
          <w:rFonts w:hAnsi="宋体"/>
          <w:sz w:val="24"/>
        </w:rPr>
        <w:t>,</w:t>
      </w:r>
      <w:r>
        <w:rPr>
          <w:rFonts w:hint="eastAsia" w:hAnsi="宋体"/>
          <w:sz w:val="24"/>
        </w:rPr>
        <w:t xml:space="preserve"> 并未对一切技术要求做出详细规定，也未充分引述有关标准和规范的条文，</w:t>
      </w:r>
      <w:r>
        <w:rPr>
          <w:rFonts w:hint="eastAsia" w:hAnsi="宋体"/>
          <w:sz w:val="24"/>
          <w:lang w:eastAsia="zh-CN"/>
        </w:rPr>
        <w:t>供货方</w:t>
      </w:r>
      <w:r>
        <w:rPr>
          <w:rFonts w:hint="eastAsia" w:hAnsi="宋体"/>
          <w:sz w:val="24"/>
        </w:rPr>
        <w:t>应保证提供符合本</w:t>
      </w:r>
      <w:r>
        <w:rPr>
          <w:rFonts w:hint="eastAsia" w:hAnsi="宋体"/>
          <w:sz w:val="24"/>
          <w:lang w:eastAsia="zh-CN"/>
        </w:rPr>
        <w:t>技术规范书</w:t>
      </w:r>
      <w:r>
        <w:rPr>
          <w:rFonts w:hint="eastAsia" w:hAnsi="宋体"/>
          <w:sz w:val="24"/>
        </w:rPr>
        <w:t>和相关的国际国内标准的优质服务。</w:t>
      </w:r>
    </w:p>
    <w:p>
      <w:pPr>
        <w:numPr>
          <w:ilvl w:val="0"/>
          <w:numId w:val="1"/>
        </w:numPr>
        <w:spacing w:line="360" w:lineRule="auto"/>
        <w:rPr>
          <w:rFonts w:hAnsi="宋体"/>
          <w:sz w:val="24"/>
        </w:rPr>
      </w:pPr>
      <w:r>
        <w:rPr>
          <w:rFonts w:hint="eastAsia" w:hAnsi="宋体"/>
          <w:sz w:val="24"/>
        </w:rPr>
        <w:t>工作范围包括但不限于设计、供货、</w:t>
      </w:r>
      <w:r>
        <w:rPr>
          <w:rFonts w:hint="eastAsia" w:hAnsi="宋体"/>
          <w:sz w:val="24"/>
          <w:lang w:val="en-US" w:eastAsia="zh-CN"/>
        </w:rPr>
        <w:t>技术指导安装、</w:t>
      </w:r>
      <w:r>
        <w:rPr>
          <w:rFonts w:hint="eastAsia" w:hAnsi="宋体"/>
          <w:sz w:val="24"/>
        </w:rPr>
        <w:t>调试、培训、验收资料移交等内容。</w:t>
      </w:r>
    </w:p>
    <w:p>
      <w:pPr>
        <w:numPr>
          <w:ilvl w:val="0"/>
          <w:numId w:val="1"/>
        </w:numPr>
        <w:spacing w:line="360" w:lineRule="auto"/>
        <w:rPr>
          <w:rFonts w:hAnsi="宋体"/>
          <w:sz w:val="24"/>
        </w:rPr>
      </w:pPr>
      <w:r>
        <w:rPr>
          <w:rFonts w:hint="eastAsia" w:hAnsi="宋体"/>
          <w:sz w:val="24"/>
        </w:rPr>
        <w:t>本章节提出了最低的技术标准，并未对一切技术细节作出规定，也未充分引述有关标准和规范条文，</w:t>
      </w:r>
      <w:r>
        <w:rPr>
          <w:rFonts w:hint="eastAsia" w:hAnsi="宋体"/>
          <w:sz w:val="24"/>
          <w:lang w:eastAsia="zh-CN"/>
        </w:rPr>
        <w:t>供货方</w:t>
      </w:r>
      <w:r>
        <w:rPr>
          <w:rFonts w:hint="eastAsia" w:hAnsi="宋体"/>
          <w:sz w:val="24"/>
        </w:rPr>
        <w:t>应提供满足本章节提出的技术标准及符合国家或行业标准要求的高质量的设计、供货及其相应的服务,当标准有冲突时，按较高标准执行。还应符合国家有关</w:t>
      </w:r>
      <w:r>
        <w:rPr>
          <w:rFonts w:hint="eastAsia" w:hAnsi="宋体"/>
          <w:sz w:val="24"/>
          <w:lang w:val="en-US" w:eastAsia="zh-CN"/>
        </w:rPr>
        <w:t>设备</w:t>
      </w:r>
      <w:r>
        <w:rPr>
          <w:rFonts w:hint="eastAsia" w:hAnsi="宋体"/>
          <w:sz w:val="24"/>
        </w:rPr>
        <w:t>质量、安全、卫生、消防、环保等方面的强制性标准条文的规定。</w:t>
      </w:r>
    </w:p>
    <w:p>
      <w:pPr>
        <w:numPr>
          <w:ilvl w:val="0"/>
          <w:numId w:val="1"/>
        </w:numPr>
        <w:spacing w:line="360" w:lineRule="auto"/>
        <w:rPr>
          <w:rFonts w:hint="eastAsia" w:hAnsi="宋体"/>
          <w:sz w:val="24"/>
        </w:rPr>
      </w:pPr>
      <w:r>
        <w:rPr>
          <w:rFonts w:hint="eastAsia" w:hAnsi="宋体"/>
          <w:sz w:val="24"/>
        </w:rPr>
        <w:t>由于</w:t>
      </w:r>
      <w:r>
        <w:rPr>
          <w:rFonts w:hint="eastAsia" w:hAnsi="宋体"/>
          <w:sz w:val="24"/>
          <w:lang w:val="en-US" w:eastAsia="zh-CN"/>
        </w:rPr>
        <w:t>现场勘查</w:t>
      </w:r>
      <w:r>
        <w:rPr>
          <w:rFonts w:hint="eastAsia" w:hAnsi="宋体"/>
          <w:sz w:val="24"/>
        </w:rPr>
        <w:t>不充分或未</w:t>
      </w:r>
      <w:r>
        <w:rPr>
          <w:rFonts w:hint="eastAsia" w:hAnsi="宋体"/>
          <w:sz w:val="24"/>
          <w:lang w:val="en-US" w:eastAsia="zh-CN"/>
        </w:rPr>
        <w:t>勘查</w:t>
      </w:r>
      <w:r>
        <w:rPr>
          <w:rFonts w:hint="eastAsia" w:hAnsi="宋体"/>
          <w:sz w:val="24"/>
        </w:rPr>
        <w:t>造成工作项目遗漏，结果由</w:t>
      </w:r>
      <w:r>
        <w:rPr>
          <w:rFonts w:hint="eastAsia" w:hAnsi="宋体"/>
          <w:sz w:val="24"/>
          <w:lang w:eastAsia="zh-CN"/>
        </w:rPr>
        <w:t>供货方</w:t>
      </w:r>
      <w:r>
        <w:rPr>
          <w:rFonts w:hint="eastAsia" w:hAnsi="宋体"/>
          <w:sz w:val="24"/>
        </w:rPr>
        <w:t>负责。在项目执行过程中，</w:t>
      </w:r>
      <w:r>
        <w:rPr>
          <w:rFonts w:hint="eastAsia" w:hAnsi="宋体"/>
          <w:sz w:val="24"/>
          <w:lang w:eastAsia="zh-CN"/>
        </w:rPr>
        <w:t>供货方</w:t>
      </w:r>
      <w:r>
        <w:rPr>
          <w:rFonts w:hint="eastAsia" w:hAnsi="宋体"/>
          <w:sz w:val="24"/>
        </w:rPr>
        <w:t>不能因此提出任何关于财务费用和工期延迟的要求，</w:t>
      </w:r>
      <w:r>
        <w:rPr>
          <w:rFonts w:hint="eastAsia" w:hAnsi="宋体"/>
          <w:sz w:val="24"/>
          <w:lang w:eastAsia="zh-CN"/>
        </w:rPr>
        <w:t>供货方</w:t>
      </w:r>
      <w:r>
        <w:rPr>
          <w:rFonts w:hint="eastAsia" w:hAnsi="宋体"/>
          <w:sz w:val="24"/>
        </w:rPr>
        <w:t>对本</w:t>
      </w:r>
      <w:r>
        <w:rPr>
          <w:rFonts w:hint="eastAsia" w:hAnsi="宋体"/>
          <w:sz w:val="24"/>
          <w:lang w:val="en-US" w:eastAsia="zh-CN"/>
        </w:rPr>
        <w:t>次改造</w:t>
      </w:r>
      <w:r>
        <w:rPr>
          <w:rFonts w:hint="eastAsia" w:hAnsi="宋体"/>
          <w:sz w:val="24"/>
        </w:rPr>
        <w:t>安全、环境保护、</w:t>
      </w:r>
      <w:r>
        <w:rPr>
          <w:rFonts w:hint="eastAsia" w:hAnsi="宋体"/>
          <w:sz w:val="24"/>
          <w:lang w:val="en-US" w:eastAsia="zh-CN"/>
        </w:rPr>
        <w:t>改造</w:t>
      </w:r>
      <w:r>
        <w:rPr>
          <w:rFonts w:hint="eastAsia" w:hAnsi="宋体"/>
          <w:sz w:val="24"/>
        </w:rPr>
        <w:t>质量、工期等管理负有全部责任。</w:t>
      </w:r>
    </w:p>
    <w:p>
      <w:pPr>
        <w:numPr>
          <w:ilvl w:val="0"/>
          <w:numId w:val="1"/>
        </w:numPr>
        <w:spacing w:line="360" w:lineRule="auto"/>
        <w:rPr>
          <w:rFonts w:hAnsi="宋体"/>
          <w:sz w:val="24"/>
        </w:rPr>
      </w:pPr>
      <w:r>
        <w:rPr>
          <w:rFonts w:hint="eastAsia" w:hAnsi="宋体"/>
          <w:sz w:val="24"/>
        </w:rPr>
        <w:t>合同签订后，按合同规定</w:t>
      </w:r>
      <w:r>
        <w:rPr>
          <w:rFonts w:hint="eastAsia" w:hAnsi="宋体"/>
          <w:sz w:val="24"/>
          <w:lang w:eastAsia="zh-CN"/>
        </w:rPr>
        <w:t>供货方</w:t>
      </w:r>
      <w:r>
        <w:rPr>
          <w:rFonts w:hint="eastAsia" w:hAnsi="宋体"/>
          <w:sz w:val="24"/>
        </w:rPr>
        <w:t>应提出设计、供货、</w:t>
      </w:r>
      <w:r>
        <w:rPr>
          <w:rFonts w:hint="eastAsia" w:hAnsi="宋体"/>
          <w:sz w:val="24"/>
          <w:lang w:val="en-US" w:eastAsia="zh-CN"/>
        </w:rPr>
        <w:t>安装、</w:t>
      </w:r>
      <w:r>
        <w:rPr>
          <w:rFonts w:hint="eastAsia" w:hAnsi="宋体"/>
          <w:sz w:val="24"/>
        </w:rPr>
        <w:t>调试、运行和维护等技术标准清单给</w:t>
      </w:r>
      <w:r>
        <w:rPr>
          <w:rFonts w:hint="eastAsia" w:hAnsi="宋体"/>
          <w:sz w:val="24"/>
          <w:lang w:eastAsia="zh-CN"/>
        </w:rPr>
        <w:t>需方</w:t>
      </w:r>
      <w:r>
        <w:rPr>
          <w:rFonts w:hint="eastAsia" w:hAnsi="宋体"/>
          <w:sz w:val="24"/>
        </w:rPr>
        <w:t>，由</w:t>
      </w:r>
      <w:r>
        <w:rPr>
          <w:rFonts w:hint="eastAsia" w:hAnsi="宋体"/>
          <w:sz w:val="24"/>
          <w:lang w:eastAsia="zh-CN"/>
        </w:rPr>
        <w:t>需方</w:t>
      </w:r>
      <w:r>
        <w:rPr>
          <w:rFonts w:hint="eastAsia" w:hAnsi="宋体"/>
          <w:sz w:val="24"/>
        </w:rPr>
        <w:t>确认。</w:t>
      </w:r>
    </w:p>
    <w:p>
      <w:pPr>
        <w:numPr>
          <w:ilvl w:val="0"/>
          <w:numId w:val="1"/>
        </w:numPr>
        <w:spacing w:line="360" w:lineRule="auto"/>
        <w:rPr>
          <w:rFonts w:hAnsi="宋体"/>
          <w:sz w:val="24"/>
        </w:rPr>
      </w:pPr>
      <w:r>
        <w:rPr>
          <w:rFonts w:hint="eastAsia" w:hAnsi="宋体"/>
          <w:sz w:val="24"/>
          <w:lang w:eastAsia="zh-CN"/>
        </w:rPr>
        <w:t>供货方</w:t>
      </w:r>
      <w:r>
        <w:rPr>
          <w:rFonts w:hint="eastAsia" w:hAnsi="宋体"/>
          <w:sz w:val="24"/>
        </w:rPr>
        <w:t>对供货的所有系统的设备负有全责，包括分包（或采购）的产品。</w:t>
      </w:r>
    </w:p>
    <w:p>
      <w:pPr>
        <w:numPr>
          <w:ilvl w:val="0"/>
          <w:numId w:val="1"/>
        </w:numPr>
        <w:spacing w:line="360" w:lineRule="auto"/>
        <w:rPr>
          <w:rFonts w:hAnsi="宋体"/>
          <w:sz w:val="24"/>
        </w:rPr>
      </w:pPr>
      <w:r>
        <w:rPr>
          <w:rFonts w:hint="eastAsia" w:hAnsi="宋体"/>
          <w:sz w:val="24"/>
        </w:rPr>
        <w:t>本技术规范中</w:t>
      </w:r>
      <w:r>
        <w:rPr>
          <w:rFonts w:hint="eastAsia" w:hAnsi="宋体"/>
          <w:sz w:val="24"/>
          <w:lang w:eastAsia="zh-CN"/>
        </w:rPr>
        <w:t>需方</w:t>
      </w:r>
      <w:r>
        <w:rPr>
          <w:rFonts w:hint="eastAsia" w:hAnsi="宋体"/>
          <w:sz w:val="24"/>
        </w:rPr>
        <w:t>提供的项目基础数据、设计数据等一切数据作为</w:t>
      </w:r>
      <w:r>
        <w:rPr>
          <w:rFonts w:hint="eastAsia" w:hAnsi="宋体"/>
          <w:sz w:val="24"/>
          <w:lang w:eastAsia="zh-CN"/>
        </w:rPr>
        <w:t>供货方</w:t>
      </w:r>
      <w:r>
        <w:rPr>
          <w:rFonts w:hint="eastAsia" w:hAnsi="宋体"/>
          <w:sz w:val="24"/>
        </w:rPr>
        <w:t>的工作依据，未提供的数据由</w:t>
      </w:r>
      <w:r>
        <w:rPr>
          <w:rFonts w:hint="eastAsia" w:hAnsi="宋体"/>
          <w:sz w:val="24"/>
          <w:lang w:eastAsia="zh-CN"/>
        </w:rPr>
        <w:t>需方</w:t>
      </w:r>
      <w:r>
        <w:rPr>
          <w:rFonts w:hint="eastAsia" w:hAnsi="宋体"/>
          <w:sz w:val="24"/>
        </w:rPr>
        <w:t>配合</w:t>
      </w:r>
      <w:r>
        <w:rPr>
          <w:rFonts w:hint="eastAsia" w:hAnsi="宋体"/>
          <w:sz w:val="24"/>
          <w:lang w:eastAsia="zh-CN"/>
        </w:rPr>
        <w:t>供货方</w:t>
      </w:r>
      <w:r>
        <w:rPr>
          <w:rFonts w:hint="eastAsia" w:hAnsi="宋体"/>
          <w:sz w:val="24"/>
        </w:rPr>
        <w:t>进行数据搜集工作。</w:t>
      </w:r>
      <w:r>
        <w:rPr>
          <w:rFonts w:hint="eastAsia" w:hAnsi="宋体"/>
          <w:sz w:val="24"/>
          <w:lang w:eastAsia="zh-CN"/>
        </w:rPr>
        <w:t>供货方</w:t>
      </w:r>
      <w:r>
        <w:rPr>
          <w:rFonts w:hint="eastAsia" w:hAnsi="宋体"/>
          <w:sz w:val="24"/>
        </w:rPr>
        <w:t>应对所提供的改造方案、应用的技术、采用的所有产品及改造后的实际运行效果负全部责任，同时需满足技术规范的要求。</w:t>
      </w:r>
    </w:p>
    <w:p>
      <w:pPr>
        <w:numPr>
          <w:ilvl w:val="0"/>
          <w:numId w:val="1"/>
        </w:numPr>
        <w:spacing w:line="360" w:lineRule="auto"/>
        <w:rPr>
          <w:rFonts w:hAnsi="宋体"/>
          <w:sz w:val="24"/>
        </w:rPr>
      </w:pPr>
      <w:r>
        <w:rPr>
          <w:rFonts w:hint="eastAsia" w:hAnsi="宋体"/>
          <w:sz w:val="24"/>
        </w:rPr>
        <w:t>由于</w:t>
      </w:r>
      <w:r>
        <w:rPr>
          <w:rFonts w:hint="eastAsia" w:hAnsi="宋体"/>
          <w:sz w:val="24"/>
          <w:lang w:eastAsia="zh-CN"/>
        </w:rPr>
        <w:t>供货方</w:t>
      </w:r>
      <w:r>
        <w:rPr>
          <w:rFonts w:hint="eastAsia" w:hAnsi="宋体"/>
          <w:sz w:val="24"/>
        </w:rPr>
        <w:t>设计、制造、采购供货等问题而导致设备无法正常按期投产、供货设备无法长期连续、安全、经济、稳定、可靠地运行，不能满足技术性能要求，</w:t>
      </w:r>
      <w:r>
        <w:rPr>
          <w:rFonts w:hint="eastAsia" w:hAnsi="宋体"/>
          <w:sz w:val="24"/>
          <w:lang w:eastAsia="zh-CN"/>
        </w:rPr>
        <w:t>供货方</w:t>
      </w:r>
      <w:r>
        <w:rPr>
          <w:rFonts w:hint="eastAsia" w:hAnsi="宋体"/>
          <w:sz w:val="24"/>
        </w:rPr>
        <w:t>负全部责任。</w:t>
      </w:r>
    </w:p>
    <w:p>
      <w:pPr>
        <w:spacing w:before="100" w:beforeAutospacing="1" w:after="100" w:afterAutospacing="1" w:line="480" w:lineRule="auto"/>
        <w:rPr>
          <w:rFonts w:hint="eastAsia" w:hAnsi="宋体"/>
          <w:b/>
          <w:bCs/>
          <w:sz w:val="28"/>
        </w:rPr>
      </w:pPr>
      <w:r>
        <w:rPr>
          <w:rFonts w:hint="eastAsia" w:hAnsi="宋体"/>
          <w:b/>
          <w:bCs/>
          <w:sz w:val="28"/>
        </w:rPr>
        <w:t>2 技术要求</w:t>
      </w:r>
    </w:p>
    <w:p>
      <w:pPr>
        <w:spacing w:line="360" w:lineRule="auto"/>
        <w:rPr>
          <w:rFonts w:hint="eastAsia" w:ascii="宋体" w:hAnsi="宋体" w:eastAsia="宋体" w:cs="宋体"/>
          <w:b/>
          <w:bCs/>
          <w:sz w:val="24"/>
        </w:rPr>
      </w:pPr>
      <w:r>
        <w:rPr>
          <w:rFonts w:hint="eastAsia" w:ascii="宋体" w:hAnsi="宋体" w:eastAsia="宋体" w:cs="宋体"/>
          <w:b/>
          <w:bCs/>
          <w:sz w:val="24"/>
        </w:rPr>
        <w:t>2.</w:t>
      </w:r>
      <w:r>
        <w:rPr>
          <w:rFonts w:hint="eastAsia" w:ascii="宋体" w:hAnsi="宋体" w:eastAsia="宋体" w:cs="宋体"/>
          <w:b/>
          <w:bCs/>
          <w:sz w:val="24"/>
          <w:lang w:val="en-US" w:eastAsia="zh-CN"/>
        </w:rPr>
        <w:t>1</w:t>
      </w:r>
      <w:r>
        <w:rPr>
          <w:rFonts w:hint="eastAsia" w:ascii="宋体" w:hAnsi="宋体" w:eastAsia="宋体" w:cs="宋体"/>
          <w:b/>
          <w:bCs/>
          <w:sz w:val="24"/>
        </w:rPr>
        <w:t>工作范围及要求</w:t>
      </w:r>
    </w:p>
    <w:p>
      <w:pPr>
        <w:spacing w:line="360" w:lineRule="auto"/>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1</w:t>
      </w:r>
      <w:r>
        <w:rPr>
          <w:rFonts w:hint="eastAsia" w:ascii="宋体" w:hAnsi="宋体" w:eastAsia="宋体" w:cs="宋体"/>
          <w:sz w:val="24"/>
        </w:rPr>
        <w:t>.</w:t>
      </w:r>
      <w:r>
        <w:rPr>
          <w:rFonts w:hint="eastAsia" w:hAnsi="宋体" w:cs="宋体"/>
          <w:sz w:val="24"/>
          <w:lang w:val="en-US" w:eastAsia="zh-CN"/>
        </w:rPr>
        <w:t>1</w:t>
      </w:r>
      <w:r>
        <w:rPr>
          <w:rFonts w:hint="eastAsia" w:ascii="宋体" w:hAnsi="宋体" w:eastAsia="宋体" w:cs="宋体"/>
          <w:sz w:val="24"/>
        </w:rPr>
        <w:t xml:space="preserve"> 设备材料采购</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供货方</w:t>
      </w:r>
      <w:r>
        <w:rPr>
          <w:rFonts w:hint="eastAsia" w:ascii="宋体" w:hAnsi="宋体" w:eastAsia="宋体" w:cs="宋体"/>
          <w:sz w:val="24"/>
        </w:rPr>
        <w:t>应负责提供本</w:t>
      </w:r>
      <w:r>
        <w:rPr>
          <w:rFonts w:hint="eastAsia" w:hAnsi="宋体" w:cs="宋体"/>
          <w:sz w:val="24"/>
          <w:lang w:val="en-US" w:eastAsia="zh-CN"/>
        </w:rPr>
        <w:t>采购项目</w:t>
      </w:r>
      <w:r>
        <w:rPr>
          <w:rFonts w:hint="eastAsia" w:ascii="宋体" w:hAnsi="宋体" w:eastAsia="宋体" w:cs="宋体"/>
          <w:sz w:val="24"/>
        </w:rPr>
        <w:t>项下所需的所有设备材料。</w:t>
      </w:r>
      <w:r>
        <w:rPr>
          <w:rFonts w:hint="eastAsia" w:ascii="宋体" w:hAnsi="宋体" w:eastAsia="宋体" w:cs="宋体"/>
          <w:sz w:val="24"/>
          <w:lang w:eastAsia="zh-CN"/>
        </w:rPr>
        <w:t>供货方</w:t>
      </w:r>
      <w:r>
        <w:rPr>
          <w:rFonts w:hint="eastAsia" w:ascii="宋体" w:hAnsi="宋体" w:eastAsia="宋体" w:cs="宋体"/>
          <w:sz w:val="24"/>
        </w:rPr>
        <w:t>提供的设备材料质量应符合有关标准和项目的要求，并能使整个系统配合所在机组在安全、稳定、经济状态下运行，并使其性能达到最佳状态。</w:t>
      </w:r>
    </w:p>
    <w:p>
      <w:pPr>
        <w:spacing w:line="360" w:lineRule="auto"/>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1</w:t>
      </w:r>
      <w:r>
        <w:rPr>
          <w:rFonts w:hint="eastAsia" w:ascii="宋体" w:hAnsi="宋体" w:eastAsia="宋体" w:cs="宋体"/>
          <w:sz w:val="24"/>
        </w:rPr>
        <w:t>.</w:t>
      </w:r>
      <w:r>
        <w:rPr>
          <w:rFonts w:hint="eastAsia" w:hAnsi="宋体" w:cs="宋体"/>
          <w:sz w:val="24"/>
          <w:lang w:val="en-US" w:eastAsia="zh-CN"/>
        </w:rPr>
        <w:t>2</w:t>
      </w:r>
      <w:r>
        <w:rPr>
          <w:rFonts w:hint="eastAsia" w:ascii="宋体" w:hAnsi="宋体" w:eastAsia="宋体" w:cs="宋体"/>
          <w:sz w:val="24"/>
        </w:rPr>
        <w:t xml:space="preserve"> 试验、调试及竣工验收</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应包括改造工程系统各部分设备的调试，并对系统进行分部试运转及整套启动调试。</w:t>
      </w:r>
      <w:r>
        <w:rPr>
          <w:rFonts w:hint="eastAsia" w:ascii="宋体" w:hAnsi="宋体" w:eastAsia="宋体" w:cs="宋体"/>
          <w:sz w:val="24"/>
          <w:lang w:eastAsia="zh-CN"/>
        </w:rPr>
        <w:t>供货方</w:t>
      </w:r>
      <w:r>
        <w:rPr>
          <w:rFonts w:hint="eastAsia" w:ascii="宋体" w:hAnsi="宋体" w:eastAsia="宋体" w:cs="宋体"/>
          <w:sz w:val="24"/>
        </w:rPr>
        <w:t>还应按照本合同的规定参加</w:t>
      </w:r>
      <w:r>
        <w:rPr>
          <w:rFonts w:hint="eastAsia" w:hAnsi="宋体" w:cs="宋体"/>
          <w:sz w:val="24"/>
          <w:lang w:eastAsia="zh-CN"/>
        </w:rPr>
        <w:t>需方</w:t>
      </w:r>
      <w:r>
        <w:rPr>
          <w:rFonts w:hint="eastAsia" w:ascii="宋体" w:hAnsi="宋体" w:eastAsia="宋体" w:cs="宋体"/>
          <w:sz w:val="24"/>
        </w:rPr>
        <w:t>组织的对系统进行性能验收试验。</w:t>
      </w:r>
    </w:p>
    <w:p>
      <w:pPr>
        <w:spacing w:line="360" w:lineRule="auto"/>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1</w:t>
      </w:r>
      <w:r>
        <w:rPr>
          <w:rFonts w:hint="eastAsia" w:ascii="宋体" w:hAnsi="宋体" w:eastAsia="宋体" w:cs="宋体"/>
          <w:sz w:val="24"/>
        </w:rPr>
        <w:t>.</w:t>
      </w:r>
      <w:r>
        <w:rPr>
          <w:rFonts w:hint="eastAsia" w:hAnsi="宋体" w:cs="宋体"/>
          <w:sz w:val="24"/>
          <w:lang w:val="en-US" w:eastAsia="zh-CN"/>
        </w:rPr>
        <w:t>3</w:t>
      </w:r>
      <w:r>
        <w:rPr>
          <w:rFonts w:hint="eastAsia" w:ascii="宋体" w:hAnsi="宋体" w:eastAsia="宋体" w:cs="宋体"/>
          <w:sz w:val="24"/>
        </w:rPr>
        <w:t xml:space="preserve"> 培训工作范围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eastAsia="zh-CN"/>
        </w:rPr>
        <w:t>供货方</w:t>
      </w:r>
      <w:r>
        <w:rPr>
          <w:rFonts w:hint="eastAsia" w:ascii="宋体" w:hAnsi="宋体" w:eastAsia="宋体" w:cs="宋体"/>
          <w:sz w:val="24"/>
        </w:rPr>
        <w:t>应对</w:t>
      </w:r>
      <w:r>
        <w:rPr>
          <w:rFonts w:hint="eastAsia" w:hAnsi="宋体" w:cs="宋体"/>
          <w:sz w:val="24"/>
          <w:lang w:val="en-US" w:eastAsia="zh-CN"/>
        </w:rPr>
        <w:t>业主</w:t>
      </w:r>
      <w:r>
        <w:rPr>
          <w:rFonts w:hint="eastAsia" w:ascii="宋体" w:hAnsi="宋体" w:eastAsia="宋体" w:cs="宋体"/>
          <w:sz w:val="24"/>
        </w:rPr>
        <w:t>安排的运行维护人员进行培训。该类培训是能使运行维护人员对机组的有关运行维护各方面有全面的了解和学习。同时，</w:t>
      </w:r>
      <w:r>
        <w:rPr>
          <w:rFonts w:hint="eastAsia" w:ascii="宋体" w:hAnsi="宋体" w:eastAsia="宋体" w:cs="宋体"/>
          <w:sz w:val="24"/>
          <w:lang w:eastAsia="zh-CN"/>
        </w:rPr>
        <w:t>供货方</w:t>
      </w:r>
      <w:r>
        <w:rPr>
          <w:rFonts w:hint="eastAsia" w:ascii="宋体" w:hAnsi="宋体" w:eastAsia="宋体" w:cs="宋体"/>
          <w:sz w:val="24"/>
        </w:rPr>
        <w:t>应提供足够数量的培训资料。</w:t>
      </w:r>
    </w:p>
    <w:p>
      <w:pPr>
        <w:spacing w:line="360" w:lineRule="auto"/>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1</w:t>
      </w:r>
      <w:r>
        <w:rPr>
          <w:rFonts w:hint="eastAsia" w:ascii="宋体" w:hAnsi="宋体" w:eastAsia="宋体" w:cs="宋体"/>
          <w:sz w:val="24"/>
        </w:rPr>
        <w:t>.</w:t>
      </w:r>
      <w:r>
        <w:rPr>
          <w:rFonts w:hint="eastAsia" w:hAnsi="宋体" w:cs="宋体"/>
          <w:sz w:val="24"/>
          <w:lang w:val="en-US" w:eastAsia="zh-CN"/>
        </w:rPr>
        <w:t>4</w:t>
      </w:r>
      <w:r>
        <w:rPr>
          <w:rFonts w:hint="eastAsia" w:ascii="宋体" w:hAnsi="宋体" w:eastAsia="宋体" w:cs="宋体"/>
          <w:sz w:val="24"/>
        </w:rPr>
        <w:t xml:space="preserve"> 保修工作范围</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lang w:val="en-US" w:eastAsia="zh-CN"/>
        </w:rPr>
        <w:t>供货方所供所有设备</w:t>
      </w:r>
      <w:r>
        <w:rPr>
          <w:rFonts w:hint="eastAsia" w:ascii="宋体" w:hAnsi="宋体" w:eastAsia="宋体" w:cs="宋体"/>
          <w:sz w:val="24"/>
          <w:szCs w:val="24"/>
        </w:rPr>
        <w:t>免费质保期不少于</w:t>
      </w:r>
      <w:r>
        <w:rPr>
          <w:rFonts w:hint="eastAsia" w:hAnsi="宋体" w:cs="宋体"/>
          <w:sz w:val="24"/>
          <w:szCs w:val="24"/>
          <w:lang w:val="en-US" w:eastAsia="zh-CN"/>
        </w:rPr>
        <w:t>1</w:t>
      </w:r>
      <w:r>
        <w:rPr>
          <w:rFonts w:hint="eastAsia" w:ascii="宋体" w:hAnsi="宋体" w:eastAsia="宋体" w:cs="宋体"/>
          <w:sz w:val="24"/>
          <w:szCs w:val="24"/>
        </w:rPr>
        <w:t>年(以</w:t>
      </w:r>
      <w:r>
        <w:rPr>
          <w:rFonts w:hint="eastAsia" w:ascii="宋体" w:hAnsi="宋体" w:eastAsia="宋体" w:cs="宋体"/>
          <w:sz w:val="24"/>
          <w:szCs w:val="24"/>
          <w:lang w:val="en-US" w:eastAsia="zh-CN"/>
        </w:rPr>
        <w:t>需方EPC</w:t>
      </w:r>
      <w:r>
        <w:rPr>
          <w:rFonts w:hint="eastAsia" w:ascii="宋体" w:hAnsi="宋体" w:eastAsia="宋体" w:cs="宋体"/>
          <w:sz w:val="24"/>
          <w:szCs w:val="24"/>
        </w:rPr>
        <w:t>项目竣工验收合格之日起计算质保期)，并提供一份完整的设备维护清单，清楚地列出维保内容及维保周期，并提供质保期满后的例行维护内容及收费情况。请明确接报故障后的具体响应时间。</w:t>
      </w:r>
    </w:p>
    <w:p>
      <w:pPr>
        <w:spacing w:line="360" w:lineRule="auto"/>
        <w:ind w:firstLine="420"/>
        <w:rPr>
          <w:rFonts w:hint="eastAsia" w:ascii="宋体" w:hAnsi="宋体" w:eastAsia="宋体" w:cs="宋体"/>
          <w:sz w:val="24"/>
        </w:rPr>
      </w:pPr>
      <w:r>
        <w:rPr>
          <w:rFonts w:hint="eastAsia" w:ascii="宋体" w:hAnsi="宋体" w:eastAsia="宋体" w:cs="宋体"/>
          <w:sz w:val="24"/>
          <w:szCs w:val="24"/>
        </w:rPr>
        <w:t>在质保期期间，中标人应提供正常的保养服务，因产品制造质量不良而产生损坏和不能正常工作，中标人应提供免费维修服务，如需更换配件，需免费提供。</w:t>
      </w:r>
    </w:p>
    <w:p>
      <w:pPr>
        <w:spacing w:line="360" w:lineRule="auto"/>
        <w:rPr>
          <w:rFonts w:hint="eastAsia" w:ascii="宋体" w:hAnsi="宋体" w:eastAsia="宋体" w:cs="宋体"/>
          <w:b/>
          <w:bCs/>
          <w:sz w:val="24"/>
        </w:rPr>
      </w:pPr>
      <w:r>
        <w:rPr>
          <w:rFonts w:hint="eastAsia" w:ascii="宋体" w:hAnsi="宋体" w:eastAsia="宋体" w:cs="宋体"/>
          <w:b/>
          <w:bCs/>
          <w:sz w:val="24"/>
        </w:rPr>
        <w:t>2.</w:t>
      </w:r>
      <w:r>
        <w:rPr>
          <w:rFonts w:hint="eastAsia" w:hAnsi="宋体" w:cs="宋体"/>
          <w:b/>
          <w:bCs/>
          <w:sz w:val="24"/>
          <w:lang w:val="en-US" w:eastAsia="zh-CN"/>
        </w:rPr>
        <w:t>2</w:t>
      </w:r>
      <w:r>
        <w:rPr>
          <w:rFonts w:hint="eastAsia" w:ascii="宋体" w:hAnsi="宋体" w:eastAsia="宋体" w:cs="宋体"/>
          <w:b/>
          <w:bCs/>
          <w:sz w:val="24"/>
        </w:rPr>
        <w:t xml:space="preserve"> 供货方的工作范围</w:t>
      </w:r>
    </w:p>
    <w:p>
      <w:pPr>
        <w:spacing w:line="360" w:lineRule="auto"/>
        <w:rPr>
          <w:rFonts w:hint="eastAsia" w:ascii="宋体" w:hAnsi="宋体" w:eastAsia="宋体" w:cs="宋体"/>
          <w:sz w:val="24"/>
        </w:rPr>
      </w:pPr>
      <w:r>
        <w:rPr>
          <w:rFonts w:hint="eastAsia" w:ascii="宋体" w:hAnsi="宋体" w:eastAsia="宋体" w:cs="宋体"/>
          <w:sz w:val="24"/>
        </w:rPr>
        <w:t>2.</w:t>
      </w:r>
      <w:r>
        <w:rPr>
          <w:rFonts w:hint="eastAsia" w:hAnsi="宋体" w:cs="宋体"/>
          <w:sz w:val="24"/>
          <w:lang w:val="en-US" w:eastAsia="zh-CN"/>
        </w:rPr>
        <w:t>2</w:t>
      </w:r>
      <w:r>
        <w:rPr>
          <w:rFonts w:hint="eastAsia" w:ascii="宋体" w:hAnsi="宋体" w:eastAsia="宋体" w:cs="宋体"/>
          <w:sz w:val="24"/>
        </w:rPr>
        <w:t>.1  供货方</w:t>
      </w:r>
      <w:r>
        <w:rPr>
          <w:rFonts w:hint="eastAsia" w:ascii="宋体" w:hAnsi="宋体" w:eastAsia="宋体" w:cs="宋体"/>
          <w:sz w:val="24"/>
          <w:lang w:val="en-US" w:eastAsia="zh-CN"/>
        </w:rPr>
        <w:t>需</w:t>
      </w:r>
      <w:r>
        <w:rPr>
          <w:rFonts w:hint="eastAsia" w:ascii="宋体" w:hAnsi="宋体" w:eastAsia="宋体" w:cs="宋体"/>
          <w:sz w:val="24"/>
        </w:rPr>
        <w:t>负责所供</w:t>
      </w:r>
      <w:r>
        <w:rPr>
          <w:rFonts w:hint="eastAsia" w:ascii="宋体" w:hAnsi="宋体" w:eastAsia="宋体" w:cs="宋体"/>
          <w:sz w:val="24"/>
          <w:lang w:val="en-US" w:eastAsia="zh-CN"/>
        </w:rPr>
        <w:t>华能山东发电有限公司众泰电厂1、2号机组脱硝升级改造工程电缆及电气元件和仪表采购项目的</w:t>
      </w:r>
      <w:r>
        <w:rPr>
          <w:rFonts w:hint="eastAsia" w:ascii="宋体" w:hAnsi="宋体" w:eastAsia="宋体" w:cs="宋体"/>
          <w:sz w:val="24"/>
        </w:rPr>
        <w:t>设计、制造、供应、检验、试验、发送工作，以确保所供设备安全、可靠和有效运行。</w:t>
      </w:r>
    </w:p>
    <w:p>
      <w:pPr>
        <w:spacing w:line="360" w:lineRule="auto"/>
        <w:rPr>
          <w:rFonts w:hint="eastAsia" w:ascii="宋体" w:hAnsi="宋体" w:eastAsia="宋体" w:cs="宋体"/>
          <w:sz w:val="24"/>
        </w:rPr>
      </w:pPr>
      <w:r>
        <w:rPr>
          <w:rFonts w:hint="eastAsia" w:ascii="宋体" w:hAnsi="宋体" w:eastAsia="宋体" w:cs="宋体"/>
          <w:sz w:val="24"/>
        </w:rPr>
        <w:t>2.</w:t>
      </w:r>
      <w:r>
        <w:rPr>
          <w:rFonts w:hint="eastAsia" w:hAnsi="宋体" w:cs="宋体"/>
          <w:sz w:val="24"/>
          <w:lang w:val="en-US" w:eastAsia="zh-CN"/>
        </w:rPr>
        <w:t>2</w:t>
      </w:r>
      <w:r>
        <w:rPr>
          <w:rFonts w:hint="eastAsia" w:ascii="宋体" w:hAnsi="宋体" w:eastAsia="宋体" w:cs="宋体"/>
          <w:sz w:val="24"/>
        </w:rPr>
        <w:t>.</w:t>
      </w:r>
      <w:r>
        <w:rPr>
          <w:rFonts w:hint="eastAsia" w:hAnsi="宋体" w:cs="宋体"/>
          <w:sz w:val="24"/>
          <w:lang w:val="en-US" w:eastAsia="zh-CN"/>
        </w:rPr>
        <w:t>2</w:t>
      </w:r>
      <w:r>
        <w:rPr>
          <w:rFonts w:hint="eastAsia" w:ascii="宋体" w:hAnsi="宋体" w:eastAsia="宋体" w:cs="宋体"/>
          <w:sz w:val="24"/>
        </w:rPr>
        <w:t xml:space="preserve">  所有与</w:t>
      </w:r>
      <w:r>
        <w:rPr>
          <w:rFonts w:hint="eastAsia" w:ascii="宋体" w:hAnsi="宋体" w:eastAsia="宋体" w:cs="宋体"/>
          <w:sz w:val="24"/>
          <w:lang w:val="en-US" w:eastAsia="zh-CN"/>
        </w:rPr>
        <w:t>业主</w:t>
      </w:r>
      <w:r>
        <w:rPr>
          <w:rFonts w:hint="eastAsia" w:ascii="宋体" w:hAnsi="宋体" w:eastAsia="宋体" w:cs="宋体"/>
          <w:sz w:val="24"/>
        </w:rPr>
        <w:t>方的接口信号均连接到分析机柜内、就地接线盒或仪表箱、柜的端子排上，分组集中进行现场接线，供货方设计这些接口点的位置，提供与</w:t>
      </w:r>
      <w:r>
        <w:rPr>
          <w:rFonts w:hint="eastAsia" w:ascii="宋体" w:hAnsi="宋体" w:eastAsia="宋体" w:cs="宋体"/>
          <w:sz w:val="24"/>
          <w:lang w:val="en-US" w:eastAsia="zh-CN"/>
        </w:rPr>
        <w:t>业主</w:t>
      </w:r>
      <w:r>
        <w:rPr>
          <w:rFonts w:hint="eastAsia" w:ascii="宋体" w:hAnsi="宋体" w:eastAsia="宋体" w:cs="宋体"/>
          <w:sz w:val="24"/>
        </w:rPr>
        <w:t>方接口的具体要求及技术资料。</w:t>
      </w:r>
    </w:p>
    <w:p>
      <w:pPr>
        <w:spacing w:line="360" w:lineRule="auto"/>
        <w:rPr>
          <w:rFonts w:hint="eastAsia" w:ascii="宋体" w:hAnsi="宋体" w:eastAsia="宋体" w:cs="宋体"/>
          <w:sz w:val="24"/>
        </w:rPr>
      </w:pPr>
      <w:r>
        <w:rPr>
          <w:rFonts w:hint="eastAsia" w:ascii="宋体" w:hAnsi="宋体" w:eastAsia="宋体" w:cs="宋体"/>
          <w:sz w:val="24"/>
        </w:rPr>
        <w:t>2.</w:t>
      </w:r>
      <w:r>
        <w:rPr>
          <w:rFonts w:hint="eastAsia" w:hAnsi="宋体" w:cs="宋体"/>
          <w:sz w:val="24"/>
          <w:lang w:val="en-US" w:eastAsia="zh-CN"/>
        </w:rPr>
        <w:t>2</w:t>
      </w:r>
      <w:r>
        <w:rPr>
          <w:rFonts w:hint="eastAsia" w:ascii="宋体" w:hAnsi="宋体" w:eastAsia="宋体" w:cs="宋体"/>
          <w:sz w:val="24"/>
        </w:rPr>
        <w:t>.</w:t>
      </w:r>
      <w:r>
        <w:rPr>
          <w:rFonts w:hint="eastAsia" w:hAnsi="宋体" w:cs="宋体"/>
          <w:sz w:val="24"/>
          <w:lang w:val="en-US" w:eastAsia="zh-CN"/>
        </w:rPr>
        <w:t>3</w:t>
      </w:r>
      <w:r>
        <w:rPr>
          <w:rFonts w:hint="eastAsia" w:ascii="宋体" w:hAnsi="宋体" w:eastAsia="宋体" w:cs="宋体"/>
          <w:sz w:val="24"/>
        </w:rPr>
        <w:t xml:space="preserve"> 供货方提供完整详细的</w:t>
      </w:r>
      <w:r>
        <w:rPr>
          <w:rFonts w:hint="eastAsia" w:hAnsi="宋体" w:cs="宋体"/>
          <w:sz w:val="24"/>
          <w:lang w:val="en-US" w:eastAsia="zh-CN"/>
        </w:rPr>
        <w:t>电气元件及仪表内</w:t>
      </w:r>
      <w:r>
        <w:rPr>
          <w:rFonts w:hint="eastAsia" w:ascii="宋体" w:hAnsi="宋体" w:eastAsia="宋体" w:cs="宋体"/>
          <w:sz w:val="24"/>
        </w:rPr>
        <w:t>部布置图、原理接线图、梯形图、接线图、逻辑图、仪表清单、输入／输出清单、烟气监测系统机柜及仪表控制设备安装详图，及全部设备安装、调试、运行、维修所需要的详细的技术说明、指导手册及安装图等。</w:t>
      </w:r>
    </w:p>
    <w:p>
      <w:pPr>
        <w:spacing w:line="360" w:lineRule="auto"/>
        <w:rPr>
          <w:rFonts w:hint="eastAsia" w:ascii="宋体" w:hAnsi="宋体" w:eastAsia="宋体" w:cs="宋体"/>
          <w:sz w:val="24"/>
        </w:rPr>
      </w:pPr>
      <w:r>
        <w:rPr>
          <w:rFonts w:hint="eastAsia" w:ascii="宋体" w:hAnsi="宋体" w:eastAsia="宋体" w:cs="宋体"/>
          <w:sz w:val="24"/>
        </w:rPr>
        <w:t>2.</w:t>
      </w:r>
      <w:r>
        <w:rPr>
          <w:rFonts w:hint="eastAsia" w:hAnsi="宋体" w:cs="宋体"/>
          <w:sz w:val="24"/>
          <w:lang w:val="en-US" w:eastAsia="zh-CN"/>
        </w:rPr>
        <w:t>2</w:t>
      </w:r>
      <w:r>
        <w:rPr>
          <w:rFonts w:hint="eastAsia" w:ascii="宋体" w:hAnsi="宋体" w:eastAsia="宋体" w:cs="宋体"/>
          <w:sz w:val="24"/>
        </w:rPr>
        <w:t>.</w:t>
      </w:r>
      <w:r>
        <w:rPr>
          <w:rFonts w:hint="eastAsia" w:hAnsi="宋体" w:cs="宋体"/>
          <w:sz w:val="24"/>
          <w:lang w:val="en-US" w:eastAsia="zh-CN"/>
        </w:rPr>
        <w:t>4</w:t>
      </w:r>
      <w:r>
        <w:rPr>
          <w:rFonts w:hint="eastAsia" w:ascii="宋体" w:hAnsi="宋体" w:eastAsia="宋体" w:cs="宋体"/>
          <w:sz w:val="24"/>
        </w:rPr>
        <w:t xml:space="preserve"> 供货方负责所供</w:t>
      </w:r>
      <w:r>
        <w:rPr>
          <w:rFonts w:hint="eastAsia" w:hAnsi="宋体" w:cs="宋体"/>
          <w:sz w:val="24"/>
          <w:lang w:val="en-US" w:eastAsia="zh-CN"/>
        </w:rPr>
        <w:t>电气元件及仪表</w:t>
      </w:r>
      <w:r>
        <w:rPr>
          <w:rFonts w:hint="eastAsia" w:ascii="宋体" w:hAnsi="宋体" w:eastAsia="宋体" w:cs="宋体"/>
          <w:sz w:val="24"/>
        </w:rPr>
        <w:t>的</w:t>
      </w:r>
      <w:r>
        <w:rPr>
          <w:rFonts w:hint="eastAsia" w:hAnsi="宋体" w:cs="宋体"/>
          <w:sz w:val="24"/>
          <w:lang w:val="en-US" w:eastAsia="zh-CN"/>
        </w:rPr>
        <w:t>技术指导、调试</w:t>
      </w:r>
      <w:r>
        <w:rPr>
          <w:rFonts w:hint="eastAsia" w:ascii="宋体" w:hAnsi="宋体" w:eastAsia="宋体" w:cs="宋体"/>
          <w:sz w:val="24"/>
        </w:rPr>
        <w:t>，并进行示范，直到</w:t>
      </w:r>
      <w:r>
        <w:rPr>
          <w:rFonts w:hint="eastAsia" w:ascii="宋体" w:hAnsi="宋体" w:eastAsia="宋体" w:cs="宋体"/>
          <w:sz w:val="24"/>
          <w:lang w:val="en-US" w:eastAsia="zh-CN"/>
        </w:rPr>
        <w:t>业主</w:t>
      </w:r>
      <w:r>
        <w:rPr>
          <w:rFonts w:hint="eastAsia" w:ascii="宋体" w:hAnsi="宋体" w:eastAsia="宋体" w:cs="宋体"/>
          <w:sz w:val="24"/>
        </w:rPr>
        <w:t>方满意。另外，供货方提供仪控设备的校验、投运规程及详细说明等文件以供</w:t>
      </w:r>
      <w:r>
        <w:rPr>
          <w:rFonts w:hint="eastAsia" w:ascii="宋体" w:hAnsi="宋体" w:eastAsia="宋体" w:cs="宋体"/>
          <w:sz w:val="24"/>
          <w:lang w:val="en-US" w:eastAsia="zh-CN"/>
        </w:rPr>
        <w:t>业主</w:t>
      </w:r>
      <w:r>
        <w:rPr>
          <w:rFonts w:hint="eastAsia" w:ascii="宋体" w:hAnsi="宋体" w:eastAsia="宋体" w:cs="宋体"/>
          <w:sz w:val="24"/>
        </w:rPr>
        <w:t>方使用。</w:t>
      </w:r>
    </w:p>
    <w:p>
      <w:pPr>
        <w:spacing w:line="360" w:lineRule="auto"/>
        <w:rPr>
          <w:rFonts w:hint="eastAsia" w:ascii="宋体" w:hAnsi="宋体" w:eastAsia="宋体" w:cs="宋体"/>
          <w:sz w:val="24"/>
        </w:rPr>
      </w:pPr>
      <w:r>
        <w:rPr>
          <w:rFonts w:hint="eastAsia" w:ascii="宋体" w:hAnsi="宋体" w:eastAsia="宋体" w:cs="宋体"/>
          <w:sz w:val="24"/>
        </w:rPr>
        <w:t>2.</w:t>
      </w:r>
      <w:r>
        <w:rPr>
          <w:rFonts w:hint="eastAsia" w:hAnsi="宋体" w:cs="宋体"/>
          <w:sz w:val="24"/>
          <w:lang w:val="en-US" w:eastAsia="zh-CN"/>
        </w:rPr>
        <w:t>2</w:t>
      </w:r>
      <w:r>
        <w:rPr>
          <w:rFonts w:hint="eastAsia" w:ascii="宋体" w:hAnsi="宋体" w:eastAsia="宋体" w:cs="宋体"/>
          <w:sz w:val="24"/>
        </w:rPr>
        <w:t>.</w:t>
      </w:r>
      <w:r>
        <w:rPr>
          <w:rFonts w:hint="eastAsia" w:hAnsi="宋体" w:cs="宋体"/>
          <w:sz w:val="24"/>
          <w:lang w:val="en-US" w:eastAsia="zh-CN"/>
        </w:rPr>
        <w:t>5</w:t>
      </w:r>
      <w:r>
        <w:rPr>
          <w:rFonts w:hint="eastAsia" w:ascii="宋体" w:hAnsi="宋体" w:eastAsia="宋体" w:cs="宋体"/>
          <w:sz w:val="24"/>
        </w:rPr>
        <w:t xml:space="preserve"> 利用</w:t>
      </w:r>
      <w:r>
        <w:rPr>
          <w:rFonts w:hint="eastAsia" w:ascii="宋体" w:hAnsi="宋体" w:eastAsia="宋体" w:cs="宋体"/>
          <w:sz w:val="24"/>
          <w:lang w:val="en-US" w:eastAsia="zh-CN"/>
        </w:rPr>
        <w:t>供货</w:t>
      </w:r>
      <w:r>
        <w:rPr>
          <w:rFonts w:hint="eastAsia" w:ascii="宋体" w:hAnsi="宋体" w:eastAsia="宋体" w:cs="宋体"/>
          <w:sz w:val="24"/>
        </w:rPr>
        <w:t>方的设施，对</w:t>
      </w:r>
      <w:r>
        <w:rPr>
          <w:rFonts w:hint="eastAsia" w:ascii="宋体" w:hAnsi="宋体" w:eastAsia="宋体" w:cs="宋体"/>
          <w:sz w:val="24"/>
          <w:lang w:val="en-US" w:eastAsia="zh-CN"/>
        </w:rPr>
        <w:t>业主</w:t>
      </w:r>
      <w:r>
        <w:rPr>
          <w:rFonts w:hint="eastAsia" w:ascii="宋体" w:hAnsi="宋体" w:eastAsia="宋体" w:cs="宋体"/>
          <w:sz w:val="24"/>
        </w:rPr>
        <w:t>方的人员就以微处理机为基础的控制系统及其它I&amp;C设备进行</w:t>
      </w:r>
      <w:r>
        <w:rPr>
          <w:rFonts w:hint="eastAsia" w:hAnsi="宋体" w:cs="宋体"/>
          <w:sz w:val="24"/>
          <w:lang w:val="en-US" w:eastAsia="zh-CN"/>
        </w:rPr>
        <w:t>技术指导</w:t>
      </w:r>
      <w:r>
        <w:rPr>
          <w:rFonts w:hint="eastAsia" w:ascii="宋体" w:hAnsi="宋体" w:eastAsia="宋体" w:cs="宋体"/>
          <w:sz w:val="24"/>
        </w:rPr>
        <w:t>、调试、运行操作培训。</w:t>
      </w:r>
    </w:p>
    <w:p>
      <w:pPr>
        <w:spacing w:line="360" w:lineRule="auto"/>
        <w:rPr>
          <w:rFonts w:hint="eastAsia" w:ascii="宋体" w:hAnsi="宋体" w:eastAsia="宋体" w:cs="宋体"/>
          <w:sz w:val="24"/>
        </w:rPr>
      </w:pPr>
      <w:r>
        <w:rPr>
          <w:rFonts w:hint="eastAsia" w:ascii="宋体" w:hAnsi="宋体" w:eastAsia="宋体" w:cs="宋体"/>
          <w:sz w:val="24"/>
        </w:rPr>
        <w:t>2.</w:t>
      </w:r>
      <w:r>
        <w:rPr>
          <w:rFonts w:hint="eastAsia" w:hAnsi="宋体" w:cs="宋体"/>
          <w:sz w:val="24"/>
          <w:lang w:val="en-US" w:eastAsia="zh-CN"/>
        </w:rPr>
        <w:t>2</w:t>
      </w:r>
      <w:r>
        <w:rPr>
          <w:rFonts w:hint="eastAsia" w:ascii="宋体" w:hAnsi="宋体" w:eastAsia="宋体" w:cs="宋体"/>
          <w:sz w:val="24"/>
        </w:rPr>
        <w:t>.</w:t>
      </w:r>
      <w:r>
        <w:rPr>
          <w:rFonts w:hint="eastAsia" w:hAnsi="宋体" w:cs="宋体"/>
          <w:sz w:val="24"/>
          <w:lang w:val="en-US" w:eastAsia="zh-CN"/>
        </w:rPr>
        <w:t>6</w:t>
      </w:r>
      <w:r>
        <w:rPr>
          <w:rFonts w:hint="eastAsia" w:ascii="宋体" w:hAnsi="宋体" w:eastAsia="宋体" w:cs="宋体"/>
          <w:sz w:val="24"/>
        </w:rPr>
        <w:t xml:space="preserve"> 供货方承诺</w:t>
      </w:r>
      <w:r>
        <w:rPr>
          <w:rFonts w:hint="eastAsia" w:hAnsi="宋体" w:cs="宋体"/>
          <w:sz w:val="24"/>
          <w:lang w:val="en-US" w:eastAsia="zh-CN"/>
        </w:rPr>
        <w:t>电气元件及仪表</w:t>
      </w:r>
      <w:r>
        <w:rPr>
          <w:rFonts w:hint="eastAsia" w:ascii="宋体" w:hAnsi="宋体" w:eastAsia="宋体" w:cs="宋体"/>
          <w:sz w:val="24"/>
        </w:rPr>
        <w:t>及其附件现场安装、调试、检测过程中，如需外方专家技术服务时，供货方将聘请有经验的外方专家现场服务。</w:t>
      </w:r>
    </w:p>
    <w:p>
      <w:pPr>
        <w:spacing w:line="360" w:lineRule="auto"/>
        <w:rPr>
          <w:rFonts w:hint="eastAsia" w:ascii="宋体" w:hAnsi="宋体" w:eastAsia="宋体" w:cs="宋体"/>
          <w:sz w:val="24"/>
        </w:rPr>
      </w:pPr>
      <w:r>
        <w:rPr>
          <w:rFonts w:hint="eastAsia" w:ascii="宋体" w:hAnsi="宋体" w:eastAsia="宋体" w:cs="宋体"/>
          <w:sz w:val="24"/>
        </w:rPr>
        <w:t>2.</w:t>
      </w:r>
      <w:r>
        <w:rPr>
          <w:rFonts w:hint="eastAsia" w:hAnsi="宋体" w:cs="宋体"/>
          <w:sz w:val="24"/>
          <w:lang w:val="en-US" w:eastAsia="zh-CN"/>
        </w:rPr>
        <w:t>2</w:t>
      </w:r>
      <w:r>
        <w:rPr>
          <w:rFonts w:hint="eastAsia" w:ascii="宋体" w:hAnsi="宋体" w:eastAsia="宋体" w:cs="宋体"/>
          <w:sz w:val="24"/>
        </w:rPr>
        <w:t>.</w:t>
      </w:r>
      <w:r>
        <w:rPr>
          <w:rFonts w:hint="eastAsia" w:hAnsi="宋体" w:cs="宋体"/>
          <w:sz w:val="24"/>
          <w:lang w:val="en-US" w:eastAsia="zh-CN"/>
        </w:rPr>
        <w:t>7</w:t>
      </w:r>
      <w:r>
        <w:rPr>
          <w:rFonts w:hint="eastAsia" w:ascii="宋体" w:hAnsi="宋体" w:eastAsia="宋体" w:cs="宋体"/>
          <w:sz w:val="24"/>
        </w:rPr>
        <w:t xml:space="preserve"> 供货方承诺所供所有仪表和探头接口满足</w:t>
      </w:r>
      <w:r>
        <w:rPr>
          <w:rFonts w:hint="eastAsia" w:hAnsi="宋体" w:cs="宋体"/>
          <w:sz w:val="24"/>
          <w:lang w:val="en-US" w:eastAsia="zh-CN"/>
        </w:rPr>
        <w:t>业主</w:t>
      </w:r>
      <w:r>
        <w:rPr>
          <w:rFonts w:hint="eastAsia" w:ascii="宋体" w:hAnsi="宋体" w:eastAsia="宋体" w:cs="宋体"/>
          <w:sz w:val="24"/>
        </w:rPr>
        <w:t>现场预留接口的型式规范的要求。</w:t>
      </w:r>
    </w:p>
    <w:p>
      <w:pPr>
        <w:spacing w:line="360" w:lineRule="auto"/>
        <w:rPr>
          <w:rFonts w:hint="default" w:ascii="宋体" w:hAnsi="宋体" w:eastAsia="宋体" w:cs="宋体"/>
          <w:sz w:val="24"/>
          <w:lang w:val="en-US" w:eastAsia="zh-CN"/>
        </w:rPr>
      </w:pPr>
      <w:r>
        <w:rPr>
          <w:rFonts w:hint="eastAsia" w:hAnsi="宋体" w:cs="宋体"/>
          <w:sz w:val="24"/>
          <w:lang w:val="en-US" w:eastAsia="zh-CN"/>
        </w:rPr>
        <w:t>2.2.8 烟气流量测量采用矩阵式差压测量，选用南京苏鲁源、济南贝腾或同等技术标准和性能品牌。</w:t>
      </w:r>
    </w:p>
    <w:p>
      <w:pPr>
        <w:spacing w:line="360" w:lineRule="auto"/>
        <w:rPr>
          <w:rFonts w:hint="eastAsia" w:ascii="宋体" w:hAnsi="宋体" w:eastAsia="宋体" w:cs="宋体"/>
          <w:sz w:val="24"/>
        </w:rPr>
      </w:pPr>
      <w:r>
        <w:rPr>
          <w:rFonts w:hint="eastAsia" w:hAnsi="宋体" w:cs="宋体"/>
          <w:sz w:val="24"/>
          <w:lang w:val="en-US" w:eastAsia="zh-CN"/>
        </w:rPr>
        <w:t>2.2.9</w:t>
      </w:r>
      <w:r>
        <w:rPr>
          <w:rFonts w:hint="eastAsia" w:ascii="宋体" w:hAnsi="宋体" w:eastAsia="宋体" w:cs="宋体"/>
          <w:sz w:val="24"/>
        </w:rPr>
        <w:t>电动调节阀均具有4～20mA的位置反馈信号。用于二位控制（ON-OFF）的阀门开关方向各应装设四开四闭位置限位开关和足够的力矩开关、现场/远程指示，接点容量为220VAC，3A或220VDC，1A。电源电压在额定电压的80%~110%之间波动时，执行机构应能正常工作。各种电动阀门配套智能一体化电动执行机构，智能一体化电动执行机构接受开、关无源干接点指令信号，并提供4~20mA阀门反馈信号。当电源等故障时，电动装置送出报警信号。电动执行器的配电由承包人设计、供货，承包人的配电柜提供电源：380VAC三相五线。室内布置的电动装置防护等级不低于IP54，室外布置的电动装置防护等级不低于IP56。接线盒防护等级不低于IP65。热风再循环系统电动执行机构选用与现场品牌一致的苏州博睿智能一体化产品或同等技术标准和性能品牌。</w:t>
      </w:r>
    </w:p>
    <w:p>
      <w:pPr>
        <w:spacing w:line="360" w:lineRule="auto"/>
        <w:jc w:val="left"/>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2.</w:t>
      </w:r>
      <w:r>
        <w:rPr>
          <w:rFonts w:hint="eastAsia" w:hAnsi="宋体" w:cs="宋体"/>
          <w:b/>
          <w:sz w:val="24"/>
          <w:szCs w:val="24"/>
          <w:lang w:val="en-US" w:eastAsia="zh-CN"/>
        </w:rPr>
        <w:t>3</w:t>
      </w:r>
      <w:r>
        <w:rPr>
          <w:rFonts w:hint="eastAsia" w:ascii="宋体" w:hAnsi="宋体" w:eastAsia="宋体" w:cs="宋体"/>
          <w:b/>
          <w:sz w:val="24"/>
          <w:szCs w:val="24"/>
          <w:lang w:val="en-US" w:eastAsia="zh-CN"/>
        </w:rPr>
        <w:t>技术文件</w:t>
      </w:r>
    </w:p>
    <w:p>
      <w:pPr>
        <w:spacing w:line="360" w:lineRule="auto"/>
        <w:ind w:firstLine="420"/>
        <w:jc w:val="left"/>
        <w:rPr>
          <w:rFonts w:hint="eastAsia" w:ascii="宋体" w:hAnsi="宋体" w:eastAsia="宋体" w:cs="宋体"/>
          <w:bCs/>
          <w:sz w:val="24"/>
          <w:szCs w:val="24"/>
        </w:rPr>
      </w:pPr>
      <w:r>
        <w:rPr>
          <w:rFonts w:hint="eastAsia" w:ascii="宋体" w:hAnsi="宋体" w:eastAsia="宋体" w:cs="宋体"/>
          <w:bCs/>
          <w:sz w:val="24"/>
          <w:szCs w:val="24"/>
          <w:lang w:eastAsia="zh-CN"/>
        </w:rPr>
        <w:t>供货方</w:t>
      </w:r>
      <w:r>
        <w:rPr>
          <w:rFonts w:hint="eastAsia" w:ascii="宋体" w:hAnsi="宋体" w:eastAsia="宋体" w:cs="宋体"/>
          <w:bCs/>
          <w:sz w:val="24"/>
          <w:szCs w:val="24"/>
        </w:rPr>
        <w:t>提供的技术文件及图纸应能满足电厂总体设计、设备安装、现场调试运行和维护的需要。如果不能满足，需方有权提出补充要求，</w:t>
      </w:r>
      <w:r>
        <w:rPr>
          <w:rFonts w:hint="eastAsia" w:ascii="宋体" w:hAnsi="宋体" w:eastAsia="宋体" w:cs="宋体"/>
          <w:bCs/>
          <w:sz w:val="24"/>
          <w:szCs w:val="24"/>
          <w:lang w:eastAsia="zh-CN"/>
        </w:rPr>
        <w:t>供货方</w:t>
      </w:r>
      <w:r>
        <w:rPr>
          <w:rFonts w:hint="eastAsia" w:ascii="宋体" w:hAnsi="宋体" w:eastAsia="宋体" w:cs="宋体"/>
          <w:bCs/>
          <w:sz w:val="24"/>
          <w:szCs w:val="24"/>
        </w:rPr>
        <w:t>无偿提供所需要的补充技术资料。</w:t>
      </w:r>
    </w:p>
    <w:p>
      <w:pPr>
        <w:spacing w:line="360" w:lineRule="auto"/>
        <w:ind w:firstLine="420"/>
        <w:jc w:val="left"/>
        <w:rPr>
          <w:rFonts w:hint="eastAsia" w:ascii="宋体" w:hAnsi="宋体" w:eastAsia="宋体" w:cs="宋体"/>
          <w:bCs/>
          <w:sz w:val="24"/>
          <w:szCs w:val="24"/>
        </w:rPr>
      </w:pPr>
      <w:r>
        <w:rPr>
          <w:rFonts w:hint="eastAsia" w:ascii="宋体" w:hAnsi="宋体" w:eastAsia="宋体" w:cs="宋体"/>
          <w:color w:val="000000"/>
          <w:sz w:val="24"/>
          <w:szCs w:val="24"/>
        </w:rPr>
        <w:t>提供完整的设备配件表及原厂建议的备用配件表。</w:t>
      </w:r>
    </w:p>
    <w:p>
      <w:pPr>
        <w:spacing w:line="360" w:lineRule="auto"/>
        <w:ind w:firstLine="420"/>
        <w:jc w:val="left"/>
        <w:rPr>
          <w:rFonts w:hint="eastAsia" w:ascii="宋体" w:hAnsi="宋体" w:eastAsia="宋体" w:cs="宋体"/>
          <w:bCs/>
          <w:sz w:val="24"/>
          <w:szCs w:val="24"/>
        </w:rPr>
      </w:pPr>
      <w:r>
        <w:rPr>
          <w:rFonts w:hint="eastAsia" w:ascii="宋体" w:hAnsi="宋体" w:eastAsia="宋体" w:cs="宋体"/>
          <w:bCs/>
          <w:sz w:val="24"/>
          <w:szCs w:val="24"/>
          <w:lang w:eastAsia="zh-CN"/>
        </w:rPr>
        <w:t>供货方</w:t>
      </w:r>
      <w:r>
        <w:rPr>
          <w:rFonts w:hint="eastAsia" w:ascii="宋体" w:hAnsi="宋体" w:eastAsia="宋体" w:cs="宋体"/>
          <w:bCs/>
          <w:sz w:val="24"/>
          <w:szCs w:val="24"/>
        </w:rPr>
        <w:t>应在开始制造之日以前，向需方提供一份准备正式使用的规程、规范和标准的目录清单。</w:t>
      </w:r>
    </w:p>
    <w:p>
      <w:pPr>
        <w:spacing w:line="360" w:lineRule="auto"/>
        <w:ind w:firstLine="420"/>
        <w:jc w:val="left"/>
        <w:rPr>
          <w:rFonts w:hint="eastAsia" w:ascii="宋体" w:hAnsi="宋体" w:eastAsia="宋体" w:cs="宋体"/>
          <w:bCs/>
          <w:sz w:val="24"/>
          <w:szCs w:val="24"/>
        </w:rPr>
      </w:pPr>
      <w:r>
        <w:rPr>
          <w:rFonts w:hint="eastAsia" w:ascii="宋体" w:hAnsi="宋体" w:eastAsia="宋体" w:cs="宋体"/>
          <w:bCs/>
          <w:sz w:val="24"/>
          <w:szCs w:val="24"/>
        </w:rPr>
        <w:t>装箱资料的内容，应满足设备在现场的安装、调试、验收、运行、维护和检修的需要。</w:t>
      </w:r>
    </w:p>
    <w:p>
      <w:pPr>
        <w:spacing w:line="360" w:lineRule="auto"/>
        <w:ind w:firstLine="420"/>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供货方提供的资料和图纸使用中国法定计量单位，且以中文为准。外方提供的图纸和资料需翻译成中文，随同原文一并提交。图纸与文本资料除提供书面文件外，还需提供电子版。</w:t>
      </w:r>
    </w:p>
    <w:p>
      <w:pPr>
        <w:spacing w:line="360" w:lineRule="auto"/>
        <w:ind w:firstLine="420"/>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供货方资料一般可分为配合工程设计阶段、设备监造检验、施工安装、调试试运、试验和运行维护等，提交应及时充分，满足工程进度要求。</w:t>
      </w:r>
    </w:p>
    <w:p>
      <w:pPr>
        <w:spacing w:line="360" w:lineRule="auto"/>
        <w:ind w:firstLine="420"/>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对于其它没有列入合同技术资料清单，确是工程所必需的文件和资料，一经发现，供货方也及时免费提供。</w:t>
      </w:r>
    </w:p>
    <w:p>
      <w:pPr>
        <w:spacing w:line="360" w:lineRule="auto"/>
        <w:ind w:firstLine="420"/>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对于所提交文件和图纸的改变（如升版），供货方必须对修改之处作标记，以便于需方清楚地找到改变之处。</w:t>
      </w:r>
    </w:p>
    <w:p>
      <w:pPr>
        <w:spacing w:line="360" w:lineRule="auto"/>
        <w:ind w:firstLine="420"/>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项目执行过程中，供货方和需方之间的联络文件，如传真、会议纪要等应以需方同意的方式进行编号。</w:t>
      </w:r>
    </w:p>
    <w:p>
      <w:pPr>
        <w:spacing w:line="360" w:lineRule="auto"/>
        <w:ind w:firstLine="420"/>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设备安装完毕后，供货方提供的图纸为终版图。图纸应清晰，不接受缩微复印的图纸。</w:t>
      </w:r>
    </w:p>
    <w:p>
      <w:pPr>
        <w:spacing w:line="360" w:lineRule="auto"/>
        <w:ind w:firstLine="420"/>
        <w:jc w:val="left"/>
        <w:rPr>
          <w:rFonts w:hint="eastAsia" w:ascii="宋体" w:hAnsi="宋体" w:eastAsia="宋体" w:cs="宋体"/>
          <w:sz w:val="24"/>
        </w:rPr>
      </w:pPr>
      <w:r>
        <w:rPr>
          <w:rFonts w:hint="eastAsia" w:ascii="宋体" w:hAnsi="宋体" w:eastAsia="宋体" w:cs="宋体"/>
          <w:bCs/>
          <w:sz w:val="24"/>
          <w:szCs w:val="24"/>
          <w:lang w:val="en-US" w:eastAsia="zh-CN"/>
        </w:rPr>
        <w:t>供货方提供的所有资料（包括图纸）均有本工程专用标识，即盖有图章，修改版资料对修改部分有明显的标识或标注。</w:t>
      </w:r>
    </w:p>
    <w:p>
      <w:pPr>
        <w:spacing w:before="100" w:beforeAutospacing="1" w:after="100" w:afterAutospacing="1" w:line="480" w:lineRule="auto"/>
        <w:rPr>
          <w:rFonts w:hint="default" w:hAnsi="宋体"/>
          <w:b/>
          <w:bCs/>
          <w:sz w:val="28"/>
          <w:lang w:val="en-US" w:eastAsia="zh-CN"/>
        </w:rPr>
      </w:pPr>
      <w:r>
        <w:rPr>
          <w:rFonts w:hint="eastAsia" w:hAnsi="宋体"/>
          <w:b/>
          <w:bCs/>
          <w:sz w:val="28"/>
          <w:lang w:val="en-US" w:eastAsia="zh-CN"/>
        </w:rPr>
        <w:t>3</w:t>
      </w:r>
      <w:r>
        <w:rPr>
          <w:rFonts w:hint="default" w:hAnsi="宋体"/>
          <w:b/>
          <w:bCs/>
          <w:sz w:val="28"/>
          <w:lang w:val="en-US" w:eastAsia="zh-CN"/>
        </w:rPr>
        <w:t>设备监造、试验和验收</w:t>
      </w:r>
    </w:p>
    <w:p>
      <w:pPr>
        <w:spacing w:line="360" w:lineRule="auto"/>
        <w:rPr>
          <w:rFonts w:hint="default" w:hAnsi="宋体"/>
          <w:sz w:val="24"/>
          <w:lang w:val="en-US" w:eastAsia="zh-CN"/>
        </w:rPr>
      </w:pPr>
      <w:r>
        <w:rPr>
          <w:rFonts w:hint="eastAsia" w:hAnsi="宋体"/>
          <w:sz w:val="24"/>
          <w:lang w:val="en-US" w:eastAsia="zh-CN"/>
        </w:rPr>
        <w:t>3.1</w:t>
      </w:r>
      <w:r>
        <w:rPr>
          <w:rFonts w:hint="default" w:hAnsi="宋体"/>
          <w:sz w:val="24"/>
          <w:lang w:val="en-US" w:eastAsia="zh-CN"/>
        </w:rPr>
        <w:t>于合同执行期间，对</w:t>
      </w:r>
      <w:r>
        <w:rPr>
          <w:rFonts w:hint="eastAsia" w:hAnsi="宋体"/>
          <w:sz w:val="24"/>
          <w:lang w:val="en-US" w:eastAsia="zh-CN"/>
        </w:rPr>
        <w:t>供货方</w:t>
      </w:r>
      <w:r>
        <w:rPr>
          <w:rFonts w:hint="default" w:hAnsi="宋体"/>
          <w:sz w:val="24"/>
          <w:lang w:val="en-US" w:eastAsia="zh-CN"/>
        </w:rPr>
        <w:t>所提供的设备（包括对分包外购设备）进行检验、调整试验和性能考核试验，确保所供设备符合“技术规范”要求。</w:t>
      </w:r>
    </w:p>
    <w:p>
      <w:pPr>
        <w:spacing w:line="360" w:lineRule="auto"/>
        <w:rPr>
          <w:rFonts w:hint="default" w:hAnsi="宋体"/>
          <w:sz w:val="24"/>
          <w:lang w:val="en-US" w:eastAsia="zh-CN"/>
        </w:rPr>
      </w:pPr>
      <w:r>
        <w:rPr>
          <w:rFonts w:hint="eastAsia" w:hAnsi="宋体"/>
          <w:sz w:val="24"/>
          <w:lang w:val="en-US" w:eastAsia="zh-CN"/>
        </w:rPr>
        <w:t>3.2</w:t>
      </w:r>
      <w:r>
        <w:rPr>
          <w:rFonts w:hint="default" w:hAnsi="宋体"/>
          <w:sz w:val="24"/>
          <w:lang w:val="en-US" w:eastAsia="zh-CN"/>
        </w:rPr>
        <w:t>工厂检验是质量控制的一个重要组成环节。</w:t>
      </w:r>
      <w:r>
        <w:rPr>
          <w:rFonts w:hint="eastAsia" w:hAnsi="宋体"/>
          <w:sz w:val="24"/>
          <w:lang w:val="en-US" w:eastAsia="zh-CN"/>
        </w:rPr>
        <w:t>供货方</w:t>
      </w:r>
      <w:r>
        <w:rPr>
          <w:rFonts w:hint="default" w:hAnsi="宋体"/>
          <w:sz w:val="24"/>
          <w:lang w:val="en-US" w:eastAsia="zh-CN"/>
        </w:rPr>
        <w:t>须严格进行厂内各生产环节的检验和试验。</w:t>
      </w:r>
      <w:r>
        <w:rPr>
          <w:rFonts w:hint="eastAsia" w:hAnsi="宋体"/>
          <w:sz w:val="24"/>
          <w:lang w:val="en-US" w:eastAsia="zh-CN"/>
        </w:rPr>
        <w:t>供货方</w:t>
      </w:r>
      <w:r>
        <w:rPr>
          <w:rFonts w:hint="default" w:hAnsi="宋体"/>
          <w:sz w:val="24"/>
          <w:lang w:val="en-US" w:eastAsia="zh-CN"/>
        </w:rPr>
        <w:t>提供的合同设备必须签发质量证明、检验记录和测试报告等证明材料，并且作为交货时质量证明文件的组成部分。</w:t>
      </w:r>
    </w:p>
    <w:p>
      <w:pPr>
        <w:spacing w:line="360" w:lineRule="auto"/>
        <w:rPr>
          <w:rFonts w:hint="default" w:hAnsi="宋体"/>
          <w:sz w:val="24"/>
          <w:lang w:val="en-US" w:eastAsia="zh-CN"/>
        </w:rPr>
      </w:pPr>
      <w:r>
        <w:rPr>
          <w:rFonts w:hint="eastAsia" w:hAnsi="宋体"/>
          <w:sz w:val="24"/>
          <w:lang w:val="en-US" w:eastAsia="zh-CN"/>
        </w:rPr>
        <w:t>3.3供货方</w:t>
      </w:r>
      <w:r>
        <w:rPr>
          <w:rFonts w:hint="default" w:hAnsi="宋体"/>
          <w:sz w:val="24"/>
          <w:lang w:val="en-US" w:eastAsia="zh-CN"/>
        </w:rPr>
        <w:t>检验的结果要满足相关要求，如有不符之处或达不到标准要求，承包人要采取措施处理直至满足要求，同时向</w:t>
      </w:r>
      <w:r>
        <w:rPr>
          <w:rFonts w:hint="eastAsia" w:hAnsi="宋体"/>
          <w:sz w:val="24"/>
          <w:lang w:val="en-US" w:eastAsia="zh-CN"/>
        </w:rPr>
        <w:t>需方</w:t>
      </w:r>
      <w:r>
        <w:rPr>
          <w:rFonts w:hint="default" w:hAnsi="宋体"/>
          <w:sz w:val="24"/>
          <w:lang w:val="en-US" w:eastAsia="zh-CN"/>
        </w:rPr>
        <w:t>提交不一致性报告。承包人发生重大质量问题时，应及时将情况通知</w:t>
      </w:r>
      <w:r>
        <w:rPr>
          <w:rFonts w:hint="eastAsia" w:hAnsi="宋体"/>
          <w:sz w:val="24"/>
          <w:lang w:val="en-US" w:eastAsia="zh-CN"/>
        </w:rPr>
        <w:t>需方</w:t>
      </w:r>
      <w:r>
        <w:rPr>
          <w:rFonts w:hint="default" w:hAnsi="宋体"/>
          <w:sz w:val="24"/>
          <w:lang w:val="en-US" w:eastAsia="zh-CN"/>
        </w:rPr>
        <w:t>。</w:t>
      </w:r>
    </w:p>
    <w:p>
      <w:pPr>
        <w:spacing w:line="360" w:lineRule="auto"/>
        <w:rPr>
          <w:rFonts w:hint="default" w:hAnsi="宋体"/>
          <w:sz w:val="24"/>
          <w:lang w:val="en-US" w:eastAsia="zh-CN"/>
        </w:rPr>
      </w:pPr>
      <w:r>
        <w:rPr>
          <w:rFonts w:hint="eastAsia" w:hAnsi="宋体"/>
          <w:sz w:val="24"/>
          <w:lang w:val="en-US" w:eastAsia="zh-CN"/>
        </w:rPr>
        <w:t>3.4</w:t>
      </w:r>
      <w:r>
        <w:rPr>
          <w:rFonts w:hint="default" w:hAnsi="宋体"/>
          <w:sz w:val="24"/>
          <w:lang w:val="en-US" w:eastAsia="zh-CN"/>
        </w:rPr>
        <w:t>工厂检验的所有费用包括在合同总价之中。</w:t>
      </w:r>
    </w:p>
    <w:p>
      <w:pPr>
        <w:spacing w:line="360" w:lineRule="auto"/>
        <w:rPr>
          <w:rFonts w:hint="default" w:hAnsi="宋体"/>
          <w:sz w:val="24"/>
          <w:lang w:val="en-US" w:eastAsia="zh-CN"/>
        </w:rPr>
      </w:pPr>
      <w:r>
        <w:rPr>
          <w:rFonts w:hint="eastAsia" w:hAnsi="宋体"/>
          <w:sz w:val="24"/>
          <w:lang w:val="en-US" w:eastAsia="zh-CN"/>
        </w:rPr>
        <w:t>3.5</w:t>
      </w:r>
      <w:r>
        <w:rPr>
          <w:rFonts w:hint="default" w:hAnsi="宋体"/>
          <w:sz w:val="24"/>
          <w:lang w:val="en-US" w:eastAsia="zh-CN"/>
        </w:rPr>
        <w:t>为了便于</w:t>
      </w:r>
      <w:r>
        <w:rPr>
          <w:rFonts w:hint="eastAsia" w:hAnsi="宋体"/>
          <w:sz w:val="24"/>
          <w:lang w:val="en-US" w:eastAsia="zh-CN"/>
        </w:rPr>
        <w:t>需方</w:t>
      </w:r>
      <w:r>
        <w:rPr>
          <w:rFonts w:hint="default" w:hAnsi="宋体"/>
          <w:sz w:val="24"/>
          <w:lang w:val="en-US" w:eastAsia="zh-CN"/>
        </w:rPr>
        <w:t>了解进口配套设备的试验、组装及质量情况，如需要，</w:t>
      </w:r>
      <w:r>
        <w:rPr>
          <w:rFonts w:hint="eastAsia" w:hAnsi="宋体"/>
          <w:sz w:val="24"/>
          <w:lang w:val="en-US" w:eastAsia="zh-CN"/>
        </w:rPr>
        <w:t>供货方</w:t>
      </w:r>
      <w:r>
        <w:rPr>
          <w:rFonts w:hint="default" w:hAnsi="宋体"/>
          <w:sz w:val="24"/>
          <w:lang w:val="en-US" w:eastAsia="zh-CN"/>
        </w:rPr>
        <w:t>有权对进口设备进行独立检验。</w:t>
      </w:r>
    </w:p>
    <w:p>
      <w:pPr>
        <w:spacing w:line="360" w:lineRule="auto"/>
        <w:rPr>
          <w:rFonts w:hint="default" w:hAnsi="宋体"/>
          <w:sz w:val="24"/>
          <w:lang w:val="en-US" w:eastAsia="zh-CN"/>
        </w:rPr>
      </w:pPr>
      <w:r>
        <w:rPr>
          <w:rFonts w:hint="eastAsia" w:hAnsi="宋体"/>
          <w:sz w:val="24"/>
          <w:lang w:val="en-US" w:eastAsia="zh-CN"/>
        </w:rPr>
        <w:t>3</w:t>
      </w:r>
      <w:r>
        <w:rPr>
          <w:rFonts w:hint="default" w:hAnsi="宋体"/>
          <w:sz w:val="24"/>
          <w:lang w:val="en-US" w:eastAsia="zh-CN"/>
        </w:rPr>
        <w:t>.6监造依据：根据本工程签订的合同和华能集团设备监造有关规定，以及国家有关标准规定执行。</w:t>
      </w:r>
    </w:p>
    <w:p>
      <w:pPr>
        <w:spacing w:line="360" w:lineRule="auto"/>
        <w:rPr>
          <w:rFonts w:hint="default" w:hAnsi="宋体"/>
          <w:sz w:val="24"/>
          <w:lang w:val="en-US" w:eastAsia="zh-CN"/>
        </w:rPr>
      </w:pPr>
      <w:r>
        <w:rPr>
          <w:rFonts w:hint="eastAsia" w:hAnsi="宋体"/>
          <w:sz w:val="24"/>
          <w:lang w:val="en-US" w:eastAsia="zh-CN"/>
        </w:rPr>
        <w:t>3</w:t>
      </w:r>
      <w:r>
        <w:rPr>
          <w:rFonts w:hint="default" w:hAnsi="宋体"/>
          <w:sz w:val="24"/>
          <w:lang w:val="en-US" w:eastAsia="zh-CN"/>
        </w:rPr>
        <w:t>.7监造方式</w:t>
      </w:r>
    </w:p>
    <w:p>
      <w:pPr>
        <w:spacing w:line="360" w:lineRule="auto"/>
        <w:ind w:firstLine="480" w:firstLineChars="200"/>
        <w:rPr>
          <w:rFonts w:hint="default" w:hAnsi="宋体"/>
          <w:sz w:val="24"/>
          <w:lang w:val="en-US" w:eastAsia="zh-CN"/>
        </w:rPr>
      </w:pPr>
      <w:r>
        <w:rPr>
          <w:rFonts w:hint="default" w:hAnsi="宋体"/>
          <w:sz w:val="24"/>
          <w:lang w:val="en-US" w:eastAsia="zh-CN"/>
        </w:rPr>
        <w:t>文件见证、现场见证和停工待检，即R点、W点、H点。每次监造内容完成后，</w:t>
      </w:r>
      <w:r>
        <w:rPr>
          <w:rFonts w:hint="eastAsia" w:hAnsi="宋体"/>
          <w:sz w:val="24"/>
          <w:lang w:val="en-US" w:eastAsia="zh-CN"/>
        </w:rPr>
        <w:t>供货方</w:t>
      </w:r>
      <w:r>
        <w:rPr>
          <w:rFonts w:hint="default" w:hAnsi="宋体"/>
          <w:sz w:val="24"/>
          <w:lang w:val="en-US" w:eastAsia="zh-CN"/>
        </w:rPr>
        <w:t>和监造代表均须在见证表上履行签字手续。</w:t>
      </w:r>
      <w:r>
        <w:rPr>
          <w:rFonts w:hint="eastAsia" w:hAnsi="宋体"/>
          <w:sz w:val="24"/>
          <w:lang w:val="en-US" w:eastAsia="zh-CN"/>
        </w:rPr>
        <w:t>供货方</w:t>
      </w:r>
      <w:r>
        <w:rPr>
          <w:rFonts w:hint="default" w:hAnsi="宋体"/>
          <w:sz w:val="24"/>
          <w:lang w:val="en-US" w:eastAsia="zh-CN"/>
        </w:rPr>
        <w:t>复印3份，交监造代表1份。</w:t>
      </w:r>
    </w:p>
    <w:p>
      <w:pPr>
        <w:spacing w:line="360" w:lineRule="auto"/>
        <w:rPr>
          <w:rFonts w:hint="default" w:hAnsi="宋体"/>
          <w:sz w:val="24"/>
          <w:lang w:val="en-US" w:eastAsia="zh-CN"/>
        </w:rPr>
      </w:pPr>
      <w:r>
        <w:rPr>
          <w:rFonts w:hint="eastAsia" w:hAnsi="宋体"/>
          <w:sz w:val="24"/>
          <w:lang w:val="en-US" w:eastAsia="zh-CN"/>
        </w:rPr>
        <w:t>3</w:t>
      </w:r>
      <w:r>
        <w:rPr>
          <w:rFonts w:hint="default" w:hAnsi="宋体"/>
          <w:sz w:val="24"/>
          <w:lang w:val="en-US" w:eastAsia="zh-CN"/>
        </w:rPr>
        <w:t>.8监造内容：具体内容由</w:t>
      </w:r>
      <w:r>
        <w:rPr>
          <w:rFonts w:hint="eastAsia" w:hAnsi="宋体"/>
          <w:sz w:val="24"/>
          <w:lang w:val="en-US" w:eastAsia="zh-CN"/>
        </w:rPr>
        <w:t>供货方</w:t>
      </w:r>
      <w:r>
        <w:rPr>
          <w:rFonts w:hint="default" w:hAnsi="宋体"/>
          <w:sz w:val="24"/>
          <w:lang w:val="en-US" w:eastAsia="zh-CN"/>
        </w:rPr>
        <w:t>和</w:t>
      </w:r>
      <w:r>
        <w:rPr>
          <w:rFonts w:hint="eastAsia" w:hAnsi="宋体"/>
          <w:sz w:val="24"/>
          <w:lang w:val="en-US" w:eastAsia="zh-CN"/>
        </w:rPr>
        <w:t>需方</w:t>
      </w:r>
      <w:r>
        <w:rPr>
          <w:rFonts w:hint="default" w:hAnsi="宋体"/>
          <w:sz w:val="24"/>
          <w:lang w:val="en-US" w:eastAsia="zh-CN"/>
        </w:rPr>
        <w:t>协商确认。</w:t>
      </w:r>
    </w:p>
    <w:p>
      <w:pPr>
        <w:spacing w:line="360" w:lineRule="auto"/>
        <w:rPr>
          <w:rFonts w:hint="default" w:hAnsi="宋体"/>
          <w:sz w:val="24"/>
          <w:lang w:val="en-US" w:eastAsia="zh-CN"/>
        </w:rPr>
      </w:pPr>
      <w:r>
        <w:rPr>
          <w:rFonts w:hint="eastAsia" w:hAnsi="宋体"/>
          <w:sz w:val="24"/>
          <w:lang w:val="en-US" w:eastAsia="zh-CN"/>
        </w:rPr>
        <w:t>3</w:t>
      </w:r>
      <w:r>
        <w:rPr>
          <w:rFonts w:hint="default" w:hAnsi="宋体"/>
          <w:sz w:val="24"/>
          <w:lang w:val="en-US" w:eastAsia="zh-CN"/>
        </w:rPr>
        <w:t>.9现场试验：</w:t>
      </w:r>
      <w:r>
        <w:rPr>
          <w:rFonts w:hint="eastAsia" w:hAnsi="宋体"/>
          <w:sz w:val="24"/>
          <w:lang w:val="en-US" w:eastAsia="zh-CN"/>
        </w:rPr>
        <w:t>供货方</w:t>
      </w:r>
      <w:r>
        <w:rPr>
          <w:rFonts w:hint="default" w:hAnsi="宋体"/>
          <w:sz w:val="24"/>
          <w:lang w:val="en-US" w:eastAsia="zh-CN"/>
        </w:rPr>
        <w:t>派人进行设备开箱检验和现场试验（若需要），检验所提供设备满足规定的性能。试验应由</w:t>
      </w:r>
      <w:r>
        <w:rPr>
          <w:rFonts w:hint="eastAsia" w:hAnsi="宋体"/>
          <w:sz w:val="24"/>
          <w:lang w:val="en-US" w:eastAsia="zh-CN"/>
        </w:rPr>
        <w:t>需方</w:t>
      </w:r>
      <w:r>
        <w:rPr>
          <w:rFonts w:hint="default" w:hAnsi="宋体"/>
          <w:sz w:val="24"/>
          <w:lang w:val="en-US" w:eastAsia="zh-CN"/>
        </w:rPr>
        <w:t>在场并复查。</w:t>
      </w:r>
    </w:p>
    <w:p>
      <w:pPr>
        <w:spacing w:line="360" w:lineRule="auto"/>
        <w:rPr>
          <w:rFonts w:hint="default" w:hAnsi="宋体"/>
          <w:sz w:val="24"/>
          <w:lang w:val="en-US" w:eastAsia="zh-CN"/>
        </w:rPr>
      </w:pPr>
      <w:r>
        <w:rPr>
          <w:rFonts w:hint="eastAsia" w:hAnsi="宋体"/>
          <w:sz w:val="24"/>
          <w:lang w:val="en-US" w:eastAsia="zh-CN"/>
        </w:rPr>
        <w:t>3</w:t>
      </w:r>
      <w:r>
        <w:rPr>
          <w:rFonts w:hint="default" w:hAnsi="宋体"/>
          <w:sz w:val="24"/>
          <w:lang w:val="en-US" w:eastAsia="zh-CN"/>
        </w:rPr>
        <w:t>.10调试：本项目是</w:t>
      </w:r>
      <w:r>
        <w:rPr>
          <w:rFonts w:hint="eastAsia" w:hAnsi="宋体"/>
          <w:sz w:val="24"/>
          <w:lang w:val="en-US" w:eastAsia="zh-CN"/>
        </w:rPr>
        <w:t>电气元件、仪表</w:t>
      </w:r>
      <w:r>
        <w:rPr>
          <w:rFonts w:hint="eastAsia" w:hAnsi="宋体"/>
          <w:sz w:val="24"/>
        </w:rPr>
        <w:t>及其附件</w:t>
      </w:r>
      <w:r>
        <w:rPr>
          <w:rFonts w:hint="eastAsia" w:hAnsi="宋体"/>
          <w:sz w:val="24"/>
          <w:lang w:val="en-US" w:eastAsia="zh-CN"/>
        </w:rPr>
        <w:t>设计、供货、技术指导安装的工作</w:t>
      </w:r>
      <w:r>
        <w:rPr>
          <w:rFonts w:hint="default" w:hAnsi="宋体"/>
          <w:sz w:val="24"/>
          <w:lang w:val="en-US" w:eastAsia="zh-CN"/>
        </w:rPr>
        <w:t>，至系统正常投运</w:t>
      </w:r>
      <w:r>
        <w:rPr>
          <w:rFonts w:hint="eastAsia" w:hAnsi="宋体"/>
          <w:sz w:val="24"/>
          <w:lang w:val="en-US" w:eastAsia="zh-CN"/>
        </w:rPr>
        <w:t>。</w:t>
      </w:r>
    </w:p>
    <w:p>
      <w:pPr>
        <w:spacing w:line="360" w:lineRule="auto"/>
        <w:rPr>
          <w:rFonts w:hint="default" w:hAnsi="宋体"/>
          <w:sz w:val="24"/>
          <w:lang w:val="en-US" w:eastAsia="zh-CN"/>
        </w:rPr>
      </w:pPr>
      <w:r>
        <w:rPr>
          <w:rFonts w:hint="eastAsia" w:hAnsi="宋体"/>
          <w:sz w:val="24"/>
          <w:lang w:val="en-US" w:eastAsia="zh-CN"/>
        </w:rPr>
        <w:t>3</w:t>
      </w:r>
      <w:r>
        <w:rPr>
          <w:rFonts w:hint="default" w:hAnsi="宋体"/>
          <w:sz w:val="24"/>
          <w:lang w:val="en-US" w:eastAsia="zh-CN"/>
        </w:rPr>
        <w:t>.1</w:t>
      </w:r>
      <w:r>
        <w:rPr>
          <w:rFonts w:hint="eastAsia" w:hAnsi="宋体"/>
          <w:sz w:val="24"/>
          <w:lang w:val="en-US" w:eastAsia="zh-CN"/>
        </w:rPr>
        <w:t>1供货方</w:t>
      </w:r>
      <w:r>
        <w:rPr>
          <w:rFonts w:hint="default" w:hAnsi="宋体"/>
          <w:sz w:val="24"/>
          <w:lang w:val="en-US" w:eastAsia="zh-CN"/>
        </w:rPr>
        <w:t>应派专业调试人员和技术专家到现场进行系统调试、指导和管理操作人员正确处理和操作有关系统、设备和事件的处理。在系统调试前，经</w:t>
      </w:r>
      <w:r>
        <w:rPr>
          <w:rFonts w:hint="eastAsia" w:hAnsi="宋体"/>
          <w:sz w:val="24"/>
          <w:lang w:val="en-US" w:eastAsia="zh-CN"/>
        </w:rPr>
        <w:t>需方和业主方</w:t>
      </w:r>
      <w:r>
        <w:rPr>
          <w:rFonts w:hint="default" w:hAnsi="宋体"/>
          <w:sz w:val="24"/>
          <w:lang w:val="en-US" w:eastAsia="zh-CN"/>
        </w:rPr>
        <w:t>确认</w:t>
      </w:r>
      <w:r>
        <w:rPr>
          <w:rFonts w:hint="eastAsia" w:hAnsi="宋体"/>
          <w:sz w:val="24"/>
          <w:lang w:val="en-US" w:eastAsia="zh-CN"/>
        </w:rPr>
        <w:t>，</w:t>
      </w:r>
      <w:r>
        <w:rPr>
          <w:rFonts w:hint="default" w:hAnsi="宋体"/>
          <w:sz w:val="24"/>
          <w:lang w:val="en-US" w:eastAsia="zh-CN"/>
        </w:rPr>
        <w:t>调试</w:t>
      </w:r>
      <w:r>
        <w:rPr>
          <w:rFonts w:hint="eastAsia" w:hAnsi="宋体"/>
          <w:sz w:val="24"/>
          <w:lang w:val="en-US" w:eastAsia="zh-CN"/>
        </w:rPr>
        <w:t>过程</w:t>
      </w:r>
      <w:r>
        <w:rPr>
          <w:rFonts w:hint="default" w:hAnsi="宋体"/>
          <w:sz w:val="24"/>
          <w:lang w:val="en-US" w:eastAsia="zh-CN"/>
        </w:rPr>
        <w:t>服从</w:t>
      </w:r>
      <w:r>
        <w:rPr>
          <w:rFonts w:hint="eastAsia" w:hAnsi="宋体"/>
          <w:sz w:val="24"/>
          <w:lang w:val="en-US" w:eastAsia="zh-CN"/>
        </w:rPr>
        <w:t>业主方</w:t>
      </w:r>
      <w:r>
        <w:rPr>
          <w:rFonts w:hint="default" w:hAnsi="宋体"/>
          <w:sz w:val="24"/>
          <w:lang w:val="en-US" w:eastAsia="zh-CN"/>
        </w:rPr>
        <w:t>安排。</w:t>
      </w:r>
    </w:p>
    <w:p>
      <w:pPr>
        <w:spacing w:line="360" w:lineRule="auto"/>
        <w:rPr>
          <w:rFonts w:hint="default" w:hAnsi="宋体"/>
          <w:sz w:val="24"/>
          <w:lang w:val="en-US" w:eastAsia="zh-CN"/>
        </w:rPr>
      </w:pPr>
      <w:r>
        <w:rPr>
          <w:rFonts w:hint="eastAsia" w:hAnsi="宋体"/>
          <w:sz w:val="24"/>
          <w:lang w:val="en-US" w:eastAsia="zh-CN"/>
        </w:rPr>
        <w:t>3</w:t>
      </w:r>
      <w:r>
        <w:rPr>
          <w:rFonts w:hint="default" w:hAnsi="宋体"/>
          <w:sz w:val="24"/>
          <w:lang w:val="en-US" w:eastAsia="zh-CN"/>
        </w:rPr>
        <w:t>.1</w:t>
      </w:r>
      <w:r>
        <w:rPr>
          <w:rFonts w:hint="eastAsia" w:hAnsi="宋体"/>
          <w:sz w:val="24"/>
          <w:lang w:val="en-US" w:eastAsia="zh-CN"/>
        </w:rPr>
        <w:t>2</w:t>
      </w:r>
      <w:r>
        <w:rPr>
          <w:rFonts w:hint="default" w:hAnsi="宋体"/>
          <w:sz w:val="24"/>
          <w:lang w:val="en-US" w:eastAsia="zh-CN"/>
        </w:rPr>
        <w:t>若装置存在缺陷，</w:t>
      </w:r>
      <w:r>
        <w:rPr>
          <w:rFonts w:hint="eastAsia" w:hAnsi="宋体"/>
          <w:sz w:val="24"/>
          <w:lang w:val="en-US" w:eastAsia="zh-CN"/>
        </w:rPr>
        <w:t>供货方</w:t>
      </w:r>
      <w:r>
        <w:rPr>
          <w:rFonts w:hint="default" w:hAnsi="宋体"/>
          <w:sz w:val="24"/>
          <w:lang w:val="en-US" w:eastAsia="zh-CN"/>
        </w:rPr>
        <w:t>应在</w:t>
      </w:r>
      <w:r>
        <w:rPr>
          <w:rFonts w:hint="eastAsia" w:hAnsi="宋体"/>
          <w:sz w:val="24"/>
          <w:lang w:val="en-US" w:eastAsia="zh-CN"/>
        </w:rPr>
        <w:t>需方</w:t>
      </w:r>
      <w:r>
        <w:rPr>
          <w:rFonts w:hint="default" w:hAnsi="宋体"/>
          <w:sz w:val="24"/>
          <w:lang w:val="en-US" w:eastAsia="zh-CN"/>
        </w:rPr>
        <w:t>同意的时间内消除。</w:t>
      </w:r>
    </w:p>
    <w:p>
      <w:pPr>
        <w:spacing w:line="360" w:lineRule="auto"/>
        <w:rPr>
          <w:rFonts w:hint="default" w:hAnsi="宋体"/>
          <w:sz w:val="24"/>
          <w:lang w:val="en-US" w:eastAsia="zh-CN"/>
        </w:rPr>
      </w:pPr>
      <w:r>
        <w:rPr>
          <w:rFonts w:hint="eastAsia" w:hAnsi="宋体"/>
          <w:sz w:val="24"/>
          <w:lang w:val="en-US" w:eastAsia="zh-CN"/>
        </w:rPr>
        <w:t>3</w:t>
      </w:r>
      <w:r>
        <w:rPr>
          <w:rFonts w:hint="default" w:hAnsi="宋体"/>
          <w:sz w:val="24"/>
          <w:lang w:val="en-US" w:eastAsia="zh-CN"/>
        </w:rPr>
        <w:t>.</w:t>
      </w:r>
      <w:r>
        <w:rPr>
          <w:rFonts w:hint="eastAsia" w:hAnsi="宋体"/>
          <w:sz w:val="24"/>
          <w:lang w:val="en-US" w:eastAsia="zh-CN"/>
        </w:rPr>
        <w:t>13供货方</w:t>
      </w:r>
      <w:r>
        <w:rPr>
          <w:rFonts w:hint="default" w:hAnsi="宋体"/>
          <w:sz w:val="24"/>
          <w:lang w:val="en-US" w:eastAsia="zh-CN"/>
        </w:rPr>
        <w:t>对装置的启动、调试工作承担责任。</w:t>
      </w:r>
    </w:p>
    <w:p>
      <w:pPr>
        <w:spacing w:before="100" w:beforeAutospacing="1" w:after="100" w:afterAutospacing="1" w:line="480" w:lineRule="auto"/>
        <w:rPr>
          <w:rFonts w:hint="default" w:hAnsi="宋体"/>
          <w:b/>
          <w:bCs/>
          <w:sz w:val="28"/>
          <w:lang w:val="en-US" w:eastAsia="zh-CN"/>
        </w:rPr>
      </w:pPr>
      <w:r>
        <w:rPr>
          <w:rFonts w:hint="eastAsia" w:hAnsi="宋体"/>
          <w:b/>
          <w:bCs/>
          <w:sz w:val="28"/>
          <w:lang w:val="en-US" w:eastAsia="zh-CN"/>
        </w:rPr>
        <w:t>4</w:t>
      </w:r>
      <w:r>
        <w:rPr>
          <w:rFonts w:hint="default" w:hAnsi="宋体"/>
          <w:b/>
          <w:bCs/>
          <w:sz w:val="28"/>
          <w:lang w:val="en-US" w:eastAsia="zh-CN"/>
        </w:rPr>
        <w:t xml:space="preserve"> 包装、运输、储存</w:t>
      </w:r>
    </w:p>
    <w:p>
      <w:pPr>
        <w:spacing w:line="360" w:lineRule="auto"/>
        <w:rPr>
          <w:rFonts w:hint="default" w:hAnsi="宋体"/>
          <w:sz w:val="24"/>
          <w:lang w:val="en-US" w:eastAsia="zh-CN"/>
        </w:rPr>
      </w:pPr>
      <w:r>
        <w:rPr>
          <w:rFonts w:hint="eastAsia" w:hAnsi="宋体"/>
          <w:sz w:val="24"/>
          <w:lang w:val="en-US" w:eastAsia="zh-CN"/>
        </w:rPr>
        <w:t>4</w:t>
      </w:r>
      <w:r>
        <w:rPr>
          <w:rFonts w:hint="default" w:hAnsi="宋体"/>
          <w:sz w:val="24"/>
          <w:lang w:val="en-US" w:eastAsia="zh-CN"/>
        </w:rPr>
        <w:t>.</w:t>
      </w:r>
      <w:r>
        <w:rPr>
          <w:rFonts w:hint="eastAsia" w:hAnsi="宋体"/>
          <w:sz w:val="24"/>
          <w:lang w:val="en-US" w:eastAsia="zh-CN"/>
        </w:rPr>
        <w:t>1</w:t>
      </w:r>
      <w:r>
        <w:rPr>
          <w:rFonts w:hint="default" w:hAnsi="宋体"/>
          <w:sz w:val="24"/>
          <w:lang w:val="en-US" w:eastAsia="zh-CN"/>
        </w:rPr>
        <w:t>便于安装和查找的原则。备品配件及专用工具另行包装。</w:t>
      </w:r>
    </w:p>
    <w:p>
      <w:pPr>
        <w:spacing w:line="360" w:lineRule="auto"/>
        <w:rPr>
          <w:rFonts w:hint="default" w:hAnsi="宋体"/>
          <w:sz w:val="24"/>
          <w:lang w:val="en-US" w:eastAsia="zh-CN"/>
        </w:rPr>
      </w:pPr>
      <w:r>
        <w:rPr>
          <w:rFonts w:hint="eastAsia" w:hAnsi="宋体"/>
          <w:sz w:val="24"/>
          <w:lang w:val="en-US" w:eastAsia="zh-CN"/>
        </w:rPr>
        <w:t>4</w:t>
      </w:r>
      <w:r>
        <w:rPr>
          <w:rFonts w:hint="default" w:hAnsi="宋体"/>
          <w:sz w:val="24"/>
          <w:lang w:val="en-US" w:eastAsia="zh-CN"/>
        </w:rPr>
        <w:t>.</w:t>
      </w:r>
      <w:r>
        <w:rPr>
          <w:rFonts w:hint="eastAsia" w:hAnsi="宋体"/>
          <w:sz w:val="24"/>
          <w:lang w:val="en-US" w:eastAsia="zh-CN"/>
        </w:rPr>
        <w:t>2</w:t>
      </w:r>
      <w:r>
        <w:rPr>
          <w:rFonts w:hint="default" w:hAnsi="宋体"/>
          <w:sz w:val="24"/>
          <w:lang w:val="en-US" w:eastAsia="zh-CN"/>
        </w:rPr>
        <w:t>包装箱外侧应有明显的文字说明，如：设备名称、用途及运输、储存安全注意事项等。</w:t>
      </w:r>
    </w:p>
    <w:p>
      <w:pPr>
        <w:spacing w:line="360" w:lineRule="auto"/>
        <w:rPr>
          <w:rFonts w:hint="default" w:hAnsi="宋体"/>
          <w:sz w:val="24"/>
          <w:lang w:val="en-US" w:eastAsia="zh-CN"/>
        </w:rPr>
      </w:pPr>
      <w:r>
        <w:rPr>
          <w:rFonts w:hint="eastAsia" w:hAnsi="宋体"/>
          <w:sz w:val="24"/>
          <w:lang w:val="en-US" w:eastAsia="zh-CN"/>
        </w:rPr>
        <w:t>4</w:t>
      </w:r>
      <w:r>
        <w:rPr>
          <w:rFonts w:hint="default" w:hAnsi="宋体"/>
          <w:sz w:val="24"/>
          <w:lang w:val="en-US" w:eastAsia="zh-CN"/>
        </w:rPr>
        <w:t>.</w:t>
      </w:r>
      <w:r>
        <w:rPr>
          <w:rFonts w:hint="eastAsia" w:hAnsi="宋体"/>
          <w:sz w:val="24"/>
          <w:lang w:val="en-US" w:eastAsia="zh-CN"/>
        </w:rPr>
        <w:t>3</w:t>
      </w:r>
      <w:r>
        <w:rPr>
          <w:rFonts w:hint="default" w:hAnsi="宋体"/>
          <w:sz w:val="24"/>
          <w:lang w:val="en-US" w:eastAsia="zh-CN"/>
        </w:rPr>
        <w:t>包装箱内附带下列文件（不限于）：装箱单。产品使用说明书。产品检验合格证书。安装指示图。</w:t>
      </w:r>
    </w:p>
    <w:p>
      <w:pPr>
        <w:spacing w:line="360" w:lineRule="auto"/>
        <w:rPr>
          <w:rFonts w:hint="default" w:hAnsi="宋体"/>
          <w:sz w:val="24"/>
          <w:lang w:val="en-US" w:eastAsia="zh-CN"/>
        </w:rPr>
      </w:pPr>
      <w:r>
        <w:rPr>
          <w:rFonts w:hint="eastAsia" w:hAnsi="宋体"/>
          <w:sz w:val="24"/>
          <w:lang w:val="en-US" w:eastAsia="zh-CN"/>
        </w:rPr>
        <w:t>4</w:t>
      </w:r>
      <w:r>
        <w:rPr>
          <w:rFonts w:hint="default" w:hAnsi="宋体"/>
          <w:sz w:val="24"/>
          <w:lang w:val="en-US" w:eastAsia="zh-CN"/>
        </w:rPr>
        <w:t>.4运输：经由铁路运输的部件，其运输尺寸和重量不超过国家标准所允许的限界规格。其它运输方式部件的运输尺寸和重量的限值，在授予合同后由供需双方进一步协商确定【大件运输承包人考虑】。长大部件的运输应有限制变形、擦伤及碰撞等的措施。</w:t>
      </w:r>
    </w:p>
    <w:p>
      <w:pPr>
        <w:spacing w:line="360" w:lineRule="auto"/>
        <w:rPr>
          <w:rFonts w:hint="default" w:hAnsi="宋体"/>
          <w:sz w:val="24"/>
          <w:lang w:val="en-US" w:eastAsia="zh-CN"/>
        </w:rPr>
      </w:pPr>
      <w:r>
        <w:rPr>
          <w:rFonts w:hint="eastAsia" w:hAnsi="宋体"/>
          <w:sz w:val="24"/>
          <w:lang w:val="en-US" w:eastAsia="zh-CN"/>
        </w:rPr>
        <w:t>4</w:t>
      </w:r>
      <w:r>
        <w:rPr>
          <w:rFonts w:hint="default" w:hAnsi="宋体"/>
          <w:sz w:val="24"/>
          <w:lang w:val="en-US" w:eastAsia="zh-CN"/>
        </w:rPr>
        <w:t>.5储存：承包人根据包装箱内物品（包括备品备件及专用工具）的特性，向</w:t>
      </w:r>
      <w:r>
        <w:rPr>
          <w:rFonts w:hint="eastAsia" w:hAnsi="宋体"/>
          <w:sz w:val="24"/>
          <w:lang w:val="en-US" w:eastAsia="zh-CN"/>
        </w:rPr>
        <w:t>需方</w:t>
      </w:r>
      <w:r>
        <w:rPr>
          <w:rFonts w:hint="default" w:hAnsi="宋体"/>
          <w:sz w:val="24"/>
          <w:lang w:val="en-US" w:eastAsia="zh-CN"/>
        </w:rPr>
        <w:t>提供安全保存方法说明，并负责支付一切在运输、转运和存储，以及相应各类费用。</w:t>
      </w:r>
    </w:p>
    <w:p>
      <w:pPr>
        <w:spacing w:before="100" w:beforeAutospacing="1" w:after="100" w:afterAutospacing="1" w:line="480" w:lineRule="auto"/>
        <w:rPr>
          <w:rFonts w:hint="eastAsia" w:hAnsi="宋体"/>
          <w:b/>
          <w:bCs/>
          <w:sz w:val="28"/>
          <w:lang w:val="en-US" w:eastAsia="zh-CN"/>
        </w:rPr>
      </w:pPr>
      <w:r>
        <w:rPr>
          <w:rFonts w:hint="eastAsia" w:hAnsi="宋体"/>
          <w:b/>
          <w:bCs/>
          <w:sz w:val="28"/>
          <w:lang w:val="en-US" w:eastAsia="zh-CN"/>
        </w:rPr>
        <w:t>5技术服务</w:t>
      </w:r>
    </w:p>
    <w:p>
      <w:pPr>
        <w:numPr>
          <w:ilvl w:val="0"/>
          <w:numId w:val="0"/>
        </w:numPr>
        <w:spacing w:line="360" w:lineRule="auto"/>
        <w:ind w:left="0" w:leftChars="0" w:firstLine="0" w:firstLineChars="0"/>
        <w:rPr>
          <w:rFonts w:hint="eastAsia" w:ascii="宋体" w:hAnsi="宋体" w:eastAsia="宋体" w:cs="宋体"/>
          <w:snapToGrid w:val="0"/>
          <w:spacing w:val="4"/>
          <w:sz w:val="24"/>
          <w:szCs w:val="32"/>
          <w:highlight w:val="none"/>
          <w:lang w:eastAsia="zh-CN"/>
        </w:rPr>
      </w:pPr>
      <w:r>
        <w:rPr>
          <w:rFonts w:hint="eastAsia" w:ascii="宋体" w:hAnsi="宋体" w:eastAsia="宋体" w:cs="宋体"/>
          <w:snapToGrid w:val="0"/>
          <w:spacing w:val="4"/>
          <w:sz w:val="24"/>
          <w:szCs w:val="32"/>
          <w:highlight w:val="none"/>
          <w:lang w:val="en-US" w:eastAsia="zh-CN"/>
        </w:rPr>
        <w:t>5.1</w:t>
      </w:r>
      <w:r>
        <w:rPr>
          <w:rFonts w:hint="eastAsia" w:ascii="宋体" w:hAnsi="宋体" w:eastAsia="宋体" w:cs="宋体"/>
          <w:snapToGrid w:val="0"/>
          <w:spacing w:val="4"/>
          <w:sz w:val="24"/>
          <w:szCs w:val="32"/>
          <w:highlight w:val="none"/>
          <w:lang w:eastAsia="zh-CN"/>
        </w:rPr>
        <w:t>供货方应提供从设计、设备采购、供货、</w:t>
      </w:r>
      <w:r>
        <w:rPr>
          <w:rFonts w:hint="eastAsia" w:hAnsi="宋体" w:cs="宋体"/>
          <w:snapToGrid w:val="0"/>
          <w:spacing w:val="4"/>
          <w:sz w:val="24"/>
          <w:szCs w:val="32"/>
          <w:highlight w:val="none"/>
          <w:lang w:val="en-US" w:eastAsia="zh-CN"/>
        </w:rPr>
        <w:t>技术指导</w:t>
      </w:r>
      <w:r>
        <w:rPr>
          <w:rFonts w:hint="eastAsia" w:ascii="宋体" w:hAnsi="宋体" w:eastAsia="宋体" w:cs="宋体"/>
          <w:snapToGrid w:val="0"/>
          <w:spacing w:val="4"/>
          <w:sz w:val="24"/>
          <w:szCs w:val="32"/>
          <w:highlight w:val="none"/>
          <w:lang w:eastAsia="zh-CN"/>
        </w:rPr>
        <w:t>安装、调试、培训直至交付需方投入商业运行的全过程的技术服务。并在签订合同后，将技术服务计划提交需方，供需方审查确认。</w:t>
      </w:r>
    </w:p>
    <w:p>
      <w:pPr>
        <w:numPr>
          <w:ilvl w:val="0"/>
          <w:numId w:val="0"/>
        </w:numPr>
        <w:tabs>
          <w:tab w:val="left" w:pos="567"/>
          <w:tab w:val="left" w:pos="689"/>
        </w:tabs>
        <w:spacing w:line="360" w:lineRule="auto"/>
        <w:jc w:val="both"/>
        <w:rPr>
          <w:rFonts w:hint="eastAsia" w:ascii="宋体" w:hAnsi="宋体" w:eastAsia="宋体" w:cs="宋体"/>
          <w:sz w:val="24"/>
          <w:szCs w:val="32"/>
          <w:highlight w:val="none"/>
          <w:lang w:eastAsia="zh-CN"/>
        </w:rPr>
      </w:pPr>
      <w:r>
        <w:rPr>
          <w:rFonts w:hint="eastAsia" w:ascii="宋体" w:hAnsi="宋体" w:eastAsia="宋体" w:cs="宋体"/>
          <w:sz w:val="24"/>
          <w:szCs w:val="32"/>
          <w:highlight w:val="none"/>
          <w:lang w:val="en-US" w:eastAsia="zh-CN"/>
        </w:rPr>
        <w:t>5.2</w:t>
      </w:r>
      <w:r>
        <w:rPr>
          <w:rFonts w:hint="eastAsia" w:ascii="宋体" w:hAnsi="宋体" w:eastAsia="宋体" w:cs="宋体"/>
          <w:sz w:val="24"/>
          <w:szCs w:val="32"/>
          <w:highlight w:val="none"/>
          <w:lang w:eastAsia="zh-CN"/>
        </w:rPr>
        <w:t>供货方在工程进度的不同阶段安排胜任的技术人员到现场指导。</w:t>
      </w:r>
    </w:p>
    <w:p>
      <w:pPr>
        <w:numPr>
          <w:ilvl w:val="0"/>
          <w:numId w:val="2"/>
        </w:numPr>
        <w:tabs>
          <w:tab w:val="left" w:pos="567"/>
          <w:tab w:val="left" w:pos="689"/>
        </w:tabs>
        <w:spacing w:line="360" w:lineRule="auto"/>
        <w:ind w:left="0" w:leftChars="0" w:firstLine="480" w:firstLineChars="200"/>
        <w:jc w:val="both"/>
        <w:rPr>
          <w:rFonts w:hint="eastAsia" w:ascii="宋体" w:hAnsi="宋体" w:eastAsia="宋体" w:cs="宋体"/>
          <w:sz w:val="24"/>
          <w:szCs w:val="32"/>
          <w:highlight w:val="none"/>
          <w:lang w:eastAsia="zh-CN"/>
        </w:rPr>
      </w:pPr>
      <w:r>
        <w:rPr>
          <w:rFonts w:hint="eastAsia" w:ascii="宋体" w:hAnsi="宋体" w:eastAsia="宋体" w:cs="宋体"/>
          <w:sz w:val="24"/>
          <w:szCs w:val="32"/>
          <w:highlight w:val="none"/>
          <w:lang w:eastAsia="zh-CN"/>
        </w:rPr>
        <w:t>供货方负责在工程相应阶段到现场提供技术指导。</w:t>
      </w:r>
    </w:p>
    <w:p>
      <w:pPr>
        <w:numPr>
          <w:ilvl w:val="0"/>
          <w:numId w:val="2"/>
        </w:numPr>
        <w:tabs>
          <w:tab w:val="left" w:pos="567"/>
          <w:tab w:val="left" w:pos="689"/>
        </w:tabs>
        <w:spacing w:line="360" w:lineRule="auto"/>
        <w:ind w:left="0" w:leftChars="0" w:firstLine="480" w:firstLineChars="200"/>
        <w:jc w:val="both"/>
        <w:rPr>
          <w:rFonts w:hint="eastAsia" w:ascii="宋体" w:hAnsi="宋体" w:eastAsia="宋体" w:cs="宋体"/>
          <w:sz w:val="24"/>
          <w:szCs w:val="32"/>
          <w:highlight w:val="none"/>
        </w:rPr>
      </w:pPr>
      <w:r>
        <w:rPr>
          <w:rFonts w:hint="eastAsia" w:ascii="宋体" w:hAnsi="宋体" w:eastAsia="宋体" w:cs="宋体"/>
          <w:sz w:val="24"/>
          <w:szCs w:val="32"/>
          <w:highlight w:val="none"/>
        </w:rPr>
        <w:t>安装阶段</w:t>
      </w:r>
    </w:p>
    <w:p>
      <w:pPr>
        <w:numPr>
          <w:ilvl w:val="0"/>
          <w:numId w:val="3"/>
        </w:numPr>
        <w:spacing w:line="360" w:lineRule="auto"/>
        <w:ind w:left="0" w:firstLine="480"/>
        <w:jc w:val="both"/>
        <w:rPr>
          <w:rFonts w:hint="eastAsia" w:ascii="宋体" w:hAnsi="宋体" w:eastAsia="宋体" w:cs="宋体"/>
          <w:sz w:val="24"/>
          <w:szCs w:val="32"/>
          <w:highlight w:val="none"/>
          <w:lang w:eastAsia="zh-CN"/>
        </w:rPr>
      </w:pPr>
      <w:r>
        <w:rPr>
          <w:rFonts w:hint="eastAsia" w:ascii="宋体" w:hAnsi="宋体" w:eastAsia="宋体" w:cs="宋体"/>
          <w:sz w:val="24"/>
          <w:szCs w:val="32"/>
          <w:highlight w:val="none"/>
          <w:lang w:eastAsia="zh-CN"/>
        </w:rPr>
        <w:t>在安装阶段，供货方应委派有资格的经需方确认的工地代表提供技术服务。工作期间，若需方认为工地代表不能满足工作需要，需方有权提出更换工地代表，其发生的费用由供货方自理。同时供货方还应委派设备制造厂的专家在主设备安装过程中进行现场技术服务。</w:t>
      </w:r>
    </w:p>
    <w:p>
      <w:pPr>
        <w:numPr>
          <w:ilvl w:val="0"/>
          <w:numId w:val="3"/>
        </w:numPr>
        <w:spacing w:line="360" w:lineRule="auto"/>
        <w:ind w:left="0" w:firstLine="480"/>
        <w:jc w:val="both"/>
        <w:rPr>
          <w:rFonts w:hint="eastAsia" w:ascii="宋体" w:hAnsi="宋体" w:eastAsia="宋体" w:cs="宋体"/>
          <w:sz w:val="24"/>
          <w:szCs w:val="32"/>
          <w:highlight w:val="none"/>
          <w:lang w:eastAsia="zh-CN"/>
        </w:rPr>
      </w:pPr>
      <w:r>
        <w:rPr>
          <w:rFonts w:hint="eastAsia" w:ascii="宋体" w:hAnsi="宋体" w:eastAsia="宋体" w:cs="宋体"/>
          <w:sz w:val="24"/>
          <w:szCs w:val="32"/>
          <w:highlight w:val="none"/>
          <w:lang w:eastAsia="zh-CN"/>
        </w:rPr>
        <w:t>现场长驻代表还应提供必要的现场设计，协助需方在运输、安装过程中核对和检验设备，协助解决与</w:t>
      </w:r>
      <w:r>
        <w:rPr>
          <w:rFonts w:hint="eastAsia" w:ascii="宋体" w:hAnsi="宋体" w:eastAsia="宋体" w:cs="宋体"/>
          <w:sz w:val="24"/>
          <w:szCs w:val="32"/>
          <w:highlight w:val="none"/>
          <w:lang w:val="en-US" w:eastAsia="zh-CN"/>
        </w:rPr>
        <w:t>业主</w:t>
      </w:r>
      <w:r>
        <w:rPr>
          <w:rFonts w:hint="eastAsia" w:ascii="宋体" w:hAnsi="宋体" w:eastAsia="宋体" w:cs="宋体"/>
          <w:sz w:val="24"/>
          <w:szCs w:val="32"/>
          <w:highlight w:val="none"/>
          <w:lang w:eastAsia="zh-CN"/>
        </w:rPr>
        <w:t>之间的接口工作。</w:t>
      </w:r>
    </w:p>
    <w:p>
      <w:pPr>
        <w:numPr>
          <w:ilvl w:val="0"/>
          <w:numId w:val="3"/>
        </w:numPr>
        <w:spacing w:line="360" w:lineRule="auto"/>
        <w:ind w:left="0" w:firstLine="480"/>
        <w:jc w:val="both"/>
        <w:rPr>
          <w:rFonts w:hint="eastAsia" w:ascii="宋体" w:hAnsi="宋体" w:eastAsia="宋体" w:cs="宋体"/>
          <w:sz w:val="24"/>
          <w:szCs w:val="32"/>
          <w:highlight w:val="none"/>
          <w:lang w:eastAsia="zh-CN"/>
        </w:rPr>
      </w:pPr>
      <w:r>
        <w:rPr>
          <w:rFonts w:hint="eastAsia" w:ascii="宋体" w:hAnsi="宋体" w:eastAsia="宋体" w:cs="宋体"/>
          <w:sz w:val="24"/>
          <w:szCs w:val="32"/>
          <w:highlight w:val="none"/>
          <w:lang w:eastAsia="zh-CN"/>
        </w:rPr>
        <w:t>供货方应负责所供</w:t>
      </w:r>
      <w:r>
        <w:rPr>
          <w:rFonts w:hint="eastAsia" w:ascii="宋体" w:hAnsi="宋体" w:eastAsia="宋体" w:cs="宋体"/>
          <w:sz w:val="24"/>
          <w:szCs w:val="32"/>
          <w:highlight w:val="none"/>
          <w:lang w:val="en-US" w:eastAsia="zh-CN"/>
        </w:rPr>
        <w:t>设备</w:t>
      </w:r>
      <w:r>
        <w:rPr>
          <w:rFonts w:hint="eastAsia" w:ascii="宋体" w:hAnsi="宋体" w:eastAsia="宋体" w:cs="宋体"/>
          <w:sz w:val="24"/>
          <w:szCs w:val="32"/>
          <w:highlight w:val="none"/>
          <w:lang w:eastAsia="zh-CN"/>
        </w:rPr>
        <w:t>的现场安装，全面负责工艺系统的检查、受电、功能恢复、调试直至投入运行。供货方所派现场服务人员一定是能胜任工作的技术人员，能够在现场有效地工作。若因供货方技术人员原因未完成工地工作，应由供货方负责。</w:t>
      </w:r>
    </w:p>
    <w:p>
      <w:pPr>
        <w:numPr>
          <w:ilvl w:val="0"/>
          <w:numId w:val="3"/>
        </w:numPr>
        <w:spacing w:line="360" w:lineRule="auto"/>
        <w:ind w:left="0" w:firstLine="480"/>
        <w:jc w:val="both"/>
        <w:rPr>
          <w:rFonts w:hint="eastAsia" w:ascii="宋体" w:hAnsi="宋体" w:eastAsia="宋体" w:cs="宋体"/>
          <w:sz w:val="24"/>
          <w:szCs w:val="32"/>
          <w:highlight w:val="none"/>
          <w:lang w:eastAsia="zh-CN"/>
        </w:rPr>
      </w:pPr>
      <w:r>
        <w:rPr>
          <w:rFonts w:hint="eastAsia" w:ascii="宋体" w:hAnsi="宋体" w:eastAsia="宋体" w:cs="宋体"/>
          <w:sz w:val="24"/>
          <w:szCs w:val="32"/>
          <w:highlight w:val="none"/>
          <w:lang w:eastAsia="zh-CN"/>
        </w:rPr>
        <w:t>供货方技术人员在现场工作内容如下所示：</w:t>
      </w:r>
    </w:p>
    <w:p>
      <w:pPr>
        <w:numPr>
          <w:ilvl w:val="0"/>
          <w:numId w:val="4"/>
        </w:numPr>
        <w:spacing w:line="360" w:lineRule="auto"/>
        <w:ind w:left="0" w:firstLine="480"/>
        <w:jc w:val="both"/>
        <w:rPr>
          <w:rFonts w:hint="eastAsia" w:ascii="宋体" w:hAnsi="宋体" w:eastAsia="宋体" w:cs="宋体"/>
          <w:sz w:val="24"/>
          <w:szCs w:val="32"/>
          <w:highlight w:val="none"/>
          <w:lang w:eastAsia="zh-CN"/>
        </w:rPr>
      </w:pPr>
      <w:r>
        <w:rPr>
          <w:rFonts w:hint="eastAsia" w:ascii="宋体" w:hAnsi="宋体" w:eastAsia="宋体" w:cs="宋体"/>
          <w:sz w:val="24"/>
          <w:szCs w:val="32"/>
          <w:highlight w:val="none"/>
          <w:lang w:eastAsia="zh-CN"/>
        </w:rPr>
        <w:t>配合现场安装人员安装设备和控制系统接线。</w:t>
      </w:r>
    </w:p>
    <w:p>
      <w:pPr>
        <w:numPr>
          <w:ilvl w:val="0"/>
          <w:numId w:val="4"/>
        </w:numPr>
        <w:spacing w:line="360" w:lineRule="auto"/>
        <w:ind w:left="0" w:firstLine="480"/>
        <w:jc w:val="both"/>
        <w:rPr>
          <w:rFonts w:hint="eastAsia" w:ascii="宋体" w:hAnsi="宋体" w:eastAsia="宋体" w:cs="宋体"/>
          <w:sz w:val="24"/>
          <w:szCs w:val="32"/>
          <w:highlight w:val="none"/>
          <w:lang w:eastAsia="zh-CN"/>
        </w:rPr>
      </w:pPr>
      <w:r>
        <w:rPr>
          <w:rFonts w:hint="eastAsia" w:ascii="宋体" w:hAnsi="宋体" w:eastAsia="宋体" w:cs="宋体"/>
          <w:sz w:val="24"/>
          <w:szCs w:val="32"/>
          <w:highlight w:val="none"/>
          <w:lang w:eastAsia="zh-CN"/>
        </w:rPr>
        <w:t>按工程进度要求，按时负责查线和控制系统调试，直至能够投运并经过168小时连续试运转，经需方验收合格为止。</w:t>
      </w:r>
    </w:p>
    <w:p>
      <w:pPr>
        <w:numPr>
          <w:ilvl w:val="0"/>
          <w:numId w:val="4"/>
        </w:numPr>
        <w:spacing w:line="360" w:lineRule="auto"/>
        <w:ind w:left="0" w:firstLine="480"/>
        <w:jc w:val="both"/>
        <w:rPr>
          <w:rFonts w:hint="eastAsia" w:ascii="宋体" w:hAnsi="宋体" w:eastAsia="宋体" w:cs="宋体"/>
          <w:sz w:val="24"/>
          <w:szCs w:val="32"/>
          <w:highlight w:val="none"/>
          <w:lang w:eastAsia="zh-CN"/>
        </w:rPr>
      </w:pPr>
      <w:bookmarkStart w:id="0" w:name="_Toc104345502"/>
      <w:bookmarkStart w:id="1" w:name="_Toc112234978"/>
      <w:r>
        <w:rPr>
          <w:rFonts w:hint="eastAsia" w:ascii="宋体" w:hAnsi="宋体" w:eastAsia="宋体" w:cs="宋体"/>
          <w:sz w:val="24"/>
          <w:szCs w:val="32"/>
          <w:highlight w:val="none"/>
          <w:lang w:eastAsia="zh-CN"/>
        </w:rPr>
        <w:t>若发现现场设备缺损（运输或装箱所致）、设备性能不能满足控制要求，应及时无条件更换。</w:t>
      </w:r>
    </w:p>
    <w:p>
      <w:pPr>
        <w:numPr>
          <w:ilvl w:val="0"/>
          <w:numId w:val="0"/>
        </w:numPr>
        <w:tabs>
          <w:tab w:val="left" w:pos="567"/>
          <w:tab w:val="left" w:pos="689"/>
        </w:tabs>
        <w:spacing w:line="360" w:lineRule="auto"/>
        <w:jc w:val="both"/>
        <w:rPr>
          <w:rFonts w:hint="eastAsia" w:ascii="宋体" w:hAnsi="宋体" w:eastAsia="宋体" w:cs="宋体"/>
          <w:sz w:val="24"/>
          <w:szCs w:val="32"/>
          <w:highlight w:val="none"/>
          <w:lang w:eastAsia="zh-CN"/>
        </w:rPr>
      </w:pPr>
      <w:r>
        <w:rPr>
          <w:rFonts w:hint="eastAsia" w:ascii="宋体" w:hAnsi="宋体" w:eastAsia="宋体" w:cs="宋体"/>
          <w:sz w:val="24"/>
          <w:szCs w:val="32"/>
          <w:highlight w:val="none"/>
          <w:lang w:val="en-US" w:eastAsia="zh-CN"/>
        </w:rPr>
        <w:t>5.3</w:t>
      </w:r>
      <w:r>
        <w:rPr>
          <w:rFonts w:hint="eastAsia" w:ascii="宋体" w:hAnsi="宋体" w:eastAsia="宋体" w:cs="宋体"/>
          <w:sz w:val="24"/>
          <w:szCs w:val="32"/>
          <w:highlight w:val="none"/>
          <w:lang w:eastAsia="zh-CN"/>
        </w:rPr>
        <w:t>调试</w:t>
      </w:r>
      <w:bookmarkEnd w:id="0"/>
      <w:bookmarkEnd w:id="1"/>
      <w:r>
        <w:rPr>
          <w:rFonts w:hint="eastAsia" w:ascii="宋体" w:hAnsi="宋体" w:eastAsia="宋体" w:cs="宋体"/>
          <w:sz w:val="24"/>
          <w:szCs w:val="32"/>
          <w:highlight w:val="none"/>
          <w:lang w:eastAsia="zh-CN"/>
        </w:rPr>
        <w:t>、性能考核试验阶段</w:t>
      </w:r>
    </w:p>
    <w:p>
      <w:pPr>
        <w:numPr>
          <w:ilvl w:val="0"/>
          <w:numId w:val="5"/>
        </w:numPr>
        <w:spacing w:line="360" w:lineRule="auto"/>
        <w:ind w:left="0" w:firstLine="48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设备安装完毕后，供货方负责进行分系统调试、整体调试工作。在系统调试、整体调试过程中，由</w:t>
      </w:r>
      <w:r>
        <w:rPr>
          <w:rFonts w:hint="eastAsia" w:ascii="宋体" w:hAnsi="宋体" w:eastAsia="宋体" w:cs="宋体"/>
          <w:sz w:val="24"/>
          <w:szCs w:val="24"/>
          <w:highlight w:val="none"/>
          <w:lang w:val="en-US" w:eastAsia="zh-CN"/>
        </w:rPr>
        <w:t>需方</w:t>
      </w:r>
      <w:r>
        <w:rPr>
          <w:rFonts w:hint="eastAsia" w:ascii="宋体" w:hAnsi="宋体" w:eastAsia="宋体" w:cs="宋体"/>
          <w:sz w:val="24"/>
          <w:szCs w:val="24"/>
          <w:highlight w:val="none"/>
          <w:lang w:eastAsia="zh-CN"/>
        </w:rPr>
        <w:t>组织协调，对需方参与调试的操作人员进行必要的培训。</w:t>
      </w:r>
    </w:p>
    <w:p>
      <w:pPr>
        <w:numPr>
          <w:ilvl w:val="0"/>
          <w:numId w:val="5"/>
        </w:numPr>
        <w:spacing w:line="360" w:lineRule="auto"/>
        <w:ind w:left="0" w:firstLine="48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供货方负责出具调试大纲和调试标准，由需方确认。</w:t>
      </w:r>
    </w:p>
    <w:p>
      <w:pPr>
        <w:numPr>
          <w:ilvl w:val="0"/>
          <w:numId w:val="5"/>
        </w:numPr>
        <w:spacing w:line="360" w:lineRule="auto"/>
        <w:ind w:left="0" w:firstLine="48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性能考核试验由需方主持。试验阶段，供货方负责将装置调整到满足试验规定的运行状态，并且参加和见证试验实施。</w:t>
      </w:r>
    </w:p>
    <w:p>
      <w:pPr>
        <w:numPr>
          <w:ilvl w:val="0"/>
          <w:numId w:val="5"/>
        </w:numPr>
        <w:spacing w:line="360" w:lineRule="auto"/>
        <w:ind w:left="0" w:firstLine="48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在质量保证期内，任何非需方人员责任的设备损坏、缺陷或故障，供货方应保证及时免费更换或修理。</w:t>
      </w:r>
    </w:p>
    <w:p>
      <w:pPr>
        <w:numPr>
          <w:ilvl w:val="0"/>
          <w:numId w:val="5"/>
        </w:numPr>
        <w:spacing w:line="360" w:lineRule="auto"/>
        <w:ind w:left="0" w:firstLine="48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供货方现场服务人员应具有下列资质：</w:t>
      </w:r>
    </w:p>
    <w:p>
      <w:pPr>
        <w:numPr>
          <w:ilvl w:val="0"/>
          <w:numId w:val="6"/>
        </w:numPr>
        <w:spacing w:line="360" w:lineRule="auto"/>
        <w:ind w:left="0" w:firstLine="48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遵守法纪，遵守现场的各项规章制度；</w:t>
      </w:r>
    </w:p>
    <w:p>
      <w:pPr>
        <w:numPr>
          <w:ilvl w:val="0"/>
          <w:numId w:val="6"/>
        </w:numPr>
        <w:spacing w:line="360" w:lineRule="auto"/>
        <w:ind w:left="0" w:firstLine="48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有较强的责任感和事业心，按时到位；</w:t>
      </w:r>
    </w:p>
    <w:p>
      <w:pPr>
        <w:numPr>
          <w:ilvl w:val="0"/>
          <w:numId w:val="6"/>
        </w:numPr>
        <w:spacing w:line="360" w:lineRule="auto"/>
        <w:ind w:left="0" w:firstLine="48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了解合同设备的设计，熟悉其结构，有相同或相近机组的现场工作经验，能够正确进行现场指导；</w:t>
      </w:r>
    </w:p>
    <w:p>
      <w:pPr>
        <w:numPr>
          <w:ilvl w:val="0"/>
          <w:numId w:val="6"/>
        </w:numPr>
        <w:spacing w:line="360" w:lineRule="auto"/>
        <w:ind w:left="0" w:firstLine="48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身体健康，适应现场工作条件；</w:t>
      </w:r>
    </w:p>
    <w:p>
      <w:pPr>
        <w:numPr>
          <w:ilvl w:val="0"/>
          <w:numId w:val="5"/>
        </w:numPr>
        <w:spacing w:line="360" w:lineRule="auto"/>
        <w:ind w:left="0" w:firstLine="48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供货方现场技术人员的职责</w:t>
      </w:r>
    </w:p>
    <w:p>
      <w:pPr>
        <w:numPr>
          <w:ilvl w:val="0"/>
          <w:numId w:val="6"/>
        </w:numPr>
        <w:spacing w:line="360" w:lineRule="auto"/>
        <w:ind w:left="0" w:firstLine="48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供货方现场技术人员的任务主要包括设备催交、货物的开箱检验、设备质量问题的处理、安装和调试、参加试运和性能考核试验。</w:t>
      </w:r>
    </w:p>
    <w:p>
      <w:pPr>
        <w:numPr>
          <w:ilvl w:val="0"/>
          <w:numId w:val="6"/>
        </w:numPr>
        <w:spacing w:line="360" w:lineRule="auto"/>
        <w:ind w:left="0" w:firstLine="48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在安装和调试前，供货方应向需方提供安装、调试方案和指导说明书，并对需方进行技术交底，讲解和示范将要进行的程序和方法。调试方案得到需方认可后，供货方才可据之进行调试工作。</w:t>
      </w:r>
    </w:p>
    <w:p>
      <w:pPr>
        <w:numPr>
          <w:ilvl w:val="0"/>
          <w:numId w:val="6"/>
        </w:numPr>
        <w:spacing w:line="360" w:lineRule="auto"/>
        <w:ind w:left="0" w:firstLine="48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 xml:space="preserve">对重要工序，供货方技术人员要对施工情况进行确认和签证，否则不能进行下一道工序。经需方确认和签证的工序如因供货方技术人员指导错误而发生问题，供货方负全部责任。 </w:t>
      </w:r>
    </w:p>
    <w:p>
      <w:pPr>
        <w:numPr>
          <w:ilvl w:val="0"/>
          <w:numId w:val="5"/>
        </w:numPr>
        <w:spacing w:line="360" w:lineRule="auto"/>
        <w:ind w:left="0" w:firstLine="48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供货方的调试参加人员和技术专家应能正确操作和调整有关系统和设备，并正确处理缺陷。若装置存在缺陷，供货方应在需方同意的时间内消除。</w:t>
      </w:r>
    </w:p>
    <w:p>
      <w:pPr>
        <w:numPr>
          <w:ilvl w:val="0"/>
          <w:numId w:val="5"/>
        </w:numPr>
        <w:spacing w:line="360" w:lineRule="auto"/>
        <w:ind w:left="0" w:firstLine="48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供货方现场技术人员应能够处理现场出现的一切技术和质量问题。如现场发生质量问题，供货方现场技术人员要在需方规定的时间内处理解决。如供货方委托需方进行处理，供货方现场服务人员要出具委托书并承担相应的费用。</w:t>
      </w:r>
    </w:p>
    <w:p>
      <w:pPr>
        <w:numPr>
          <w:ilvl w:val="0"/>
          <w:numId w:val="5"/>
        </w:numPr>
        <w:spacing w:line="360" w:lineRule="auto"/>
        <w:ind w:left="0" w:firstLine="48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供货方对其现场技术服务人员的一切行为负全部责任。</w:t>
      </w:r>
    </w:p>
    <w:p>
      <w:pPr>
        <w:numPr>
          <w:ilvl w:val="0"/>
          <w:numId w:val="5"/>
        </w:numPr>
        <w:spacing w:line="360" w:lineRule="auto"/>
        <w:ind w:left="0" w:firstLine="480"/>
        <w:jc w:val="both"/>
        <w:rPr>
          <w:rFonts w:hint="eastAsia" w:ascii="宋体" w:hAnsi="宋体" w:eastAsia="宋体" w:cs="宋体"/>
          <w:sz w:val="24"/>
          <w:szCs w:val="24"/>
          <w:lang w:val="en-US" w:eastAsia="zh-CN"/>
        </w:rPr>
      </w:pPr>
      <w:r>
        <w:rPr>
          <w:rFonts w:hint="eastAsia" w:ascii="宋体" w:hAnsi="宋体" w:eastAsia="宋体" w:cs="宋体"/>
          <w:sz w:val="24"/>
          <w:szCs w:val="24"/>
          <w:highlight w:val="none"/>
          <w:lang w:eastAsia="zh-CN"/>
        </w:rPr>
        <w:t>供货方现场技术服务人员的正常来去和更换事先应与需方协商，未经需方同意不得更换和调整。</w:t>
      </w:r>
    </w:p>
    <w:p>
      <w:pPr>
        <w:spacing w:before="100" w:beforeAutospacing="1" w:after="100" w:afterAutospacing="1" w:line="480" w:lineRule="auto"/>
        <w:rPr>
          <w:rFonts w:hint="eastAsia" w:hAnsi="宋体"/>
          <w:b/>
          <w:bCs/>
          <w:sz w:val="28"/>
          <w:lang w:val="en-US" w:eastAsia="en-US"/>
        </w:rPr>
      </w:pPr>
      <w:bookmarkStart w:id="2" w:name="_Toc41517896"/>
      <w:bookmarkStart w:id="3" w:name="_Toc18267"/>
      <w:bookmarkStart w:id="4" w:name="_Toc522563903"/>
      <w:r>
        <w:rPr>
          <w:rFonts w:hint="eastAsia" w:hAnsi="宋体"/>
          <w:b/>
          <w:bCs/>
          <w:sz w:val="28"/>
          <w:lang w:val="en-US" w:eastAsia="zh-CN"/>
        </w:rPr>
        <w:t>6</w:t>
      </w:r>
      <w:r>
        <w:rPr>
          <w:rFonts w:hint="eastAsia" w:hAnsi="宋体"/>
          <w:b/>
          <w:bCs/>
          <w:sz w:val="28"/>
          <w:lang w:val="en-US" w:eastAsia="en-US"/>
        </w:rPr>
        <w:t>质量保证</w:t>
      </w:r>
      <w:bookmarkEnd w:id="2"/>
      <w:bookmarkEnd w:id="3"/>
      <w:bookmarkEnd w:id="4"/>
    </w:p>
    <w:p>
      <w:pPr>
        <w:numPr>
          <w:ilvl w:val="0"/>
          <w:numId w:val="0"/>
        </w:numPr>
        <w:tabs>
          <w:tab w:val="left" w:pos="567"/>
        </w:tabs>
        <w:adjustRightInd w:val="0"/>
        <w:snapToGrid w:val="0"/>
        <w:spacing w:before="0" w:after="0" w:line="360" w:lineRule="auto"/>
        <w:jc w:val="both"/>
        <w:rPr>
          <w:rFonts w:hint="eastAsia" w:ascii="宋体" w:hAnsi="宋体" w:eastAsia="宋体" w:cs="宋体"/>
          <w:kern w:val="2"/>
          <w:sz w:val="24"/>
          <w:szCs w:val="24"/>
          <w:highlight w:val="none"/>
          <w:lang w:val="en-US" w:eastAsia="zh-CN" w:bidi="en-US"/>
        </w:rPr>
      </w:pPr>
      <w:r>
        <w:rPr>
          <w:rFonts w:hint="eastAsia" w:ascii="宋体" w:hAnsi="宋体" w:eastAsia="宋体" w:cs="宋体"/>
          <w:kern w:val="2"/>
          <w:sz w:val="24"/>
          <w:szCs w:val="24"/>
          <w:highlight w:val="none"/>
          <w:lang w:val="en-US" w:eastAsia="zh-CN" w:bidi="en-US"/>
        </w:rPr>
        <w:t>6.1本项目的质量保证期按需方EPC工程整体竣工后（签最终验收证书）进行计算，至少不少于1年。保证期内因设备质量问题而不能正常工作时，供货方应免费为需方及时修理或更换。供货方免费更换后的部件质保期顺延一年。</w:t>
      </w:r>
    </w:p>
    <w:p>
      <w:pPr>
        <w:numPr>
          <w:ilvl w:val="0"/>
          <w:numId w:val="0"/>
        </w:numPr>
        <w:tabs>
          <w:tab w:val="left" w:pos="567"/>
        </w:tabs>
        <w:adjustRightInd w:val="0"/>
        <w:snapToGrid w:val="0"/>
        <w:spacing w:before="0" w:after="0" w:line="360" w:lineRule="auto"/>
        <w:jc w:val="both"/>
        <w:rPr>
          <w:rFonts w:hint="eastAsia" w:ascii="宋体" w:hAnsi="宋体" w:eastAsia="宋体" w:cs="宋体"/>
          <w:kern w:val="2"/>
          <w:sz w:val="24"/>
          <w:szCs w:val="24"/>
          <w:highlight w:val="none"/>
          <w:lang w:val="en-US" w:eastAsia="zh-CN" w:bidi="en-US"/>
        </w:rPr>
      </w:pPr>
      <w:r>
        <w:rPr>
          <w:rFonts w:hint="eastAsia" w:ascii="宋体" w:hAnsi="宋体" w:eastAsia="宋体" w:cs="宋体"/>
          <w:kern w:val="2"/>
          <w:sz w:val="24"/>
          <w:szCs w:val="24"/>
          <w:highlight w:val="none"/>
          <w:lang w:val="en-US" w:eastAsia="zh-CN" w:bidi="en-US"/>
        </w:rPr>
        <w:t>6.2对保证期的定义和说明：</w:t>
      </w:r>
    </w:p>
    <w:p>
      <w:pPr>
        <w:numPr>
          <w:ilvl w:val="0"/>
          <w:numId w:val="7"/>
        </w:numPr>
        <w:tabs>
          <w:tab w:val="left" w:pos="567"/>
        </w:tabs>
        <w:adjustRightInd w:val="0"/>
        <w:snapToGrid w:val="0"/>
        <w:spacing w:before="0" w:after="0" w:line="360" w:lineRule="auto"/>
        <w:ind w:left="0" w:firstLine="480" w:firstLineChars="200"/>
        <w:jc w:val="both"/>
        <w:rPr>
          <w:rFonts w:hint="eastAsia" w:ascii="宋体" w:hAnsi="宋体" w:eastAsia="宋体" w:cs="宋体"/>
          <w:kern w:val="2"/>
          <w:sz w:val="24"/>
          <w:szCs w:val="24"/>
          <w:highlight w:val="none"/>
          <w:lang w:val="en-US" w:eastAsia="zh-CN" w:bidi="en-US"/>
        </w:rPr>
      </w:pPr>
      <w:r>
        <w:rPr>
          <w:rFonts w:hint="eastAsia" w:ascii="宋体" w:hAnsi="宋体" w:eastAsia="宋体" w:cs="宋体"/>
          <w:kern w:val="2"/>
          <w:sz w:val="24"/>
          <w:szCs w:val="24"/>
          <w:highlight w:val="none"/>
          <w:lang w:val="en-US" w:eastAsia="zh-CN" w:bidi="en-US"/>
        </w:rPr>
        <w:t>运行小时数是指设备在要求的工况下运行的时间，启停期不包括在内。</w:t>
      </w:r>
    </w:p>
    <w:p>
      <w:pPr>
        <w:numPr>
          <w:ilvl w:val="0"/>
          <w:numId w:val="7"/>
        </w:numPr>
        <w:tabs>
          <w:tab w:val="left" w:pos="567"/>
        </w:tabs>
        <w:adjustRightInd w:val="0"/>
        <w:snapToGrid w:val="0"/>
        <w:spacing w:before="0" w:after="0" w:line="360" w:lineRule="auto"/>
        <w:ind w:left="0" w:firstLine="480" w:firstLineChars="200"/>
        <w:jc w:val="both"/>
        <w:rPr>
          <w:rFonts w:hint="eastAsia" w:ascii="宋体" w:hAnsi="宋体" w:eastAsia="宋体" w:cs="宋体"/>
          <w:kern w:val="2"/>
          <w:sz w:val="24"/>
          <w:szCs w:val="24"/>
          <w:highlight w:val="none"/>
          <w:lang w:val="en-US" w:eastAsia="zh-CN" w:bidi="en-US"/>
        </w:rPr>
      </w:pPr>
      <w:r>
        <w:rPr>
          <w:rFonts w:hint="eastAsia" w:ascii="宋体" w:hAnsi="宋体" w:eastAsia="宋体" w:cs="宋体"/>
          <w:kern w:val="2"/>
          <w:sz w:val="24"/>
          <w:szCs w:val="24"/>
          <w:highlight w:val="none"/>
          <w:lang w:val="en-US" w:eastAsia="zh-CN" w:bidi="en-US"/>
        </w:rPr>
        <w:t>如果发生问题导致设备停机超过1个月（累计），保证期将根据停机实际时间延长。</w:t>
      </w:r>
    </w:p>
    <w:p>
      <w:pPr>
        <w:numPr>
          <w:ilvl w:val="0"/>
          <w:numId w:val="7"/>
        </w:numPr>
        <w:tabs>
          <w:tab w:val="left" w:pos="567"/>
        </w:tabs>
        <w:adjustRightInd w:val="0"/>
        <w:snapToGrid w:val="0"/>
        <w:spacing w:before="0" w:after="0" w:line="360" w:lineRule="auto"/>
        <w:ind w:left="0" w:firstLine="480" w:firstLineChars="200"/>
        <w:jc w:val="both"/>
        <w:rPr>
          <w:rFonts w:hint="eastAsia" w:ascii="宋体" w:hAnsi="宋体" w:eastAsia="宋体" w:cs="宋体"/>
          <w:kern w:val="2"/>
          <w:sz w:val="24"/>
          <w:szCs w:val="24"/>
          <w:highlight w:val="none"/>
          <w:lang w:val="en-US" w:eastAsia="zh-CN" w:bidi="en-US"/>
        </w:rPr>
      </w:pPr>
      <w:r>
        <w:rPr>
          <w:rFonts w:hint="eastAsia" w:ascii="宋体" w:hAnsi="宋体" w:eastAsia="宋体" w:cs="宋体"/>
          <w:kern w:val="2"/>
          <w:sz w:val="24"/>
          <w:szCs w:val="24"/>
          <w:highlight w:val="none"/>
          <w:lang w:val="en-US" w:eastAsia="zh-CN" w:bidi="en-US"/>
        </w:rPr>
        <w:t>所有的材料和部件设备在保证期内不能满足要求，应由供货方免费更换。</w:t>
      </w:r>
    </w:p>
    <w:p>
      <w:pPr>
        <w:numPr>
          <w:ilvl w:val="0"/>
          <w:numId w:val="7"/>
        </w:numPr>
        <w:tabs>
          <w:tab w:val="left" w:pos="567"/>
        </w:tabs>
        <w:adjustRightInd w:val="0"/>
        <w:snapToGrid w:val="0"/>
        <w:spacing w:before="0" w:after="0" w:line="360" w:lineRule="auto"/>
        <w:ind w:left="0" w:firstLine="480" w:firstLineChars="200"/>
        <w:jc w:val="both"/>
        <w:rPr>
          <w:rFonts w:hint="eastAsia" w:ascii="宋体" w:hAnsi="宋体" w:eastAsia="宋体" w:cs="宋体"/>
          <w:kern w:val="2"/>
          <w:sz w:val="24"/>
          <w:szCs w:val="24"/>
          <w:highlight w:val="none"/>
          <w:lang w:val="en-US" w:eastAsia="zh-CN" w:bidi="en-US"/>
        </w:rPr>
      </w:pPr>
      <w:r>
        <w:rPr>
          <w:rFonts w:hint="eastAsia" w:ascii="宋体" w:hAnsi="宋体" w:eastAsia="宋体" w:cs="宋体"/>
          <w:kern w:val="2"/>
          <w:sz w:val="24"/>
          <w:szCs w:val="24"/>
          <w:highlight w:val="none"/>
          <w:lang w:val="en-US" w:eastAsia="zh-CN" w:bidi="en-US"/>
        </w:rPr>
        <w:t>供货方应保证提供设备的备品备件和易损件在整个装置临时接收后10年内均能易于采购。</w:t>
      </w:r>
    </w:p>
    <w:p>
      <w:pPr>
        <w:numPr>
          <w:ilvl w:val="0"/>
          <w:numId w:val="0"/>
        </w:numPr>
        <w:tabs>
          <w:tab w:val="left" w:pos="567"/>
        </w:tabs>
        <w:adjustRightInd w:val="0"/>
        <w:snapToGrid w:val="0"/>
        <w:spacing w:before="0" w:after="0" w:line="360" w:lineRule="auto"/>
        <w:jc w:val="both"/>
        <w:rPr>
          <w:rFonts w:hint="eastAsia" w:ascii="宋体" w:hAnsi="宋体" w:eastAsia="宋体" w:cs="宋体"/>
          <w:kern w:val="2"/>
          <w:sz w:val="24"/>
          <w:szCs w:val="24"/>
          <w:highlight w:val="none"/>
          <w:lang w:val="en-US" w:eastAsia="zh-CN" w:bidi="en-US"/>
        </w:rPr>
      </w:pPr>
      <w:r>
        <w:rPr>
          <w:rFonts w:hint="eastAsia" w:ascii="宋体" w:hAnsi="宋体" w:eastAsia="宋体" w:cs="宋体"/>
          <w:kern w:val="2"/>
          <w:sz w:val="24"/>
          <w:szCs w:val="24"/>
          <w:highlight w:val="none"/>
          <w:lang w:val="en-US" w:eastAsia="zh-CN" w:bidi="en-US"/>
        </w:rPr>
        <w:t>6.3供货方为合同设备承担的保证期应到需方出具最终验收证书时止。在质量保证期内供货方承诺并保证：</w:t>
      </w:r>
    </w:p>
    <w:p>
      <w:pPr>
        <w:numPr>
          <w:ilvl w:val="0"/>
          <w:numId w:val="8"/>
        </w:numPr>
        <w:tabs>
          <w:tab w:val="left" w:pos="567"/>
        </w:tabs>
        <w:adjustRightInd w:val="0"/>
        <w:snapToGrid w:val="0"/>
        <w:spacing w:before="0" w:after="0" w:line="360" w:lineRule="auto"/>
        <w:ind w:left="0" w:firstLine="480" w:firstLineChars="200"/>
        <w:jc w:val="both"/>
        <w:rPr>
          <w:rFonts w:hint="eastAsia" w:ascii="宋体" w:hAnsi="宋体" w:eastAsia="宋体" w:cs="宋体"/>
          <w:kern w:val="44"/>
          <w:sz w:val="24"/>
          <w:szCs w:val="24"/>
          <w:highlight w:val="none"/>
          <w:lang w:val="en-US" w:eastAsia="zh-CN" w:bidi="en-US"/>
        </w:rPr>
      </w:pPr>
      <w:r>
        <w:rPr>
          <w:rFonts w:hint="eastAsia" w:ascii="宋体" w:hAnsi="宋体" w:eastAsia="宋体" w:cs="宋体"/>
          <w:kern w:val="44"/>
          <w:sz w:val="24"/>
          <w:szCs w:val="24"/>
          <w:highlight w:val="none"/>
          <w:lang w:val="en-US" w:eastAsia="zh-CN" w:bidi="en-US"/>
        </w:rPr>
        <w:t>用于本合同的所有设备均为：</w:t>
      </w:r>
    </w:p>
    <w:p>
      <w:pPr>
        <w:spacing w:line="360" w:lineRule="auto"/>
        <w:ind w:firstLine="480"/>
        <w:rPr>
          <w:rFonts w:hint="eastAsia" w:ascii="宋体" w:hAnsi="宋体" w:eastAsia="宋体" w:cs="宋体"/>
          <w:kern w:val="44"/>
          <w:sz w:val="24"/>
          <w:szCs w:val="24"/>
          <w:highlight w:val="none"/>
          <w:lang w:eastAsia="zh-CN"/>
        </w:rPr>
      </w:pPr>
      <w:r>
        <w:rPr>
          <w:rFonts w:hint="eastAsia" w:ascii="宋体" w:hAnsi="宋体" w:eastAsia="宋体" w:cs="宋体"/>
          <w:kern w:val="44"/>
          <w:sz w:val="24"/>
          <w:szCs w:val="24"/>
          <w:highlight w:val="none"/>
          <w:lang w:eastAsia="zh-CN"/>
        </w:rPr>
        <w:t>（a）全新的和质量符合本合同要求的；</w:t>
      </w:r>
    </w:p>
    <w:p>
      <w:pPr>
        <w:spacing w:line="360" w:lineRule="auto"/>
        <w:ind w:firstLine="480"/>
        <w:rPr>
          <w:rFonts w:hint="eastAsia" w:ascii="宋体" w:hAnsi="宋体" w:eastAsia="宋体" w:cs="宋体"/>
          <w:kern w:val="44"/>
          <w:sz w:val="24"/>
          <w:szCs w:val="24"/>
          <w:highlight w:val="none"/>
          <w:lang w:eastAsia="zh-CN"/>
        </w:rPr>
      </w:pPr>
      <w:r>
        <w:rPr>
          <w:rFonts w:hint="eastAsia" w:ascii="宋体" w:hAnsi="宋体" w:eastAsia="宋体" w:cs="宋体"/>
          <w:kern w:val="44"/>
          <w:sz w:val="24"/>
          <w:szCs w:val="24"/>
          <w:highlight w:val="none"/>
          <w:lang w:eastAsia="zh-CN"/>
        </w:rPr>
        <w:t>（b）技术水平是先进的、成熟的、质量优良的；</w:t>
      </w:r>
    </w:p>
    <w:p>
      <w:pPr>
        <w:spacing w:line="360" w:lineRule="auto"/>
        <w:ind w:firstLine="480"/>
        <w:rPr>
          <w:rFonts w:hint="eastAsia" w:ascii="宋体" w:hAnsi="宋体" w:eastAsia="宋体" w:cs="宋体"/>
          <w:kern w:val="44"/>
          <w:sz w:val="24"/>
          <w:szCs w:val="24"/>
          <w:highlight w:val="none"/>
          <w:lang w:eastAsia="zh-CN"/>
        </w:rPr>
      </w:pPr>
      <w:r>
        <w:rPr>
          <w:rFonts w:hint="eastAsia" w:ascii="宋体" w:hAnsi="宋体" w:eastAsia="宋体" w:cs="宋体"/>
          <w:kern w:val="44"/>
          <w:sz w:val="24"/>
          <w:szCs w:val="24"/>
          <w:highlight w:val="none"/>
          <w:lang w:eastAsia="zh-CN"/>
        </w:rPr>
        <w:t>（c）设备的选型均符合安全可靠、经济运行和易于维护的要求；</w:t>
      </w:r>
    </w:p>
    <w:p>
      <w:pPr>
        <w:spacing w:line="360" w:lineRule="auto"/>
        <w:ind w:firstLine="480"/>
        <w:rPr>
          <w:rFonts w:hint="eastAsia" w:ascii="宋体" w:hAnsi="宋体" w:eastAsia="宋体" w:cs="宋体"/>
          <w:kern w:val="44"/>
          <w:sz w:val="24"/>
          <w:szCs w:val="24"/>
          <w:highlight w:val="none"/>
          <w:lang w:eastAsia="zh-CN"/>
        </w:rPr>
      </w:pPr>
      <w:r>
        <w:rPr>
          <w:rFonts w:hint="eastAsia" w:ascii="宋体" w:hAnsi="宋体" w:eastAsia="宋体" w:cs="宋体"/>
          <w:kern w:val="44"/>
          <w:sz w:val="24"/>
          <w:szCs w:val="24"/>
          <w:highlight w:val="none"/>
          <w:lang w:eastAsia="zh-CN"/>
        </w:rPr>
        <w:t>（d）适用于本合同既定目的或公认的相应目的的；</w:t>
      </w:r>
    </w:p>
    <w:p>
      <w:pPr>
        <w:tabs>
          <w:tab w:val="left" w:pos="567"/>
        </w:tabs>
        <w:adjustRightInd w:val="0"/>
        <w:snapToGrid w:val="0"/>
        <w:spacing w:before="0" w:after="0" w:line="360" w:lineRule="auto"/>
        <w:ind w:left="0" w:firstLine="480" w:firstLineChars="200"/>
        <w:jc w:val="both"/>
        <w:rPr>
          <w:rFonts w:hint="eastAsia" w:ascii="宋体" w:hAnsi="宋体" w:eastAsia="宋体" w:cs="宋体"/>
          <w:kern w:val="44"/>
          <w:sz w:val="24"/>
          <w:szCs w:val="24"/>
          <w:highlight w:val="none"/>
          <w:lang w:val="en-US" w:eastAsia="zh-CN" w:bidi="en-US"/>
        </w:rPr>
      </w:pPr>
      <w:r>
        <w:rPr>
          <w:rFonts w:hint="eastAsia" w:ascii="宋体" w:hAnsi="宋体" w:eastAsia="宋体" w:cs="宋体"/>
          <w:kern w:val="44"/>
          <w:sz w:val="24"/>
          <w:szCs w:val="24"/>
          <w:highlight w:val="none"/>
          <w:lang w:val="en-US" w:eastAsia="zh-CN" w:bidi="en-US"/>
        </w:rPr>
        <w:t>（e）用料和工艺上是没有缺陷的；</w:t>
      </w:r>
    </w:p>
    <w:p>
      <w:pPr>
        <w:numPr>
          <w:ilvl w:val="0"/>
          <w:numId w:val="8"/>
        </w:numPr>
        <w:tabs>
          <w:tab w:val="left" w:pos="567"/>
        </w:tabs>
        <w:adjustRightInd w:val="0"/>
        <w:snapToGrid w:val="0"/>
        <w:spacing w:before="0" w:after="0" w:line="360" w:lineRule="auto"/>
        <w:ind w:left="0" w:firstLine="480" w:firstLineChars="200"/>
        <w:jc w:val="both"/>
        <w:rPr>
          <w:rFonts w:hint="eastAsia" w:ascii="宋体" w:hAnsi="宋体" w:eastAsia="宋体" w:cs="宋体"/>
          <w:kern w:val="44"/>
          <w:sz w:val="24"/>
          <w:szCs w:val="24"/>
          <w:highlight w:val="none"/>
          <w:lang w:val="en-US" w:eastAsia="en-US" w:bidi="en-US"/>
        </w:rPr>
      </w:pPr>
      <w:r>
        <w:rPr>
          <w:rFonts w:hint="eastAsia" w:ascii="宋体" w:hAnsi="宋体" w:eastAsia="宋体" w:cs="宋体"/>
          <w:kern w:val="44"/>
          <w:sz w:val="24"/>
          <w:szCs w:val="24"/>
          <w:highlight w:val="none"/>
          <w:lang w:val="en-US" w:eastAsia="en-US" w:bidi="en-US"/>
        </w:rPr>
        <w:t>项目设计均为：</w:t>
      </w:r>
    </w:p>
    <w:p>
      <w:pPr>
        <w:spacing w:line="360" w:lineRule="auto"/>
        <w:ind w:firstLine="480"/>
        <w:rPr>
          <w:rFonts w:hint="eastAsia" w:ascii="宋体" w:hAnsi="宋体" w:eastAsia="宋体" w:cs="宋体"/>
          <w:kern w:val="44"/>
          <w:sz w:val="24"/>
          <w:szCs w:val="24"/>
          <w:highlight w:val="none"/>
        </w:rPr>
      </w:pPr>
      <w:r>
        <w:rPr>
          <w:rFonts w:hint="eastAsia" w:ascii="宋体" w:hAnsi="宋体" w:eastAsia="宋体" w:cs="宋体"/>
          <w:kern w:val="44"/>
          <w:sz w:val="24"/>
          <w:szCs w:val="24"/>
          <w:highlight w:val="none"/>
        </w:rPr>
        <w:t xml:space="preserve"> (a)适用于本合同既定目的或公认的相应目的的；</w:t>
      </w:r>
    </w:p>
    <w:p>
      <w:pPr>
        <w:spacing w:line="360" w:lineRule="auto"/>
        <w:ind w:firstLine="480"/>
        <w:rPr>
          <w:rFonts w:hint="eastAsia" w:ascii="宋体" w:hAnsi="宋体" w:eastAsia="宋体" w:cs="宋体"/>
          <w:kern w:val="44"/>
          <w:sz w:val="24"/>
          <w:szCs w:val="24"/>
          <w:highlight w:val="none"/>
          <w:lang w:eastAsia="zh-CN"/>
        </w:rPr>
      </w:pPr>
      <w:r>
        <w:rPr>
          <w:rFonts w:hint="eastAsia" w:ascii="宋体" w:hAnsi="宋体" w:eastAsia="宋体" w:cs="宋体"/>
          <w:kern w:val="44"/>
          <w:sz w:val="24"/>
          <w:szCs w:val="24"/>
          <w:highlight w:val="none"/>
          <w:lang w:eastAsia="zh-CN"/>
        </w:rPr>
        <w:t xml:space="preserve"> (b）符合良好电业惯例的；</w:t>
      </w:r>
    </w:p>
    <w:p>
      <w:pPr>
        <w:spacing w:line="360" w:lineRule="auto"/>
        <w:ind w:firstLine="480"/>
        <w:rPr>
          <w:rFonts w:hint="eastAsia" w:ascii="宋体" w:hAnsi="宋体" w:eastAsia="宋体" w:cs="宋体"/>
          <w:kern w:val="44"/>
          <w:sz w:val="24"/>
          <w:szCs w:val="24"/>
          <w:highlight w:val="none"/>
          <w:lang w:eastAsia="zh-CN"/>
        </w:rPr>
      </w:pPr>
      <w:r>
        <w:rPr>
          <w:rFonts w:hint="eastAsia" w:ascii="宋体" w:hAnsi="宋体" w:eastAsia="宋体" w:cs="宋体"/>
          <w:kern w:val="44"/>
          <w:sz w:val="24"/>
          <w:szCs w:val="24"/>
          <w:highlight w:val="none"/>
          <w:lang w:eastAsia="zh-CN"/>
        </w:rPr>
        <w:t xml:space="preserve"> (c）严格遵守本合同要求的。</w:t>
      </w:r>
    </w:p>
    <w:p>
      <w:pPr>
        <w:numPr>
          <w:ilvl w:val="0"/>
          <w:numId w:val="8"/>
        </w:numPr>
        <w:tabs>
          <w:tab w:val="left" w:pos="567"/>
        </w:tabs>
        <w:adjustRightInd w:val="0"/>
        <w:snapToGrid w:val="0"/>
        <w:spacing w:before="0" w:after="0" w:line="360" w:lineRule="auto"/>
        <w:ind w:left="0" w:firstLine="480" w:firstLineChars="200"/>
        <w:jc w:val="both"/>
        <w:rPr>
          <w:rFonts w:hint="default" w:hAnsi="宋体"/>
          <w:sz w:val="24"/>
          <w:lang w:val="en-US" w:eastAsia="zh-CN"/>
        </w:rPr>
      </w:pPr>
      <w:r>
        <w:rPr>
          <w:rFonts w:hint="eastAsia" w:ascii="宋体" w:hAnsi="宋体" w:eastAsia="宋体" w:cs="宋体"/>
          <w:kern w:val="44"/>
          <w:sz w:val="24"/>
          <w:szCs w:val="24"/>
          <w:highlight w:val="none"/>
          <w:lang w:val="en-US" w:eastAsia="zh-CN" w:bidi="en-US"/>
        </w:rPr>
        <w:t>技术资料完整统一和内容正确、准确的并能满足合同设备的设计、设备安装工程施工、调试、运行和维修的要求。</w:t>
      </w:r>
    </w:p>
    <w:p>
      <w:pPr>
        <w:spacing w:before="100" w:beforeAutospacing="1" w:after="100" w:afterAutospacing="1" w:line="480" w:lineRule="auto"/>
        <w:rPr>
          <w:rFonts w:hint="eastAsia" w:hAnsi="宋体"/>
          <w:b/>
          <w:bCs/>
          <w:sz w:val="28"/>
          <w:lang w:val="en-US" w:eastAsia="en-US"/>
        </w:rPr>
      </w:pPr>
      <w:bookmarkStart w:id="5" w:name="_Toc41517897"/>
      <w:bookmarkStart w:id="6" w:name="_Toc522563904"/>
      <w:bookmarkStart w:id="7" w:name="_Toc10685"/>
      <w:r>
        <w:rPr>
          <w:rFonts w:hint="eastAsia" w:hAnsi="宋体"/>
          <w:b/>
          <w:bCs/>
          <w:sz w:val="28"/>
          <w:lang w:val="en-US" w:eastAsia="zh-CN"/>
        </w:rPr>
        <w:t>7</w:t>
      </w:r>
      <w:r>
        <w:rPr>
          <w:rFonts w:hint="eastAsia" w:hAnsi="宋体"/>
          <w:b/>
          <w:bCs/>
          <w:sz w:val="28"/>
          <w:lang w:val="en-US" w:eastAsia="en-US"/>
        </w:rPr>
        <w:t>罚则</w:t>
      </w:r>
      <w:bookmarkEnd w:id="5"/>
      <w:bookmarkEnd w:id="6"/>
      <w:bookmarkEnd w:id="7"/>
    </w:p>
    <w:p>
      <w:pPr>
        <w:numPr>
          <w:ilvl w:val="0"/>
          <w:numId w:val="0"/>
        </w:numPr>
        <w:tabs>
          <w:tab w:val="left" w:pos="567"/>
        </w:tabs>
        <w:adjustRightInd w:val="0"/>
        <w:snapToGrid w:val="0"/>
        <w:spacing w:before="0" w:after="0" w:line="360" w:lineRule="auto"/>
        <w:jc w:val="both"/>
        <w:rPr>
          <w:rFonts w:ascii="Times New Roman" w:hAnsi="Times New Roman" w:eastAsia="宋体" w:cs="Times New Roman"/>
          <w:kern w:val="2"/>
          <w:sz w:val="24"/>
          <w:szCs w:val="24"/>
          <w:highlight w:val="none"/>
          <w:lang w:val="en-US" w:eastAsia="en-US" w:bidi="en-US"/>
        </w:rPr>
      </w:pPr>
      <w:r>
        <w:rPr>
          <w:rFonts w:hint="eastAsia" w:ascii="Times New Roman" w:cs="Times New Roman"/>
          <w:kern w:val="2"/>
          <w:sz w:val="24"/>
          <w:szCs w:val="24"/>
          <w:highlight w:val="none"/>
          <w:lang w:val="en-US" w:eastAsia="zh-CN" w:bidi="en-US"/>
        </w:rPr>
        <w:t>7.1</w:t>
      </w:r>
      <w:r>
        <w:rPr>
          <w:rFonts w:hint="eastAsia" w:ascii="Times New Roman" w:hAnsi="Times New Roman" w:eastAsia="宋体" w:cs="Times New Roman"/>
          <w:kern w:val="2"/>
          <w:sz w:val="24"/>
          <w:szCs w:val="24"/>
          <w:highlight w:val="none"/>
          <w:lang w:val="en-US" w:eastAsia="zh-CN" w:bidi="en-US"/>
        </w:rPr>
        <w:t>安装</w:t>
      </w:r>
      <w:r>
        <w:rPr>
          <w:rFonts w:ascii="Times New Roman" w:hAnsi="Times New Roman" w:eastAsia="宋体" w:cs="Times New Roman"/>
          <w:kern w:val="2"/>
          <w:sz w:val="24"/>
          <w:szCs w:val="24"/>
          <w:highlight w:val="none"/>
          <w:lang w:val="en-US" w:eastAsia="zh-CN" w:bidi="en-US"/>
        </w:rPr>
        <w:t>后</w:t>
      </w:r>
      <w:r>
        <w:rPr>
          <w:rFonts w:hint="eastAsia" w:ascii="Times New Roman" w:hAnsi="Times New Roman" w:eastAsia="宋体" w:cs="Times New Roman"/>
          <w:kern w:val="2"/>
          <w:sz w:val="24"/>
          <w:szCs w:val="24"/>
          <w:highlight w:val="none"/>
          <w:lang w:val="en-US" w:eastAsia="zh-CN" w:bidi="en-US"/>
        </w:rPr>
        <w:t>不满足合同要求</w:t>
      </w:r>
      <w:r>
        <w:rPr>
          <w:rFonts w:ascii="Times New Roman" w:hAnsi="Times New Roman" w:eastAsia="宋体" w:cs="Times New Roman"/>
          <w:kern w:val="2"/>
          <w:sz w:val="24"/>
          <w:szCs w:val="24"/>
          <w:highlight w:val="none"/>
          <w:lang w:val="en-US" w:eastAsia="zh-CN" w:bidi="en-US"/>
        </w:rPr>
        <w:t>，</w:t>
      </w:r>
      <w:r>
        <w:rPr>
          <w:rFonts w:hint="eastAsia" w:ascii="Times New Roman" w:cs="Times New Roman"/>
          <w:kern w:val="2"/>
          <w:sz w:val="24"/>
          <w:szCs w:val="24"/>
          <w:highlight w:val="none"/>
          <w:lang w:val="en-US" w:eastAsia="zh-CN" w:bidi="en-US"/>
        </w:rPr>
        <w:t>供货方</w:t>
      </w:r>
      <w:r>
        <w:rPr>
          <w:rFonts w:ascii="Times New Roman" w:hAnsi="Times New Roman" w:eastAsia="宋体" w:cs="Times New Roman"/>
          <w:kern w:val="2"/>
          <w:sz w:val="24"/>
          <w:szCs w:val="24"/>
          <w:highlight w:val="none"/>
          <w:lang w:val="en-US" w:eastAsia="zh-CN" w:bidi="en-US"/>
        </w:rPr>
        <w:t>负责设备的消缺直至达到本技术规范书规定的要求</w:t>
      </w:r>
      <w:r>
        <w:rPr>
          <w:rFonts w:hint="eastAsia" w:ascii="Times New Roman" w:hAnsi="Times New Roman" w:eastAsia="宋体" w:cs="Times New Roman"/>
          <w:kern w:val="2"/>
          <w:sz w:val="24"/>
          <w:szCs w:val="24"/>
          <w:highlight w:val="none"/>
          <w:lang w:val="en-US" w:eastAsia="zh-CN" w:bidi="en-US"/>
        </w:rPr>
        <w:t>，且满足本次改造EPC工程的要求</w:t>
      </w:r>
      <w:r>
        <w:rPr>
          <w:rFonts w:ascii="Times New Roman" w:hAnsi="Times New Roman" w:eastAsia="宋体" w:cs="Times New Roman"/>
          <w:kern w:val="2"/>
          <w:sz w:val="24"/>
          <w:szCs w:val="24"/>
          <w:highlight w:val="none"/>
          <w:lang w:val="en-US" w:eastAsia="zh-CN" w:bidi="en-US"/>
        </w:rPr>
        <w:t>，如果</w:t>
      </w:r>
      <w:r>
        <w:rPr>
          <w:rFonts w:hint="eastAsia" w:ascii="Times New Roman" w:cs="Times New Roman"/>
          <w:kern w:val="2"/>
          <w:sz w:val="24"/>
          <w:szCs w:val="24"/>
          <w:highlight w:val="none"/>
          <w:lang w:val="en-US" w:eastAsia="zh-CN" w:bidi="en-US"/>
        </w:rPr>
        <w:t>供货方</w:t>
      </w:r>
      <w:r>
        <w:rPr>
          <w:rFonts w:ascii="Times New Roman" w:hAnsi="Times New Roman" w:eastAsia="宋体" w:cs="Times New Roman"/>
          <w:kern w:val="2"/>
          <w:sz w:val="24"/>
          <w:szCs w:val="24"/>
          <w:highlight w:val="none"/>
          <w:lang w:val="en-US" w:eastAsia="zh-CN" w:bidi="en-US"/>
        </w:rPr>
        <w:t>在</w:t>
      </w:r>
      <w:r>
        <w:rPr>
          <w:rFonts w:ascii="Times New Roman" w:hAnsi="Times New Roman" w:eastAsia="宋体" w:cs="Times New Roman"/>
          <w:kern w:val="44"/>
          <w:sz w:val="24"/>
          <w:szCs w:val="24"/>
          <w:highlight w:val="none"/>
          <w:lang w:val="en-US" w:eastAsia="zh-CN" w:bidi="en-US"/>
        </w:rPr>
        <w:t>#1、2机组</w:t>
      </w:r>
      <w:r>
        <w:rPr>
          <w:rFonts w:hint="eastAsia" w:ascii="Times New Roman" w:hAnsi="Times New Roman" w:eastAsia="宋体" w:cs="Times New Roman"/>
          <w:kern w:val="44"/>
          <w:sz w:val="24"/>
          <w:szCs w:val="24"/>
          <w:highlight w:val="none"/>
          <w:lang w:val="en-US" w:eastAsia="zh-CN" w:bidi="en-US"/>
        </w:rPr>
        <w:t>改造</w:t>
      </w:r>
      <w:r>
        <w:rPr>
          <w:rFonts w:ascii="Times New Roman" w:hAnsi="Times New Roman" w:eastAsia="宋体" w:cs="Times New Roman"/>
          <w:kern w:val="44"/>
          <w:sz w:val="24"/>
          <w:szCs w:val="24"/>
          <w:highlight w:val="none"/>
          <w:lang w:val="en-US" w:eastAsia="zh-CN" w:bidi="en-US"/>
        </w:rPr>
        <w:t>工程</w:t>
      </w:r>
      <w:r>
        <w:rPr>
          <w:rFonts w:hint="eastAsia" w:ascii="Times New Roman" w:hAnsi="Times New Roman" w:eastAsia="宋体" w:cs="Times New Roman"/>
          <w:kern w:val="44"/>
          <w:sz w:val="24"/>
          <w:szCs w:val="24"/>
          <w:highlight w:val="none"/>
          <w:lang w:val="en-US" w:eastAsia="zh-CN" w:bidi="en-US"/>
        </w:rPr>
        <w:t>其余</w:t>
      </w:r>
      <w:r>
        <w:rPr>
          <w:rFonts w:ascii="Times New Roman" w:hAnsi="Times New Roman" w:eastAsia="宋体" w:cs="Times New Roman"/>
          <w:kern w:val="44"/>
          <w:sz w:val="24"/>
          <w:szCs w:val="24"/>
          <w:highlight w:val="none"/>
          <w:lang w:val="en-US" w:eastAsia="zh-CN" w:bidi="en-US"/>
        </w:rPr>
        <w:t>设备运转稳定</w:t>
      </w:r>
      <w:r>
        <w:rPr>
          <w:rFonts w:hint="eastAsia" w:ascii="Times New Roman" w:hAnsi="Times New Roman" w:eastAsia="宋体" w:cs="Times New Roman"/>
          <w:kern w:val="44"/>
          <w:sz w:val="24"/>
          <w:szCs w:val="24"/>
          <w:highlight w:val="none"/>
          <w:lang w:val="en-US" w:eastAsia="zh-CN" w:bidi="en-US"/>
        </w:rPr>
        <w:t>情况下</w:t>
      </w:r>
      <w:r>
        <w:rPr>
          <w:rFonts w:hint="eastAsia" w:ascii="Times New Roman" w:hAnsi="Times New Roman" w:eastAsia="宋体" w:cs="Times New Roman"/>
          <w:kern w:val="2"/>
          <w:sz w:val="24"/>
          <w:szCs w:val="24"/>
          <w:highlight w:val="none"/>
          <w:lang w:val="en-US" w:eastAsia="zh-CN" w:bidi="en-US"/>
        </w:rPr>
        <w:t>1</w:t>
      </w:r>
      <w:r>
        <w:rPr>
          <w:rFonts w:ascii="Times New Roman" w:hAnsi="Times New Roman" w:eastAsia="宋体" w:cs="Times New Roman"/>
          <w:kern w:val="2"/>
          <w:sz w:val="24"/>
          <w:szCs w:val="24"/>
          <w:highlight w:val="none"/>
          <w:lang w:val="en-US" w:eastAsia="zh-CN" w:bidi="en-US"/>
        </w:rPr>
        <w:t>个月内经多次消缺处理仍不能满足要求</w:t>
      </w:r>
      <w:r>
        <w:rPr>
          <w:rFonts w:hint="eastAsia" w:ascii="Times New Roman" w:hAnsi="Times New Roman" w:eastAsia="宋体" w:cs="Times New Roman"/>
          <w:kern w:val="2"/>
          <w:sz w:val="24"/>
          <w:szCs w:val="24"/>
          <w:highlight w:val="none"/>
          <w:lang w:val="en-US" w:eastAsia="zh-CN" w:bidi="en-US"/>
        </w:rPr>
        <w:t>，</w:t>
      </w:r>
      <w:r>
        <w:rPr>
          <w:rFonts w:ascii="Times New Roman" w:hAnsi="Times New Roman" w:eastAsia="宋体" w:cs="Times New Roman"/>
          <w:kern w:val="2"/>
          <w:sz w:val="24"/>
          <w:szCs w:val="24"/>
          <w:highlight w:val="none"/>
          <w:lang w:val="en-US" w:eastAsia="zh-CN" w:bidi="en-US"/>
        </w:rPr>
        <w:t>未向</w:t>
      </w:r>
      <w:r>
        <w:rPr>
          <w:rFonts w:hint="eastAsia" w:ascii="Times New Roman" w:hAnsi="Times New Roman" w:eastAsia="宋体" w:cs="Times New Roman"/>
          <w:kern w:val="2"/>
          <w:sz w:val="24"/>
          <w:szCs w:val="24"/>
          <w:highlight w:val="none"/>
          <w:lang w:val="en-US" w:eastAsia="zh-CN" w:bidi="en-US"/>
        </w:rPr>
        <w:t>需方</w:t>
      </w:r>
      <w:r>
        <w:rPr>
          <w:rFonts w:ascii="Times New Roman" w:hAnsi="Times New Roman" w:eastAsia="宋体" w:cs="Times New Roman"/>
          <w:kern w:val="2"/>
          <w:sz w:val="24"/>
          <w:szCs w:val="24"/>
          <w:highlight w:val="none"/>
          <w:lang w:val="en-US" w:eastAsia="zh-CN" w:bidi="en-US"/>
        </w:rPr>
        <w:t>提出性能考核试验申请，或虽经第一次性能考核试验但不能达到保证值视为第一次性能考核试验未通过，此后</w:t>
      </w:r>
      <w:r>
        <w:rPr>
          <w:rFonts w:hint="eastAsia" w:ascii="Times New Roman" w:hAnsi="Times New Roman" w:eastAsia="宋体" w:cs="Times New Roman"/>
          <w:kern w:val="2"/>
          <w:sz w:val="24"/>
          <w:szCs w:val="24"/>
          <w:highlight w:val="none"/>
          <w:lang w:val="en-US" w:eastAsia="zh-CN" w:bidi="en-US"/>
        </w:rPr>
        <w:t>1</w:t>
      </w:r>
      <w:r>
        <w:rPr>
          <w:rFonts w:ascii="Times New Roman" w:hAnsi="Times New Roman" w:eastAsia="宋体" w:cs="Times New Roman"/>
          <w:kern w:val="2"/>
          <w:sz w:val="24"/>
          <w:szCs w:val="24"/>
          <w:highlight w:val="none"/>
          <w:lang w:val="en-US" w:eastAsia="zh-CN" w:bidi="en-US"/>
        </w:rPr>
        <w:t>个月内经多次消缺处理仍不能满足要求未向</w:t>
      </w:r>
      <w:r>
        <w:rPr>
          <w:rFonts w:hint="eastAsia" w:ascii="Times New Roman" w:hAnsi="Times New Roman" w:eastAsia="宋体" w:cs="Times New Roman"/>
          <w:kern w:val="2"/>
          <w:sz w:val="24"/>
          <w:szCs w:val="24"/>
          <w:highlight w:val="none"/>
          <w:lang w:val="en-US" w:eastAsia="zh-CN" w:bidi="en-US"/>
        </w:rPr>
        <w:t>需方</w:t>
      </w:r>
      <w:r>
        <w:rPr>
          <w:rFonts w:ascii="Times New Roman" w:hAnsi="Times New Roman" w:eastAsia="宋体" w:cs="Times New Roman"/>
          <w:kern w:val="2"/>
          <w:sz w:val="24"/>
          <w:szCs w:val="24"/>
          <w:highlight w:val="none"/>
          <w:lang w:val="en-US" w:eastAsia="zh-CN" w:bidi="en-US"/>
        </w:rPr>
        <w:t>提出第二次性能考核试验申请或虽经第二次性能考核试验但仍不能达到保证值，视为两次性能考核试验未通过，宣告</w:t>
      </w:r>
      <w:r>
        <w:rPr>
          <w:rFonts w:hint="eastAsia" w:ascii="Times New Roman" w:hAnsi="Times New Roman" w:eastAsia="宋体" w:cs="Times New Roman"/>
          <w:kern w:val="2"/>
          <w:sz w:val="24"/>
          <w:szCs w:val="24"/>
          <w:highlight w:val="none"/>
          <w:lang w:val="en-US" w:eastAsia="zh-CN" w:bidi="en-US"/>
        </w:rPr>
        <w:t>设备供货任务</w:t>
      </w:r>
      <w:r>
        <w:rPr>
          <w:rFonts w:ascii="Times New Roman" w:hAnsi="Times New Roman" w:eastAsia="宋体" w:cs="Times New Roman"/>
          <w:kern w:val="2"/>
          <w:sz w:val="24"/>
          <w:szCs w:val="24"/>
          <w:highlight w:val="none"/>
          <w:lang w:val="en-US" w:eastAsia="zh-CN" w:bidi="en-US"/>
        </w:rPr>
        <w:t>失败。</w:t>
      </w:r>
      <w:r>
        <w:rPr>
          <w:rFonts w:ascii="Times New Roman" w:hAnsi="Times New Roman" w:eastAsia="宋体" w:cs="Times New Roman"/>
          <w:kern w:val="2"/>
          <w:sz w:val="24"/>
          <w:szCs w:val="24"/>
          <w:highlight w:val="none"/>
          <w:lang w:val="en-US" w:eastAsia="en-US" w:bidi="en-US"/>
        </w:rPr>
        <w:t>可选择按如下两种方式中的一种处理：</w:t>
      </w:r>
    </w:p>
    <w:p>
      <w:pPr>
        <w:numPr>
          <w:ilvl w:val="0"/>
          <w:numId w:val="9"/>
        </w:numPr>
        <w:tabs>
          <w:tab w:val="left" w:pos="567"/>
        </w:tabs>
        <w:adjustRightInd w:val="0"/>
        <w:snapToGrid w:val="0"/>
        <w:spacing w:before="0" w:after="0" w:line="360" w:lineRule="auto"/>
        <w:ind w:left="0" w:firstLine="480" w:firstLineChars="200"/>
        <w:jc w:val="both"/>
        <w:rPr>
          <w:rFonts w:ascii="Times New Roman" w:hAnsi="Times New Roman" w:eastAsia="宋体" w:cs="Times New Roman"/>
          <w:kern w:val="2"/>
          <w:sz w:val="24"/>
          <w:szCs w:val="24"/>
          <w:highlight w:val="none"/>
          <w:lang w:val="en-US" w:eastAsia="zh-CN" w:bidi="en-US"/>
        </w:rPr>
      </w:pPr>
      <w:r>
        <w:rPr>
          <w:rFonts w:hint="eastAsia" w:ascii="Times New Roman" w:hAnsi="Times New Roman" w:eastAsia="宋体" w:cs="Times New Roman"/>
          <w:kern w:val="2"/>
          <w:sz w:val="24"/>
          <w:szCs w:val="24"/>
          <w:highlight w:val="none"/>
          <w:lang w:val="en-US" w:eastAsia="zh-CN" w:bidi="en-US"/>
        </w:rPr>
        <w:t>需方</w:t>
      </w:r>
      <w:r>
        <w:rPr>
          <w:rFonts w:ascii="Times New Roman" w:hAnsi="Times New Roman" w:eastAsia="宋体" w:cs="Times New Roman"/>
          <w:kern w:val="2"/>
          <w:sz w:val="24"/>
          <w:szCs w:val="24"/>
          <w:highlight w:val="none"/>
          <w:lang w:val="en-US" w:eastAsia="zh-CN" w:bidi="en-US"/>
        </w:rPr>
        <w:t>有权拒绝接收</w:t>
      </w:r>
      <w:r>
        <w:rPr>
          <w:rFonts w:ascii="Times New Roman" w:hAnsi="Times New Roman" w:eastAsia="宋体" w:cs="Times New Roman"/>
          <w:kern w:val="44"/>
          <w:sz w:val="24"/>
          <w:szCs w:val="24"/>
          <w:highlight w:val="none"/>
          <w:lang w:val="en-US" w:eastAsia="zh-CN" w:bidi="en-US"/>
        </w:rPr>
        <w:t>#1、2</w:t>
      </w:r>
      <w:r>
        <w:rPr>
          <w:rFonts w:hint="eastAsia" w:ascii="Times New Roman" w:cs="Times New Roman"/>
          <w:kern w:val="44"/>
          <w:sz w:val="24"/>
          <w:szCs w:val="24"/>
          <w:highlight w:val="none"/>
          <w:lang w:val="en-US" w:eastAsia="zh-CN" w:bidi="en-US"/>
        </w:rPr>
        <w:t>锅炉烟气再循环</w:t>
      </w:r>
      <w:r>
        <w:rPr>
          <w:rFonts w:hint="eastAsia" w:ascii="Times New Roman" w:hAnsi="Times New Roman" w:eastAsia="宋体" w:cs="Times New Roman"/>
          <w:kern w:val="44"/>
          <w:sz w:val="24"/>
          <w:szCs w:val="24"/>
          <w:highlight w:val="none"/>
          <w:lang w:val="en-US" w:eastAsia="zh-CN" w:bidi="en-US"/>
        </w:rPr>
        <w:t>系统</w:t>
      </w:r>
      <w:r>
        <w:rPr>
          <w:rFonts w:hint="eastAsia" w:ascii="Times New Roman" w:cs="Times New Roman"/>
          <w:kern w:val="44"/>
          <w:sz w:val="24"/>
          <w:szCs w:val="24"/>
          <w:highlight w:val="none"/>
          <w:lang w:val="en-US" w:eastAsia="zh-CN" w:bidi="en-US"/>
        </w:rPr>
        <w:t>电气元件及仪表</w:t>
      </w:r>
      <w:r>
        <w:rPr>
          <w:rFonts w:hint="eastAsia" w:ascii="Times New Roman" w:hAnsi="Times New Roman" w:eastAsia="宋体" w:cs="Times New Roman"/>
          <w:kern w:val="44"/>
          <w:sz w:val="24"/>
          <w:szCs w:val="24"/>
          <w:highlight w:val="none"/>
          <w:lang w:val="en-US" w:eastAsia="zh-CN" w:bidi="en-US"/>
        </w:rPr>
        <w:t>设备</w:t>
      </w:r>
      <w:r>
        <w:rPr>
          <w:rFonts w:ascii="Times New Roman" w:hAnsi="Times New Roman" w:eastAsia="宋体" w:cs="Times New Roman"/>
          <w:kern w:val="2"/>
          <w:sz w:val="24"/>
          <w:szCs w:val="24"/>
          <w:highlight w:val="none"/>
          <w:lang w:val="en-US" w:eastAsia="zh-CN" w:bidi="en-US"/>
        </w:rPr>
        <w:t>，并要求</w:t>
      </w:r>
      <w:r>
        <w:rPr>
          <w:rFonts w:hint="eastAsia" w:ascii="Times New Roman" w:cs="Times New Roman"/>
          <w:kern w:val="2"/>
          <w:sz w:val="24"/>
          <w:szCs w:val="24"/>
          <w:highlight w:val="none"/>
          <w:lang w:val="en-US" w:eastAsia="zh-CN" w:bidi="en-US"/>
        </w:rPr>
        <w:t>供货方</w:t>
      </w:r>
      <w:r>
        <w:rPr>
          <w:rFonts w:ascii="Times New Roman" w:hAnsi="Times New Roman" w:eastAsia="宋体" w:cs="Times New Roman"/>
          <w:kern w:val="2"/>
          <w:sz w:val="24"/>
          <w:szCs w:val="24"/>
          <w:highlight w:val="none"/>
          <w:lang w:val="en-US" w:eastAsia="zh-CN" w:bidi="en-US"/>
        </w:rPr>
        <w:t>拆除已建</w:t>
      </w:r>
      <w:r>
        <w:rPr>
          <w:rFonts w:hint="eastAsia" w:ascii="Times New Roman" w:hAnsi="Times New Roman" w:eastAsia="宋体" w:cs="Times New Roman"/>
          <w:kern w:val="44"/>
          <w:sz w:val="24"/>
          <w:szCs w:val="24"/>
          <w:highlight w:val="none"/>
          <w:lang w:val="en-US" w:eastAsia="zh-CN" w:bidi="en-US"/>
        </w:rPr>
        <w:t>设备并</w:t>
      </w:r>
      <w:r>
        <w:rPr>
          <w:rFonts w:ascii="Times New Roman" w:hAnsi="Times New Roman" w:eastAsia="宋体" w:cs="Times New Roman"/>
          <w:kern w:val="2"/>
          <w:sz w:val="24"/>
          <w:szCs w:val="24"/>
          <w:highlight w:val="none"/>
          <w:lang w:val="en-US" w:eastAsia="zh-CN" w:bidi="en-US"/>
        </w:rPr>
        <w:t>恢复原貌。同时</w:t>
      </w:r>
      <w:r>
        <w:rPr>
          <w:rFonts w:hint="eastAsia" w:ascii="Times New Roman" w:cs="Times New Roman"/>
          <w:kern w:val="2"/>
          <w:sz w:val="24"/>
          <w:szCs w:val="24"/>
          <w:highlight w:val="none"/>
          <w:lang w:val="en-US" w:eastAsia="zh-CN" w:bidi="en-US"/>
        </w:rPr>
        <w:t>供货方</w:t>
      </w:r>
      <w:r>
        <w:rPr>
          <w:rFonts w:ascii="Times New Roman" w:hAnsi="Times New Roman" w:eastAsia="宋体" w:cs="Times New Roman"/>
          <w:kern w:val="2"/>
          <w:sz w:val="24"/>
          <w:szCs w:val="24"/>
          <w:highlight w:val="none"/>
          <w:lang w:val="en-US" w:eastAsia="zh-CN" w:bidi="en-US"/>
        </w:rPr>
        <w:t>需向</w:t>
      </w:r>
      <w:r>
        <w:rPr>
          <w:rFonts w:hint="eastAsia" w:ascii="Times New Roman" w:hAnsi="Times New Roman" w:eastAsia="宋体" w:cs="Times New Roman"/>
          <w:kern w:val="2"/>
          <w:sz w:val="24"/>
          <w:szCs w:val="24"/>
          <w:highlight w:val="none"/>
          <w:lang w:val="en-US" w:eastAsia="zh-CN" w:bidi="en-US"/>
        </w:rPr>
        <w:t>需方</w:t>
      </w:r>
      <w:r>
        <w:rPr>
          <w:rFonts w:ascii="Times New Roman" w:hAnsi="Times New Roman" w:eastAsia="宋体" w:cs="Times New Roman"/>
          <w:kern w:val="2"/>
          <w:sz w:val="24"/>
          <w:szCs w:val="24"/>
          <w:highlight w:val="none"/>
          <w:lang w:val="en-US" w:eastAsia="zh-CN" w:bidi="en-US"/>
        </w:rPr>
        <w:t>支付合同总价20%的</w:t>
      </w:r>
      <w:r>
        <w:rPr>
          <w:rFonts w:hint="eastAsia" w:ascii="Times New Roman" w:hAnsi="Times New Roman" w:eastAsia="宋体" w:cs="Times New Roman"/>
          <w:kern w:val="2"/>
          <w:sz w:val="24"/>
          <w:szCs w:val="24"/>
          <w:highlight w:val="none"/>
          <w:lang w:val="en-US" w:eastAsia="zh-CN" w:bidi="en-US"/>
        </w:rPr>
        <w:t>费用</w:t>
      </w:r>
      <w:r>
        <w:rPr>
          <w:rFonts w:ascii="Times New Roman" w:hAnsi="Times New Roman" w:eastAsia="宋体" w:cs="Times New Roman"/>
          <w:kern w:val="2"/>
          <w:sz w:val="24"/>
          <w:szCs w:val="24"/>
          <w:highlight w:val="none"/>
          <w:lang w:val="en-US" w:eastAsia="zh-CN" w:bidi="en-US"/>
        </w:rPr>
        <w:t>作为违约金，已经支付的所有款项退还给</w:t>
      </w:r>
      <w:r>
        <w:rPr>
          <w:rFonts w:hint="eastAsia" w:ascii="Times New Roman" w:hAnsi="Times New Roman" w:eastAsia="宋体" w:cs="Times New Roman"/>
          <w:kern w:val="2"/>
          <w:sz w:val="24"/>
          <w:szCs w:val="24"/>
          <w:highlight w:val="none"/>
          <w:lang w:val="en-US" w:eastAsia="zh-CN" w:bidi="en-US"/>
        </w:rPr>
        <w:t>需方</w:t>
      </w:r>
      <w:r>
        <w:rPr>
          <w:rFonts w:ascii="Times New Roman" w:hAnsi="Times New Roman" w:eastAsia="宋体" w:cs="Times New Roman"/>
          <w:kern w:val="2"/>
          <w:sz w:val="24"/>
          <w:szCs w:val="24"/>
          <w:highlight w:val="none"/>
          <w:lang w:val="en-US" w:eastAsia="zh-CN" w:bidi="en-US"/>
        </w:rPr>
        <w:t>，</w:t>
      </w:r>
      <w:r>
        <w:rPr>
          <w:rFonts w:ascii="Times New Roman" w:hAnsi="Times New Roman" w:eastAsia="宋体" w:cs="Times New Roman"/>
          <w:kern w:val="44"/>
          <w:sz w:val="24"/>
          <w:szCs w:val="24"/>
          <w:highlight w:val="none"/>
          <w:lang w:val="en-US" w:eastAsia="zh-CN" w:bidi="en-US"/>
        </w:rPr>
        <w:t>并承担</w:t>
      </w:r>
      <w:r>
        <w:rPr>
          <w:rFonts w:hint="eastAsia" w:ascii="Times New Roman" w:hAnsi="Times New Roman" w:eastAsia="宋体" w:cs="Times New Roman"/>
          <w:kern w:val="44"/>
          <w:sz w:val="24"/>
          <w:szCs w:val="24"/>
          <w:highlight w:val="none"/>
          <w:lang w:val="en-US" w:eastAsia="zh-CN" w:bidi="en-US"/>
        </w:rPr>
        <w:t>需方</w:t>
      </w:r>
      <w:r>
        <w:rPr>
          <w:rFonts w:ascii="Times New Roman" w:hAnsi="Times New Roman" w:eastAsia="宋体" w:cs="Times New Roman"/>
          <w:kern w:val="44"/>
          <w:sz w:val="24"/>
          <w:szCs w:val="24"/>
          <w:highlight w:val="none"/>
          <w:lang w:val="en-US" w:eastAsia="zh-CN" w:bidi="en-US"/>
        </w:rPr>
        <w:t>发生的所有损失和费用，包括利息、银行费用、运费和保险费、检查费、贮存和装卸费，以及</w:t>
      </w:r>
      <w:r>
        <w:rPr>
          <w:rFonts w:hint="eastAsia" w:ascii="Times New Roman" w:hAnsi="Times New Roman" w:eastAsia="宋体" w:cs="Times New Roman"/>
          <w:kern w:val="44"/>
          <w:sz w:val="24"/>
          <w:szCs w:val="24"/>
          <w:highlight w:val="none"/>
          <w:lang w:val="en-US" w:eastAsia="zh-CN" w:bidi="en-US"/>
        </w:rPr>
        <w:t>需方由于供货任务失败导致工程延误</w:t>
      </w:r>
      <w:r>
        <w:rPr>
          <w:rFonts w:ascii="Times New Roman" w:hAnsi="Times New Roman" w:eastAsia="宋体" w:cs="Times New Roman"/>
          <w:kern w:val="44"/>
          <w:sz w:val="24"/>
          <w:szCs w:val="24"/>
          <w:highlight w:val="none"/>
          <w:lang w:val="en-US" w:eastAsia="zh-CN" w:bidi="en-US"/>
        </w:rPr>
        <w:t>承受的损失</w:t>
      </w:r>
      <w:r>
        <w:rPr>
          <w:rFonts w:hint="eastAsia" w:ascii="Times New Roman" w:hAnsi="Times New Roman" w:eastAsia="宋体" w:cs="Times New Roman"/>
          <w:kern w:val="44"/>
          <w:sz w:val="24"/>
          <w:szCs w:val="24"/>
          <w:highlight w:val="none"/>
          <w:lang w:val="en-US" w:eastAsia="zh-CN" w:bidi="en-US"/>
        </w:rPr>
        <w:t>，该部分损失以每日5万元进行计算，以</w:t>
      </w:r>
      <w:r>
        <w:rPr>
          <w:rFonts w:hint="eastAsia" w:ascii="Times New Roman" w:cs="Times New Roman"/>
          <w:kern w:val="44"/>
          <w:sz w:val="24"/>
          <w:szCs w:val="24"/>
          <w:highlight w:val="none"/>
          <w:lang w:val="en-US" w:eastAsia="zh-CN" w:bidi="en-US"/>
        </w:rPr>
        <w:t>多次</w:t>
      </w:r>
      <w:r>
        <w:rPr>
          <w:rFonts w:ascii="Times New Roman" w:hAnsi="Times New Roman" w:eastAsia="宋体" w:cs="Times New Roman"/>
          <w:kern w:val="2"/>
          <w:sz w:val="24"/>
          <w:szCs w:val="24"/>
          <w:highlight w:val="none"/>
          <w:lang w:val="en-US" w:eastAsia="zh-CN" w:bidi="en-US"/>
        </w:rPr>
        <w:t>消缺处理不能达到保证值</w:t>
      </w:r>
      <w:r>
        <w:rPr>
          <w:rFonts w:hint="eastAsia" w:ascii="Times New Roman" w:hAnsi="Times New Roman" w:eastAsia="宋体" w:cs="Times New Roman"/>
          <w:kern w:val="44"/>
          <w:sz w:val="24"/>
          <w:szCs w:val="24"/>
          <w:highlight w:val="none"/>
          <w:lang w:val="en-US" w:eastAsia="zh-CN" w:bidi="en-US"/>
        </w:rPr>
        <w:t>为起点</w:t>
      </w:r>
      <w:r>
        <w:rPr>
          <w:rFonts w:ascii="Times New Roman" w:hAnsi="Times New Roman" w:eastAsia="宋体" w:cs="Times New Roman"/>
          <w:kern w:val="44"/>
          <w:sz w:val="24"/>
          <w:szCs w:val="24"/>
          <w:highlight w:val="none"/>
          <w:lang w:val="en-US" w:eastAsia="zh-CN" w:bidi="en-US"/>
        </w:rPr>
        <w:t>。</w:t>
      </w:r>
    </w:p>
    <w:p>
      <w:pPr>
        <w:numPr>
          <w:ilvl w:val="0"/>
          <w:numId w:val="9"/>
        </w:numPr>
        <w:tabs>
          <w:tab w:val="left" w:pos="567"/>
        </w:tabs>
        <w:adjustRightInd w:val="0"/>
        <w:snapToGrid w:val="0"/>
        <w:spacing w:before="0" w:after="0" w:line="360" w:lineRule="auto"/>
        <w:ind w:left="0" w:firstLine="480" w:firstLineChars="200"/>
        <w:jc w:val="both"/>
        <w:rPr>
          <w:rFonts w:ascii="Times New Roman" w:hAnsi="Times New Roman" w:eastAsia="宋体" w:cs="Times New Roman"/>
          <w:kern w:val="2"/>
          <w:sz w:val="24"/>
          <w:szCs w:val="24"/>
          <w:highlight w:val="none"/>
          <w:lang w:val="en-US" w:eastAsia="zh-CN" w:bidi="en-US"/>
        </w:rPr>
      </w:pPr>
      <w:r>
        <w:rPr>
          <w:rFonts w:ascii="Times New Roman" w:hAnsi="Times New Roman" w:eastAsia="宋体" w:cs="Times New Roman"/>
          <w:kern w:val="2"/>
          <w:sz w:val="24"/>
          <w:szCs w:val="24"/>
          <w:highlight w:val="none"/>
          <w:lang w:val="en-US" w:eastAsia="zh-CN" w:bidi="en-US"/>
        </w:rPr>
        <w:t>由</w:t>
      </w:r>
      <w:r>
        <w:rPr>
          <w:rFonts w:hint="eastAsia" w:ascii="Times New Roman" w:hAnsi="Times New Roman" w:eastAsia="宋体" w:cs="Times New Roman"/>
          <w:kern w:val="2"/>
          <w:sz w:val="24"/>
          <w:szCs w:val="24"/>
          <w:highlight w:val="none"/>
          <w:lang w:val="en-US" w:eastAsia="zh-CN" w:bidi="en-US"/>
        </w:rPr>
        <w:t>需方</w:t>
      </w:r>
      <w:r>
        <w:rPr>
          <w:rFonts w:ascii="Times New Roman" w:hAnsi="Times New Roman" w:eastAsia="宋体" w:cs="Times New Roman"/>
          <w:kern w:val="2"/>
          <w:sz w:val="24"/>
          <w:szCs w:val="24"/>
          <w:highlight w:val="none"/>
          <w:lang w:val="en-US" w:eastAsia="zh-CN" w:bidi="en-US"/>
        </w:rPr>
        <w:t>委托第三方对</w:t>
      </w:r>
      <w:r>
        <w:rPr>
          <w:rFonts w:hint="eastAsia" w:ascii="Times New Roman" w:hAnsi="Times New Roman" w:eastAsia="宋体" w:cs="Times New Roman"/>
          <w:kern w:val="2"/>
          <w:sz w:val="24"/>
          <w:szCs w:val="24"/>
          <w:highlight w:val="none"/>
          <w:lang w:val="en-US" w:eastAsia="zh-CN" w:bidi="en-US"/>
        </w:rPr>
        <w:t>设备</w:t>
      </w:r>
      <w:r>
        <w:rPr>
          <w:rFonts w:ascii="Times New Roman" w:hAnsi="Times New Roman" w:eastAsia="宋体" w:cs="Times New Roman"/>
          <w:kern w:val="2"/>
          <w:sz w:val="24"/>
          <w:szCs w:val="24"/>
          <w:highlight w:val="none"/>
          <w:lang w:val="en-US" w:eastAsia="zh-CN" w:bidi="en-US"/>
        </w:rPr>
        <w:t>设施进行整改使其达到性能保证值，由此产生的所有费用由</w:t>
      </w:r>
      <w:r>
        <w:rPr>
          <w:rFonts w:hint="eastAsia" w:ascii="Times New Roman" w:cs="Times New Roman"/>
          <w:kern w:val="2"/>
          <w:sz w:val="24"/>
          <w:szCs w:val="24"/>
          <w:highlight w:val="none"/>
          <w:lang w:val="en-US" w:eastAsia="zh-CN" w:bidi="en-US"/>
        </w:rPr>
        <w:t>供货方</w:t>
      </w:r>
      <w:r>
        <w:rPr>
          <w:rFonts w:ascii="Times New Roman" w:hAnsi="Times New Roman" w:eastAsia="宋体" w:cs="Times New Roman"/>
          <w:kern w:val="2"/>
          <w:sz w:val="24"/>
          <w:szCs w:val="24"/>
          <w:highlight w:val="none"/>
          <w:lang w:val="en-US" w:eastAsia="zh-CN" w:bidi="en-US"/>
        </w:rPr>
        <w:t>承担。同时</w:t>
      </w:r>
      <w:r>
        <w:rPr>
          <w:rFonts w:hint="eastAsia" w:ascii="Times New Roman" w:cs="Times New Roman"/>
          <w:kern w:val="2"/>
          <w:sz w:val="24"/>
          <w:szCs w:val="24"/>
          <w:highlight w:val="none"/>
          <w:lang w:val="en-US" w:eastAsia="zh-CN" w:bidi="en-US"/>
        </w:rPr>
        <w:t>供货方</w:t>
      </w:r>
      <w:r>
        <w:rPr>
          <w:rFonts w:ascii="Times New Roman" w:hAnsi="Times New Roman" w:eastAsia="宋体" w:cs="Times New Roman"/>
          <w:kern w:val="2"/>
          <w:sz w:val="24"/>
          <w:szCs w:val="24"/>
          <w:highlight w:val="none"/>
          <w:lang w:val="en-US" w:eastAsia="zh-CN" w:bidi="en-US"/>
        </w:rPr>
        <w:t>需向</w:t>
      </w:r>
      <w:r>
        <w:rPr>
          <w:rFonts w:hint="eastAsia" w:ascii="Times New Roman" w:hAnsi="Times New Roman" w:eastAsia="宋体" w:cs="Times New Roman"/>
          <w:kern w:val="2"/>
          <w:sz w:val="24"/>
          <w:szCs w:val="24"/>
          <w:highlight w:val="none"/>
          <w:lang w:val="en-US" w:eastAsia="zh-CN" w:bidi="en-US"/>
        </w:rPr>
        <w:t>需方</w:t>
      </w:r>
      <w:r>
        <w:rPr>
          <w:rFonts w:ascii="Times New Roman" w:hAnsi="Times New Roman" w:eastAsia="宋体" w:cs="Times New Roman"/>
          <w:kern w:val="2"/>
          <w:sz w:val="24"/>
          <w:szCs w:val="24"/>
          <w:highlight w:val="none"/>
          <w:lang w:val="en-US" w:eastAsia="zh-CN" w:bidi="en-US"/>
        </w:rPr>
        <w:t>支付合同总价20%的作为违约金。</w:t>
      </w:r>
    </w:p>
    <w:p>
      <w:pPr>
        <w:numPr>
          <w:ilvl w:val="0"/>
          <w:numId w:val="0"/>
        </w:numPr>
        <w:tabs>
          <w:tab w:val="left" w:pos="567"/>
        </w:tabs>
        <w:adjustRightInd w:val="0"/>
        <w:snapToGrid w:val="0"/>
        <w:spacing w:before="0" w:after="0" w:line="360" w:lineRule="auto"/>
        <w:jc w:val="both"/>
        <w:rPr>
          <w:rFonts w:ascii="Times New Roman" w:hAnsi="Times New Roman" w:eastAsia="宋体" w:cs="Times New Roman"/>
          <w:kern w:val="2"/>
          <w:sz w:val="24"/>
          <w:szCs w:val="24"/>
          <w:highlight w:val="none"/>
          <w:lang w:val="en-US" w:eastAsia="zh-CN" w:bidi="en-US"/>
        </w:rPr>
      </w:pPr>
      <w:r>
        <w:rPr>
          <w:rFonts w:hint="eastAsia" w:ascii="Times New Roman" w:cs="Times New Roman"/>
          <w:kern w:val="2"/>
          <w:sz w:val="24"/>
          <w:szCs w:val="24"/>
          <w:highlight w:val="none"/>
          <w:lang w:val="en-US" w:eastAsia="zh-CN" w:bidi="en-US"/>
        </w:rPr>
        <w:t>7.2</w:t>
      </w:r>
      <w:r>
        <w:rPr>
          <w:rFonts w:ascii="Times New Roman" w:hAnsi="Times New Roman" w:eastAsia="宋体" w:cs="Times New Roman"/>
          <w:kern w:val="2"/>
          <w:sz w:val="24"/>
          <w:szCs w:val="24"/>
          <w:highlight w:val="none"/>
          <w:lang w:val="en-US" w:eastAsia="zh-CN" w:bidi="en-US"/>
        </w:rPr>
        <w:t>由于</w:t>
      </w:r>
      <w:r>
        <w:rPr>
          <w:rFonts w:hint="eastAsia" w:ascii="Times New Roman" w:cs="Times New Roman"/>
          <w:kern w:val="2"/>
          <w:sz w:val="24"/>
          <w:szCs w:val="24"/>
          <w:highlight w:val="none"/>
          <w:lang w:val="en-US" w:eastAsia="zh-CN" w:bidi="en-US"/>
        </w:rPr>
        <w:t>供货方</w:t>
      </w:r>
      <w:r>
        <w:rPr>
          <w:rFonts w:ascii="Times New Roman" w:hAnsi="Times New Roman" w:eastAsia="宋体" w:cs="Times New Roman"/>
          <w:kern w:val="2"/>
          <w:sz w:val="24"/>
          <w:szCs w:val="24"/>
          <w:highlight w:val="none"/>
          <w:lang w:val="en-US" w:eastAsia="zh-CN" w:bidi="en-US"/>
        </w:rPr>
        <w:t>原因延期供货和安装造成</w:t>
      </w:r>
      <w:r>
        <w:rPr>
          <w:rFonts w:hint="eastAsia" w:ascii="Times New Roman" w:hAnsi="Times New Roman" w:eastAsia="宋体" w:cs="Times New Roman"/>
          <w:kern w:val="2"/>
          <w:sz w:val="24"/>
          <w:szCs w:val="24"/>
          <w:highlight w:val="none"/>
          <w:lang w:val="en-US" w:eastAsia="zh-CN" w:bidi="en-US"/>
        </w:rPr>
        <w:t>需方</w:t>
      </w:r>
      <w:r>
        <w:rPr>
          <w:rFonts w:ascii="Times New Roman" w:hAnsi="Times New Roman" w:eastAsia="宋体" w:cs="Times New Roman"/>
          <w:kern w:val="2"/>
          <w:sz w:val="24"/>
          <w:szCs w:val="24"/>
          <w:highlight w:val="none"/>
          <w:lang w:val="en-US" w:eastAsia="zh-CN" w:bidi="en-US"/>
        </w:rPr>
        <w:t>未能按原计划完成机组改造工期，每延期一天</w:t>
      </w:r>
      <w:r>
        <w:rPr>
          <w:rFonts w:hint="eastAsia" w:ascii="Times New Roman" w:cs="Times New Roman"/>
          <w:kern w:val="2"/>
          <w:sz w:val="24"/>
          <w:szCs w:val="24"/>
          <w:highlight w:val="none"/>
          <w:lang w:val="en-US" w:eastAsia="zh-CN" w:bidi="en-US"/>
        </w:rPr>
        <w:t>供货方</w:t>
      </w:r>
      <w:r>
        <w:rPr>
          <w:rFonts w:ascii="Times New Roman" w:hAnsi="Times New Roman" w:eastAsia="宋体" w:cs="Times New Roman"/>
          <w:kern w:val="2"/>
          <w:sz w:val="24"/>
          <w:szCs w:val="24"/>
          <w:highlight w:val="none"/>
          <w:lang w:val="en-US" w:eastAsia="zh-CN" w:bidi="en-US"/>
        </w:rPr>
        <w:t>赔偿</w:t>
      </w:r>
      <w:r>
        <w:rPr>
          <w:rFonts w:hint="eastAsia" w:ascii="Times New Roman" w:hAnsi="Times New Roman" w:eastAsia="宋体" w:cs="Times New Roman"/>
          <w:kern w:val="2"/>
          <w:sz w:val="24"/>
          <w:szCs w:val="24"/>
          <w:highlight w:val="none"/>
          <w:lang w:val="en-US" w:eastAsia="zh-CN" w:bidi="en-US"/>
        </w:rPr>
        <w:t>需方</w:t>
      </w:r>
      <w:r>
        <w:rPr>
          <w:rFonts w:ascii="Times New Roman" w:hAnsi="Times New Roman" w:eastAsia="宋体" w:cs="Times New Roman"/>
          <w:kern w:val="2"/>
          <w:sz w:val="24"/>
          <w:szCs w:val="24"/>
          <w:highlight w:val="none"/>
          <w:lang w:val="en-US" w:eastAsia="zh-CN" w:bidi="en-US"/>
        </w:rPr>
        <w:t>5万元，延期两天10万元，以此类推</w:t>
      </w:r>
      <w:r>
        <w:rPr>
          <w:rFonts w:hint="eastAsia" w:ascii="Times New Roman" w:hAnsi="Times New Roman" w:eastAsia="宋体" w:cs="Times New Roman"/>
          <w:kern w:val="2"/>
          <w:sz w:val="24"/>
          <w:szCs w:val="24"/>
          <w:highlight w:val="none"/>
          <w:lang w:val="en-US" w:eastAsia="zh-CN" w:bidi="en-US"/>
        </w:rPr>
        <w:t>，</w:t>
      </w:r>
      <w:r>
        <w:rPr>
          <w:rFonts w:hint="eastAsia" w:ascii="Times New Roman" w:cs="Times New Roman"/>
          <w:kern w:val="44"/>
          <w:sz w:val="24"/>
          <w:szCs w:val="24"/>
          <w:highlight w:val="none"/>
          <w:lang w:val="en-US" w:eastAsia="zh-CN" w:bidi="en-US"/>
        </w:rPr>
        <w:t>华能电子商务平台发出询价结果通知书后15</w:t>
      </w:r>
      <w:r>
        <w:rPr>
          <w:rFonts w:hint="eastAsia" w:ascii="Times New Roman" w:hAnsi="Times New Roman" w:eastAsia="宋体" w:cs="Times New Roman"/>
          <w:kern w:val="44"/>
          <w:sz w:val="24"/>
          <w:szCs w:val="24"/>
          <w:highlight w:val="none"/>
          <w:lang w:val="en-US" w:eastAsia="zh-CN" w:bidi="en-US"/>
        </w:rPr>
        <w:t>日为起点</w:t>
      </w:r>
      <w:r>
        <w:rPr>
          <w:rFonts w:ascii="Times New Roman" w:hAnsi="Times New Roman" w:eastAsia="宋体" w:cs="Times New Roman"/>
          <w:kern w:val="2"/>
          <w:sz w:val="24"/>
          <w:szCs w:val="24"/>
          <w:highlight w:val="none"/>
          <w:lang w:val="en-US" w:eastAsia="zh-CN" w:bidi="en-US"/>
        </w:rPr>
        <w:t>。</w:t>
      </w:r>
    </w:p>
    <w:p>
      <w:pPr>
        <w:numPr>
          <w:ilvl w:val="0"/>
          <w:numId w:val="0"/>
        </w:numPr>
        <w:tabs>
          <w:tab w:val="left" w:pos="567"/>
        </w:tabs>
        <w:adjustRightInd w:val="0"/>
        <w:snapToGrid w:val="0"/>
        <w:spacing w:before="0" w:after="0" w:line="360" w:lineRule="auto"/>
        <w:jc w:val="both"/>
        <w:rPr>
          <w:rFonts w:ascii="Times New Roman" w:hAnsi="Times New Roman" w:eastAsia="宋体" w:cs="Times New Roman"/>
          <w:kern w:val="2"/>
          <w:sz w:val="24"/>
          <w:szCs w:val="24"/>
          <w:highlight w:val="none"/>
          <w:lang w:val="en-US" w:eastAsia="zh-CN" w:bidi="en-US"/>
        </w:rPr>
      </w:pPr>
      <w:r>
        <w:rPr>
          <w:rFonts w:hint="eastAsia" w:ascii="Times New Roman" w:cs="Times New Roman"/>
          <w:kern w:val="2"/>
          <w:sz w:val="24"/>
          <w:szCs w:val="24"/>
          <w:highlight w:val="none"/>
          <w:lang w:val="en-US" w:eastAsia="zh-CN" w:bidi="en-US"/>
        </w:rPr>
        <w:t>7.3</w:t>
      </w:r>
      <w:r>
        <w:rPr>
          <w:rFonts w:ascii="Times New Roman" w:hAnsi="Times New Roman" w:eastAsia="宋体" w:cs="Times New Roman"/>
          <w:kern w:val="2"/>
          <w:sz w:val="24"/>
          <w:szCs w:val="24"/>
          <w:highlight w:val="none"/>
          <w:lang w:val="en-US" w:eastAsia="zh-CN" w:bidi="en-US"/>
        </w:rPr>
        <w:t>施工过程中，</w:t>
      </w:r>
      <w:r>
        <w:rPr>
          <w:rFonts w:hint="eastAsia" w:ascii="Times New Roman" w:cs="Times New Roman"/>
          <w:kern w:val="2"/>
          <w:sz w:val="24"/>
          <w:szCs w:val="24"/>
          <w:highlight w:val="none"/>
          <w:lang w:val="en-US" w:eastAsia="zh-CN" w:bidi="en-US"/>
        </w:rPr>
        <w:t>供货方</w:t>
      </w:r>
      <w:r>
        <w:rPr>
          <w:rFonts w:ascii="Times New Roman" w:hAnsi="Times New Roman" w:eastAsia="宋体" w:cs="Times New Roman"/>
          <w:kern w:val="2"/>
          <w:sz w:val="24"/>
          <w:szCs w:val="24"/>
          <w:highlight w:val="none"/>
          <w:lang w:val="en-US" w:eastAsia="zh-CN" w:bidi="en-US"/>
        </w:rPr>
        <w:t>应严格执行</w:t>
      </w:r>
      <w:r>
        <w:rPr>
          <w:rFonts w:hint="eastAsia" w:ascii="Times New Roman" w:hAnsi="Times New Roman" w:eastAsia="宋体" w:cs="Times New Roman"/>
          <w:kern w:val="2"/>
          <w:sz w:val="24"/>
          <w:szCs w:val="24"/>
          <w:highlight w:val="none"/>
          <w:lang w:val="en-US" w:eastAsia="zh-CN" w:bidi="en-US"/>
        </w:rPr>
        <w:t>需方</w:t>
      </w:r>
      <w:r>
        <w:rPr>
          <w:rFonts w:ascii="Times New Roman" w:hAnsi="Times New Roman" w:eastAsia="宋体" w:cs="Times New Roman"/>
          <w:kern w:val="2"/>
          <w:sz w:val="24"/>
          <w:szCs w:val="24"/>
          <w:highlight w:val="none"/>
          <w:lang w:val="en-US" w:eastAsia="zh-CN" w:bidi="en-US"/>
        </w:rPr>
        <w:t>安全、质量、文明生产、消防等相关制度规定，如有违反，</w:t>
      </w:r>
      <w:r>
        <w:rPr>
          <w:rFonts w:hint="eastAsia" w:ascii="Times New Roman" w:hAnsi="Times New Roman" w:eastAsia="宋体" w:cs="Times New Roman"/>
          <w:kern w:val="2"/>
          <w:sz w:val="24"/>
          <w:szCs w:val="24"/>
          <w:highlight w:val="none"/>
          <w:lang w:val="en-US" w:eastAsia="zh-CN" w:bidi="en-US"/>
        </w:rPr>
        <w:t>需方</w:t>
      </w:r>
      <w:r>
        <w:rPr>
          <w:rFonts w:ascii="Times New Roman" w:hAnsi="Times New Roman" w:eastAsia="宋体" w:cs="Times New Roman"/>
          <w:kern w:val="2"/>
          <w:sz w:val="24"/>
          <w:szCs w:val="24"/>
          <w:highlight w:val="none"/>
          <w:lang w:val="en-US" w:eastAsia="zh-CN" w:bidi="en-US"/>
        </w:rPr>
        <w:t>有权对其进行考核。</w:t>
      </w:r>
    </w:p>
    <w:p>
      <w:pPr>
        <w:numPr>
          <w:ilvl w:val="0"/>
          <w:numId w:val="0"/>
        </w:numPr>
        <w:tabs>
          <w:tab w:val="left" w:pos="567"/>
        </w:tabs>
        <w:adjustRightInd w:val="0"/>
        <w:snapToGrid w:val="0"/>
        <w:spacing w:before="0" w:after="0" w:line="360" w:lineRule="auto"/>
        <w:jc w:val="both"/>
        <w:rPr>
          <w:rFonts w:ascii="Times New Roman" w:hAnsi="Times New Roman" w:eastAsia="宋体" w:cs="Times New Roman"/>
          <w:kern w:val="2"/>
          <w:sz w:val="24"/>
          <w:szCs w:val="24"/>
          <w:highlight w:val="none"/>
          <w:lang w:val="en-US" w:eastAsia="zh-CN" w:bidi="en-US"/>
        </w:rPr>
      </w:pPr>
      <w:r>
        <w:rPr>
          <w:rFonts w:hint="eastAsia" w:ascii="Times New Roman" w:cs="Times New Roman"/>
          <w:kern w:val="2"/>
          <w:sz w:val="24"/>
          <w:szCs w:val="24"/>
          <w:highlight w:val="none"/>
          <w:lang w:val="en-US" w:eastAsia="zh-CN" w:bidi="en-US"/>
        </w:rPr>
        <w:t>7.4供货方</w:t>
      </w:r>
      <w:r>
        <w:rPr>
          <w:rFonts w:ascii="Times New Roman" w:hAnsi="Times New Roman" w:eastAsia="宋体" w:cs="Times New Roman"/>
          <w:kern w:val="2"/>
          <w:sz w:val="24"/>
          <w:szCs w:val="24"/>
          <w:highlight w:val="none"/>
          <w:lang w:val="en-US" w:eastAsia="zh-CN" w:bidi="en-US"/>
        </w:rPr>
        <w:t>应根据实际情况排定</w:t>
      </w:r>
      <w:r>
        <w:rPr>
          <w:rFonts w:hint="eastAsia" w:ascii="Times New Roman" w:hAnsi="Times New Roman" w:eastAsia="宋体" w:cs="Times New Roman"/>
          <w:kern w:val="2"/>
          <w:sz w:val="24"/>
          <w:szCs w:val="24"/>
          <w:highlight w:val="none"/>
          <w:lang w:val="en-US" w:eastAsia="zh-CN" w:bidi="en-US"/>
        </w:rPr>
        <w:t>供货</w:t>
      </w:r>
      <w:r>
        <w:rPr>
          <w:rFonts w:ascii="Times New Roman" w:hAnsi="Times New Roman" w:eastAsia="宋体" w:cs="Times New Roman"/>
          <w:kern w:val="2"/>
          <w:sz w:val="24"/>
          <w:szCs w:val="24"/>
          <w:highlight w:val="none"/>
          <w:lang w:val="en-US" w:eastAsia="zh-CN" w:bidi="en-US"/>
        </w:rPr>
        <w:t>进度，并经</w:t>
      </w:r>
      <w:r>
        <w:rPr>
          <w:rFonts w:hint="eastAsia" w:ascii="Times New Roman" w:hAnsi="Times New Roman" w:eastAsia="宋体" w:cs="Times New Roman"/>
          <w:kern w:val="2"/>
          <w:sz w:val="24"/>
          <w:szCs w:val="24"/>
          <w:highlight w:val="none"/>
          <w:lang w:val="en-US" w:eastAsia="zh-CN" w:bidi="en-US"/>
        </w:rPr>
        <w:t>需方</w:t>
      </w:r>
      <w:r>
        <w:rPr>
          <w:rFonts w:ascii="Times New Roman" w:hAnsi="Times New Roman" w:eastAsia="宋体" w:cs="Times New Roman"/>
          <w:kern w:val="2"/>
          <w:sz w:val="24"/>
          <w:szCs w:val="24"/>
          <w:highlight w:val="none"/>
          <w:lang w:val="en-US" w:eastAsia="zh-CN" w:bidi="en-US"/>
        </w:rPr>
        <w:t>认可。若因</w:t>
      </w:r>
      <w:r>
        <w:rPr>
          <w:rFonts w:hint="eastAsia" w:ascii="Times New Roman" w:cs="Times New Roman"/>
          <w:kern w:val="2"/>
          <w:sz w:val="24"/>
          <w:szCs w:val="24"/>
          <w:highlight w:val="none"/>
          <w:lang w:val="en-US" w:eastAsia="zh-CN" w:bidi="en-US"/>
        </w:rPr>
        <w:t>供货方</w:t>
      </w:r>
      <w:r>
        <w:rPr>
          <w:rFonts w:ascii="Times New Roman" w:hAnsi="Times New Roman" w:eastAsia="宋体" w:cs="Times New Roman"/>
          <w:kern w:val="2"/>
          <w:sz w:val="24"/>
          <w:szCs w:val="24"/>
          <w:highlight w:val="none"/>
          <w:lang w:val="en-US" w:eastAsia="zh-CN" w:bidi="en-US"/>
        </w:rPr>
        <w:t>原因造成节点工期拖后，</w:t>
      </w:r>
      <w:r>
        <w:rPr>
          <w:rFonts w:hint="eastAsia" w:ascii="Times New Roman" w:hAnsi="Times New Roman" w:eastAsia="宋体" w:cs="Times New Roman"/>
          <w:kern w:val="2"/>
          <w:sz w:val="24"/>
          <w:szCs w:val="24"/>
          <w:highlight w:val="none"/>
          <w:lang w:val="en-US" w:eastAsia="zh-CN" w:bidi="en-US"/>
        </w:rPr>
        <w:t>需方</w:t>
      </w:r>
      <w:r>
        <w:rPr>
          <w:rFonts w:ascii="Times New Roman" w:hAnsi="Times New Roman" w:eastAsia="宋体" w:cs="Times New Roman"/>
          <w:kern w:val="2"/>
          <w:sz w:val="24"/>
          <w:szCs w:val="24"/>
          <w:highlight w:val="none"/>
          <w:lang w:val="en-US" w:eastAsia="zh-CN" w:bidi="en-US"/>
        </w:rPr>
        <w:t>有权对其进行考核。</w:t>
      </w:r>
    </w:p>
    <w:p>
      <w:pPr>
        <w:numPr>
          <w:ilvl w:val="0"/>
          <w:numId w:val="0"/>
        </w:numPr>
        <w:tabs>
          <w:tab w:val="left" w:pos="567"/>
        </w:tabs>
        <w:adjustRightInd w:val="0"/>
        <w:snapToGrid w:val="0"/>
        <w:spacing w:before="0" w:after="0" w:line="360" w:lineRule="auto"/>
        <w:jc w:val="both"/>
        <w:rPr>
          <w:rFonts w:hint="default" w:hAnsi="宋体"/>
          <w:sz w:val="24"/>
          <w:lang w:val="en-US" w:eastAsia="zh-CN"/>
        </w:rPr>
      </w:pPr>
    </w:p>
    <w:p>
      <w:pPr>
        <w:numPr>
          <w:ilvl w:val="0"/>
          <w:numId w:val="0"/>
        </w:numPr>
        <w:spacing w:line="360" w:lineRule="auto"/>
        <w:jc w:val="both"/>
        <w:rPr>
          <w:rFonts w:hint="eastAsia" w:ascii="Times New Roman" w:hAnsi="Times New Roman" w:eastAsia="宋体" w:cs="Times New Roman"/>
          <w:sz w:val="24"/>
          <w:szCs w:val="24"/>
          <w:lang w:val="en-US" w:eastAsia="zh-CN"/>
        </w:rPr>
      </w:pPr>
    </w:p>
    <w:p>
      <w:pPr>
        <w:spacing w:line="480" w:lineRule="exact"/>
        <w:rPr>
          <w:rFonts w:hint="default" w:hAnsi="宋体"/>
          <w:sz w:val="24"/>
          <w:lang w:val="en-US" w:eastAsia="zh-CN"/>
        </w:rPr>
      </w:pPr>
    </w:p>
    <w:p>
      <w:pPr>
        <w:spacing w:line="240" w:lineRule="auto"/>
        <w:jc w:val="center"/>
        <w:rPr>
          <w:rFonts w:hint="eastAsia" w:ascii="宋体" w:hAnsi="宋体" w:eastAsia="宋体" w:cs="宋体"/>
          <w:b/>
          <w:bCs/>
          <w:sz w:val="24"/>
          <w:szCs w:val="24"/>
        </w:rPr>
      </w:pPr>
    </w:p>
    <w:p>
      <w:pPr>
        <w:spacing w:line="240" w:lineRule="auto"/>
        <w:jc w:val="center"/>
        <w:rPr>
          <w:rFonts w:hint="eastAsia" w:ascii="宋体" w:hAnsi="宋体" w:eastAsia="宋体" w:cs="宋体"/>
          <w:b/>
          <w:bCs/>
          <w:sz w:val="24"/>
          <w:szCs w:val="24"/>
        </w:rPr>
      </w:pPr>
    </w:p>
    <w:p>
      <w:pPr>
        <w:spacing w:line="240" w:lineRule="auto"/>
        <w:jc w:val="center"/>
        <w:rPr>
          <w:rFonts w:hint="eastAsia" w:ascii="宋体" w:hAnsi="宋体" w:eastAsia="宋体" w:cs="宋体"/>
          <w:b/>
          <w:bCs/>
          <w:sz w:val="24"/>
          <w:szCs w:val="24"/>
        </w:rPr>
      </w:pPr>
    </w:p>
    <w:p>
      <w:pPr>
        <w:spacing w:line="240" w:lineRule="auto"/>
        <w:jc w:val="center"/>
        <w:rPr>
          <w:rFonts w:hint="eastAsia" w:ascii="宋体" w:hAnsi="宋体" w:eastAsia="宋体" w:cs="宋体"/>
          <w:b/>
          <w:bCs/>
          <w:sz w:val="24"/>
          <w:szCs w:val="24"/>
        </w:rPr>
      </w:pPr>
    </w:p>
    <w:p>
      <w:pPr>
        <w:spacing w:line="240" w:lineRule="auto"/>
        <w:jc w:val="center"/>
        <w:rPr>
          <w:rFonts w:hint="eastAsia" w:ascii="宋体" w:hAnsi="宋体" w:eastAsia="宋体" w:cs="宋体"/>
          <w:b/>
          <w:bCs/>
          <w:sz w:val="24"/>
          <w:szCs w:val="24"/>
        </w:rPr>
      </w:pP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华能山东发电有限公司众泰电厂1、2号机组脱硝升级改造工程</w:t>
      </w:r>
    </w:p>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电缆及电气元件和仪表采购项目供货明细表</w:t>
      </w:r>
      <w:r>
        <w:rPr>
          <w:rFonts w:hint="eastAsia" w:ascii="宋体" w:hAnsi="宋体" w:eastAsia="宋体" w:cs="宋体"/>
          <w:b/>
          <w:bCs/>
          <w:sz w:val="24"/>
          <w:szCs w:val="24"/>
          <w:lang w:eastAsia="zh-CN"/>
        </w:rPr>
        <w:t>（</w:t>
      </w:r>
      <w:r>
        <w:rPr>
          <w:rFonts w:hint="eastAsia" w:ascii="宋体" w:hAnsi="宋体" w:eastAsia="宋体" w:cs="宋体"/>
          <w:b/>
          <w:sz w:val="24"/>
          <w:szCs w:val="24"/>
          <w:lang w:val="en-US" w:eastAsia="zh-CN"/>
        </w:rPr>
        <w:t>2台炉，</w:t>
      </w:r>
      <w:r>
        <w:rPr>
          <w:rFonts w:hint="eastAsia" w:hAnsi="宋体" w:cs="宋体"/>
          <w:b/>
          <w:sz w:val="24"/>
          <w:szCs w:val="24"/>
          <w:lang w:val="en-US" w:eastAsia="zh-CN"/>
        </w:rPr>
        <w:t>不限于此</w:t>
      </w:r>
      <w:r>
        <w:rPr>
          <w:rFonts w:hint="eastAsia" w:ascii="宋体" w:hAnsi="宋体" w:eastAsia="宋体" w:cs="宋体"/>
          <w:b/>
          <w:bCs/>
          <w:sz w:val="24"/>
          <w:szCs w:val="24"/>
          <w:lang w:eastAsia="zh-CN"/>
        </w:rPr>
        <w:t>）</w:t>
      </w:r>
    </w:p>
    <w:p>
      <w:pPr>
        <w:spacing w:line="480" w:lineRule="exact"/>
        <w:rPr>
          <w:rFonts w:hint="default" w:hAnsi="宋体"/>
          <w:sz w:val="24"/>
          <w:lang w:val="en-US" w:eastAsia="zh-CN"/>
        </w:rPr>
      </w:pPr>
    </w:p>
    <w:tbl>
      <w:tblPr>
        <w:tblStyle w:val="3"/>
        <w:tblW w:w="56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
        <w:gridCol w:w="2023"/>
        <w:gridCol w:w="3417"/>
        <w:gridCol w:w="504"/>
        <w:gridCol w:w="696"/>
        <w:gridCol w:w="2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2" w:type="pct"/>
            <w:vAlign w:val="center"/>
          </w:tcPr>
          <w:p>
            <w:pPr>
              <w:snapToGrid w:val="0"/>
              <w:spacing w:before="156" w:beforeLines="5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序号</w:t>
            </w:r>
          </w:p>
        </w:tc>
        <w:tc>
          <w:tcPr>
            <w:tcW w:w="1032" w:type="pct"/>
            <w:vAlign w:val="center"/>
          </w:tcPr>
          <w:p>
            <w:pPr>
              <w:snapToGrid w:val="0"/>
              <w:spacing w:before="156" w:beforeLines="5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产品名称</w:t>
            </w:r>
          </w:p>
        </w:tc>
        <w:tc>
          <w:tcPr>
            <w:tcW w:w="1743" w:type="pct"/>
            <w:vAlign w:val="center"/>
          </w:tcPr>
          <w:p>
            <w:pPr>
              <w:snapToGrid w:val="0"/>
              <w:spacing w:before="156" w:beforeLines="5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规格型号</w:t>
            </w:r>
          </w:p>
        </w:tc>
        <w:tc>
          <w:tcPr>
            <w:tcW w:w="257" w:type="pct"/>
            <w:vAlign w:val="center"/>
          </w:tcPr>
          <w:p>
            <w:pPr>
              <w:snapToGrid w:val="0"/>
              <w:spacing w:before="156" w:beforeLines="5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单位</w:t>
            </w:r>
          </w:p>
        </w:tc>
        <w:tc>
          <w:tcPr>
            <w:tcW w:w="355" w:type="pct"/>
            <w:vAlign w:val="center"/>
          </w:tcPr>
          <w:p>
            <w:pPr>
              <w:snapToGrid w:val="0"/>
              <w:spacing w:before="156" w:beforeLines="5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数量</w:t>
            </w:r>
          </w:p>
        </w:tc>
        <w:tc>
          <w:tcPr>
            <w:tcW w:w="1339" w:type="pct"/>
            <w:vAlign w:val="center"/>
          </w:tcPr>
          <w:p>
            <w:pPr>
              <w:snapToGrid w:val="0"/>
              <w:spacing w:before="156" w:beforeLines="50"/>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2" w:type="pct"/>
            <w:vAlign w:val="center"/>
          </w:tcPr>
          <w:p>
            <w:pPr>
              <w:snapToGrid w:val="0"/>
              <w:spacing w:before="156" w:beforeLines="5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w:t>
            </w:r>
          </w:p>
        </w:tc>
        <w:tc>
          <w:tcPr>
            <w:tcW w:w="4727" w:type="pct"/>
            <w:gridSpan w:val="5"/>
            <w:vAlign w:val="center"/>
          </w:tcPr>
          <w:p>
            <w:pPr>
              <w:snapToGrid w:val="0"/>
              <w:spacing w:before="156" w:beforeLines="5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电缆部分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2"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103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电力电缆</w:t>
            </w:r>
          </w:p>
        </w:tc>
        <w:tc>
          <w:tcPr>
            <w:tcW w:w="1743"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ZRC-YJV22-8.7/15KV-3*120mm</w:t>
            </w:r>
            <w:r>
              <w:rPr>
                <w:rFonts w:hint="eastAsia" w:ascii="宋体" w:hAnsi="宋体" w:eastAsia="宋体" w:cs="宋体"/>
                <w:b w:val="0"/>
                <w:bCs w:val="0"/>
                <w:sz w:val="32"/>
                <w:szCs w:val="32"/>
                <w:vertAlign w:val="superscript"/>
                <w:lang w:val="en-US" w:eastAsia="zh-CN"/>
              </w:rPr>
              <w:t>2</w:t>
            </w:r>
          </w:p>
        </w:tc>
        <w:tc>
          <w:tcPr>
            <w:tcW w:w="257"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米</w:t>
            </w:r>
          </w:p>
        </w:tc>
        <w:tc>
          <w:tcPr>
            <w:tcW w:w="696" w:type="dxa"/>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600</w:t>
            </w:r>
          </w:p>
        </w:tc>
        <w:tc>
          <w:tcPr>
            <w:tcW w:w="1339"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2"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w:t>
            </w:r>
          </w:p>
        </w:tc>
        <w:tc>
          <w:tcPr>
            <w:tcW w:w="103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电力电缆</w:t>
            </w:r>
          </w:p>
        </w:tc>
        <w:tc>
          <w:tcPr>
            <w:tcW w:w="1743"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ZR-DJYPVP-7*3*1.5mm</w:t>
            </w:r>
            <w:r>
              <w:rPr>
                <w:rFonts w:hint="eastAsia" w:ascii="宋体" w:hAnsi="宋体" w:eastAsia="宋体" w:cs="宋体"/>
                <w:b w:val="0"/>
                <w:bCs w:val="0"/>
                <w:sz w:val="32"/>
                <w:szCs w:val="32"/>
                <w:vertAlign w:val="superscript"/>
                <w:lang w:val="en-US" w:eastAsia="zh-CN"/>
              </w:rPr>
              <w:t>2</w:t>
            </w:r>
          </w:p>
        </w:tc>
        <w:tc>
          <w:tcPr>
            <w:tcW w:w="257"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米</w:t>
            </w:r>
          </w:p>
        </w:tc>
        <w:tc>
          <w:tcPr>
            <w:tcW w:w="696" w:type="dxa"/>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660</w:t>
            </w:r>
          </w:p>
        </w:tc>
        <w:tc>
          <w:tcPr>
            <w:tcW w:w="1339"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2"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w:t>
            </w:r>
          </w:p>
        </w:tc>
        <w:tc>
          <w:tcPr>
            <w:tcW w:w="103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电力电缆</w:t>
            </w:r>
          </w:p>
        </w:tc>
        <w:tc>
          <w:tcPr>
            <w:tcW w:w="1743"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ZR-DJYPVP-4*2*1.5mm</w:t>
            </w:r>
            <w:r>
              <w:rPr>
                <w:rFonts w:hint="eastAsia" w:ascii="宋体" w:hAnsi="宋体" w:eastAsia="宋体" w:cs="宋体"/>
                <w:b w:val="0"/>
                <w:bCs w:val="0"/>
                <w:sz w:val="32"/>
                <w:szCs w:val="32"/>
                <w:vertAlign w:val="superscript"/>
                <w:lang w:val="en-US" w:eastAsia="zh-CN"/>
              </w:rPr>
              <w:t>2</w:t>
            </w:r>
          </w:p>
        </w:tc>
        <w:tc>
          <w:tcPr>
            <w:tcW w:w="257"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米</w:t>
            </w:r>
          </w:p>
        </w:tc>
        <w:tc>
          <w:tcPr>
            <w:tcW w:w="696" w:type="dxa"/>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660</w:t>
            </w:r>
          </w:p>
        </w:tc>
        <w:tc>
          <w:tcPr>
            <w:tcW w:w="1339"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2"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w:t>
            </w:r>
          </w:p>
        </w:tc>
        <w:tc>
          <w:tcPr>
            <w:tcW w:w="103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电力电缆</w:t>
            </w:r>
          </w:p>
        </w:tc>
        <w:tc>
          <w:tcPr>
            <w:tcW w:w="1743"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ZR-DJYPVP-2*2*1.5mm</w:t>
            </w:r>
            <w:r>
              <w:rPr>
                <w:rFonts w:hint="eastAsia" w:ascii="宋体" w:hAnsi="宋体" w:eastAsia="宋体" w:cs="宋体"/>
                <w:b w:val="0"/>
                <w:bCs w:val="0"/>
                <w:sz w:val="32"/>
                <w:szCs w:val="32"/>
                <w:vertAlign w:val="superscript"/>
                <w:lang w:val="en-US" w:eastAsia="zh-CN"/>
              </w:rPr>
              <w:t>2</w:t>
            </w:r>
          </w:p>
        </w:tc>
        <w:tc>
          <w:tcPr>
            <w:tcW w:w="257"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米</w:t>
            </w:r>
          </w:p>
        </w:tc>
        <w:tc>
          <w:tcPr>
            <w:tcW w:w="696" w:type="dxa"/>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3000</w:t>
            </w:r>
          </w:p>
        </w:tc>
        <w:tc>
          <w:tcPr>
            <w:tcW w:w="1339"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2"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w:t>
            </w:r>
          </w:p>
        </w:tc>
        <w:tc>
          <w:tcPr>
            <w:tcW w:w="103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电力电缆</w:t>
            </w:r>
          </w:p>
        </w:tc>
        <w:tc>
          <w:tcPr>
            <w:tcW w:w="1743"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ZR-DJYPVP-1*2*1.5mm</w:t>
            </w:r>
            <w:r>
              <w:rPr>
                <w:rFonts w:hint="eastAsia" w:ascii="宋体" w:hAnsi="宋体" w:eastAsia="宋体" w:cs="宋体"/>
                <w:b w:val="0"/>
                <w:bCs w:val="0"/>
                <w:sz w:val="32"/>
                <w:szCs w:val="32"/>
                <w:vertAlign w:val="superscript"/>
                <w:lang w:val="en-US" w:eastAsia="zh-CN"/>
              </w:rPr>
              <w:t>2</w:t>
            </w:r>
          </w:p>
        </w:tc>
        <w:tc>
          <w:tcPr>
            <w:tcW w:w="257"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米</w:t>
            </w:r>
          </w:p>
        </w:tc>
        <w:tc>
          <w:tcPr>
            <w:tcW w:w="696" w:type="dxa"/>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2000</w:t>
            </w:r>
          </w:p>
        </w:tc>
        <w:tc>
          <w:tcPr>
            <w:tcW w:w="1339"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2"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w:t>
            </w:r>
          </w:p>
        </w:tc>
        <w:tc>
          <w:tcPr>
            <w:tcW w:w="103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电力电缆</w:t>
            </w:r>
          </w:p>
        </w:tc>
        <w:tc>
          <w:tcPr>
            <w:tcW w:w="1743"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ZR-KVVP-10*1.5mm</w:t>
            </w:r>
            <w:r>
              <w:rPr>
                <w:rFonts w:hint="eastAsia" w:ascii="宋体" w:hAnsi="宋体" w:eastAsia="宋体" w:cs="宋体"/>
                <w:b w:val="0"/>
                <w:bCs w:val="0"/>
                <w:sz w:val="32"/>
                <w:szCs w:val="32"/>
                <w:vertAlign w:val="superscript"/>
                <w:lang w:val="en-US" w:eastAsia="zh-CN"/>
              </w:rPr>
              <w:t>2</w:t>
            </w:r>
          </w:p>
        </w:tc>
        <w:tc>
          <w:tcPr>
            <w:tcW w:w="257"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米</w:t>
            </w:r>
          </w:p>
        </w:tc>
        <w:tc>
          <w:tcPr>
            <w:tcW w:w="696" w:type="dxa"/>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600</w:t>
            </w:r>
          </w:p>
        </w:tc>
        <w:tc>
          <w:tcPr>
            <w:tcW w:w="1339"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2"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w:t>
            </w:r>
          </w:p>
        </w:tc>
        <w:tc>
          <w:tcPr>
            <w:tcW w:w="103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电力电缆</w:t>
            </w:r>
          </w:p>
        </w:tc>
        <w:tc>
          <w:tcPr>
            <w:tcW w:w="1743"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ZR-KVVP-6*1.5mm</w:t>
            </w:r>
            <w:r>
              <w:rPr>
                <w:rFonts w:hint="eastAsia" w:ascii="宋体" w:hAnsi="宋体" w:eastAsia="宋体" w:cs="宋体"/>
                <w:b w:val="0"/>
                <w:bCs w:val="0"/>
                <w:sz w:val="32"/>
                <w:szCs w:val="32"/>
                <w:vertAlign w:val="superscript"/>
                <w:lang w:val="en-US" w:eastAsia="zh-CN"/>
              </w:rPr>
              <w:t>2</w:t>
            </w:r>
          </w:p>
        </w:tc>
        <w:tc>
          <w:tcPr>
            <w:tcW w:w="257"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米</w:t>
            </w:r>
          </w:p>
        </w:tc>
        <w:tc>
          <w:tcPr>
            <w:tcW w:w="696" w:type="dxa"/>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600</w:t>
            </w:r>
          </w:p>
        </w:tc>
        <w:tc>
          <w:tcPr>
            <w:tcW w:w="1339"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2"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w:t>
            </w:r>
          </w:p>
        </w:tc>
        <w:tc>
          <w:tcPr>
            <w:tcW w:w="103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电力电缆</w:t>
            </w:r>
          </w:p>
        </w:tc>
        <w:tc>
          <w:tcPr>
            <w:tcW w:w="1743"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ZR-KVVP4*1.5mm</w:t>
            </w:r>
            <w:r>
              <w:rPr>
                <w:rFonts w:hint="eastAsia" w:ascii="宋体" w:hAnsi="宋体" w:eastAsia="宋体" w:cs="宋体"/>
                <w:b w:val="0"/>
                <w:bCs w:val="0"/>
                <w:sz w:val="32"/>
                <w:szCs w:val="32"/>
                <w:vertAlign w:val="superscript"/>
                <w:lang w:val="en-US" w:eastAsia="zh-CN"/>
              </w:rPr>
              <w:t>2</w:t>
            </w:r>
          </w:p>
        </w:tc>
        <w:tc>
          <w:tcPr>
            <w:tcW w:w="257"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米</w:t>
            </w:r>
          </w:p>
        </w:tc>
        <w:tc>
          <w:tcPr>
            <w:tcW w:w="696" w:type="dxa"/>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600</w:t>
            </w:r>
          </w:p>
        </w:tc>
        <w:tc>
          <w:tcPr>
            <w:tcW w:w="1339"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2"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w:t>
            </w:r>
          </w:p>
        </w:tc>
        <w:tc>
          <w:tcPr>
            <w:tcW w:w="103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电力电缆</w:t>
            </w:r>
          </w:p>
        </w:tc>
        <w:tc>
          <w:tcPr>
            <w:tcW w:w="1743"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ZR-KVV4*2.5mm</w:t>
            </w:r>
            <w:r>
              <w:rPr>
                <w:rFonts w:hint="eastAsia" w:ascii="宋体" w:hAnsi="宋体" w:eastAsia="宋体" w:cs="宋体"/>
                <w:b w:val="0"/>
                <w:bCs w:val="0"/>
                <w:sz w:val="32"/>
                <w:szCs w:val="32"/>
                <w:vertAlign w:val="superscript"/>
                <w:lang w:val="en-US" w:eastAsia="zh-CN"/>
              </w:rPr>
              <w:t>2</w:t>
            </w:r>
          </w:p>
        </w:tc>
        <w:tc>
          <w:tcPr>
            <w:tcW w:w="257"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米</w:t>
            </w:r>
          </w:p>
        </w:tc>
        <w:tc>
          <w:tcPr>
            <w:tcW w:w="696" w:type="dxa"/>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2000</w:t>
            </w:r>
          </w:p>
        </w:tc>
        <w:tc>
          <w:tcPr>
            <w:tcW w:w="1339"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2" w:type="pct"/>
            <w:vAlign w:val="center"/>
          </w:tcPr>
          <w:p>
            <w:pPr>
              <w:snapToGrid w:val="0"/>
              <w:spacing w:before="156" w:beforeLines="50"/>
              <w:ind w:left="0" w:leftChars="0" w:firstLine="0" w:firstLineChars="0"/>
              <w:jc w:val="center"/>
              <w:rPr>
                <w:rFonts w:hint="default" w:ascii="宋体" w:hAnsi="宋体" w:eastAsia="宋体" w:cs="宋体"/>
                <w:b w:val="0"/>
                <w:bCs w:val="0"/>
                <w:sz w:val="24"/>
                <w:szCs w:val="24"/>
                <w:lang w:val="en-US" w:eastAsia="zh-CN"/>
              </w:rPr>
            </w:pPr>
            <w:r>
              <w:rPr>
                <w:rFonts w:hint="eastAsia" w:hAnsi="宋体" w:cs="宋体"/>
                <w:b w:val="0"/>
                <w:bCs w:val="0"/>
                <w:sz w:val="24"/>
                <w:szCs w:val="24"/>
                <w:lang w:val="en-US" w:eastAsia="zh-CN"/>
              </w:rPr>
              <w:t>10</w:t>
            </w:r>
          </w:p>
        </w:tc>
        <w:tc>
          <w:tcPr>
            <w:tcW w:w="1032" w:type="pct"/>
            <w:vAlign w:val="center"/>
          </w:tcPr>
          <w:p>
            <w:pPr>
              <w:snapToGrid w:val="0"/>
              <w:spacing w:before="156" w:beforeLines="50"/>
              <w:ind w:left="0" w:leftChars="0" w:firstLine="0" w:firstLineChars="0"/>
              <w:jc w:val="center"/>
              <w:rPr>
                <w:rFonts w:hint="default" w:ascii="宋体" w:hAnsi="宋体" w:eastAsia="宋体" w:cs="宋体"/>
                <w:b w:val="0"/>
                <w:bCs w:val="0"/>
                <w:sz w:val="24"/>
                <w:szCs w:val="24"/>
                <w:lang w:val="en-US" w:eastAsia="zh-CN"/>
              </w:rPr>
            </w:pPr>
            <w:r>
              <w:rPr>
                <w:rFonts w:hint="eastAsia" w:hAnsi="宋体" w:cs="宋体"/>
                <w:b w:val="0"/>
                <w:bCs w:val="0"/>
                <w:sz w:val="24"/>
                <w:szCs w:val="24"/>
                <w:lang w:val="en-US" w:eastAsia="zh-CN"/>
              </w:rPr>
              <w:t>补偿导线</w:t>
            </w:r>
          </w:p>
        </w:tc>
        <w:tc>
          <w:tcPr>
            <w:tcW w:w="1743"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ZR192—KX-HA-FFP-1*2*1.0mm</w:t>
            </w:r>
            <w:r>
              <w:rPr>
                <w:rFonts w:hint="eastAsia" w:ascii="宋体" w:hAnsi="宋体" w:eastAsia="宋体" w:cs="宋体"/>
                <w:b w:val="0"/>
                <w:bCs w:val="0"/>
                <w:sz w:val="32"/>
                <w:szCs w:val="32"/>
                <w:vertAlign w:val="superscript"/>
                <w:lang w:val="en-US" w:eastAsia="zh-CN"/>
              </w:rPr>
              <w:t>2</w:t>
            </w:r>
          </w:p>
        </w:tc>
        <w:tc>
          <w:tcPr>
            <w:tcW w:w="257" w:type="pct"/>
            <w:vAlign w:val="center"/>
          </w:tcPr>
          <w:p>
            <w:pPr>
              <w:snapToGrid w:val="0"/>
              <w:spacing w:before="156" w:beforeLines="50"/>
              <w:ind w:left="0" w:leftChars="0" w:firstLine="0" w:firstLineChars="0"/>
              <w:jc w:val="center"/>
              <w:rPr>
                <w:rFonts w:hint="default" w:ascii="宋体" w:hAnsi="宋体" w:eastAsia="宋体" w:cs="宋体"/>
                <w:b w:val="0"/>
                <w:bCs w:val="0"/>
                <w:sz w:val="24"/>
                <w:szCs w:val="24"/>
                <w:lang w:val="en-US" w:eastAsia="zh-CN"/>
              </w:rPr>
            </w:pPr>
            <w:r>
              <w:rPr>
                <w:rFonts w:hint="eastAsia" w:hAnsi="宋体" w:cs="宋体"/>
                <w:b w:val="0"/>
                <w:bCs w:val="0"/>
                <w:sz w:val="24"/>
                <w:szCs w:val="24"/>
                <w:lang w:val="en-US" w:eastAsia="zh-CN"/>
              </w:rPr>
              <w:t>米</w:t>
            </w:r>
          </w:p>
        </w:tc>
        <w:tc>
          <w:tcPr>
            <w:tcW w:w="696" w:type="dxa"/>
            <w:vAlign w:val="center"/>
          </w:tcPr>
          <w:p>
            <w:pPr>
              <w:snapToGrid w:val="0"/>
              <w:spacing w:before="156" w:beforeLines="50"/>
              <w:ind w:left="0" w:leftChars="0" w:firstLine="0" w:firstLineChars="0"/>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600</w:t>
            </w:r>
          </w:p>
        </w:tc>
        <w:tc>
          <w:tcPr>
            <w:tcW w:w="1339"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2" w:type="pct"/>
            <w:vAlign w:val="center"/>
          </w:tcPr>
          <w:p>
            <w:pPr>
              <w:snapToGrid w:val="0"/>
              <w:spacing w:before="156" w:beforeLines="5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w:t>
            </w:r>
          </w:p>
        </w:tc>
        <w:tc>
          <w:tcPr>
            <w:tcW w:w="4727" w:type="pct"/>
            <w:gridSpan w:val="5"/>
            <w:vAlign w:val="center"/>
          </w:tcPr>
          <w:p>
            <w:pPr>
              <w:snapToGrid w:val="0"/>
              <w:spacing w:before="156" w:beforeLines="50"/>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阀门部分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2"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103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电动涡轮蝶阀</w:t>
            </w:r>
          </w:p>
        </w:tc>
        <w:tc>
          <w:tcPr>
            <w:tcW w:w="1743" w:type="pct"/>
            <w:vAlign w:val="center"/>
          </w:tcPr>
          <w:p>
            <w:pPr>
              <w:snapToGrid w:val="0"/>
              <w:spacing w:before="156" w:beforeLines="50" w:line="240" w:lineRule="auto"/>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PN:不小于15Kpa ，</w:t>
            </w:r>
          </w:p>
          <w:p>
            <w:pPr>
              <w:snapToGrid w:val="0"/>
              <w:spacing w:before="156" w:beforeLines="50" w:line="240" w:lineRule="auto"/>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通径DN1300，</w:t>
            </w:r>
          </w:p>
          <w:p>
            <w:pPr>
              <w:snapToGrid w:val="0"/>
              <w:spacing w:before="156" w:beforeLines="50" w:line="240" w:lineRule="auto"/>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接管为Ф1320*6，</w:t>
            </w:r>
          </w:p>
          <w:p>
            <w:pPr>
              <w:snapToGrid w:val="0"/>
              <w:spacing w:before="156" w:beforeLines="50" w:line="240" w:lineRule="auto"/>
              <w:ind w:left="0" w:leftChars="0" w:firstLine="0" w:firstLineChars="0"/>
              <w:jc w:val="left"/>
              <w:rPr>
                <w:rFonts w:hint="default" w:ascii="宋体" w:hAnsi="宋体" w:eastAsia="宋体" w:cs="宋体"/>
                <w:b w:val="0"/>
                <w:bCs w:val="0"/>
                <w:sz w:val="24"/>
                <w:szCs w:val="24"/>
                <w:lang w:val="en-US"/>
              </w:rPr>
            </w:pPr>
            <w:r>
              <w:rPr>
                <w:rFonts w:hint="eastAsia" w:ascii="宋体" w:hAnsi="宋体" w:eastAsia="宋体" w:cs="宋体"/>
                <w:b w:val="0"/>
                <w:bCs w:val="0"/>
                <w:sz w:val="24"/>
                <w:szCs w:val="24"/>
                <w:lang w:val="en-US" w:eastAsia="zh-CN"/>
              </w:rPr>
              <w:t>阀门型号：D343HF-2.5C</w:t>
            </w:r>
          </w:p>
        </w:tc>
        <w:tc>
          <w:tcPr>
            <w:tcW w:w="257" w:type="pct"/>
            <w:vAlign w:val="center"/>
          </w:tcPr>
          <w:p>
            <w:pPr>
              <w:snapToGrid w:val="0"/>
              <w:spacing w:before="156" w:beforeLines="5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台</w:t>
            </w:r>
          </w:p>
        </w:tc>
        <w:tc>
          <w:tcPr>
            <w:tcW w:w="355" w:type="pct"/>
            <w:vAlign w:val="center"/>
          </w:tcPr>
          <w:p>
            <w:pPr>
              <w:snapToGrid w:val="0"/>
              <w:spacing w:before="156" w:beforeLines="5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w:t>
            </w:r>
          </w:p>
        </w:tc>
        <w:tc>
          <w:tcPr>
            <w:tcW w:w="1339" w:type="pct"/>
            <w:vAlign w:val="center"/>
          </w:tcPr>
          <w:p>
            <w:pPr>
              <w:snapToGrid w:val="0"/>
              <w:spacing w:before="156" w:beforeLines="50" w:line="240" w:lineRule="auto"/>
              <w:ind w:left="0" w:leftChars="0" w:firstLine="0" w:firstLineChars="0"/>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电动执行器采用电动开关型,可上传DCS系统，电压为380V。阀门漏风率低于0.1%。</w:t>
            </w:r>
            <w:r>
              <w:rPr>
                <w:rFonts w:hint="eastAsia" w:hAnsi="宋体" w:cs="宋体"/>
                <w:b w:val="0"/>
                <w:bCs w:val="0"/>
                <w:sz w:val="24"/>
                <w:szCs w:val="24"/>
                <w:lang w:val="en-US" w:eastAsia="zh-CN"/>
              </w:rPr>
              <w:t>与烟气接触面采用耐酸防腐涂料或者采用不锈钢。配带反法兰、金属缠绕垫及连接螺栓。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2"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w:t>
            </w:r>
          </w:p>
        </w:tc>
        <w:tc>
          <w:tcPr>
            <w:tcW w:w="103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手动涡轮蝶阀</w:t>
            </w:r>
          </w:p>
        </w:tc>
        <w:tc>
          <w:tcPr>
            <w:tcW w:w="1743" w:type="pct"/>
            <w:vAlign w:val="center"/>
          </w:tcPr>
          <w:p>
            <w:pPr>
              <w:snapToGrid w:val="0"/>
              <w:spacing w:before="156" w:beforeLines="50" w:line="240" w:lineRule="auto"/>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PN:不小于15Kpa ，</w:t>
            </w:r>
          </w:p>
          <w:p>
            <w:pPr>
              <w:snapToGrid w:val="0"/>
              <w:spacing w:before="156" w:beforeLines="50" w:line="240" w:lineRule="auto"/>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通径DN1300，</w:t>
            </w:r>
          </w:p>
          <w:p>
            <w:pPr>
              <w:snapToGrid w:val="0"/>
              <w:spacing w:before="156" w:beforeLines="50" w:line="240" w:lineRule="auto"/>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接管为Ф1320*6，</w:t>
            </w:r>
          </w:p>
          <w:p>
            <w:pPr>
              <w:snapToGrid w:val="0"/>
              <w:spacing w:before="156" w:beforeLines="50" w:line="240" w:lineRule="auto"/>
              <w:ind w:left="0" w:leftChars="0" w:firstLine="0" w:firstLineChars="0"/>
              <w:jc w:val="left"/>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阀门型号：D343HF-2.5C</w:t>
            </w:r>
          </w:p>
        </w:tc>
        <w:tc>
          <w:tcPr>
            <w:tcW w:w="257" w:type="pct"/>
            <w:vAlign w:val="center"/>
          </w:tcPr>
          <w:p>
            <w:pPr>
              <w:snapToGrid w:val="0"/>
              <w:spacing w:before="156" w:beforeLines="5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台</w:t>
            </w:r>
          </w:p>
        </w:tc>
        <w:tc>
          <w:tcPr>
            <w:tcW w:w="355" w:type="pct"/>
            <w:vAlign w:val="center"/>
          </w:tcPr>
          <w:p>
            <w:pPr>
              <w:snapToGrid w:val="0"/>
              <w:spacing w:before="156" w:beforeLines="5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w:t>
            </w:r>
          </w:p>
        </w:tc>
        <w:tc>
          <w:tcPr>
            <w:tcW w:w="1339" w:type="pct"/>
            <w:vAlign w:val="center"/>
          </w:tcPr>
          <w:p>
            <w:pPr>
              <w:snapToGrid w:val="0"/>
              <w:spacing w:before="156" w:beforeLines="50" w:line="240" w:lineRule="auto"/>
              <w:ind w:left="0" w:leftChars="0" w:firstLine="0" w:firstLineChars="0"/>
              <w:jc w:val="left"/>
              <w:rPr>
                <w:rFonts w:hint="eastAsia" w:ascii="宋体" w:hAnsi="宋体" w:eastAsia="宋体" w:cs="宋体"/>
                <w:b w:val="0"/>
                <w:bCs w:val="0"/>
                <w:sz w:val="24"/>
                <w:szCs w:val="24"/>
              </w:rPr>
            </w:pPr>
            <w:r>
              <w:rPr>
                <w:rFonts w:hint="eastAsia" w:hAnsi="宋体" w:cs="宋体"/>
                <w:b w:val="0"/>
                <w:bCs w:val="0"/>
                <w:sz w:val="24"/>
                <w:szCs w:val="24"/>
                <w:lang w:val="en-US" w:eastAsia="zh-CN"/>
              </w:rPr>
              <w:t>与烟气接触面采用耐酸防腐涂料或者采用不锈钢。</w:t>
            </w:r>
            <w:r>
              <w:rPr>
                <w:rFonts w:hint="eastAsia" w:ascii="宋体" w:hAnsi="宋体" w:eastAsia="宋体" w:cs="宋体"/>
                <w:b w:val="0"/>
                <w:bCs w:val="0"/>
                <w:sz w:val="24"/>
                <w:szCs w:val="24"/>
                <w:lang w:val="en-US" w:eastAsia="zh-CN"/>
              </w:rPr>
              <w:t>阀门漏风率低于0.1%。</w:t>
            </w:r>
            <w:r>
              <w:rPr>
                <w:rFonts w:hint="eastAsia" w:hAnsi="宋体" w:cs="宋体"/>
                <w:b w:val="0"/>
                <w:bCs w:val="0"/>
                <w:sz w:val="24"/>
                <w:szCs w:val="24"/>
                <w:lang w:val="en-US" w:eastAsia="zh-CN"/>
              </w:rPr>
              <w:t>配带反法兰、金属缠绕垫及连接螺栓。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2" w:type="pct"/>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w:t>
            </w:r>
          </w:p>
        </w:tc>
        <w:tc>
          <w:tcPr>
            <w:tcW w:w="103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电动执行器</w:t>
            </w:r>
          </w:p>
        </w:tc>
        <w:tc>
          <w:tcPr>
            <w:tcW w:w="1743" w:type="pct"/>
            <w:vAlign w:val="center"/>
          </w:tcPr>
          <w:p>
            <w:pPr>
              <w:snapToGrid w:val="0"/>
              <w:spacing w:before="156" w:beforeLines="50"/>
              <w:ind w:left="0" w:leftChars="0" w:firstLine="0" w:firstLineChars="0"/>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扭矩为1600N.m，用于通风机入口挡板门。</w:t>
            </w:r>
          </w:p>
        </w:tc>
        <w:tc>
          <w:tcPr>
            <w:tcW w:w="257" w:type="pct"/>
            <w:vAlign w:val="center"/>
          </w:tcPr>
          <w:p>
            <w:pPr>
              <w:snapToGrid w:val="0"/>
              <w:spacing w:before="156" w:beforeLines="5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台</w:t>
            </w:r>
          </w:p>
        </w:tc>
        <w:tc>
          <w:tcPr>
            <w:tcW w:w="355" w:type="pct"/>
            <w:vAlign w:val="center"/>
          </w:tcPr>
          <w:p>
            <w:pPr>
              <w:snapToGrid w:val="0"/>
              <w:spacing w:before="156" w:beforeLines="5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w:t>
            </w:r>
          </w:p>
        </w:tc>
        <w:tc>
          <w:tcPr>
            <w:tcW w:w="1339" w:type="pct"/>
            <w:vAlign w:val="center"/>
          </w:tcPr>
          <w:p>
            <w:pPr>
              <w:snapToGrid w:val="0"/>
              <w:spacing w:before="156" w:beforeLines="50"/>
              <w:ind w:left="0" w:leftChars="0" w:firstLine="0" w:firstLineChars="0"/>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电动执行器采用电动调节型,可上传DCS系统，电压为380V。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2" w:type="pct"/>
            <w:vAlign w:val="center"/>
          </w:tcPr>
          <w:p>
            <w:pPr>
              <w:snapToGrid w:val="0"/>
              <w:spacing w:before="156" w:beforeLines="5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w:t>
            </w:r>
          </w:p>
        </w:tc>
        <w:tc>
          <w:tcPr>
            <w:tcW w:w="4727" w:type="pct"/>
            <w:gridSpan w:val="5"/>
            <w:vAlign w:val="center"/>
          </w:tcPr>
          <w:p>
            <w:pPr>
              <w:snapToGrid w:val="0"/>
              <w:spacing w:before="156" w:beforeLines="5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高压配电柜电气元件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1</w:t>
            </w:r>
          </w:p>
        </w:tc>
        <w:tc>
          <w:tcPr>
            <w:tcW w:w="103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真空接触器熔断器组合电器</w:t>
            </w:r>
          </w:p>
        </w:tc>
        <w:tc>
          <w:tcPr>
            <w:tcW w:w="1743" w:type="pct"/>
            <w:vAlign w:val="center"/>
          </w:tcPr>
          <w:p>
            <w:pPr>
              <w:snapToGrid w:val="0"/>
              <w:spacing w:before="156" w:beforeLines="50"/>
              <w:ind w:left="0" w:leftChars="0" w:firstLine="0" w:firstLineChars="0"/>
              <w:jc w:val="left"/>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接触器额定电流400A, 额定电压7.2KV, 熔断器额定电流125A，额定操作电压DC220V，工频耐受电压32KV。</w:t>
            </w:r>
          </w:p>
        </w:tc>
        <w:tc>
          <w:tcPr>
            <w:tcW w:w="257"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台</w:t>
            </w:r>
          </w:p>
        </w:tc>
        <w:tc>
          <w:tcPr>
            <w:tcW w:w="355"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2</w:t>
            </w:r>
          </w:p>
        </w:tc>
        <w:tc>
          <w:tcPr>
            <w:tcW w:w="1339" w:type="pct"/>
            <w:vAlign w:val="center"/>
          </w:tcPr>
          <w:p>
            <w:pPr>
              <w:snapToGrid w:val="0"/>
              <w:spacing w:before="156" w:beforeLines="50"/>
              <w:jc w:val="center"/>
              <w:rPr>
                <w:rFonts w:hint="eastAsia" w:ascii="宋体" w:hAnsi="宋体" w:eastAsia="宋体" w:cs="宋体"/>
                <w:b w:val="0"/>
                <w:bCs w:val="0"/>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2</w:t>
            </w:r>
          </w:p>
        </w:tc>
        <w:tc>
          <w:tcPr>
            <w:tcW w:w="103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高压开关柜CT传感器</w:t>
            </w:r>
          </w:p>
        </w:tc>
        <w:tc>
          <w:tcPr>
            <w:tcW w:w="1743" w:type="pct"/>
            <w:vAlign w:val="center"/>
          </w:tcPr>
          <w:p>
            <w:pPr>
              <w:snapToGrid w:val="0"/>
              <w:spacing w:before="156" w:beforeLines="50"/>
              <w:ind w:left="0" w:leftChars="0" w:firstLine="0" w:firstLineChars="0"/>
              <w:jc w:val="left"/>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电流比100/5, 50HZ, 额定动稳定电流38KA, 额定短时热电流12KA 2S额定绝缘水平12/42/75KV。</w:t>
            </w:r>
          </w:p>
        </w:tc>
        <w:tc>
          <w:tcPr>
            <w:tcW w:w="257"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个</w:t>
            </w:r>
          </w:p>
        </w:tc>
        <w:tc>
          <w:tcPr>
            <w:tcW w:w="355"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4</w:t>
            </w:r>
          </w:p>
        </w:tc>
        <w:tc>
          <w:tcPr>
            <w:tcW w:w="1339" w:type="pct"/>
            <w:vAlign w:val="center"/>
          </w:tcPr>
          <w:p>
            <w:pPr>
              <w:snapToGrid w:val="0"/>
              <w:spacing w:before="156" w:beforeLines="50"/>
              <w:jc w:val="center"/>
              <w:rPr>
                <w:rFonts w:hint="eastAsia" w:ascii="宋体" w:hAnsi="宋体" w:eastAsia="宋体" w:cs="宋体"/>
                <w:b w:val="0"/>
                <w:bCs w:val="0"/>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3</w:t>
            </w:r>
          </w:p>
        </w:tc>
        <w:tc>
          <w:tcPr>
            <w:tcW w:w="103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高压开关柜综合保护装置</w:t>
            </w:r>
          </w:p>
        </w:tc>
        <w:tc>
          <w:tcPr>
            <w:tcW w:w="1743" w:type="pct"/>
            <w:vAlign w:val="center"/>
          </w:tcPr>
          <w:p>
            <w:pPr>
              <w:snapToGrid w:val="0"/>
              <w:spacing w:before="156" w:beforeLines="50"/>
              <w:ind w:left="0" w:leftChars="0" w:firstLine="0" w:firstLineChars="0"/>
              <w:jc w:val="left"/>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必须要带大电流闭锁保护。</w:t>
            </w:r>
          </w:p>
        </w:tc>
        <w:tc>
          <w:tcPr>
            <w:tcW w:w="257"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台</w:t>
            </w:r>
          </w:p>
        </w:tc>
        <w:tc>
          <w:tcPr>
            <w:tcW w:w="355"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2</w:t>
            </w:r>
          </w:p>
        </w:tc>
        <w:tc>
          <w:tcPr>
            <w:tcW w:w="1339" w:type="pct"/>
            <w:vAlign w:val="center"/>
          </w:tcPr>
          <w:p>
            <w:pPr>
              <w:snapToGrid w:val="0"/>
              <w:spacing w:before="156" w:beforeLines="50"/>
              <w:jc w:val="center"/>
              <w:rPr>
                <w:rFonts w:hint="eastAsia" w:ascii="宋体" w:hAnsi="宋体" w:eastAsia="宋体" w:cs="宋体"/>
                <w:b w:val="0"/>
                <w:bCs w:val="0"/>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4</w:t>
            </w:r>
          </w:p>
        </w:tc>
        <w:tc>
          <w:tcPr>
            <w:tcW w:w="103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馈电侧带电显示器</w:t>
            </w:r>
          </w:p>
        </w:tc>
        <w:tc>
          <w:tcPr>
            <w:tcW w:w="1743"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p>
        </w:tc>
        <w:tc>
          <w:tcPr>
            <w:tcW w:w="257"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个</w:t>
            </w:r>
          </w:p>
        </w:tc>
        <w:tc>
          <w:tcPr>
            <w:tcW w:w="355"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2</w:t>
            </w:r>
          </w:p>
        </w:tc>
        <w:tc>
          <w:tcPr>
            <w:tcW w:w="1339" w:type="pct"/>
            <w:vAlign w:val="center"/>
          </w:tcPr>
          <w:p>
            <w:pPr>
              <w:snapToGrid w:val="0"/>
              <w:spacing w:before="156" w:beforeLines="50"/>
              <w:jc w:val="center"/>
              <w:rPr>
                <w:rFonts w:hint="eastAsia" w:ascii="宋体" w:hAnsi="宋体" w:eastAsia="宋体" w:cs="宋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5</w:t>
            </w:r>
          </w:p>
        </w:tc>
        <w:tc>
          <w:tcPr>
            <w:tcW w:w="103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kern w:val="0"/>
                <w:sz w:val="24"/>
                <w:szCs w:val="24"/>
                <w:lang w:val="en-US" w:eastAsia="zh-CN" w:bidi="ar-SA"/>
              </w:rPr>
            </w:pPr>
            <w:r>
              <w:rPr>
                <w:rFonts w:hint="eastAsia" w:ascii="宋体" w:hAnsi="宋体" w:eastAsia="宋体" w:cs="宋体"/>
                <w:b w:val="0"/>
                <w:bCs w:val="0"/>
                <w:sz w:val="24"/>
                <w:szCs w:val="24"/>
                <w:lang w:val="en-US" w:eastAsia="zh-CN"/>
              </w:rPr>
              <w:t>急停按钮</w:t>
            </w:r>
          </w:p>
        </w:tc>
        <w:tc>
          <w:tcPr>
            <w:tcW w:w="1743"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kern w:val="0"/>
                <w:sz w:val="24"/>
                <w:szCs w:val="24"/>
                <w:lang w:val="en-US" w:eastAsia="zh-CN" w:bidi="ar-SA"/>
              </w:rPr>
            </w:pPr>
          </w:p>
        </w:tc>
        <w:tc>
          <w:tcPr>
            <w:tcW w:w="257"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kern w:val="0"/>
                <w:sz w:val="24"/>
                <w:szCs w:val="24"/>
                <w:lang w:val="en-US" w:eastAsia="zh-CN" w:bidi="ar-SA"/>
              </w:rPr>
            </w:pPr>
            <w:r>
              <w:rPr>
                <w:rFonts w:hint="eastAsia" w:ascii="宋体" w:hAnsi="宋体" w:eastAsia="宋体" w:cs="宋体"/>
                <w:b w:val="0"/>
                <w:bCs w:val="0"/>
                <w:sz w:val="24"/>
                <w:szCs w:val="24"/>
                <w:lang w:val="en-US" w:eastAsia="zh-CN"/>
              </w:rPr>
              <w:t>个</w:t>
            </w:r>
          </w:p>
        </w:tc>
        <w:tc>
          <w:tcPr>
            <w:tcW w:w="355"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kern w:val="0"/>
                <w:sz w:val="24"/>
                <w:szCs w:val="24"/>
                <w:lang w:val="en-US" w:eastAsia="zh-CN" w:bidi="ar-SA"/>
              </w:rPr>
            </w:pPr>
            <w:r>
              <w:rPr>
                <w:rFonts w:hint="eastAsia" w:ascii="宋体" w:hAnsi="宋体" w:eastAsia="宋体" w:cs="宋体"/>
                <w:b w:val="0"/>
                <w:bCs w:val="0"/>
                <w:sz w:val="24"/>
                <w:szCs w:val="24"/>
                <w:lang w:val="en-US" w:eastAsia="zh-CN"/>
              </w:rPr>
              <w:t>2</w:t>
            </w:r>
          </w:p>
        </w:tc>
        <w:tc>
          <w:tcPr>
            <w:tcW w:w="1339" w:type="pct"/>
            <w:vAlign w:val="center"/>
          </w:tcPr>
          <w:p>
            <w:pPr>
              <w:snapToGrid w:val="0"/>
              <w:spacing w:before="156" w:beforeLines="50"/>
              <w:jc w:val="center"/>
              <w:rPr>
                <w:rFonts w:hint="eastAsia" w:ascii="宋体" w:hAnsi="宋体" w:eastAsia="宋体" w:cs="宋体"/>
                <w:b w:val="0"/>
                <w:bCs w:val="0"/>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2" w:type="pct"/>
            <w:vAlign w:val="center"/>
          </w:tcPr>
          <w:p>
            <w:pPr>
              <w:snapToGrid w:val="0"/>
              <w:spacing w:before="156" w:beforeLines="5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四</w:t>
            </w:r>
          </w:p>
        </w:tc>
        <w:tc>
          <w:tcPr>
            <w:tcW w:w="4727" w:type="pct"/>
            <w:gridSpan w:val="5"/>
            <w:vAlign w:val="center"/>
          </w:tcPr>
          <w:p>
            <w:pPr>
              <w:snapToGrid w:val="0"/>
              <w:spacing w:before="156" w:beforeLines="50"/>
              <w:jc w:val="left"/>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color w:val="000000"/>
                <w:sz w:val="24"/>
                <w:szCs w:val="24"/>
                <w:lang w:val="en-US" w:eastAsia="zh-CN"/>
              </w:rPr>
              <w:t>仪表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bookmarkStart w:id="8" w:name="_GoBack" w:colFirst="5" w:colLast="5"/>
            <w:r>
              <w:rPr>
                <w:rFonts w:hint="eastAsia" w:ascii="宋体" w:hAnsi="宋体" w:eastAsia="宋体" w:cs="宋体"/>
                <w:b w:val="0"/>
                <w:bCs w:val="0"/>
                <w:sz w:val="24"/>
                <w:szCs w:val="24"/>
                <w:lang w:val="en-US" w:eastAsia="zh-CN"/>
              </w:rPr>
              <w:t>1</w:t>
            </w:r>
          </w:p>
        </w:tc>
        <w:tc>
          <w:tcPr>
            <w:tcW w:w="2023" w:type="dxa"/>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hAnsi="宋体" w:cs="宋体"/>
                <w:b w:val="0"/>
                <w:bCs w:val="0"/>
                <w:sz w:val="24"/>
                <w:szCs w:val="24"/>
                <w:lang w:val="en-US" w:eastAsia="zh-CN"/>
              </w:rPr>
              <w:t>风量计</w:t>
            </w:r>
          </w:p>
        </w:tc>
        <w:tc>
          <w:tcPr>
            <w:tcW w:w="1743" w:type="pct"/>
            <w:vAlign w:val="center"/>
          </w:tcPr>
          <w:p>
            <w:pPr>
              <w:snapToGrid w:val="0"/>
              <w:spacing w:before="156" w:beforeLines="50"/>
              <w:ind w:left="0" w:leftChars="0" w:firstLine="0" w:firstLineChars="0"/>
              <w:jc w:val="left"/>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量程：0-100000m3/h,压力：18kPa。测量介质；烟气（含SO2）。介质温度；300°C。电源电压;24V</w:t>
            </w:r>
            <w:r>
              <w:rPr>
                <w:rFonts w:hint="eastAsia" w:hAnsi="宋体" w:cs="宋体"/>
                <w:b w:val="0"/>
                <w:bCs w:val="0"/>
                <w:sz w:val="24"/>
                <w:szCs w:val="24"/>
                <w:lang w:val="en-US" w:eastAsia="zh-CN"/>
              </w:rPr>
              <w:t>。</w:t>
            </w:r>
          </w:p>
        </w:tc>
        <w:tc>
          <w:tcPr>
            <w:tcW w:w="257"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台</w:t>
            </w:r>
          </w:p>
        </w:tc>
        <w:tc>
          <w:tcPr>
            <w:tcW w:w="355"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2</w:t>
            </w:r>
          </w:p>
        </w:tc>
        <w:tc>
          <w:tcPr>
            <w:tcW w:w="1339" w:type="pct"/>
            <w:vAlign w:val="center"/>
          </w:tcPr>
          <w:p>
            <w:pPr>
              <w:snapToGrid w:val="0"/>
              <w:spacing w:before="156" w:beforeLines="50"/>
              <w:ind w:left="0" w:leftChars="0" w:firstLine="0" w:firstLineChars="0"/>
              <w:jc w:val="left"/>
              <w:rPr>
                <w:rFonts w:hint="eastAsia" w:ascii="宋体" w:hAnsi="宋体" w:eastAsia="宋体" w:cs="宋体"/>
                <w:b w:val="0"/>
                <w:bCs w:val="0"/>
                <w:kern w:val="0"/>
                <w:sz w:val="24"/>
                <w:szCs w:val="24"/>
                <w:lang w:val="en-US" w:eastAsia="zh-CN" w:bidi="ar-SA"/>
              </w:rPr>
            </w:pPr>
            <w:r>
              <w:rPr>
                <w:rFonts w:hint="eastAsia" w:ascii="宋体" w:hAnsi="宋体" w:eastAsia="宋体" w:cs="宋体"/>
                <w:b w:val="0"/>
                <w:bCs w:val="0"/>
                <w:sz w:val="24"/>
                <w:szCs w:val="24"/>
                <w:lang w:val="en-US" w:eastAsia="zh-CN"/>
              </w:rPr>
              <w:t>烟气流量测量采用矩阵式差压测量，选用南京苏鲁源、济南贝腾或同等技术标准和性能品牌。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2</w:t>
            </w:r>
          </w:p>
        </w:tc>
        <w:tc>
          <w:tcPr>
            <w:tcW w:w="2023" w:type="dxa"/>
            <w:vAlign w:val="center"/>
          </w:tcPr>
          <w:p>
            <w:pPr>
              <w:snapToGrid w:val="0"/>
              <w:spacing w:before="156" w:beforeLines="50"/>
              <w:ind w:left="0" w:leftChars="0" w:firstLine="0" w:firstLineChars="0"/>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热电偶</w:t>
            </w:r>
            <w:r>
              <w:rPr>
                <w:rFonts w:hint="eastAsia" w:hAnsi="宋体" w:cs="宋体"/>
                <w:b w:val="0"/>
                <w:bCs w:val="0"/>
                <w:sz w:val="24"/>
                <w:szCs w:val="24"/>
                <w:lang w:val="en-US" w:eastAsia="zh-CN"/>
              </w:rPr>
              <w:t>K型</w:t>
            </w:r>
          </w:p>
        </w:tc>
        <w:tc>
          <w:tcPr>
            <w:tcW w:w="1743" w:type="pct"/>
            <w:vAlign w:val="center"/>
          </w:tcPr>
          <w:p>
            <w:pPr>
              <w:snapToGrid w:val="0"/>
              <w:spacing w:before="156" w:beforeLines="50"/>
              <w:ind w:left="0" w:leftChars="0" w:firstLine="0" w:firstLineChars="0"/>
              <w:jc w:val="left"/>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量程；0-1100°C</w:t>
            </w:r>
          </w:p>
        </w:tc>
        <w:tc>
          <w:tcPr>
            <w:tcW w:w="257"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支</w:t>
            </w:r>
          </w:p>
        </w:tc>
        <w:tc>
          <w:tcPr>
            <w:tcW w:w="355"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2</w:t>
            </w:r>
          </w:p>
        </w:tc>
        <w:tc>
          <w:tcPr>
            <w:tcW w:w="1339" w:type="pct"/>
            <w:vAlign w:val="center"/>
          </w:tcPr>
          <w:p>
            <w:pPr>
              <w:snapToGrid w:val="0"/>
              <w:spacing w:before="156" w:beforeLines="50"/>
              <w:jc w:val="center"/>
              <w:rPr>
                <w:rFonts w:hint="default" w:ascii="宋体" w:hAnsi="宋体" w:eastAsia="宋体" w:cs="宋体"/>
                <w:b w:val="0"/>
                <w:bCs w:val="0"/>
                <w:color w:val="000000"/>
                <w:sz w:val="24"/>
                <w:szCs w:val="24"/>
                <w:lang w:val="en-US" w:eastAsia="zh-CN"/>
              </w:rPr>
            </w:pPr>
            <w:r>
              <w:rPr>
                <w:rFonts w:hint="eastAsia" w:hAnsi="宋体" w:cs="宋体"/>
                <w:b w:val="0"/>
                <w:bCs w:val="0"/>
                <w:color w:val="000000"/>
                <w:sz w:val="24"/>
                <w:szCs w:val="24"/>
                <w:lang w:val="en-US" w:eastAsia="zh-CN"/>
              </w:rPr>
              <w:t>配套焊接底座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2"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3</w:t>
            </w:r>
          </w:p>
        </w:tc>
        <w:tc>
          <w:tcPr>
            <w:tcW w:w="2023" w:type="dxa"/>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压力变送器</w:t>
            </w:r>
          </w:p>
        </w:tc>
        <w:tc>
          <w:tcPr>
            <w:tcW w:w="1743" w:type="pct"/>
            <w:vAlign w:val="center"/>
          </w:tcPr>
          <w:p>
            <w:pPr>
              <w:snapToGrid w:val="0"/>
              <w:spacing w:before="156" w:beforeLines="50"/>
              <w:ind w:left="0" w:leftChars="0" w:firstLine="0" w:firstLineChars="0"/>
              <w:jc w:val="left"/>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量程；0-40KPA；最大量程0.207MPA</w:t>
            </w:r>
          </w:p>
        </w:tc>
        <w:tc>
          <w:tcPr>
            <w:tcW w:w="257"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台</w:t>
            </w:r>
          </w:p>
        </w:tc>
        <w:tc>
          <w:tcPr>
            <w:tcW w:w="355" w:type="pct"/>
            <w:vAlign w:val="center"/>
          </w:tcPr>
          <w:p>
            <w:pPr>
              <w:snapToGrid w:val="0"/>
              <w:spacing w:before="156" w:beforeLines="50"/>
              <w:ind w:left="0" w:leftChars="0" w:firstLine="0" w:firstLineChars="0"/>
              <w:jc w:val="center"/>
              <w:rPr>
                <w:rFonts w:hint="eastAsia" w:ascii="宋体" w:hAnsi="宋体" w:eastAsia="宋体" w:cs="宋体"/>
                <w:b w:val="0"/>
                <w:bCs w:val="0"/>
                <w:color w:val="000000"/>
                <w:sz w:val="24"/>
                <w:szCs w:val="24"/>
                <w:lang w:val="en-US" w:eastAsia="zh-CN"/>
              </w:rPr>
            </w:pPr>
            <w:r>
              <w:rPr>
                <w:rFonts w:hint="eastAsia" w:ascii="宋体" w:hAnsi="宋体" w:eastAsia="宋体" w:cs="宋体"/>
                <w:b w:val="0"/>
                <w:bCs w:val="0"/>
                <w:sz w:val="24"/>
                <w:szCs w:val="24"/>
                <w:lang w:val="en-US" w:eastAsia="zh-CN"/>
              </w:rPr>
              <w:t>2</w:t>
            </w:r>
          </w:p>
        </w:tc>
        <w:tc>
          <w:tcPr>
            <w:tcW w:w="1339" w:type="pct"/>
            <w:vAlign w:val="center"/>
          </w:tcPr>
          <w:p>
            <w:pPr>
              <w:snapToGrid w:val="0"/>
              <w:spacing w:before="156" w:beforeLines="50"/>
              <w:jc w:val="center"/>
              <w:rPr>
                <w:rFonts w:hint="default" w:ascii="宋体" w:hAnsi="宋体" w:eastAsia="宋体" w:cs="宋体"/>
                <w:b w:val="0"/>
                <w:bCs w:val="0"/>
                <w:color w:val="000000"/>
                <w:sz w:val="24"/>
                <w:szCs w:val="24"/>
                <w:lang w:val="en-US" w:eastAsia="zh-CN"/>
              </w:rPr>
            </w:pPr>
            <w:r>
              <w:rPr>
                <w:rFonts w:hint="eastAsia" w:hAnsi="宋体" w:cs="宋体"/>
                <w:b w:val="0"/>
                <w:bCs w:val="0"/>
                <w:color w:val="000000"/>
                <w:sz w:val="24"/>
                <w:szCs w:val="24"/>
                <w:lang w:val="en-US" w:eastAsia="zh-CN"/>
              </w:rPr>
              <w:t>具有上传DCS功能及就地显示。</w:t>
            </w:r>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2" w:type="pct"/>
            <w:vAlign w:val="center"/>
          </w:tcPr>
          <w:p>
            <w:pPr>
              <w:snapToGrid w:val="0"/>
              <w:spacing w:before="156" w:beforeLines="50"/>
              <w:ind w:left="0" w:leftChars="0" w:firstLine="0" w:firstLineChars="0"/>
              <w:jc w:val="center"/>
              <w:rPr>
                <w:rFonts w:hint="default" w:ascii="宋体" w:hAnsi="宋体" w:eastAsia="宋体" w:cs="宋体"/>
                <w:b w:val="0"/>
                <w:bCs w:val="0"/>
                <w:sz w:val="24"/>
                <w:szCs w:val="24"/>
                <w:lang w:val="en-US" w:eastAsia="zh-CN"/>
              </w:rPr>
            </w:pPr>
            <w:r>
              <w:rPr>
                <w:rFonts w:hint="eastAsia" w:hAnsi="宋体" w:cs="宋体"/>
                <w:b w:val="0"/>
                <w:bCs w:val="0"/>
                <w:sz w:val="24"/>
                <w:szCs w:val="24"/>
                <w:lang w:val="en-US" w:eastAsia="zh-CN"/>
              </w:rPr>
              <w:t>4</w:t>
            </w:r>
          </w:p>
        </w:tc>
        <w:tc>
          <w:tcPr>
            <w:tcW w:w="2023" w:type="dxa"/>
            <w:vAlign w:val="center"/>
          </w:tcPr>
          <w:p>
            <w:pPr>
              <w:snapToGrid w:val="0"/>
              <w:spacing w:before="156" w:beforeLines="50"/>
              <w:ind w:left="0" w:leftChars="0" w:firstLine="0" w:firstLineChars="0"/>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镀锌管</w:t>
            </w:r>
          </w:p>
        </w:tc>
        <w:tc>
          <w:tcPr>
            <w:tcW w:w="3417" w:type="dxa"/>
            <w:vAlign w:val="center"/>
          </w:tcPr>
          <w:p>
            <w:pPr>
              <w:snapToGrid w:val="0"/>
              <w:spacing w:before="156" w:beforeLines="50"/>
              <w:ind w:left="0" w:leftChars="0" w:firstLine="0" w:firstLineChars="0"/>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φ33.7*3.2</w:t>
            </w:r>
          </w:p>
        </w:tc>
        <w:tc>
          <w:tcPr>
            <w:tcW w:w="257" w:type="pct"/>
            <w:vAlign w:val="center"/>
          </w:tcPr>
          <w:p>
            <w:pPr>
              <w:snapToGrid w:val="0"/>
              <w:spacing w:before="156" w:beforeLines="50"/>
              <w:ind w:left="0" w:leftChars="0" w:firstLine="0" w:firstLineChars="0"/>
              <w:jc w:val="center"/>
              <w:rPr>
                <w:rFonts w:hint="default" w:ascii="宋体" w:hAnsi="宋体" w:eastAsia="宋体" w:cs="宋体"/>
                <w:b w:val="0"/>
                <w:bCs w:val="0"/>
                <w:sz w:val="24"/>
                <w:szCs w:val="24"/>
                <w:lang w:val="en-US" w:eastAsia="zh-CN"/>
              </w:rPr>
            </w:pPr>
            <w:r>
              <w:rPr>
                <w:rFonts w:hint="eastAsia" w:hAnsi="宋体" w:cs="宋体"/>
                <w:b w:val="0"/>
                <w:bCs w:val="0"/>
                <w:sz w:val="24"/>
                <w:szCs w:val="24"/>
                <w:lang w:val="en-US" w:eastAsia="zh-CN"/>
              </w:rPr>
              <w:t>米</w:t>
            </w:r>
          </w:p>
        </w:tc>
        <w:tc>
          <w:tcPr>
            <w:tcW w:w="696" w:type="dxa"/>
            <w:vAlign w:val="center"/>
          </w:tcPr>
          <w:p>
            <w:pPr>
              <w:keepNext w:val="0"/>
              <w:keepLines w:val="0"/>
              <w:widowControl/>
              <w:suppressLineNumbers w:val="0"/>
              <w:jc w:val="center"/>
              <w:textAlignment w:val="center"/>
              <w:rPr>
                <w:rFonts w:hint="default" w:ascii="宋体" w:hAnsi="宋体" w:eastAsia="宋体" w:cs="宋体"/>
                <w:b w:val="0"/>
                <w:bCs w:val="0"/>
                <w:sz w:val="24"/>
                <w:szCs w:val="24"/>
                <w:lang w:val="en-US" w:eastAsia="zh-CN"/>
              </w:rPr>
            </w:pPr>
            <w:r>
              <w:rPr>
                <w:rFonts w:hint="eastAsia" w:ascii="宋体" w:hAnsi="宋体" w:eastAsia="宋体" w:cs="宋体"/>
                <w:i w:val="0"/>
                <w:color w:val="000000"/>
                <w:kern w:val="0"/>
                <w:sz w:val="22"/>
                <w:szCs w:val="22"/>
                <w:u w:val="none"/>
                <w:lang w:val="en-US" w:eastAsia="zh-CN" w:bidi="ar"/>
              </w:rPr>
              <w:t>500</w:t>
            </w:r>
          </w:p>
        </w:tc>
        <w:tc>
          <w:tcPr>
            <w:tcW w:w="1339" w:type="pct"/>
            <w:vAlign w:val="center"/>
          </w:tcPr>
          <w:p>
            <w:pPr>
              <w:snapToGrid w:val="0"/>
              <w:spacing w:before="156" w:beforeLines="50"/>
              <w:jc w:val="center"/>
              <w:rPr>
                <w:rFonts w:hint="eastAsia" w:hAnsi="宋体" w:cs="宋体"/>
                <w:b w:val="0"/>
                <w:bCs w:val="0"/>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2" w:type="pct"/>
            <w:vAlign w:val="center"/>
          </w:tcPr>
          <w:p>
            <w:pPr>
              <w:snapToGrid w:val="0"/>
              <w:spacing w:before="156" w:beforeLines="50"/>
              <w:ind w:left="0" w:leftChars="0" w:firstLine="0" w:firstLineChars="0"/>
              <w:jc w:val="center"/>
              <w:rPr>
                <w:rFonts w:hint="default" w:hAnsi="宋体" w:cs="宋体"/>
                <w:b w:val="0"/>
                <w:bCs w:val="0"/>
                <w:sz w:val="24"/>
                <w:szCs w:val="24"/>
                <w:lang w:val="en-US" w:eastAsia="zh-CN"/>
              </w:rPr>
            </w:pPr>
            <w:r>
              <w:rPr>
                <w:rFonts w:hint="eastAsia" w:hAnsi="宋体" w:cs="宋体"/>
                <w:b w:val="0"/>
                <w:bCs w:val="0"/>
                <w:sz w:val="24"/>
                <w:szCs w:val="24"/>
                <w:lang w:val="en-US" w:eastAsia="zh-CN"/>
              </w:rPr>
              <w:t>5</w:t>
            </w:r>
          </w:p>
        </w:tc>
        <w:tc>
          <w:tcPr>
            <w:tcW w:w="2023" w:type="dxa"/>
            <w:vAlign w:val="center"/>
          </w:tcPr>
          <w:p>
            <w:pPr>
              <w:snapToGrid w:val="0"/>
              <w:spacing w:before="156" w:beforeLines="50"/>
              <w:ind w:left="0" w:leftChars="0" w:firstLine="0" w:firstLineChars="0"/>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不锈钢管</w:t>
            </w:r>
          </w:p>
        </w:tc>
        <w:tc>
          <w:tcPr>
            <w:tcW w:w="3417" w:type="dxa"/>
            <w:vAlign w:val="center"/>
          </w:tcPr>
          <w:p>
            <w:pPr>
              <w:snapToGrid w:val="0"/>
              <w:spacing w:before="156" w:beforeLines="50"/>
              <w:ind w:left="0" w:leftChars="0" w:firstLine="0" w:firstLineChars="0"/>
              <w:jc w:val="left"/>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φ14*2</w:t>
            </w:r>
          </w:p>
        </w:tc>
        <w:tc>
          <w:tcPr>
            <w:tcW w:w="257" w:type="pct"/>
            <w:vAlign w:val="center"/>
          </w:tcPr>
          <w:p>
            <w:pPr>
              <w:snapToGrid w:val="0"/>
              <w:spacing w:before="156" w:beforeLines="50"/>
              <w:ind w:left="0" w:leftChars="0" w:firstLine="0" w:firstLineChars="0"/>
              <w:jc w:val="center"/>
              <w:rPr>
                <w:rFonts w:hint="default" w:hAnsi="宋体" w:cs="宋体"/>
                <w:b w:val="0"/>
                <w:bCs w:val="0"/>
                <w:sz w:val="24"/>
                <w:szCs w:val="24"/>
                <w:lang w:val="en-US" w:eastAsia="zh-CN"/>
              </w:rPr>
            </w:pPr>
            <w:r>
              <w:rPr>
                <w:rFonts w:hint="eastAsia" w:hAnsi="宋体" w:cs="宋体"/>
                <w:b w:val="0"/>
                <w:bCs w:val="0"/>
                <w:sz w:val="24"/>
                <w:szCs w:val="24"/>
                <w:lang w:val="en-US" w:eastAsia="zh-CN"/>
              </w:rPr>
              <w:t>米</w:t>
            </w:r>
          </w:p>
        </w:tc>
        <w:tc>
          <w:tcPr>
            <w:tcW w:w="696" w:type="dxa"/>
            <w:vAlign w:val="center"/>
          </w:tcPr>
          <w:p>
            <w:pPr>
              <w:keepNext w:val="0"/>
              <w:keepLines w:val="0"/>
              <w:widowControl/>
              <w:suppressLineNumbers w:val="0"/>
              <w:jc w:val="center"/>
              <w:textAlignment w:val="center"/>
              <w:rPr>
                <w:rFonts w:hint="default" w:hAnsi="宋体" w:cs="宋体"/>
                <w:b w:val="0"/>
                <w:bCs w:val="0"/>
                <w:sz w:val="24"/>
                <w:szCs w:val="24"/>
                <w:lang w:val="en-US" w:eastAsia="zh-CN"/>
              </w:rPr>
            </w:pPr>
            <w:r>
              <w:rPr>
                <w:rFonts w:hint="eastAsia" w:ascii="宋体" w:hAnsi="宋体" w:eastAsia="宋体" w:cs="宋体"/>
                <w:i w:val="0"/>
                <w:color w:val="000000"/>
                <w:kern w:val="0"/>
                <w:sz w:val="22"/>
                <w:szCs w:val="22"/>
                <w:u w:val="none"/>
                <w:lang w:val="en-US" w:eastAsia="zh-CN" w:bidi="ar"/>
              </w:rPr>
              <w:t>300</w:t>
            </w:r>
          </w:p>
        </w:tc>
        <w:tc>
          <w:tcPr>
            <w:tcW w:w="1339" w:type="pct"/>
            <w:vAlign w:val="center"/>
          </w:tcPr>
          <w:p>
            <w:pPr>
              <w:snapToGrid w:val="0"/>
              <w:spacing w:before="156" w:beforeLines="50"/>
              <w:jc w:val="center"/>
              <w:rPr>
                <w:rFonts w:hint="eastAsia" w:hAnsi="宋体" w:cs="宋体"/>
                <w:b w:val="0"/>
                <w:bCs w:val="0"/>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72" w:type="pct"/>
            <w:vAlign w:val="center"/>
          </w:tcPr>
          <w:p>
            <w:pPr>
              <w:snapToGrid w:val="0"/>
              <w:spacing w:before="156" w:beforeLines="50"/>
              <w:ind w:left="0" w:leftChars="0" w:firstLine="0" w:firstLineChars="0"/>
              <w:jc w:val="center"/>
              <w:rPr>
                <w:rFonts w:hint="default" w:hAnsi="宋体" w:cs="宋体"/>
                <w:b w:val="0"/>
                <w:bCs w:val="0"/>
                <w:sz w:val="24"/>
                <w:szCs w:val="24"/>
                <w:lang w:val="en-US" w:eastAsia="zh-CN"/>
              </w:rPr>
            </w:pPr>
            <w:r>
              <w:rPr>
                <w:rFonts w:hint="eastAsia" w:hAnsi="宋体" w:cs="宋体"/>
                <w:b w:val="0"/>
                <w:bCs w:val="0"/>
                <w:sz w:val="24"/>
                <w:szCs w:val="24"/>
                <w:lang w:val="en-US" w:eastAsia="zh-CN"/>
              </w:rPr>
              <w:t>6</w:t>
            </w:r>
          </w:p>
        </w:tc>
        <w:tc>
          <w:tcPr>
            <w:tcW w:w="2023" w:type="dxa"/>
            <w:vAlign w:val="center"/>
          </w:tcPr>
          <w:p>
            <w:pPr>
              <w:snapToGrid w:val="0"/>
              <w:spacing w:before="156" w:beforeLines="50"/>
              <w:ind w:left="0" w:leftChars="0"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针型阀</w:t>
            </w:r>
          </w:p>
        </w:tc>
        <w:tc>
          <w:tcPr>
            <w:tcW w:w="3417" w:type="dxa"/>
            <w:vAlign w:val="center"/>
          </w:tcPr>
          <w:p>
            <w:pPr>
              <w:snapToGrid w:val="0"/>
              <w:spacing w:before="156" w:beforeLines="50"/>
              <w:ind w:left="0" w:leftChars="0" w:firstLine="0" w:firstLineChars="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DN10 PN1.6</w:t>
            </w:r>
          </w:p>
        </w:tc>
        <w:tc>
          <w:tcPr>
            <w:tcW w:w="257" w:type="pct"/>
            <w:vAlign w:val="center"/>
          </w:tcPr>
          <w:p>
            <w:pPr>
              <w:snapToGrid w:val="0"/>
              <w:spacing w:before="156" w:beforeLines="50"/>
              <w:ind w:left="0" w:leftChars="0" w:firstLine="0" w:firstLineChars="0"/>
              <w:jc w:val="center"/>
              <w:rPr>
                <w:rFonts w:hint="default" w:hAnsi="宋体" w:cs="宋体"/>
                <w:b w:val="0"/>
                <w:bCs w:val="0"/>
                <w:sz w:val="24"/>
                <w:szCs w:val="24"/>
                <w:lang w:val="en-US" w:eastAsia="zh-CN"/>
              </w:rPr>
            </w:pPr>
            <w:r>
              <w:rPr>
                <w:rFonts w:hint="eastAsia" w:hAnsi="宋体" w:cs="宋体"/>
                <w:b w:val="0"/>
                <w:bCs w:val="0"/>
                <w:sz w:val="24"/>
                <w:szCs w:val="24"/>
                <w:lang w:val="en-US" w:eastAsia="zh-CN"/>
              </w:rPr>
              <w:t>个</w:t>
            </w:r>
          </w:p>
        </w:tc>
        <w:tc>
          <w:tcPr>
            <w:tcW w:w="696" w:type="dxa"/>
            <w:vAlign w:val="center"/>
          </w:tcPr>
          <w:p>
            <w:pPr>
              <w:keepNext w:val="0"/>
              <w:keepLines w:val="0"/>
              <w:widowControl/>
              <w:suppressLineNumbers w:val="0"/>
              <w:jc w:val="center"/>
              <w:textAlignment w:val="center"/>
              <w:rPr>
                <w:rFonts w:hint="eastAsia" w:hAnsi="宋体" w:cs="宋体"/>
                <w:b w:val="0"/>
                <w:bCs w:val="0"/>
                <w:sz w:val="24"/>
                <w:szCs w:val="24"/>
                <w:lang w:val="en-US" w:eastAsia="zh-CN"/>
              </w:rPr>
            </w:pPr>
            <w:r>
              <w:rPr>
                <w:rFonts w:hint="eastAsia" w:ascii="宋体" w:hAnsi="宋体" w:eastAsia="宋体" w:cs="宋体"/>
                <w:i w:val="0"/>
                <w:color w:val="000000"/>
                <w:kern w:val="0"/>
                <w:sz w:val="22"/>
                <w:szCs w:val="22"/>
                <w:u w:val="none"/>
                <w:lang w:val="en-US" w:eastAsia="zh-CN" w:bidi="ar"/>
              </w:rPr>
              <w:t>10</w:t>
            </w:r>
          </w:p>
        </w:tc>
        <w:tc>
          <w:tcPr>
            <w:tcW w:w="1339" w:type="pct"/>
            <w:vAlign w:val="center"/>
          </w:tcPr>
          <w:p>
            <w:pPr>
              <w:snapToGrid w:val="0"/>
              <w:spacing w:before="156" w:beforeLines="50"/>
              <w:jc w:val="center"/>
              <w:rPr>
                <w:rFonts w:hint="eastAsia" w:hAnsi="宋体" w:cs="宋体"/>
                <w:b w:val="0"/>
                <w:bCs w:val="0"/>
                <w:color w:val="000000"/>
                <w:sz w:val="24"/>
                <w:szCs w:val="24"/>
                <w:lang w:val="en-US" w:eastAsia="zh-CN"/>
              </w:rPr>
            </w:pPr>
          </w:p>
        </w:tc>
      </w:tr>
    </w:tbl>
    <w:p>
      <w:pPr>
        <w:rPr>
          <w:rFonts w:hAnsi="宋体"/>
          <w:sz w:val="24"/>
        </w:rPr>
      </w:pPr>
    </w:p>
    <w:p>
      <w:pPr>
        <w:rPr>
          <w:rFonts w:hAnsi="宋体"/>
          <w:sz w:val="24"/>
        </w:rPr>
      </w:pPr>
    </w:p>
    <w:p>
      <w:pPr>
        <w:rPr>
          <w:rFonts w:hAnsi="宋体"/>
          <w:sz w:val="24"/>
        </w:rPr>
      </w:pPr>
    </w:p>
    <w:p>
      <w:pPr>
        <w:rPr>
          <w:rFonts w:hAnsi="宋体"/>
          <w:sz w:val="24"/>
        </w:rPr>
      </w:pPr>
    </w:p>
    <w:p>
      <w:pPr>
        <w:rPr>
          <w:rFonts w:hAnsi="宋体"/>
          <w:sz w:val="24"/>
        </w:rPr>
      </w:pPr>
    </w:p>
    <w:p>
      <w:pPr>
        <w:rPr>
          <w:rFonts w:hAnsi="宋体"/>
          <w:sz w:val="24"/>
        </w:rPr>
      </w:pPr>
    </w:p>
    <w:p>
      <w:pPr>
        <w:spacing w:line="480" w:lineRule="auto"/>
        <w:jc w:val="left"/>
        <w:rPr>
          <w:rFonts w:hint="eastAsia" w:ascii="宋体" w:hAnsi="宋体"/>
          <w:b/>
          <w:sz w:val="32"/>
        </w:rPr>
      </w:pPr>
      <w:r>
        <w:rPr>
          <w:rFonts w:hint="eastAsia" w:ascii="宋体" w:hAnsi="宋体"/>
          <w:b/>
          <w:sz w:val="32"/>
        </w:rPr>
        <w:t>附件：差异表</w:t>
      </w:r>
    </w:p>
    <w:p>
      <w:pPr>
        <w:rPr>
          <w:rFonts w:hint="eastAsia" w:ascii="宋体" w:hAnsi="宋体"/>
          <w:b/>
          <w:sz w:val="32"/>
        </w:rPr>
      </w:pPr>
    </w:p>
    <w:p>
      <w:pPr>
        <w:ind w:firstLine="480" w:firstLineChars="200"/>
        <w:rPr>
          <w:rFonts w:hint="eastAsia" w:ascii="宋体" w:hAnsi="宋体"/>
          <w:sz w:val="24"/>
        </w:rPr>
      </w:pPr>
      <w:r>
        <w:rPr>
          <w:rFonts w:hint="eastAsia" w:ascii="宋体" w:hAnsi="宋体"/>
          <w:sz w:val="24"/>
          <w:lang w:val="en-US" w:eastAsia="zh-CN"/>
        </w:rPr>
        <w:t>承包方</w:t>
      </w:r>
      <w:r>
        <w:rPr>
          <w:rFonts w:hint="eastAsia" w:ascii="宋体" w:hAnsi="宋体"/>
          <w:sz w:val="24"/>
        </w:rPr>
        <w:t>要将采购文件和采购响应文件的差异之处汇集成表。</w:t>
      </w:r>
    </w:p>
    <w:p>
      <w:pPr>
        <w:rPr>
          <w:rFonts w:hint="eastAsia" w:ascii="宋体" w:hAnsi="宋体"/>
          <w:sz w:val="24"/>
        </w:rPr>
      </w:pPr>
    </w:p>
    <w:p>
      <w:pPr>
        <w:ind w:firstLine="480" w:firstLineChars="200"/>
        <w:rPr>
          <w:rFonts w:hint="eastAsia" w:ascii="宋体" w:hAnsi="宋体"/>
          <w:sz w:val="24"/>
        </w:rPr>
      </w:pPr>
      <w:r>
        <w:rPr>
          <w:rFonts w:hint="eastAsia" w:ascii="宋体" w:hAnsi="宋体"/>
          <w:sz w:val="24"/>
          <w:lang w:eastAsia="zh-CN"/>
        </w:rPr>
        <w:t xml:space="preserve"> 承包方</w:t>
      </w:r>
      <w:r>
        <w:rPr>
          <w:rFonts w:hint="eastAsia" w:ascii="宋体" w:hAnsi="宋体"/>
          <w:sz w:val="24"/>
        </w:rPr>
        <w:t>单位名称：</w:t>
      </w:r>
    </w:p>
    <w:tbl>
      <w:tblPr>
        <w:tblStyle w:val="3"/>
        <w:tblpPr w:leftFromText="180" w:rightFromText="180" w:vertAnchor="text" w:tblpY="1"/>
        <w:tblOverlap w:val="never"/>
        <w:tblW w:w="0" w:type="auto"/>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30"/>
        <w:gridCol w:w="1260"/>
        <w:gridCol w:w="2415"/>
        <w:gridCol w:w="1668"/>
        <w:gridCol w:w="232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630" w:type="dxa"/>
            <w:vMerge w:val="restart"/>
            <w:noWrap w:val="0"/>
            <w:vAlign w:val="top"/>
          </w:tcPr>
          <w:p>
            <w:pPr>
              <w:jc w:val="center"/>
              <w:rPr>
                <w:rFonts w:hint="eastAsia" w:ascii="宋体" w:hAnsi="宋体"/>
                <w:caps/>
                <w:sz w:val="24"/>
              </w:rPr>
            </w:pPr>
            <w:r>
              <w:rPr>
                <w:rFonts w:hint="eastAsia" w:ascii="宋体" w:hAnsi="宋体"/>
                <w:caps/>
                <w:sz w:val="24"/>
              </w:rPr>
              <w:t>序号</w:t>
            </w:r>
          </w:p>
        </w:tc>
        <w:tc>
          <w:tcPr>
            <w:tcW w:w="3675" w:type="dxa"/>
            <w:gridSpan w:val="2"/>
            <w:noWrap w:val="0"/>
            <w:vAlign w:val="top"/>
          </w:tcPr>
          <w:p>
            <w:pPr>
              <w:jc w:val="center"/>
              <w:rPr>
                <w:rFonts w:hint="eastAsia" w:ascii="宋体" w:hAnsi="宋体"/>
                <w:caps/>
                <w:sz w:val="24"/>
              </w:rPr>
            </w:pPr>
            <w:r>
              <w:rPr>
                <w:rFonts w:hint="eastAsia" w:ascii="宋体" w:hAnsi="宋体"/>
                <w:caps/>
                <w:sz w:val="24"/>
              </w:rPr>
              <w:t>采购文件</w:t>
            </w:r>
          </w:p>
        </w:tc>
        <w:tc>
          <w:tcPr>
            <w:tcW w:w="3990" w:type="dxa"/>
            <w:gridSpan w:val="2"/>
            <w:noWrap w:val="0"/>
            <w:vAlign w:val="top"/>
          </w:tcPr>
          <w:p>
            <w:pPr>
              <w:jc w:val="center"/>
              <w:rPr>
                <w:rFonts w:hint="eastAsia" w:ascii="宋体" w:hAnsi="宋体"/>
                <w:caps/>
                <w:sz w:val="24"/>
              </w:rPr>
            </w:pPr>
            <w:r>
              <w:rPr>
                <w:rFonts w:hint="eastAsia" w:ascii="仿宋_GB2312" w:eastAsia="仿宋_GB2312"/>
                <w:sz w:val="24"/>
              </w:rPr>
              <w:t>采购响应文件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630" w:type="dxa"/>
            <w:vMerge w:val="continue"/>
            <w:noWrap w:val="0"/>
            <w:vAlign w:val="top"/>
          </w:tcPr>
          <w:p>
            <w:pPr>
              <w:rPr>
                <w:rFonts w:hint="eastAsia" w:ascii="宋体" w:hAnsi="宋体"/>
                <w:sz w:val="24"/>
              </w:rPr>
            </w:pPr>
          </w:p>
        </w:tc>
        <w:tc>
          <w:tcPr>
            <w:tcW w:w="1260" w:type="dxa"/>
            <w:noWrap w:val="0"/>
            <w:vAlign w:val="top"/>
          </w:tcPr>
          <w:p>
            <w:pPr>
              <w:jc w:val="center"/>
              <w:rPr>
                <w:rFonts w:hint="eastAsia" w:ascii="宋体" w:hAnsi="宋体"/>
                <w:sz w:val="24"/>
              </w:rPr>
            </w:pPr>
            <w:r>
              <w:rPr>
                <w:rFonts w:hint="eastAsia" w:ascii="宋体" w:hAnsi="宋体"/>
                <w:sz w:val="24"/>
              </w:rPr>
              <w:t>条目</w:t>
            </w:r>
          </w:p>
        </w:tc>
        <w:tc>
          <w:tcPr>
            <w:tcW w:w="2415" w:type="dxa"/>
            <w:noWrap w:val="0"/>
            <w:vAlign w:val="top"/>
          </w:tcPr>
          <w:p>
            <w:pPr>
              <w:jc w:val="center"/>
              <w:rPr>
                <w:rFonts w:hint="eastAsia" w:ascii="宋体" w:hAnsi="宋体"/>
                <w:sz w:val="24"/>
              </w:rPr>
            </w:pPr>
            <w:r>
              <w:rPr>
                <w:rFonts w:hint="eastAsia" w:ascii="宋体" w:hAnsi="宋体"/>
                <w:sz w:val="24"/>
              </w:rPr>
              <w:t xml:space="preserve">简要内容        </w:t>
            </w:r>
          </w:p>
        </w:tc>
        <w:tc>
          <w:tcPr>
            <w:tcW w:w="1668" w:type="dxa"/>
            <w:noWrap w:val="0"/>
            <w:vAlign w:val="top"/>
          </w:tcPr>
          <w:p>
            <w:pPr>
              <w:jc w:val="center"/>
              <w:rPr>
                <w:rFonts w:hint="eastAsia" w:ascii="宋体" w:hAnsi="宋体"/>
                <w:sz w:val="24"/>
              </w:rPr>
            </w:pPr>
            <w:r>
              <w:rPr>
                <w:rFonts w:hint="eastAsia" w:ascii="宋体" w:hAnsi="宋体"/>
                <w:sz w:val="24"/>
              </w:rPr>
              <w:t xml:space="preserve">条目   </w:t>
            </w:r>
          </w:p>
        </w:tc>
        <w:tc>
          <w:tcPr>
            <w:tcW w:w="2322" w:type="dxa"/>
            <w:noWrap w:val="0"/>
            <w:vAlign w:val="top"/>
          </w:tcPr>
          <w:p>
            <w:pPr>
              <w:jc w:val="center"/>
              <w:rPr>
                <w:rFonts w:hint="eastAsia" w:ascii="宋体" w:hAnsi="宋体"/>
                <w:sz w:val="24"/>
              </w:rPr>
            </w:pPr>
            <w:r>
              <w:rPr>
                <w:rFonts w:hint="eastAsia" w:ascii="宋体" w:hAnsi="宋体"/>
                <w:sz w:val="24"/>
              </w:rPr>
              <w:t xml:space="preserve">简要内容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30" w:type="dxa"/>
            <w:noWrap w:val="0"/>
            <w:vAlign w:val="top"/>
          </w:tcPr>
          <w:p>
            <w:pPr>
              <w:jc w:val="center"/>
              <w:rPr>
                <w:rFonts w:hint="eastAsia" w:ascii="宋体" w:hAnsi="宋体"/>
                <w:sz w:val="24"/>
              </w:rPr>
            </w:pPr>
          </w:p>
        </w:tc>
        <w:tc>
          <w:tcPr>
            <w:tcW w:w="1260" w:type="dxa"/>
            <w:noWrap w:val="0"/>
            <w:vAlign w:val="top"/>
          </w:tcPr>
          <w:p>
            <w:pPr>
              <w:rPr>
                <w:rFonts w:hint="eastAsia" w:ascii="宋体" w:hAnsi="宋体"/>
                <w:sz w:val="24"/>
              </w:rPr>
            </w:pPr>
          </w:p>
        </w:tc>
        <w:tc>
          <w:tcPr>
            <w:tcW w:w="2415" w:type="dxa"/>
            <w:noWrap w:val="0"/>
            <w:vAlign w:val="top"/>
          </w:tcPr>
          <w:p>
            <w:pPr>
              <w:rPr>
                <w:rFonts w:hint="eastAsia" w:ascii="宋体" w:hAnsi="宋体"/>
                <w:sz w:val="24"/>
              </w:rPr>
            </w:pPr>
          </w:p>
        </w:tc>
        <w:tc>
          <w:tcPr>
            <w:tcW w:w="1668" w:type="dxa"/>
            <w:noWrap w:val="0"/>
            <w:vAlign w:val="top"/>
          </w:tcPr>
          <w:p>
            <w:pPr>
              <w:rPr>
                <w:rFonts w:hint="eastAsia" w:ascii="宋体" w:hAnsi="宋体"/>
                <w:sz w:val="24"/>
              </w:rPr>
            </w:pPr>
          </w:p>
        </w:tc>
        <w:tc>
          <w:tcPr>
            <w:tcW w:w="2322" w:type="dxa"/>
            <w:noWrap w:val="0"/>
            <w:vAlign w:val="top"/>
          </w:tcPr>
          <w:p>
            <w:pPr>
              <w:rPr>
                <w:rFonts w:hint="eastAsia"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30" w:type="dxa"/>
            <w:noWrap w:val="0"/>
            <w:vAlign w:val="top"/>
          </w:tcPr>
          <w:p>
            <w:pPr>
              <w:jc w:val="center"/>
              <w:rPr>
                <w:rFonts w:hint="eastAsia" w:ascii="宋体" w:hAnsi="宋体"/>
                <w:sz w:val="24"/>
              </w:rPr>
            </w:pPr>
          </w:p>
        </w:tc>
        <w:tc>
          <w:tcPr>
            <w:tcW w:w="1260" w:type="dxa"/>
            <w:noWrap w:val="0"/>
            <w:vAlign w:val="top"/>
          </w:tcPr>
          <w:p>
            <w:pPr>
              <w:rPr>
                <w:rFonts w:hint="eastAsia" w:ascii="宋体" w:hAnsi="宋体"/>
                <w:sz w:val="24"/>
              </w:rPr>
            </w:pPr>
          </w:p>
        </w:tc>
        <w:tc>
          <w:tcPr>
            <w:tcW w:w="2415" w:type="dxa"/>
            <w:noWrap w:val="0"/>
            <w:vAlign w:val="top"/>
          </w:tcPr>
          <w:p>
            <w:pPr>
              <w:rPr>
                <w:rFonts w:hint="eastAsia" w:ascii="宋体" w:hAnsi="宋体"/>
                <w:sz w:val="24"/>
              </w:rPr>
            </w:pPr>
          </w:p>
        </w:tc>
        <w:tc>
          <w:tcPr>
            <w:tcW w:w="1668" w:type="dxa"/>
            <w:noWrap w:val="0"/>
            <w:vAlign w:val="top"/>
          </w:tcPr>
          <w:p>
            <w:pPr>
              <w:rPr>
                <w:rFonts w:hint="eastAsia" w:ascii="宋体" w:hAnsi="宋体"/>
                <w:sz w:val="24"/>
              </w:rPr>
            </w:pPr>
          </w:p>
        </w:tc>
        <w:tc>
          <w:tcPr>
            <w:tcW w:w="2322" w:type="dxa"/>
            <w:noWrap w:val="0"/>
            <w:vAlign w:val="top"/>
          </w:tcPr>
          <w:p>
            <w:pPr>
              <w:rPr>
                <w:rFonts w:hint="eastAsia"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30" w:type="dxa"/>
            <w:noWrap w:val="0"/>
            <w:vAlign w:val="top"/>
          </w:tcPr>
          <w:p>
            <w:pPr>
              <w:jc w:val="center"/>
              <w:rPr>
                <w:rFonts w:hint="eastAsia" w:ascii="宋体" w:hAnsi="宋体"/>
                <w:sz w:val="24"/>
              </w:rPr>
            </w:pPr>
          </w:p>
        </w:tc>
        <w:tc>
          <w:tcPr>
            <w:tcW w:w="1260" w:type="dxa"/>
            <w:noWrap w:val="0"/>
            <w:vAlign w:val="top"/>
          </w:tcPr>
          <w:p>
            <w:pPr>
              <w:rPr>
                <w:rFonts w:hint="eastAsia" w:ascii="宋体" w:hAnsi="宋体"/>
                <w:sz w:val="24"/>
              </w:rPr>
            </w:pPr>
          </w:p>
        </w:tc>
        <w:tc>
          <w:tcPr>
            <w:tcW w:w="2415" w:type="dxa"/>
            <w:noWrap w:val="0"/>
            <w:vAlign w:val="top"/>
          </w:tcPr>
          <w:p>
            <w:pPr>
              <w:rPr>
                <w:rFonts w:hint="eastAsia" w:ascii="宋体" w:hAnsi="宋体"/>
                <w:sz w:val="24"/>
              </w:rPr>
            </w:pPr>
          </w:p>
        </w:tc>
        <w:tc>
          <w:tcPr>
            <w:tcW w:w="1668" w:type="dxa"/>
            <w:noWrap w:val="0"/>
            <w:vAlign w:val="top"/>
          </w:tcPr>
          <w:p>
            <w:pPr>
              <w:rPr>
                <w:rFonts w:hint="eastAsia" w:ascii="宋体" w:hAnsi="宋体"/>
                <w:sz w:val="24"/>
              </w:rPr>
            </w:pPr>
          </w:p>
        </w:tc>
        <w:tc>
          <w:tcPr>
            <w:tcW w:w="2322" w:type="dxa"/>
            <w:noWrap w:val="0"/>
            <w:vAlign w:val="top"/>
          </w:tcPr>
          <w:p>
            <w:pPr>
              <w:rPr>
                <w:rFonts w:hint="eastAsia"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30" w:type="dxa"/>
            <w:noWrap w:val="0"/>
            <w:vAlign w:val="top"/>
          </w:tcPr>
          <w:p>
            <w:pPr>
              <w:jc w:val="center"/>
              <w:rPr>
                <w:rFonts w:hint="eastAsia" w:ascii="宋体" w:hAnsi="宋体"/>
                <w:sz w:val="24"/>
              </w:rPr>
            </w:pPr>
          </w:p>
        </w:tc>
        <w:tc>
          <w:tcPr>
            <w:tcW w:w="1260" w:type="dxa"/>
            <w:noWrap w:val="0"/>
            <w:vAlign w:val="top"/>
          </w:tcPr>
          <w:p>
            <w:pPr>
              <w:rPr>
                <w:rFonts w:hint="eastAsia" w:ascii="宋体" w:hAnsi="宋体"/>
                <w:sz w:val="24"/>
              </w:rPr>
            </w:pPr>
          </w:p>
        </w:tc>
        <w:tc>
          <w:tcPr>
            <w:tcW w:w="2415" w:type="dxa"/>
            <w:noWrap w:val="0"/>
            <w:vAlign w:val="top"/>
          </w:tcPr>
          <w:p>
            <w:pPr>
              <w:rPr>
                <w:rFonts w:hint="eastAsia" w:ascii="宋体" w:hAnsi="宋体"/>
                <w:sz w:val="24"/>
              </w:rPr>
            </w:pPr>
          </w:p>
        </w:tc>
        <w:tc>
          <w:tcPr>
            <w:tcW w:w="1668" w:type="dxa"/>
            <w:noWrap w:val="0"/>
            <w:vAlign w:val="top"/>
          </w:tcPr>
          <w:p>
            <w:pPr>
              <w:rPr>
                <w:rFonts w:hint="eastAsia" w:ascii="宋体" w:hAnsi="宋体"/>
                <w:sz w:val="24"/>
              </w:rPr>
            </w:pPr>
          </w:p>
        </w:tc>
        <w:tc>
          <w:tcPr>
            <w:tcW w:w="2322" w:type="dxa"/>
            <w:noWrap w:val="0"/>
            <w:vAlign w:val="top"/>
          </w:tcPr>
          <w:p>
            <w:pPr>
              <w:rPr>
                <w:rFonts w:hint="eastAsia"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30" w:type="dxa"/>
            <w:noWrap w:val="0"/>
            <w:vAlign w:val="top"/>
          </w:tcPr>
          <w:p>
            <w:pPr>
              <w:jc w:val="center"/>
              <w:rPr>
                <w:rFonts w:hint="eastAsia" w:ascii="宋体" w:hAnsi="宋体"/>
                <w:sz w:val="24"/>
              </w:rPr>
            </w:pPr>
          </w:p>
        </w:tc>
        <w:tc>
          <w:tcPr>
            <w:tcW w:w="1260" w:type="dxa"/>
            <w:noWrap w:val="0"/>
            <w:vAlign w:val="top"/>
          </w:tcPr>
          <w:p>
            <w:pPr>
              <w:rPr>
                <w:rFonts w:hint="eastAsia" w:ascii="宋体" w:hAnsi="宋体"/>
                <w:sz w:val="24"/>
              </w:rPr>
            </w:pPr>
          </w:p>
        </w:tc>
        <w:tc>
          <w:tcPr>
            <w:tcW w:w="2415" w:type="dxa"/>
            <w:noWrap w:val="0"/>
            <w:vAlign w:val="top"/>
          </w:tcPr>
          <w:p>
            <w:pPr>
              <w:rPr>
                <w:rFonts w:hint="eastAsia" w:ascii="宋体" w:hAnsi="宋体"/>
                <w:sz w:val="24"/>
              </w:rPr>
            </w:pPr>
          </w:p>
        </w:tc>
        <w:tc>
          <w:tcPr>
            <w:tcW w:w="1668" w:type="dxa"/>
            <w:noWrap w:val="0"/>
            <w:vAlign w:val="top"/>
          </w:tcPr>
          <w:p>
            <w:pPr>
              <w:rPr>
                <w:rFonts w:hint="eastAsia" w:ascii="宋体" w:hAnsi="宋体"/>
                <w:sz w:val="24"/>
              </w:rPr>
            </w:pPr>
          </w:p>
        </w:tc>
        <w:tc>
          <w:tcPr>
            <w:tcW w:w="2322" w:type="dxa"/>
            <w:noWrap w:val="0"/>
            <w:vAlign w:val="top"/>
          </w:tcPr>
          <w:p>
            <w:pPr>
              <w:rPr>
                <w:rFonts w:hint="eastAsia"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30" w:type="dxa"/>
            <w:noWrap w:val="0"/>
            <w:vAlign w:val="top"/>
          </w:tcPr>
          <w:p>
            <w:pPr>
              <w:jc w:val="center"/>
              <w:rPr>
                <w:rFonts w:hint="eastAsia" w:ascii="宋体" w:hAnsi="宋体"/>
                <w:sz w:val="24"/>
              </w:rPr>
            </w:pPr>
          </w:p>
        </w:tc>
        <w:tc>
          <w:tcPr>
            <w:tcW w:w="1260" w:type="dxa"/>
            <w:noWrap w:val="0"/>
            <w:vAlign w:val="top"/>
          </w:tcPr>
          <w:p>
            <w:pPr>
              <w:rPr>
                <w:rFonts w:hint="eastAsia" w:ascii="宋体" w:hAnsi="宋体"/>
                <w:sz w:val="24"/>
              </w:rPr>
            </w:pPr>
          </w:p>
        </w:tc>
        <w:tc>
          <w:tcPr>
            <w:tcW w:w="2415" w:type="dxa"/>
            <w:noWrap w:val="0"/>
            <w:vAlign w:val="top"/>
          </w:tcPr>
          <w:p>
            <w:pPr>
              <w:rPr>
                <w:rFonts w:hint="eastAsia" w:ascii="宋体" w:hAnsi="宋体"/>
                <w:sz w:val="24"/>
              </w:rPr>
            </w:pPr>
          </w:p>
        </w:tc>
        <w:tc>
          <w:tcPr>
            <w:tcW w:w="1668" w:type="dxa"/>
            <w:noWrap w:val="0"/>
            <w:vAlign w:val="top"/>
          </w:tcPr>
          <w:p>
            <w:pPr>
              <w:rPr>
                <w:rFonts w:hint="eastAsia" w:ascii="宋体" w:hAnsi="宋体"/>
                <w:sz w:val="24"/>
              </w:rPr>
            </w:pPr>
          </w:p>
        </w:tc>
        <w:tc>
          <w:tcPr>
            <w:tcW w:w="2322" w:type="dxa"/>
            <w:noWrap w:val="0"/>
            <w:vAlign w:val="top"/>
          </w:tcPr>
          <w:p>
            <w:pPr>
              <w:rPr>
                <w:rFonts w:hint="eastAsia"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30" w:type="dxa"/>
            <w:noWrap w:val="0"/>
            <w:vAlign w:val="top"/>
          </w:tcPr>
          <w:p>
            <w:pPr>
              <w:jc w:val="center"/>
              <w:rPr>
                <w:rFonts w:hint="eastAsia" w:ascii="宋体" w:hAnsi="宋体"/>
                <w:sz w:val="24"/>
              </w:rPr>
            </w:pPr>
          </w:p>
        </w:tc>
        <w:tc>
          <w:tcPr>
            <w:tcW w:w="1260" w:type="dxa"/>
            <w:noWrap w:val="0"/>
            <w:vAlign w:val="top"/>
          </w:tcPr>
          <w:p>
            <w:pPr>
              <w:rPr>
                <w:rFonts w:hint="eastAsia" w:ascii="宋体" w:hAnsi="宋体"/>
                <w:sz w:val="24"/>
              </w:rPr>
            </w:pPr>
          </w:p>
        </w:tc>
        <w:tc>
          <w:tcPr>
            <w:tcW w:w="2415" w:type="dxa"/>
            <w:noWrap w:val="0"/>
            <w:vAlign w:val="top"/>
          </w:tcPr>
          <w:p>
            <w:pPr>
              <w:rPr>
                <w:rFonts w:hint="eastAsia" w:ascii="宋体" w:hAnsi="宋体"/>
                <w:sz w:val="24"/>
              </w:rPr>
            </w:pPr>
          </w:p>
        </w:tc>
        <w:tc>
          <w:tcPr>
            <w:tcW w:w="1668" w:type="dxa"/>
            <w:noWrap w:val="0"/>
            <w:vAlign w:val="top"/>
          </w:tcPr>
          <w:p>
            <w:pPr>
              <w:rPr>
                <w:rFonts w:hint="eastAsia" w:ascii="宋体" w:hAnsi="宋体"/>
                <w:sz w:val="24"/>
              </w:rPr>
            </w:pPr>
          </w:p>
        </w:tc>
        <w:tc>
          <w:tcPr>
            <w:tcW w:w="2322" w:type="dxa"/>
            <w:noWrap w:val="0"/>
            <w:vAlign w:val="top"/>
          </w:tcPr>
          <w:p>
            <w:pPr>
              <w:rPr>
                <w:rFonts w:hint="eastAsia"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30" w:type="dxa"/>
            <w:noWrap w:val="0"/>
            <w:vAlign w:val="top"/>
          </w:tcPr>
          <w:p>
            <w:pPr>
              <w:jc w:val="center"/>
              <w:rPr>
                <w:rFonts w:hint="eastAsia" w:ascii="宋体" w:hAnsi="宋体"/>
                <w:sz w:val="24"/>
              </w:rPr>
            </w:pPr>
          </w:p>
        </w:tc>
        <w:tc>
          <w:tcPr>
            <w:tcW w:w="1260" w:type="dxa"/>
            <w:noWrap w:val="0"/>
            <w:vAlign w:val="top"/>
          </w:tcPr>
          <w:p>
            <w:pPr>
              <w:rPr>
                <w:rFonts w:hint="eastAsia" w:ascii="宋体" w:hAnsi="宋体"/>
                <w:sz w:val="24"/>
              </w:rPr>
            </w:pPr>
          </w:p>
        </w:tc>
        <w:tc>
          <w:tcPr>
            <w:tcW w:w="2415" w:type="dxa"/>
            <w:noWrap w:val="0"/>
            <w:vAlign w:val="top"/>
          </w:tcPr>
          <w:p>
            <w:pPr>
              <w:rPr>
                <w:rFonts w:hint="eastAsia" w:ascii="宋体" w:hAnsi="宋体"/>
                <w:sz w:val="24"/>
              </w:rPr>
            </w:pPr>
          </w:p>
        </w:tc>
        <w:tc>
          <w:tcPr>
            <w:tcW w:w="1668" w:type="dxa"/>
            <w:noWrap w:val="0"/>
            <w:vAlign w:val="top"/>
          </w:tcPr>
          <w:p>
            <w:pPr>
              <w:rPr>
                <w:rFonts w:hint="eastAsia" w:ascii="宋体" w:hAnsi="宋体"/>
                <w:sz w:val="24"/>
              </w:rPr>
            </w:pPr>
          </w:p>
        </w:tc>
        <w:tc>
          <w:tcPr>
            <w:tcW w:w="2322" w:type="dxa"/>
            <w:noWrap w:val="0"/>
            <w:vAlign w:val="top"/>
          </w:tcPr>
          <w:p>
            <w:pPr>
              <w:rPr>
                <w:rFonts w:hint="eastAsia"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30" w:type="dxa"/>
            <w:noWrap w:val="0"/>
            <w:vAlign w:val="top"/>
          </w:tcPr>
          <w:p>
            <w:pPr>
              <w:jc w:val="center"/>
              <w:rPr>
                <w:rFonts w:hint="eastAsia" w:ascii="宋体" w:hAnsi="宋体"/>
                <w:sz w:val="24"/>
              </w:rPr>
            </w:pPr>
          </w:p>
        </w:tc>
        <w:tc>
          <w:tcPr>
            <w:tcW w:w="1260" w:type="dxa"/>
            <w:noWrap w:val="0"/>
            <w:vAlign w:val="top"/>
          </w:tcPr>
          <w:p>
            <w:pPr>
              <w:rPr>
                <w:rFonts w:hint="eastAsia" w:ascii="宋体" w:hAnsi="宋体"/>
                <w:sz w:val="24"/>
              </w:rPr>
            </w:pPr>
          </w:p>
        </w:tc>
        <w:tc>
          <w:tcPr>
            <w:tcW w:w="2415" w:type="dxa"/>
            <w:noWrap w:val="0"/>
            <w:vAlign w:val="top"/>
          </w:tcPr>
          <w:p>
            <w:pPr>
              <w:rPr>
                <w:rFonts w:hint="eastAsia" w:ascii="宋体" w:hAnsi="宋体"/>
                <w:sz w:val="24"/>
              </w:rPr>
            </w:pPr>
          </w:p>
        </w:tc>
        <w:tc>
          <w:tcPr>
            <w:tcW w:w="1668" w:type="dxa"/>
            <w:noWrap w:val="0"/>
            <w:vAlign w:val="top"/>
          </w:tcPr>
          <w:p>
            <w:pPr>
              <w:rPr>
                <w:rFonts w:hint="eastAsia" w:ascii="宋体" w:hAnsi="宋体"/>
                <w:sz w:val="24"/>
              </w:rPr>
            </w:pPr>
          </w:p>
        </w:tc>
        <w:tc>
          <w:tcPr>
            <w:tcW w:w="2322" w:type="dxa"/>
            <w:noWrap w:val="0"/>
            <w:vAlign w:val="top"/>
          </w:tcPr>
          <w:p>
            <w:pPr>
              <w:rPr>
                <w:rFonts w:hint="eastAsia"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30" w:type="dxa"/>
            <w:noWrap w:val="0"/>
            <w:vAlign w:val="top"/>
          </w:tcPr>
          <w:p>
            <w:pPr>
              <w:jc w:val="center"/>
              <w:rPr>
                <w:rFonts w:hint="eastAsia" w:ascii="宋体" w:hAnsi="宋体"/>
                <w:sz w:val="24"/>
              </w:rPr>
            </w:pPr>
          </w:p>
        </w:tc>
        <w:tc>
          <w:tcPr>
            <w:tcW w:w="1260" w:type="dxa"/>
            <w:noWrap w:val="0"/>
            <w:vAlign w:val="top"/>
          </w:tcPr>
          <w:p>
            <w:pPr>
              <w:rPr>
                <w:rFonts w:hint="eastAsia" w:ascii="宋体" w:hAnsi="宋体"/>
                <w:sz w:val="24"/>
              </w:rPr>
            </w:pPr>
          </w:p>
        </w:tc>
        <w:tc>
          <w:tcPr>
            <w:tcW w:w="2415" w:type="dxa"/>
            <w:noWrap w:val="0"/>
            <w:vAlign w:val="top"/>
          </w:tcPr>
          <w:p>
            <w:pPr>
              <w:rPr>
                <w:rFonts w:hint="eastAsia" w:ascii="宋体" w:hAnsi="宋体"/>
                <w:sz w:val="24"/>
              </w:rPr>
            </w:pPr>
          </w:p>
        </w:tc>
        <w:tc>
          <w:tcPr>
            <w:tcW w:w="1668" w:type="dxa"/>
            <w:noWrap w:val="0"/>
            <w:vAlign w:val="top"/>
          </w:tcPr>
          <w:p>
            <w:pPr>
              <w:rPr>
                <w:rFonts w:hint="eastAsia" w:ascii="宋体" w:hAnsi="宋体"/>
                <w:sz w:val="24"/>
              </w:rPr>
            </w:pPr>
          </w:p>
        </w:tc>
        <w:tc>
          <w:tcPr>
            <w:tcW w:w="2322" w:type="dxa"/>
            <w:noWrap w:val="0"/>
            <w:vAlign w:val="top"/>
          </w:tcPr>
          <w:p>
            <w:pPr>
              <w:rPr>
                <w:rFonts w:hint="eastAsia"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30" w:type="dxa"/>
            <w:noWrap w:val="0"/>
            <w:vAlign w:val="top"/>
          </w:tcPr>
          <w:p>
            <w:pPr>
              <w:jc w:val="center"/>
              <w:rPr>
                <w:rFonts w:hint="eastAsia" w:ascii="宋体" w:hAnsi="宋体"/>
                <w:sz w:val="24"/>
              </w:rPr>
            </w:pPr>
          </w:p>
        </w:tc>
        <w:tc>
          <w:tcPr>
            <w:tcW w:w="1260" w:type="dxa"/>
            <w:noWrap w:val="0"/>
            <w:vAlign w:val="top"/>
          </w:tcPr>
          <w:p>
            <w:pPr>
              <w:rPr>
                <w:rFonts w:hint="eastAsia" w:ascii="宋体" w:hAnsi="宋体"/>
                <w:sz w:val="24"/>
              </w:rPr>
            </w:pPr>
          </w:p>
        </w:tc>
        <w:tc>
          <w:tcPr>
            <w:tcW w:w="2415" w:type="dxa"/>
            <w:noWrap w:val="0"/>
            <w:vAlign w:val="top"/>
          </w:tcPr>
          <w:p>
            <w:pPr>
              <w:rPr>
                <w:rFonts w:hint="eastAsia" w:ascii="宋体" w:hAnsi="宋体"/>
                <w:sz w:val="24"/>
              </w:rPr>
            </w:pPr>
          </w:p>
        </w:tc>
        <w:tc>
          <w:tcPr>
            <w:tcW w:w="1668" w:type="dxa"/>
            <w:noWrap w:val="0"/>
            <w:vAlign w:val="top"/>
          </w:tcPr>
          <w:p>
            <w:pPr>
              <w:rPr>
                <w:rFonts w:hint="eastAsia" w:ascii="宋体" w:hAnsi="宋体"/>
                <w:sz w:val="24"/>
              </w:rPr>
            </w:pPr>
          </w:p>
        </w:tc>
        <w:tc>
          <w:tcPr>
            <w:tcW w:w="2322" w:type="dxa"/>
            <w:noWrap w:val="0"/>
            <w:vAlign w:val="top"/>
          </w:tcPr>
          <w:p>
            <w:pPr>
              <w:rPr>
                <w:rFonts w:hint="eastAsia"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30" w:type="dxa"/>
            <w:noWrap w:val="0"/>
            <w:vAlign w:val="top"/>
          </w:tcPr>
          <w:p>
            <w:pPr>
              <w:jc w:val="center"/>
              <w:rPr>
                <w:rFonts w:hint="eastAsia" w:ascii="宋体" w:hAnsi="宋体"/>
                <w:sz w:val="24"/>
              </w:rPr>
            </w:pPr>
          </w:p>
        </w:tc>
        <w:tc>
          <w:tcPr>
            <w:tcW w:w="1260" w:type="dxa"/>
            <w:noWrap w:val="0"/>
            <w:vAlign w:val="top"/>
          </w:tcPr>
          <w:p>
            <w:pPr>
              <w:rPr>
                <w:rFonts w:hint="eastAsia" w:ascii="宋体" w:hAnsi="宋体"/>
                <w:sz w:val="24"/>
              </w:rPr>
            </w:pPr>
          </w:p>
        </w:tc>
        <w:tc>
          <w:tcPr>
            <w:tcW w:w="2415" w:type="dxa"/>
            <w:noWrap w:val="0"/>
            <w:vAlign w:val="top"/>
          </w:tcPr>
          <w:p>
            <w:pPr>
              <w:rPr>
                <w:rFonts w:hint="eastAsia" w:ascii="宋体" w:hAnsi="宋体"/>
                <w:sz w:val="24"/>
              </w:rPr>
            </w:pPr>
          </w:p>
        </w:tc>
        <w:tc>
          <w:tcPr>
            <w:tcW w:w="1668" w:type="dxa"/>
            <w:noWrap w:val="0"/>
            <w:vAlign w:val="top"/>
          </w:tcPr>
          <w:p>
            <w:pPr>
              <w:rPr>
                <w:rFonts w:hint="eastAsia" w:ascii="宋体" w:hAnsi="宋体"/>
                <w:sz w:val="24"/>
              </w:rPr>
            </w:pPr>
          </w:p>
        </w:tc>
        <w:tc>
          <w:tcPr>
            <w:tcW w:w="2322" w:type="dxa"/>
            <w:noWrap w:val="0"/>
            <w:vAlign w:val="top"/>
          </w:tcPr>
          <w:p>
            <w:pPr>
              <w:rPr>
                <w:rFonts w:hint="eastAsia"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30" w:type="dxa"/>
            <w:noWrap w:val="0"/>
            <w:vAlign w:val="top"/>
          </w:tcPr>
          <w:p>
            <w:pPr>
              <w:jc w:val="center"/>
              <w:rPr>
                <w:rFonts w:hint="eastAsia" w:ascii="宋体" w:hAnsi="宋体"/>
                <w:sz w:val="24"/>
              </w:rPr>
            </w:pPr>
          </w:p>
        </w:tc>
        <w:tc>
          <w:tcPr>
            <w:tcW w:w="1260" w:type="dxa"/>
            <w:noWrap w:val="0"/>
            <w:vAlign w:val="top"/>
          </w:tcPr>
          <w:p>
            <w:pPr>
              <w:rPr>
                <w:rFonts w:hint="eastAsia" w:ascii="宋体" w:hAnsi="宋体"/>
                <w:sz w:val="24"/>
              </w:rPr>
            </w:pPr>
          </w:p>
        </w:tc>
        <w:tc>
          <w:tcPr>
            <w:tcW w:w="2415" w:type="dxa"/>
            <w:noWrap w:val="0"/>
            <w:vAlign w:val="top"/>
          </w:tcPr>
          <w:p>
            <w:pPr>
              <w:rPr>
                <w:rFonts w:hint="eastAsia" w:ascii="宋体" w:hAnsi="宋体"/>
                <w:sz w:val="24"/>
              </w:rPr>
            </w:pPr>
          </w:p>
        </w:tc>
        <w:tc>
          <w:tcPr>
            <w:tcW w:w="1668" w:type="dxa"/>
            <w:noWrap w:val="0"/>
            <w:vAlign w:val="top"/>
          </w:tcPr>
          <w:p>
            <w:pPr>
              <w:rPr>
                <w:rFonts w:hint="eastAsia" w:ascii="宋体" w:hAnsi="宋体"/>
                <w:sz w:val="24"/>
              </w:rPr>
            </w:pPr>
          </w:p>
        </w:tc>
        <w:tc>
          <w:tcPr>
            <w:tcW w:w="2322" w:type="dxa"/>
            <w:noWrap w:val="0"/>
            <w:vAlign w:val="top"/>
          </w:tcPr>
          <w:p>
            <w:pPr>
              <w:rPr>
                <w:rFonts w:hint="eastAsia"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30" w:type="dxa"/>
            <w:noWrap w:val="0"/>
            <w:vAlign w:val="top"/>
          </w:tcPr>
          <w:p>
            <w:pPr>
              <w:jc w:val="center"/>
              <w:rPr>
                <w:rFonts w:hint="eastAsia" w:ascii="宋体" w:hAnsi="宋体"/>
                <w:sz w:val="24"/>
              </w:rPr>
            </w:pPr>
          </w:p>
        </w:tc>
        <w:tc>
          <w:tcPr>
            <w:tcW w:w="1260" w:type="dxa"/>
            <w:noWrap w:val="0"/>
            <w:vAlign w:val="top"/>
          </w:tcPr>
          <w:p>
            <w:pPr>
              <w:rPr>
                <w:rFonts w:hint="eastAsia" w:ascii="宋体" w:hAnsi="宋体"/>
                <w:sz w:val="24"/>
              </w:rPr>
            </w:pPr>
          </w:p>
        </w:tc>
        <w:tc>
          <w:tcPr>
            <w:tcW w:w="2415" w:type="dxa"/>
            <w:noWrap w:val="0"/>
            <w:vAlign w:val="top"/>
          </w:tcPr>
          <w:p>
            <w:pPr>
              <w:rPr>
                <w:rFonts w:hint="eastAsia" w:ascii="宋体" w:hAnsi="宋体"/>
                <w:sz w:val="24"/>
              </w:rPr>
            </w:pPr>
          </w:p>
        </w:tc>
        <w:tc>
          <w:tcPr>
            <w:tcW w:w="1668" w:type="dxa"/>
            <w:noWrap w:val="0"/>
            <w:vAlign w:val="top"/>
          </w:tcPr>
          <w:p>
            <w:pPr>
              <w:rPr>
                <w:rFonts w:hint="eastAsia" w:ascii="宋体" w:hAnsi="宋体"/>
                <w:sz w:val="24"/>
              </w:rPr>
            </w:pPr>
          </w:p>
        </w:tc>
        <w:tc>
          <w:tcPr>
            <w:tcW w:w="2322" w:type="dxa"/>
            <w:noWrap w:val="0"/>
            <w:vAlign w:val="top"/>
          </w:tcPr>
          <w:p>
            <w:pPr>
              <w:rPr>
                <w:rFonts w:hint="eastAsia"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30" w:type="dxa"/>
            <w:noWrap w:val="0"/>
            <w:vAlign w:val="top"/>
          </w:tcPr>
          <w:p>
            <w:pPr>
              <w:jc w:val="center"/>
              <w:rPr>
                <w:rFonts w:hint="eastAsia" w:ascii="宋体" w:hAnsi="宋体"/>
                <w:sz w:val="24"/>
              </w:rPr>
            </w:pPr>
          </w:p>
        </w:tc>
        <w:tc>
          <w:tcPr>
            <w:tcW w:w="1260" w:type="dxa"/>
            <w:noWrap w:val="0"/>
            <w:vAlign w:val="top"/>
          </w:tcPr>
          <w:p>
            <w:pPr>
              <w:rPr>
                <w:rFonts w:hint="eastAsia" w:ascii="宋体" w:hAnsi="宋体"/>
                <w:sz w:val="24"/>
              </w:rPr>
            </w:pPr>
          </w:p>
        </w:tc>
        <w:tc>
          <w:tcPr>
            <w:tcW w:w="2415" w:type="dxa"/>
            <w:noWrap w:val="0"/>
            <w:vAlign w:val="top"/>
          </w:tcPr>
          <w:p>
            <w:pPr>
              <w:rPr>
                <w:rFonts w:hint="eastAsia" w:ascii="宋体" w:hAnsi="宋体"/>
                <w:sz w:val="24"/>
              </w:rPr>
            </w:pPr>
          </w:p>
        </w:tc>
        <w:tc>
          <w:tcPr>
            <w:tcW w:w="1668" w:type="dxa"/>
            <w:noWrap w:val="0"/>
            <w:vAlign w:val="top"/>
          </w:tcPr>
          <w:p>
            <w:pPr>
              <w:rPr>
                <w:rFonts w:hint="eastAsia" w:ascii="宋体" w:hAnsi="宋体"/>
                <w:sz w:val="24"/>
              </w:rPr>
            </w:pPr>
          </w:p>
        </w:tc>
        <w:tc>
          <w:tcPr>
            <w:tcW w:w="2322" w:type="dxa"/>
            <w:noWrap w:val="0"/>
            <w:vAlign w:val="top"/>
          </w:tcPr>
          <w:p>
            <w:pPr>
              <w:rPr>
                <w:rFonts w:hint="eastAsia"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30" w:type="dxa"/>
            <w:noWrap w:val="0"/>
            <w:vAlign w:val="top"/>
          </w:tcPr>
          <w:p>
            <w:pPr>
              <w:jc w:val="center"/>
              <w:rPr>
                <w:rFonts w:hint="eastAsia" w:ascii="宋体" w:hAnsi="宋体"/>
                <w:sz w:val="24"/>
              </w:rPr>
            </w:pPr>
          </w:p>
        </w:tc>
        <w:tc>
          <w:tcPr>
            <w:tcW w:w="1260" w:type="dxa"/>
            <w:noWrap w:val="0"/>
            <w:vAlign w:val="top"/>
          </w:tcPr>
          <w:p>
            <w:pPr>
              <w:rPr>
                <w:rFonts w:hint="eastAsia" w:ascii="宋体" w:hAnsi="宋体"/>
                <w:sz w:val="24"/>
              </w:rPr>
            </w:pPr>
          </w:p>
        </w:tc>
        <w:tc>
          <w:tcPr>
            <w:tcW w:w="2415" w:type="dxa"/>
            <w:noWrap w:val="0"/>
            <w:vAlign w:val="top"/>
          </w:tcPr>
          <w:p>
            <w:pPr>
              <w:rPr>
                <w:rFonts w:hint="eastAsia" w:ascii="宋体" w:hAnsi="宋体"/>
                <w:sz w:val="24"/>
              </w:rPr>
            </w:pPr>
          </w:p>
        </w:tc>
        <w:tc>
          <w:tcPr>
            <w:tcW w:w="1668" w:type="dxa"/>
            <w:noWrap w:val="0"/>
            <w:vAlign w:val="top"/>
          </w:tcPr>
          <w:p>
            <w:pPr>
              <w:rPr>
                <w:rFonts w:hint="eastAsia" w:ascii="宋体" w:hAnsi="宋体"/>
                <w:sz w:val="24"/>
              </w:rPr>
            </w:pPr>
          </w:p>
        </w:tc>
        <w:tc>
          <w:tcPr>
            <w:tcW w:w="2322" w:type="dxa"/>
            <w:noWrap w:val="0"/>
            <w:vAlign w:val="top"/>
          </w:tcPr>
          <w:p>
            <w:pPr>
              <w:rPr>
                <w:rFonts w:hint="eastAsia"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30" w:type="dxa"/>
            <w:noWrap w:val="0"/>
            <w:vAlign w:val="top"/>
          </w:tcPr>
          <w:p>
            <w:pPr>
              <w:jc w:val="center"/>
              <w:rPr>
                <w:rFonts w:hint="eastAsia" w:ascii="宋体" w:hAnsi="宋体"/>
                <w:sz w:val="24"/>
              </w:rPr>
            </w:pPr>
          </w:p>
        </w:tc>
        <w:tc>
          <w:tcPr>
            <w:tcW w:w="1260" w:type="dxa"/>
            <w:noWrap w:val="0"/>
            <w:vAlign w:val="top"/>
          </w:tcPr>
          <w:p>
            <w:pPr>
              <w:rPr>
                <w:rFonts w:hint="eastAsia" w:ascii="宋体" w:hAnsi="宋体"/>
                <w:sz w:val="24"/>
              </w:rPr>
            </w:pPr>
          </w:p>
        </w:tc>
        <w:tc>
          <w:tcPr>
            <w:tcW w:w="2415" w:type="dxa"/>
            <w:noWrap w:val="0"/>
            <w:vAlign w:val="top"/>
          </w:tcPr>
          <w:p>
            <w:pPr>
              <w:rPr>
                <w:rFonts w:hint="eastAsia" w:ascii="宋体" w:hAnsi="宋体"/>
                <w:sz w:val="24"/>
              </w:rPr>
            </w:pPr>
          </w:p>
        </w:tc>
        <w:tc>
          <w:tcPr>
            <w:tcW w:w="1668" w:type="dxa"/>
            <w:noWrap w:val="0"/>
            <w:vAlign w:val="top"/>
          </w:tcPr>
          <w:p>
            <w:pPr>
              <w:rPr>
                <w:rFonts w:hint="eastAsia" w:ascii="宋体" w:hAnsi="宋体"/>
                <w:sz w:val="24"/>
              </w:rPr>
            </w:pPr>
          </w:p>
        </w:tc>
        <w:tc>
          <w:tcPr>
            <w:tcW w:w="2322" w:type="dxa"/>
            <w:noWrap w:val="0"/>
            <w:vAlign w:val="top"/>
          </w:tcPr>
          <w:p>
            <w:pPr>
              <w:rPr>
                <w:rFonts w:hint="eastAsia"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30" w:type="dxa"/>
            <w:noWrap w:val="0"/>
            <w:vAlign w:val="top"/>
          </w:tcPr>
          <w:p>
            <w:pPr>
              <w:jc w:val="center"/>
              <w:rPr>
                <w:rFonts w:hint="eastAsia" w:ascii="宋体" w:hAnsi="宋体"/>
                <w:sz w:val="24"/>
              </w:rPr>
            </w:pPr>
          </w:p>
        </w:tc>
        <w:tc>
          <w:tcPr>
            <w:tcW w:w="1260" w:type="dxa"/>
            <w:noWrap w:val="0"/>
            <w:vAlign w:val="top"/>
          </w:tcPr>
          <w:p>
            <w:pPr>
              <w:rPr>
                <w:rFonts w:hint="eastAsia" w:ascii="宋体" w:hAnsi="宋体"/>
                <w:sz w:val="24"/>
              </w:rPr>
            </w:pPr>
          </w:p>
        </w:tc>
        <w:tc>
          <w:tcPr>
            <w:tcW w:w="2415" w:type="dxa"/>
            <w:noWrap w:val="0"/>
            <w:vAlign w:val="top"/>
          </w:tcPr>
          <w:p>
            <w:pPr>
              <w:rPr>
                <w:rFonts w:hint="eastAsia" w:ascii="宋体" w:hAnsi="宋体"/>
                <w:sz w:val="24"/>
              </w:rPr>
            </w:pPr>
          </w:p>
        </w:tc>
        <w:tc>
          <w:tcPr>
            <w:tcW w:w="1668" w:type="dxa"/>
            <w:noWrap w:val="0"/>
            <w:vAlign w:val="top"/>
          </w:tcPr>
          <w:p>
            <w:pPr>
              <w:rPr>
                <w:rFonts w:hint="eastAsia" w:ascii="宋体" w:hAnsi="宋体"/>
                <w:sz w:val="24"/>
              </w:rPr>
            </w:pPr>
          </w:p>
        </w:tc>
        <w:tc>
          <w:tcPr>
            <w:tcW w:w="2322" w:type="dxa"/>
            <w:noWrap w:val="0"/>
            <w:vAlign w:val="top"/>
          </w:tcPr>
          <w:p>
            <w:pPr>
              <w:rPr>
                <w:rFonts w:hint="eastAsia"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30" w:type="dxa"/>
            <w:noWrap w:val="0"/>
            <w:vAlign w:val="top"/>
          </w:tcPr>
          <w:p>
            <w:pPr>
              <w:jc w:val="center"/>
              <w:rPr>
                <w:rFonts w:hint="eastAsia" w:ascii="宋体" w:hAnsi="宋体"/>
                <w:sz w:val="24"/>
              </w:rPr>
            </w:pPr>
          </w:p>
        </w:tc>
        <w:tc>
          <w:tcPr>
            <w:tcW w:w="1260" w:type="dxa"/>
            <w:noWrap w:val="0"/>
            <w:vAlign w:val="top"/>
          </w:tcPr>
          <w:p>
            <w:pPr>
              <w:rPr>
                <w:rFonts w:hint="eastAsia" w:ascii="宋体" w:hAnsi="宋体"/>
                <w:sz w:val="24"/>
              </w:rPr>
            </w:pPr>
          </w:p>
        </w:tc>
        <w:tc>
          <w:tcPr>
            <w:tcW w:w="2415" w:type="dxa"/>
            <w:noWrap w:val="0"/>
            <w:vAlign w:val="top"/>
          </w:tcPr>
          <w:p>
            <w:pPr>
              <w:rPr>
                <w:rFonts w:hint="eastAsia" w:ascii="宋体" w:hAnsi="宋体"/>
                <w:sz w:val="24"/>
              </w:rPr>
            </w:pPr>
          </w:p>
        </w:tc>
        <w:tc>
          <w:tcPr>
            <w:tcW w:w="1668" w:type="dxa"/>
            <w:noWrap w:val="0"/>
            <w:vAlign w:val="top"/>
          </w:tcPr>
          <w:p>
            <w:pPr>
              <w:rPr>
                <w:rFonts w:hint="eastAsia" w:ascii="宋体" w:hAnsi="宋体"/>
                <w:sz w:val="24"/>
              </w:rPr>
            </w:pPr>
          </w:p>
        </w:tc>
        <w:tc>
          <w:tcPr>
            <w:tcW w:w="2322" w:type="dxa"/>
            <w:noWrap w:val="0"/>
            <w:vAlign w:val="top"/>
          </w:tcPr>
          <w:p>
            <w:pPr>
              <w:rPr>
                <w:rFonts w:hint="eastAsia"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30" w:type="dxa"/>
            <w:noWrap w:val="0"/>
            <w:vAlign w:val="top"/>
          </w:tcPr>
          <w:p>
            <w:pPr>
              <w:jc w:val="center"/>
              <w:rPr>
                <w:rFonts w:hint="eastAsia" w:ascii="宋体" w:hAnsi="宋体"/>
                <w:sz w:val="24"/>
              </w:rPr>
            </w:pPr>
          </w:p>
        </w:tc>
        <w:tc>
          <w:tcPr>
            <w:tcW w:w="1260" w:type="dxa"/>
            <w:noWrap w:val="0"/>
            <w:vAlign w:val="top"/>
          </w:tcPr>
          <w:p>
            <w:pPr>
              <w:rPr>
                <w:rFonts w:hint="eastAsia" w:ascii="宋体" w:hAnsi="宋体"/>
                <w:sz w:val="24"/>
              </w:rPr>
            </w:pPr>
          </w:p>
        </w:tc>
        <w:tc>
          <w:tcPr>
            <w:tcW w:w="2415" w:type="dxa"/>
            <w:noWrap w:val="0"/>
            <w:vAlign w:val="top"/>
          </w:tcPr>
          <w:p>
            <w:pPr>
              <w:rPr>
                <w:rFonts w:hint="eastAsia" w:ascii="宋体" w:hAnsi="宋体"/>
                <w:sz w:val="24"/>
              </w:rPr>
            </w:pPr>
          </w:p>
        </w:tc>
        <w:tc>
          <w:tcPr>
            <w:tcW w:w="1668" w:type="dxa"/>
            <w:noWrap w:val="0"/>
            <w:vAlign w:val="top"/>
          </w:tcPr>
          <w:p>
            <w:pPr>
              <w:rPr>
                <w:rFonts w:hint="eastAsia" w:ascii="宋体" w:hAnsi="宋体"/>
                <w:sz w:val="24"/>
              </w:rPr>
            </w:pPr>
          </w:p>
        </w:tc>
        <w:tc>
          <w:tcPr>
            <w:tcW w:w="2322" w:type="dxa"/>
            <w:noWrap w:val="0"/>
            <w:vAlign w:val="top"/>
          </w:tcPr>
          <w:p>
            <w:pPr>
              <w:rPr>
                <w:rFonts w:hint="eastAsia" w:ascii="宋体" w:hAnsi="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630" w:type="dxa"/>
            <w:noWrap w:val="0"/>
            <w:vAlign w:val="top"/>
          </w:tcPr>
          <w:p>
            <w:pPr>
              <w:jc w:val="center"/>
              <w:rPr>
                <w:rFonts w:hint="eastAsia" w:ascii="宋体" w:hAnsi="宋体"/>
                <w:sz w:val="24"/>
              </w:rPr>
            </w:pPr>
          </w:p>
        </w:tc>
        <w:tc>
          <w:tcPr>
            <w:tcW w:w="1260" w:type="dxa"/>
            <w:noWrap w:val="0"/>
            <w:vAlign w:val="top"/>
          </w:tcPr>
          <w:p>
            <w:pPr>
              <w:rPr>
                <w:rFonts w:hint="eastAsia" w:ascii="宋体" w:hAnsi="宋体"/>
                <w:sz w:val="24"/>
              </w:rPr>
            </w:pPr>
          </w:p>
        </w:tc>
        <w:tc>
          <w:tcPr>
            <w:tcW w:w="2415" w:type="dxa"/>
            <w:noWrap w:val="0"/>
            <w:vAlign w:val="top"/>
          </w:tcPr>
          <w:p>
            <w:pPr>
              <w:rPr>
                <w:rFonts w:hint="eastAsia" w:ascii="宋体" w:hAnsi="宋体"/>
                <w:sz w:val="24"/>
              </w:rPr>
            </w:pPr>
          </w:p>
        </w:tc>
        <w:tc>
          <w:tcPr>
            <w:tcW w:w="1668" w:type="dxa"/>
            <w:noWrap w:val="0"/>
            <w:vAlign w:val="top"/>
          </w:tcPr>
          <w:p>
            <w:pPr>
              <w:rPr>
                <w:rFonts w:hint="eastAsia" w:ascii="宋体" w:hAnsi="宋体"/>
                <w:sz w:val="24"/>
              </w:rPr>
            </w:pPr>
          </w:p>
        </w:tc>
        <w:tc>
          <w:tcPr>
            <w:tcW w:w="2322" w:type="dxa"/>
            <w:noWrap w:val="0"/>
            <w:vAlign w:val="top"/>
          </w:tcPr>
          <w:p>
            <w:pPr>
              <w:rPr>
                <w:rFonts w:hint="eastAsia" w:ascii="宋体" w:hAnsi="宋体"/>
                <w:sz w:val="24"/>
              </w:rPr>
            </w:pPr>
          </w:p>
        </w:tc>
      </w:tr>
    </w:tbl>
    <w:p>
      <w:pPr>
        <w:rPr>
          <w:rFonts w:hint="eastAsia" w:ascii="宋体" w:hAnsi="宋体"/>
          <w:sz w:val="32"/>
        </w:rPr>
      </w:pPr>
    </w:p>
    <w:p>
      <w:pPr>
        <w:spacing w:line="360" w:lineRule="auto"/>
        <w:rPr>
          <w:rFonts w:hint="eastAsia" w:ascii="宋体" w:hAnsi="宋体"/>
          <w:b/>
          <w:sz w:val="24"/>
          <w:lang w:eastAsia="zh-CN"/>
        </w:rPr>
      </w:pPr>
    </w:p>
    <w:p>
      <w:pPr>
        <w:spacing w:line="360" w:lineRule="auto"/>
        <w:ind w:firstLine="5060" w:firstLineChars="2100"/>
        <w:rPr>
          <w:rFonts w:hint="eastAsia" w:ascii="宋体" w:hAnsi="宋体"/>
          <w:b/>
          <w:sz w:val="24"/>
          <w:lang w:eastAsia="zh-CN"/>
        </w:rPr>
      </w:pPr>
    </w:p>
    <w:p>
      <w:pPr>
        <w:spacing w:line="360" w:lineRule="auto"/>
        <w:ind w:firstLine="5060" w:firstLineChars="2100"/>
        <w:rPr>
          <w:rFonts w:hint="eastAsia" w:ascii="宋体" w:hAnsi="宋体"/>
          <w:b/>
          <w:sz w:val="24"/>
          <w:lang w:eastAsia="zh-CN"/>
        </w:rPr>
      </w:pPr>
      <w:r>
        <w:rPr>
          <w:rFonts w:hint="eastAsia" w:ascii="宋体" w:hAnsi="宋体"/>
          <w:b/>
          <w:sz w:val="24"/>
          <w:lang w:eastAsia="zh-CN"/>
        </w:rPr>
        <w:t>承包方单位：（公章）</w:t>
      </w:r>
    </w:p>
    <w:p>
      <w:pPr>
        <w:spacing w:line="360" w:lineRule="auto"/>
        <w:rPr>
          <w:rFonts w:hint="eastAsia" w:ascii="宋体" w:hAnsi="宋体"/>
          <w:b/>
          <w:sz w:val="24"/>
          <w:lang w:eastAsia="zh-CN"/>
        </w:rPr>
      </w:pPr>
      <w:r>
        <w:rPr>
          <w:rFonts w:hint="eastAsia" w:ascii="宋体" w:hAnsi="宋体"/>
          <w:b/>
          <w:sz w:val="24"/>
          <w:lang w:eastAsia="zh-CN"/>
        </w:rPr>
        <w:t xml:space="preserve">                                          承包方授权人签字：</w:t>
      </w:r>
    </w:p>
    <w:p>
      <w:pPr>
        <w:spacing w:line="360" w:lineRule="auto"/>
      </w:pPr>
      <w:r>
        <w:rPr>
          <w:rFonts w:hint="eastAsia" w:ascii="宋体" w:hAnsi="宋体"/>
          <w:b/>
          <w:sz w:val="24"/>
          <w:lang w:eastAsia="zh-CN"/>
        </w:rPr>
        <w:t xml:space="preserve">                                         </w:t>
      </w:r>
      <w:r>
        <w:rPr>
          <w:rFonts w:hint="eastAsia" w:ascii="宋体" w:hAnsi="宋体"/>
          <w:b/>
          <w:sz w:val="24"/>
          <w:lang w:val="en-US" w:eastAsia="zh-CN"/>
        </w:rPr>
        <w:t xml:space="preserve"> </w:t>
      </w:r>
      <w:r>
        <w:rPr>
          <w:rFonts w:hint="eastAsia" w:ascii="宋体" w:hAnsi="宋体"/>
          <w:b/>
          <w:sz w:val="24"/>
          <w:lang w:eastAsia="zh-CN"/>
        </w:rPr>
        <w:t>时间：</w:t>
      </w:r>
    </w:p>
    <w:sectPr>
      <w:pgSz w:w="11906" w:h="16838"/>
      <w:pgMar w:top="1440" w:right="16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227757"/>
    <w:multiLevelType w:val="singleLevel"/>
    <w:tmpl w:val="CC227757"/>
    <w:lvl w:ilvl="0" w:tentative="0">
      <w:start w:val="1"/>
      <w:numFmt w:val="decimal"/>
      <w:lvlText w:val="%1)"/>
      <w:lvlJc w:val="left"/>
      <w:pPr>
        <w:ind w:left="425" w:hanging="425"/>
      </w:pPr>
      <w:rPr>
        <w:rFonts w:hint="default"/>
      </w:rPr>
    </w:lvl>
  </w:abstractNum>
  <w:abstractNum w:abstractNumId="1">
    <w:nsid w:val="D08DD9E2"/>
    <w:multiLevelType w:val="singleLevel"/>
    <w:tmpl w:val="D08DD9E2"/>
    <w:lvl w:ilvl="0" w:tentative="0">
      <w:start w:val="1"/>
      <w:numFmt w:val="decimal"/>
      <w:lvlText w:val="%1)"/>
      <w:lvlJc w:val="left"/>
      <w:pPr>
        <w:ind w:left="425" w:hanging="425"/>
      </w:pPr>
      <w:rPr>
        <w:rFonts w:hint="default"/>
      </w:rPr>
    </w:lvl>
  </w:abstractNum>
  <w:abstractNum w:abstractNumId="2">
    <w:nsid w:val="F8A52190"/>
    <w:multiLevelType w:val="singleLevel"/>
    <w:tmpl w:val="F8A52190"/>
    <w:lvl w:ilvl="0" w:tentative="0">
      <w:start w:val="1"/>
      <w:numFmt w:val="decimal"/>
      <w:suff w:val="nothing"/>
      <w:lvlText w:val="%1．"/>
      <w:lvlJc w:val="left"/>
      <w:pPr>
        <w:ind w:left="0" w:firstLine="400"/>
      </w:pPr>
      <w:rPr>
        <w:rFonts w:hint="default"/>
      </w:rPr>
    </w:lvl>
  </w:abstractNum>
  <w:abstractNum w:abstractNumId="3">
    <w:nsid w:val="00000034"/>
    <w:multiLevelType w:val="multilevel"/>
    <w:tmpl w:val="00000034"/>
    <w:lvl w:ilvl="0" w:tentative="0">
      <w:start w:val="1"/>
      <w:numFmt w:val="bullet"/>
      <w:lvlText w:val=""/>
      <w:lvlJc w:val="left"/>
      <w:pPr>
        <w:tabs>
          <w:tab w:val="left" w:pos="900"/>
        </w:tabs>
        <w:ind w:left="900" w:hanging="420"/>
      </w:pPr>
      <w:rPr>
        <w:rFonts w:hint="default" w:ascii="Wingdings" w:hAnsi="Wingdings"/>
        <w:u w:val="none"/>
      </w:rPr>
    </w:lvl>
    <w:lvl w:ilvl="1" w:tentative="0">
      <w:start w:val="1"/>
      <w:numFmt w:val="bullet"/>
      <w:lvlText w:val=""/>
      <w:lvlJc w:val="left"/>
      <w:pPr>
        <w:tabs>
          <w:tab w:val="left" w:pos="1320"/>
        </w:tabs>
        <w:ind w:left="1320" w:hanging="420"/>
      </w:pPr>
      <w:rPr>
        <w:rFonts w:hint="default" w:ascii="Wingdings" w:hAnsi="Wingdings"/>
        <w:u w:val="none"/>
      </w:rPr>
    </w:lvl>
    <w:lvl w:ilvl="2" w:tentative="0">
      <w:start w:val="1"/>
      <w:numFmt w:val="bullet"/>
      <w:lvlText w:val=""/>
      <w:lvlJc w:val="left"/>
      <w:pPr>
        <w:tabs>
          <w:tab w:val="left" w:pos="1740"/>
        </w:tabs>
        <w:ind w:left="1740" w:hanging="420"/>
      </w:pPr>
      <w:rPr>
        <w:rFonts w:hint="default" w:ascii="Wingdings" w:hAnsi="Wingdings"/>
        <w:u w:val="none"/>
      </w:rPr>
    </w:lvl>
    <w:lvl w:ilvl="3" w:tentative="0">
      <w:start w:val="1"/>
      <w:numFmt w:val="bullet"/>
      <w:lvlText w:val=""/>
      <w:lvlJc w:val="left"/>
      <w:pPr>
        <w:tabs>
          <w:tab w:val="left" w:pos="2160"/>
        </w:tabs>
        <w:ind w:left="2160" w:hanging="420"/>
      </w:pPr>
      <w:rPr>
        <w:rFonts w:hint="default" w:ascii="Wingdings" w:hAnsi="Wingdings"/>
        <w:u w:val="none"/>
      </w:rPr>
    </w:lvl>
    <w:lvl w:ilvl="4" w:tentative="0">
      <w:start w:val="1"/>
      <w:numFmt w:val="bullet"/>
      <w:lvlText w:val=""/>
      <w:lvlJc w:val="left"/>
      <w:pPr>
        <w:tabs>
          <w:tab w:val="left" w:pos="2580"/>
        </w:tabs>
        <w:ind w:left="2580" w:hanging="420"/>
      </w:pPr>
      <w:rPr>
        <w:rFonts w:hint="default" w:ascii="Wingdings" w:hAnsi="Wingdings"/>
        <w:u w:val="none"/>
      </w:rPr>
    </w:lvl>
    <w:lvl w:ilvl="5" w:tentative="0">
      <w:start w:val="1"/>
      <w:numFmt w:val="bullet"/>
      <w:lvlText w:val=""/>
      <w:lvlJc w:val="left"/>
      <w:pPr>
        <w:tabs>
          <w:tab w:val="left" w:pos="3000"/>
        </w:tabs>
        <w:ind w:left="3000" w:hanging="420"/>
      </w:pPr>
      <w:rPr>
        <w:rFonts w:hint="default" w:ascii="Wingdings" w:hAnsi="Wingdings"/>
        <w:u w:val="none"/>
      </w:rPr>
    </w:lvl>
    <w:lvl w:ilvl="6" w:tentative="0">
      <w:start w:val="1"/>
      <w:numFmt w:val="bullet"/>
      <w:lvlText w:val=""/>
      <w:lvlJc w:val="left"/>
      <w:pPr>
        <w:tabs>
          <w:tab w:val="left" w:pos="3420"/>
        </w:tabs>
        <w:ind w:left="3420" w:hanging="420"/>
      </w:pPr>
      <w:rPr>
        <w:rFonts w:hint="default" w:ascii="Wingdings" w:hAnsi="Wingdings"/>
        <w:u w:val="none"/>
      </w:rPr>
    </w:lvl>
    <w:lvl w:ilvl="7" w:tentative="0">
      <w:start w:val="1"/>
      <w:numFmt w:val="bullet"/>
      <w:lvlText w:val=""/>
      <w:lvlJc w:val="left"/>
      <w:pPr>
        <w:tabs>
          <w:tab w:val="left" w:pos="3840"/>
        </w:tabs>
        <w:ind w:left="3840" w:hanging="420"/>
      </w:pPr>
      <w:rPr>
        <w:rFonts w:hint="default" w:ascii="Wingdings" w:hAnsi="Wingdings"/>
        <w:u w:val="none"/>
      </w:rPr>
    </w:lvl>
    <w:lvl w:ilvl="8" w:tentative="0">
      <w:start w:val="1"/>
      <w:numFmt w:val="bullet"/>
      <w:lvlText w:val=""/>
      <w:lvlJc w:val="left"/>
      <w:pPr>
        <w:tabs>
          <w:tab w:val="left" w:pos="4260"/>
        </w:tabs>
        <w:ind w:left="4260" w:hanging="420"/>
      </w:pPr>
      <w:rPr>
        <w:rFonts w:hint="default" w:ascii="Wingdings" w:hAnsi="Wingdings"/>
        <w:u w:val="none"/>
      </w:rPr>
    </w:lvl>
  </w:abstractNum>
  <w:abstractNum w:abstractNumId="4">
    <w:nsid w:val="00000054"/>
    <w:multiLevelType w:val="multilevel"/>
    <w:tmpl w:val="00000054"/>
    <w:lvl w:ilvl="0" w:tentative="0">
      <w:start w:val="1"/>
      <w:numFmt w:val="decimal"/>
      <w:lvlText w:val="%1)"/>
      <w:lvlJc w:val="left"/>
      <w:pPr>
        <w:ind w:left="900" w:hanging="420"/>
      </w:pPr>
      <w:rPr>
        <w:rFonts w:hint="default" w:ascii="Times New Roman"/>
        <w:u w:val="none"/>
      </w:rPr>
    </w:lvl>
    <w:lvl w:ilvl="1" w:tentative="0">
      <w:start w:val="1"/>
      <w:numFmt w:val="lowerLetter"/>
      <w:lvlText w:val="%2)"/>
      <w:lvlJc w:val="left"/>
      <w:pPr>
        <w:ind w:left="1320" w:hanging="420"/>
      </w:pPr>
      <w:rPr>
        <w:rFonts w:hint="default" w:ascii="Times New Roman"/>
        <w:u w:val="none"/>
      </w:rPr>
    </w:lvl>
    <w:lvl w:ilvl="2" w:tentative="0">
      <w:start w:val="1"/>
      <w:numFmt w:val="lowerRoman"/>
      <w:lvlText w:val="%3."/>
      <w:lvlJc w:val="right"/>
      <w:pPr>
        <w:ind w:left="1740" w:hanging="420"/>
      </w:pPr>
      <w:rPr>
        <w:rFonts w:hint="default" w:ascii="Times New Roman"/>
        <w:u w:val="none"/>
      </w:rPr>
    </w:lvl>
    <w:lvl w:ilvl="3" w:tentative="0">
      <w:start w:val="1"/>
      <w:numFmt w:val="decimal"/>
      <w:lvlText w:val="%4."/>
      <w:lvlJc w:val="left"/>
      <w:pPr>
        <w:ind w:left="2160" w:hanging="420"/>
      </w:pPr>
      <w:rPr>
        <w:rFonts w:hint="default" w:ascii="Times New Roman"/>
        <w:u w:val="none"/>
      </w:rPr>
    </w:lvl>
    <w:lvl w:ilvl="4" w:tentative="0">
      <w:start w:val="1"/>
      <w:numFmt w:val="lowerLetter"/>
      <w:lvlText w:val="%5)"/>
      <w:lvlJc w:val="left"/>
      <w:pPr>
        <w:ind w:left="2580" w:hanging="420"/>
      </w:pPr>
      <w:rPr>
        <w:rFonts w:hint="default" w:ascii="Times New Roman"/>
        <w:u w:val="none"/>
      </w:rPr>
    </w:lvl>
    <w:lvl w:ilvl="5" w:tentative="0">
      <w:start w:val="1"/>
      <w:numFmt w:val="lowerRoman"/>
      <w:lvlText w:val="%6."/>
      <w:lvlJc w:val="right"/>
      <w:pPr>
        <w:ind w:left="3000" w:hanging="420"/>
      </w:pPr>
      <w:rPr>
        <w:rFonts w:hint="default" w:ascii="Times New Roman"/>
        <w:u w:val="none"/>
      </w:rPr>
    </w:lvl>
    <w:lvl w:ilvl="6" w:tentative="0">
      <w:start w:val="1"/>
      <w:numFmt w:val="decimal"/>
      <w:lvlText w:val="%7."/>
      <w:lvlJc w:val="left"/>
      <w:pPr>
        <w:ind w:left="3420" w:hanging="420"/>
      </w:pPr>
      <w:rPr>
        <w:rFonts w:hint="default" w:ascii="Times New Roman"/>
        <w:u w:val="none"/>
      </w:rPr>
    </w:lvl>
    <w:lvl w:ilvl="7" w:tentative="0">
      <w:start w:val="1"/>
      <w:numFmt w:val="lowerLetter"/>
      <w:lvlText w:val="%8)"/>
      <w:lvlJc w:val="left"/>
      <w:pPr>
        <w:ind w:left="3840" w:hanging="420"/>
      </w:pPr>
      <w:rPr>
        <w:rFonts w:hint="default" w:ascii="Times New Roman"/>
        <w:u w:val="none"/>
      </w:rPr>
    </w:lvl>
    <w:lvl w:ilvl="8" w:tentative="0">
      <w:start w:val="1"/>
      <w:numFmt w:val="lowerRoman"/>
      <w:lvlText w:val="%9."/>
      <w:lvlJc w:val="right"/>
      <w:pPr>
        <w:ind w:left="4260" w:hanging="420"/>
      </w:pPr>
      <w:rPr>
        <w:rFonts w:hint="default" w:ascii="Times New Roman"/>
        <w:u w:val="none"/>
      </w:rPr>
    </w:lvl>
  </w:abstractNum>
  <w:abstractNum w:abstractNumId="5">
    <w:nsid w:val="00000055"/>
    <w:multiLevelType w:val="multilevel"/>
    <w:tmpl w:val="00000055"/>
    <w:lvl w:ilvl="0" w:tentative="0">
      <w:start w:val="1"/>
      <w:numFmt w:val="decimal"/>
      <w:lvlText w:val="%1)"/>
      <w:lvlJc w:val="left"/>
      <w:pPr>
        <w:ind w:left="900" w:hanging="420"/>
      </w:pPr>
      <w:rPr>
        <w:rFonts w:hint="default" w:ascii="Times New Roman"/>
        <w:u w:val="none"/>
      </w:rPr>
    </w:lvl>
    <w:lvl w:ilvl="1" w:tentative="0">
      <w:start w:val="1"/>
      <w:numFmt w:val="lowerLetter"/>
      <w:lvlText w:val="%2)"/>
      <w:lvlJc w:val="left"/>
      <w:pPr>
        <w:ind w:left="1320" w:hanging="420"/>
      </w:pPr>
      <w:rPr>
        <w:rFonts w:hint="default" w:ascii="Times New Roman"/>
        <w:u w:val="none"/>
      </w:rPr>
    </w:lvl>
    <w:lvl w:ilvl="2" w:tentative="0">
      <w:start w:val="1"/>
      <w:numFmt w:val="lowerRoman"/>
      <w:lvlText w:val="%3."/>
      <w:lvlJc w:val="right"/>
      <w:pPr>
        <w:ind w:left="1740" w:hanging="420"/>
      </w:pPr>
      <w:rPr>
        <w:rFonts w:hint="default" w:ascii="Times New Roman"/>
        <w:u w:val="none"/>
      </w:rPr>
    </w:lvl>
    <w:lvl w:ilvl="3" w:tentative="0">
      <w:start w:val="1"/>
      <w:numFmt w:val="decimal"/>
      <w:lvlText w:val="%4."/>
      <w:lvlJc w:val="left"/>
      <w:pPr>
        <w:ind w:left="2160" w:hanging="420"/>
      </w:pPr>
      <w:rPr>
        <w:rFonts w:hint="default" w:ascii="Times New Roman"/>
        <w:u w:val="none"/>
      </w:rPr>
    </w:lvl>
    <w:lvl w:ilvl="4" w:tentative="0">
      <w:start w:val="1"/>
      <w:numFmt w:val="lowerLetter"/>
      <w:lvlText w:val="%5)"/>
      <w:lvlJc w:val="left"/>
      <w:pPr>
        <w:ind w:left="2580" w:hanging="420"/>
      </w:pPr>
      <w:rPr>
        <w:rFonts w:hint="default" w:ascii="Times New Roman"/>
        <w:u w:val="none"/>
      </w:rPr>
    </w:lvl>
    <w:lvl w:ilvl="5" w:tentative="0">
      <w:start w:val="1"/>
      <w:numFmt w:val="lowerRoman"/>
      <w:lvlText w:val="%6."/>
      <w:lvlJc w:val="right"/>
      <w:pPr>
        <w:ind w:left="3000" w:hanging="420"/>
      </w:pPr>
      <w:rPr>
        <w:rFonts w:hint="default" w:ascii="Times New Roman"/>
        <w:u w:val="none"/>
      </w:rPr>
    </w:lvl>
    <w:lvl w:ilvl="6" w:tentative="0">
      <w:start w:val="1"/>
      <w:numFmt w:val="decimal"/>
      <w:lvlText w:val="%7."/>
      <w:lvlJc w:val="left"/>
      <w:pPr>
        <w:ind w:left="3420" w:hanging="420"/>
      </w:pPr>
      <w:rPr>
        <w:rFonts w:hint="default" w:ascii="Times New Roman"/>
        <w:u w:val="none"/>
      </w:rPr>
    </w:lvl>
    <w:lvl w:ilvl="7" w:tentative="0">
      <w:start w:val="1"/>
      <w:numFmt w:val="lowerLetter"/>
      <w:lvlText w:val="%8)"/>
      <w:lvlJc w:val="left"/>
      <w:pPr>
        <w:ind w:left="3840" w:hanging="420"/>
      </w:pPr>
      <w:rPr>
        <w:rFonts w:hint="default" w:ascii="Times New Roman"/>
        <w:u w:val="none"/>
      </w:rPr>
    </w:lvl>
    <w:lvl w:ilvl="8" w:tentative="0">
      <w:start w:val="1"/>
      <w:numFmt w:val="lowerRoman"/>
      <w:lvlText w:val="%9."/>
      <w:lvlJc w:val="right"/>
      <w:pPr>
        <w:ind w:left="4260" w:hanging="420"/>
      </w:pPr>
      <w:rPr>
        <w:rFonts w:hint="default" w:ascii="Times New Roman"/>
        <w:u w:val="none"/>
      </w:rPr>
    </w:lvl>
  </w:abstractNum>
  <w:abstractNum w:abstractNumId="6">
    <w:nsid w:val="48D01B9F"/>
    <w:multiLevelType w:val="multilevel"/>
    <w:tmpl w:val="48D01B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0FCEA89"/>
    <w:multiLevelType w:val="singleLevel"/>
    <w:tmpl w:val="50FCEA89"/>
    <w:lvl w:ilvl="0" w:tentative="0">
      <w:start w:val="1"/>
      <w:numFmt w:val="bullet"/>
      <w:lvlText w:val=""/>
      <w:lvlJc w:val="left"/>
      <w:pPr>
        <w:ind w:left="420" w:hanging="420"/>
      </w:pPr>
      <w:rPr>
        <w:rFonts w:hint="default" w:ascii="Wingdings" w:hAnsi="Wingdings"/>
      </w:rPr>
    </w:lvl>
  </w:abstractNum>
  <w:abstractNum w:abstractNumId="8">
    <w:nsid w:val="713E68BD"/>
    <w:multiLevelType w:val="singleLevel"/>
    <w:tmpl w:val="713E68BD"/>
    <w:lvl w:ilvl="0" w:tentative="0">
      <w:start w:val="1"/>
      <w:numFmt w:val="decimal"/>
      <w:lvlText w:val="%1)"/>
      <w:lvlJc w:val="left"/>
      <w:pPr>
        <w:ind w:left="425" w:hanging="425"/>
      </w:pPr>
      <w:rPr>
        <w:rFonts w:hint="default"/>
      </w:rPr>
    </w:lvl>
  </w:abstractNum>
  <w:num w:numId="1">
    <w:abstractNumId w:val="6"/>
  </w:num>
  <w:num w:numId="2">
    <w:abstractNumId w:val="2"/>
  </w:num>
  <w:num w:numId="3">
    <w:abstractNumId w:val="5"/>
  </w:num>
  <w:num w:numId="4">
    <w:abstractNumId w:val="3"/>
  </w:num>
  <w:num w:numId="5">
    <w:abstractNumId w:val="4"/>
  </w:num>
  <w:num w:numId="6">
    <w:abstractNumId w:val="7"/>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0A"/>
    <w:rsid w:val="00000B88"/>
    <w:rsid w:val="000021B5"/>
    <w:rsid w:val="00002F8D"/>
    <w:rsid w:val="00003D61"/>
    <w:rsid w:val="00003E9C"/>
    <w:rsid w:val="00004EB2"/>
    <w:rsid w:val="000051F2"/>
    <w:rsid w:val="00005791"/>
    <w:rsid w:val="0000624A"/>
    <w:rsid w:val="00006BDA"/>
    <w:rsid w:val="000072FA"/>
    <w:rsid w:val="00010B12"/>
    <w:rsid w:val="00010C4B"/>
    <w:rsid w:val="00013CF8"/>
    <w:rsid w:val="000171F0"/>
    <w:rsid w:val="00017BFF"/>
    <w:rsid w:val="000204E3"/>
    <w:rsid w:val="00020A9D"/>
    <w:rsid w:val="00021581"/>
    <w:rsid w:val="0002226B"/>
    <w:rsid w:val="00022E10"/>
    <w:rsid w:val="00023706"/>
    <w:rsid w:val="0002491C"/>
    <w:rsid w:val="00024F9A"/>
    <w:rsid w:val="000265FE"/>
    <w:rsid w:val="00026829"/>
    <w:rsid w:val="000271EC"/>
    <w:rsid w:val="00027BA1"/>
    <w:rsid w:val="000311AD"/>
    <w:rsid w:val="00031920"/>
    <w:rsid w:val="000320B6"/>
    <w:rsid w:val="000372BC"/>
    <w:rsid w:val="0004298C"/>
    <w:rsid w:val="00042BC5"/>
    <w:rsid w:val="00043134"/>
    <w:rsid w:val="00043249"/>
    <w:rsid w:val="00044252"/>
    <w:rsid w:val="00047569"/>
    <w:rsid w:val="000475F6"/>
    <w:rsid w:val="00047687"/>
    <w:rsid w:val="00051442"/>
    <w:rsid w:val="0005163A"/>
    <w:rsid w:val="00051B35"/>
    <w:rsid w:val="00052BEC"/>
    <w:rsid w:val="00054199"/>
    <w:rsid w:val="00054470"/>
    <w:rsid w:val="00054F1D"/>
    <w:rsid w:val="0005603A"/>
    <w:rsid w:val="000600B5"/>
    <w:rsid w:val="00061217"/>
    <w:rsid w:val="000641DE"/>
    <w:rsid w:val="00065065"/>
    <w:rsid w:val="00065FDA"/>
    <w:rsid w:val="00066C94"/>
    <w:rsid w:val="00066E93"/>
    <w:rsid w:val="0006785B"/>
    <w:rsid w:val="00067BF9"/>
    <w:rsid w:val="00070A8E"/>
    <w:rsid w:val="000710E5"/>
    <w:rsid w:val="00071238"/>
    <w:rsid w:val="0007248B"/>
    <w:rsid w:val="00073176"/>
    <w:rsid w:val="00073978"/>
    <w:rsid w:val="00073B4B"/>
    <w:rsid w:val="00074059"/>
    <w:rsid w:val="0007641B"/>
    <w:rsid w:val="00076A26"/>
    <w:rsid w:val="00076E18"/>
    <w:rsid w:val="0008083C"/>
    <w:rsid w:val="0008243A"/>
    <w:rsid w:val="00086239"/>
    <w:rsid w:val="0008756E"/>
    <w:rsid w:val="00087B54"/>
    <w:rsid w:val="00090868"/>
    <w:rsid w:val="00090F52"/>
    <w:rsid w:val="00091B7D"/>
    <w:rsid w:val="00092AE0"/>
    <w:rsid w:val="00096EC4"/>
    <w:rsid w:val="000A1693"/>
    <w:rsid w:val="000A2216"/>
    <w:rsid w:val="000A2365"/>
    <w:rsid w:val="000A369D"/>
    <w:rsid w:val="000A5331"/>
    <w:rsid w:val="000A6E64"/>
    <w:rsid w:val="000A7B00"/>
    <w:rsid w:val="000A7D39"/>
    <w:rsid w:val="000B0244"/>
    <w:rsid w:val="000B147E"/>
    <w:rsid w:val="000B14EC"/>
    <w:rsid w:val="000B509C"/>
    <w:rsid w:val="000B60F0"/>
    <w:rsid w:val="000B627F"/>
    <w:rsid w:val="000B7870"/>
    <w:rsid w:val="000C0CC6"/>
    <w:rsid w:val="000C2331"/>
    <w:rsid w:val="000C30DA"/>
    <w:rsid w:val="000C5888"/>
    <w:rsid w:val="000C5901"/>
    <w:rsid w:val="000C5F2D"/>
    <w:rsid w:val="000C637B"/>
    <w:rsid w:val="000D0555"/>
    <w:rsid w:val="000D0D98"/>
    <w:rsid w:val="000D295D"/>
    <w:rsid w:val="000D2ABF"/>
    <w:rsid w:val="000D3882"/>
    <w:rsid w:val="000D6C96"/>
    <w:rsid w:val="000E2807"/>
    <w:rsid w:val="000E3120"/>
    <w:rsid w:val="000E49F5"/>
    <w:rsid w:val="000E5F12"/>
    <w:rsid w:val="000E78C9"/>
    <w:rsid w:val="000F18E8"/>
    <w:rsid w:val="000F3D0D"/>
    <w:rsid w:val="000F6015"/>
    <w:rsid w:val="000F738E"/>
    <w:rsid w:val="000F7727"/>
    <w:rsid w:val="001008E4"/>
    <w:rsid w:val="00100E1E"/>
    <w:rsid w:val="0010203A"/>
    <w:rsid w:val="00102135"/>
    <w:rsid w:val="0010297E"/>
    <w:rsid w:val="00106447"/>
    <w:rsid w:val="001078C4"/>
    <w:rsid w:val="00112ACE"/>
    <w:rsid w:val="00114175"/>
    <w:rsid w:val="00115261"/>
    <w:rsid w:val="00115FDB"/>
    <w:rsid w:val="00116058"/>
    <w:rsid w:val="0011626E"/>
    <w:rsid w:val="00117864"/>
    <w:rsid w:val="00120463"/>
    <w:rsid w:val="00120585"/>
    <w:rsid w:val="0012073E"/>
    <w:rsid w:val="001207C7"/>
    <w:rsid w:val="00120CEA"/>
    <w:rsid w:val="00121F89"/>
    <w:rsid w:val="00122CD1"/>
    <w:rsid w:val="0012388B"/>
    <w:rsid w:val="00124C92"/>
    <w:rsid w:val="00125CDF"/>
    <w:rsid w:val="00127315"/>
    <w:rsid w:val="00130EB1"/>
    <w:rsid w:val="00131BEF"/>
    <w:rsid w:val="00135757"/>
    <w:rsid w:val="001365EC"/>
    <w:rsid w:val="001410F7"/>
    <w:rsid w:val="00141D23"/>
    <w:rsid w:val="001430B2"/>
    <w:rsid w:val="00144F87"/>
    <w:rsid w:val="00144FD7"/>
    <w:rsid w:val="001459D9"/>
    <w:rsid w:val="00146DE4"/>
    <w:rsid w:val="001501AD"/>
    <w:rsid w:val="00150629"/>
    <w:rsid w:val="00153868"/>
    <w:rsid w:val="00153D43"/>
    <w:rsid w:val="001552C4"/>
    <w:rsid w:val="00156DF9"/>
    <w:rsid w:val="00157369"/>
    <w:rsid w:val="00163C76"/>
    <w:rsid w:val="00164C29"/>
    <w:rsid w:val="00166242"/>
    <w:rsid w:val="00166F5D"/>
    <w:rsid w:val="001720B3"/>
    <w:rsid w:val="0017228E"/>
    <w:rsid w:val="00174EDF"/>
    <w:rsid w:val="00176636"/>
    <w:rsid w:val="00176F1E"/>
    <w:rsid w:val="001802CA"/>
    <w:rsid w:val="00181C07"/>
    <w:rsid w:val="0018248D"/>
    <w:rsid w:val="00183B7A"/>
    <w:rsid w:val="00184084"/>
    <w:rsid w:val="001846A9"/>
    <w:rsid w:val="001873B4"/>
    <w:rsid w:val="00187648"/>
    <w:rsid w:val="00187F7A"/>
    <w:rsid w:val="001901D0"/>
    <w:rsid w:val="00191CFB"/>
    <w:rsid w:val="001931EF"/>
    <w:rsid w:val="00193716"/>
    <w:rsid w:val="00193890"/>
    <w:rsid w:val="00193B7B"/>
    <w:rsid w:val="001943EB"/>
    <w:rsid w:val="00196351"/>
    <w:rsid w:val="00196512"/>
    <w:rsid w:val="00197BB3"/>
    <w:rsid w:val="001A0281"/>
    <w:rsid w:val="001A0294"/>
    <w:rsid w:val="001A20D2"/>
    <w:rsid w:val="001A2867"/>
    <w:rsid w:val="001A2DE8"/>
    <w:rsid w:val="001A40E8"/>
    <w:rsid w:val="001A4540"/>
    <w:rsid w:val="001A5775"/>
    <w:rsid w:val="001A6D16"/>
    <w:rsid w:val="001A6E77"/>
    <w:rsid w:val="001A7318"/>
    <w:rsid w:val="001A7857"/>
    <w:rsid w:val="001B0931"/>
    <w:rsid w:val="001B177A"/>
    <w:rsid w:val="001B19D1"/>
    <w:rsid w:val="001B2041"/>
    <w:rsid w:val="001B41FE"/>
    <w:rsid w:val="001B490D"/>
    <w:rsid w:val="001B5B68"/>
    <w:rsid w:val="001B64D8"/>
    <w:rsid w:val="001C13B6"/>
    <w:rsid w:val="001D3C6E"/>
    <w:rsid w:val="001D3F95"/>
    <w:rsid w:val="001D4697"/>
    <w:rsid w:val="001D5E8D"/>
    <w:rsid w:val="001E0DC1"/>
    <w:rsid w:val="001E12E3"/>
    <w:rsid w:val="001E13AF"/>
    <w:rsid w:val="001E2A52"/>
    <w:rsid w:val="001E6148"/>
    <w:rsid w:val="001E7815"/>
    <w:rsid w:val="001F13C2"/>
    <w:rsid w:val="001F28D2"/>
    <w:rsid w:val="001F39BB"/>
    <w:rsid w:val="001F3D63"/>
    <w:rsid w:val="001F404E"/>
    <w:rsid w:val="001F55B9"/>
    <w:rsid w:val="001F5C61"/>
    <w:rsid w:val="001F6E5C"/>
    <w:rsid w:val="002005DC"/>
    <w:rsid w:val="002012F2"/>
    <w:rsid w:val="00201505"/>
    <w:rsid w:val="00203C56"/>
    <w:rsid w:val="00203D37"/>
    <w:rsid w:val="002040FC"/>
    <w:rsid w:val="002046D5"/>
    <w:rsid w:val="00205C79"/>
    <w:rsid w:val="00206187"/>
    <w:rsid w:val="00210A0C"/>
    <w:rsid w:val="00211D14"/>
    <w:rsid w:val="00211F32"/>
    <w:rsid w:val="002159D1"/>
    <w:rsid w:val="00217673"/>
    <w:rsid w:val="00217DC5"/>
    <w:rsid w:val="00223AD8"/>
    <w:rsid w:val="00225EAD"/>
    <w:rsid w:val="002260F2"/>
    <w:rsid w:val="002273A1"/>
    <w:rsid w:val="00227F82"/>
    <w:rsid w:val="002304E1"/>
    <w:rsid w:val="0023099B"/>
    <w:rsid w:val="002316E5"/>
    <w:rsid w:val="0023561B"/>
    <w:rsid w:val="002356A1"/>
    <w:rsid w:val="00235A84"/>
    <w:rsid w:val="00235C9E"/>
    <w:rsid w:val="002366CE"/>
    <w:rsid w:val="00237059"/>
    <w:rsid w:val="00237880"/>
    <w:rsid w:val="00237DAC"/>
    <w:rsid w:val="002409E1"/>
    <w:rsid w:val="002431E2"/>
    <w:rsid w:val="00244E8C"/>
    <w:rsid w:val="00247664"/>
    <w:rsid w:val="0024793A"/>
    <w:rsid w:val="00247DC8"/>
    <w:rsid w:val="00247F94"/>
    <w:rsid w:val="00250948"/>
    <w:rsid w:val="002526E7"/>
    <w:rsid w:val="002539B6"/>
    <w:rsid w:val="002556B1"/>
    <w:rsid w:val="002578FF"/>
    <w:rsid w:val="00257CD4"/>
    <w:rsid w:val="00257E36"/>
    <w:rsid w:val="00260A31"/>
    <w:rsid w:val="002621F5"/>
    <w:rsid w:val="00262F98"/>
    <w:rsid w:val="0026326E"/>
    <w:rsid w:val="00264AA6"/>
    <w:rsid w:val="00267495"/>
    <w:rsid w:val="002679E1"/>
    <w:rsid w:val="00280282"/>
    <w:rsid w:val="002836B6"/>
    <w:rsid w:val="00284482"/>
    <w:rsid w:val="0028705A"/>
    <w:rsid w:val="0029085F"/>
    <w:rsid w:val="00290E2A"/>
    <w:rsid w:val="00295647"/>
    <w:rsid w:val="0029681C"/>
    <w:rsid w:val="00296BB8"/>
    <w:rsid w:val="002A0806"/>
    <w:rsid w:val="002A2572"/>
    <w:rsid w:val="002A2737"/>
    <w:rsid w:val="002A526C"/>
    <w:rsid w:val="002A602C"/>
    <w:rsid w:val="002A6C90"/>
    <w:rsid w:val="002A7C92"/>
    <w:rsid w:val="002B1C23"/>
    <w:rsid w:val="002B216F"/>
    <w:rsid w:val="002B4377"/>
    <w:rsid w:val="002B5B1B"/>
    <w:rsid w:val="002C02CD"/>
    <w:rsid w:val="002C103B"/>
    <w:rsid w:val="002C15E1"/>
    <w:rsid w:val="002C1D91"/>
    <w:rsid w:val="002C48D3"/>
    <w:rsid w:val="002C4F39"/>
    <w:rsid w:val="002C6101"/>
    <w:rsid w:val="002C71AB"/>
    <w:rsid w:val="002D142D"/>
    <w:rsid w:val="002D1848"/>
    <w:rsid w:val="002D48A0"/>
    <w:rsid w:val="002D5C30"/>
    <w:rsid w:val="002D6B54"/>
    <w:rsid w:val="002E0086"/>
    <w:rsid w:val="002E1C74"/>
    <w:rsid w:val="002E35AD"/>
    <w:rsid w:val="002E390A"/>
    <w:rsid w:val="002E40E1"/>
    <w:rsid w:val="002E5D6F"/>
    <w:rsid w:val="002E6A48"/>
    <w:rsid w:val="002E6E84"/>
    <w:rsid w:val="002E760E"/>
    <w:rsid w:val="002F0E13"/>
    <w:rsid w:val="002F2B5E"/>
    <w:rsid w:val="002F2F60"/>
    <w:rsid w:val="002F5EFF"/>
    <w:rsid w:val="002F684D"/>
    <w:rsid w:val="002F6FE9"/>
    <w:rsid w:val="00300D49"/>
    <w:rsid w:val="00301D17"/>
    <w:rsid w:val="00303710"/>
    <w:rsid w:val="00303ECA"/>
    <w:rsid w:val="0030561C"/>
    <w:rsid w:val="00306170"/>
    <w:rsid w:val="003061AF"/>
    <w:rsid w:val="003067DE"/>
    <w:rsid w:val="003071FC"/>
    <w:rsid w:val="003106E9"/>
    <w:rsid w:val="003111FA"/>
    <w:rsid w:val="003117D8"/>
    <w:rsid w:val="00311DDE"/>
    <w:rsid w:val="00312991"/>
    <w:rsid w:val="00312E0B"/>
    <w:rsid w:val="00314872"/>
    <w:rsid w:val="003156E9"/>
    <w:rsid w:val="003216F5"/>
    <w:rsid w:val="00321AD8"/>
    <w:rsid w:val="00321D7C"/>
    <w:rsid w:val="00324B9E"/>
    <w:rsid w:val="00325007"/>
    <w:rsid w:val="003252C5"/>
    <w:rsid w:val="00326303"/>
    <w:rsid w:val="00326889"/>
    <w:rsid w:val="0033128B"/>
    <w:rsid w:val="00331F44"/>
    <w:rsid w:val="00332519"/>
    <w:rsid w:val="00332A52"/>
    <w:rsid w:val="0033418A"/>
    <w:rsid w:val="00334E52"/>
    <w:rsid w:val="00335845"/>
    <w:rsid w:val="00335ACD"/>
    <w:rsid w:val="00335BB4"/>
    <w:rsid w:val="00336166"/>
    <w:rsid w:val="003362FA"/>
    <w:rsid w:val="0033668B"/>
    <w:rsid w:val="0033681D"/>
    <w:rsid w:val="00337CA9"/>
    <w:rsid w:val="00340B1A"/>
    <w:rsid w:val="003419F5"/>
    <w:rsid w:val="00342007"/>
    <w:rsid w:val="00342218"/>
    <w:rsid w:val="0034224D"/>
    <w:rsid w:val="0034400E"/>
    <w:rsid w:val="003449AF"/>
    <w:rsid w:val="00344E2B"/>
    <w:rsid w:val="00345B3C"/>
    <w:rsid w:val="00345F2B"/>
    <w:rsid w:val="00347478"/>
    <w:rsid w:val="00347D15"/>
    <w:rsid w:val="00351351"/>
    <w:rsid w:val="00351DE4"/>
    <w:rsid w:val="00352633"/>
    <w:rsid w:val="003538C4"/>
    <w:rsid w:val="00353C44"/>
    <w:rsid w:val="003576FD"/>
    <w:rsid w:val="00360798"/>
    <w:rsid w:val="0036676D"/>
    <w:rsid w:val="00370462"/>
    <w:rsid w:val="00371017"/>
    <w:rsid w:val="003729CE"/>
    <w:rsid w:val="00373B04"/>
    <w:rsid w:val="00374498"/>
    <w:rsid w:val="0037473E"/>
    <w:rsid w:val="00377BCC"/>
    <w:rsid w:val="00380BD0"/>
    <w:rsid w:val="0038106D"/>
    <w:rsid w:val="00382B2B"/>
    <w:rsid w:val="00384211"/>
    <w:rsid w:val="003844A7"/>
    <w:rsid w:val="00384EE0"/>
    <w:rsid w:val="003865FD"/>
    <w:rsid w:val="00386CA0"/>
    <w:rsid w:val="00386ED6"/>
    <w:rsid w:val="00387197"/>
    <w:rsid w:val="00387D08"/>
    <w:rsid w:val="003923FF"/>
    <w:rsid w:val="00392B8D"/>
    <w:rsid w:val="003943DF"/>
    <w:rsid w:val="00395E5E"/>
    <w:rsid w:val="003A155C"/>
    <w:rsid w:val="003A28FA"/>
    <w:rsid w:val="003A3DF3"/>
    <w:rsid w:val="003A3FAF"/>
    <w:rsid w:val="003A4295"/>
    <w:rsid w:val="003A4F81"/>
    <w:rsid w:val="003A6160"/>
    <w:rsid w:val="003B137C"/>
    <w:rsid w:val="003B16D8"/>
    <w:rsid w:val="003B25D5"/>
    <w:rsid w:val="003B2E95"/>
    <w:rsid w:val="003B3000"/>
    <w:rsid w:val="003B4CD2"/>
    <w:rsid w:val="003B6DC6"/>
    <w:rsid w:val="003C4577"/>
    <w:rsid w:val="003C56B1"/>
    <w:rsid w:val="003D174B"/>
    <w:rsid w:val="003D26C0"/>
    <w:rsid w:val="003D2A4D"/>
    <w:rsid w:val="003D3825"/>
    <w:rsid w:val="003D4200"/>
    <w:rsid w:val="003D4926"/>
    <w:rsid w:val="003D7061"/>
    <w:rsid w:val="003D7363"/>
    <w:rsid w:val="003D7752"/>
    <w:rsid w:val="003E22DA"/>
    <w:rsid w:val="003E2EB7"/>
    <w:rsid w:val="003E420B"/>
    <w:rsid w:val="003E428D"/>
    <w:rsid w:val="003E4E65"/>
    <w:rsid w:val="003E56E0"/>
    <w:rsid w:val="003E66E4"/>
    <w:rsid w:val="003E7A7D"/>
    <w:rsid w:val="003F197A"/>
    <w:rsid w:val="003F1C65"/>
    <w:rsid w:val="003F35C8"/>
    <w:rsid w:val="003F38BD"/>
    <w:rsid w:val="003F3947"/>
    <w:rsid w:val="003F3BD6"/>
    <w:rsid w:val="003F4E3A"/>
    <w:rsid w:val="003F5347"/>
    <w:rsid w:val="003F69C6"/>
    <w:rsid w:val="003F6B2A"/>
    <w:rsid w:val="003F7216"/>
    <w:rsid w:val="003F7B26"/>
    <w:rsid w:val="00401095"/>
    <w:rsid w:val="00401BCD"/>
    <w:rsid w:val="00401D94"/>
    <w:rsid w:val="00401FCF"/>
    <w:rsid w:val="004024F8"/>
    <w:rsid w:val="004026C8"/>
    <w:rsid w:val="00402F27"/>
    <w:rsid w:val="00406D97"/>
    <w:rsid w:val="004074E1"/>
    <w:rsid w:val="00407BDF"/>
    <w:rsid w:val="00410297"/>
    <w:rsid w:val="00410D4E"/>
    <w:rsid w:val="00410EFB"/>
    <w:rsid w:val="004119A0"/>
    <w:rsid w:val="00413A32"/>
    <w:rsid w:val="00414B54"/>
    <w:rsid w:val="0041533F"/>
    <w:rsid w:val="00417001"/>
    <w:rsid w:val="004179C8"/>
    <w:rsid w:val="00420537"/>
    <w:rsid w:val="00421980"/>
    <w:rsid w:val="00422E74"/>
    <w:rsid w:val="004245E4"/>
    <w:rsid w:val="00425398"/>
    <w:rsid w:val="00426718"/>
    <w:rsid w:val="00430A2C"/>
    <w:rsid w:val="00430DD6"/>
    <w:rsid w:val="00431AAF"/>
    <w:rsid w:val="00431E0E"/>
    <w:rsid w:val="004337DB"/>
    <w:rsid w:val="0043492F"/>
    <w:rsid w:val="00435945"/>
    <w:rsid w:val="00436AC2"/>
    <w:rsid w:val="004377F9"/>
    <w:rsid w:val="00440931"/>
    <w:rsid w:val="00440B9D"/>
    <w:rsid w:val="00440D9A"/>
    <w:rsid w:val="00440F00"/>
    <w:rsid w:val="0044136D"/>
    <w:rsid w:val="00443A09"/>
    <w:rsid w:val="00444748"/>
    <w:rsid w:val="004451C4"/>
    <w:rsid w:val="004454D1"/>
    <w:rsid w:val="00453548"/>
    <w:rsid w:val="00455884"/>
    <w:rsid w:val="00457C14"/>
    <w:rsid w:val="00460327"/>
    <w:rsid w:val="00460638"/>
    <w:rsid w:val="00460941"/>
    <w:rsid w:val="00461861"/>
    <w:rsid w:val="004631EC"/>
    <w:rsid w:val="00465269"/>
    <w:rsid w:val="00465F6A"/>
    <w:rsid w:val="00466105"/>
    <w:rsid w:val="004726FE"/>
    <w:rsid w:val="00476774"/>
    <w:rsid w:val="00476BA3"/>
    <w:rsid w:val="0048086B"/>
    <w:rsid w:val="00480A80"/>
    <w:rsid w:val="0048278A"/>
    <w:rsid w:val="00484E2C"/>
    <w:rsid w:val="00485C90"/>
    <w:rsid w:val="00487311"/>
    <w:rsid w:val="00493396"/>
    <w:rsid w:val="00493BFD"/>
    <w:rsid w:val="00493EE4"/>
    <w:rsid w:val="00494E9A"/>
    <w:rsid w:val="004964F5"/>
    <w:rsid w:val="00497B9D"/>
    <w:rsid w:val="004A0035"/>
    <w:rsid w:val="004A114B"/>
    <w:rsid w:val="004A338C"/>
    <w:rsid w:val="004A3B5F"/>
    <w:rsid w:val="004A5C4B"/>
    <w:rsid w:val="004A6472"/>
    <w:rsid w:val="004B1DF6"/>
    <w:rsid w:val="004B2E54"/>
    <w:rsid w:val="004B2E5B"/>
    <w:rsid w:val="004B32F7"/>
    <w:rsid w:val="004B45AB"/>
    <w:rsid w:val="004B5B6D"/>
    <w:rsid w:val="004B6FAA"/>
    <w:rsid w:val="004C08C6"/>
    <w:rsid w:val="004C1154"/>
    <w:rsid w:val="004C2D37"/>
    <w:rsid w:val="004C2F2E"/>
    <w:rsid w:val="004C730F"/>
    <w:rsid w:val="004C759E"/>
    <w:rsid w:val="004D0C41"/>
    <w:rsid w:val="004D13EB"/>
    <w:rsid w:val="004D6850"/>
    <w:rsid w:val="004E299F"/>
    <w:rsid w:val="004E34D7"/>
    <w:rsid w:val="004E41F7"/>
    <w:rsid w:val="004E4FA2"/>
    <w:rsid w:val="004E5FF0"/>
    <w:rsid w:val="004E7589"/>
    <w:rsid w:val="004E7F41"/>
    <w:rsid w:val="004F072D"/>
    <w:rsid w:val="004F28BB"/>
    <w:rsid w:val="004F30A2"/>
    <w:rsid w:val="004F3B1C"/>
    <w:rsid w:val="004F4364"/>
    <w:rsid w:val="004F4432"/>
    <w:rsid w:val="004F4C34"/>
    <w:rsid w:val="004F6B34"/>
    <w:rsid w:val="004F7576"/>
    <w:rsid w:val="00500BE2"/>
    <w:rsid w:val="00502847"/>
    <w:rsid w:val="0050391D"/>
    <w:rsid w:val="005063AF"/>
    <w:rsid w:val="00507384"/>
    <w:rsid w:val="005075B6"/>
    <w:rsid w:val="005110D5"/>
    <w:rsid w:val="005115F0"/>
    <w:rsid w:val="00511673"/>
    <w:rsid w:val="00513075"/>
    <w:rsid w:val="0051341B"/>
    <w:rsid w:val="005134C1"/>
    <w:rsid w:val="005140E0"/>
    <w:rsid w:val="00515291"/>
    <w:rsid w:val="00515AFE"/>
    <w:rsid w:val="00521D20"/>
    <w:rsid w:val="00522953"/>
    <w:rsid w:val="00522F80"/>
    <w:rsid w:val="00524306"/>
    <w:rsid w:val="005253FE"/>
    <w:rsid w:val="00532FCD"/>
    <w:rsid w:val="00533914"/>
    <w:rsid w:val="00534BBD"/>
    <w:rsid w:val="005364D6"/>
    <w:rsid w:val="00537CE4"/>
    <w:rsid w:val="00541402"/>
    <w:rsid w:val="0054289E"/>
    <w:rsid w:val="0054484F"/>
    <w:rsid w:val="00544D7A"/>
    <w:rsid w:val="005452D9"/>
    <w:rsid w:val="00547997"/>
    <w:rsid w:val="00547DB5"/>
    <w:rsid w:val="00550787"/>
    <w:rsid w:val="005516C4"/>
    <w:rsid w:val="0055203F"/>
    <w:rsid w:val="00553D5B"/>
    <w:rsid w:val="00554F6C"/>
    <w:rsid w:val="0055658A"/>
    <w:rsid w:val="0055687B"/>
    <w:rsid w:val="00556C89"/>
    <w:rsid w:val="005606FC"/>
    <w:rsid w:val="00560AAE"/>
    <w:rsid w:val="00560C0F"/>
    <w:rsid w:val="005622AD"/>
    <w:rsid w:val="00563549"/>
    <w:rsid w:val="00563BDF"/>
    <w:rsid w:val="00565C23"/>
    <w:rsid w:val="005674F7"/>
    <w:rsid w:val="0057184C"/>
    <w:rsid w:val="0057208A"/>
    <w:rsid w:val="00572A8C"/>
    <w:rsid w:val="0057462F"/>
    <w:rsid w:val="00575BBF"/>
    <w:rsid w:val="005768D0"/>
    <w:rsid w:val="0057753F"/>
    <w:rsid w:val="005800A3"/>
    <w:rsid w:val="00582197"/>
    <w:rsid w:val="005824D2"/>
    <w:rsid w:val="00583299"/>
    <w:rsid w:val="00583F9A"/>
    <w:rsid w:val="005844DE"/>
    <w:rsid w:val="005857BC"/>
    <w:rsid w:val="00586E26"/>
    <w:rsid w:val="00587BA9"/>
    <w:rsid w:val="0059033E"/>
    <w:rsid w:val="005919DC"/>
    <w:rsid w:val="00591EEC"/>
    <w:rsid w:val="00591F68"/>
    <w:rsid w:val="00591FFD"/>
    <w:rsid w:val="005930C5"/>
    <w:rsid w:val="0059768D"/>
    <w:rsid w:val="005A0E6E"/>
    <w:rsid w:val="005A1055"/>
    <w:rsid w:val="005A1DE0"/>
    <w:rsid w:val="005A3C05"/>
    <w:rsid w:val="005A3EAE"/>
    <w:rsid w:val="005A5D49"/>
    <w:rsid w:val="005A675B"/>
    <w:rsid w:val="005B1DCC"/>
    <w:rsid w:val="005B322C"/>
    <w:rsid w:val="005B3237"/>
    <w:rsid w:val="005B5819"/>
    <w:rsid w:val="005B6875"/>
    <w:rsid w:val="005B7194"/>
    <w:rsid w:val="005C02C3"/>
    <w:rsid w:val="005C07B1"/>
    <w:rsid w:val="005C17EE"/>
    <w:rsid w:val="005C2644"/>
    <w:rsid w:val="005C2DA2"/>
    <w:rsid w:val="005C3241"/>
    <w:rsid w:val="005C3C37"/>
    <w:rsid w:val="005C4B23"/>
    <w:rsid w:val="005C56EB"/>
    <w:rsid w:val="005C6109"/>
    <w:rsid w:val="005C783D"/>
    <w:rsid w:val="005D2571"/>
    <w:rsid w:val="005D2604"/>
    <w:rsid w:val="005D3EB8"/>
    <w:rsid w:val="005D4DE0"/>
    <w:rsid w:val="005D7450"/>
    <w:rsid w:val="005D773F"/>
    <w:rsid w:val="005E0744"/>
    <w:rsid w:val="005E1C27"/>
    <w:rsid w:val="005E28AE"/>
    <w:rsid w:val="005E532E"/>
    <w:rsid w:val="005F02A8"/>
    <w:rsid w:val="005F13AB"/>
    <w:rsid w:val="005F1AB5"/>
    <w:rsid w:val="005F2C47"/>
    <w:rsid w:val="005F6279"/>
    <w:rsid w:val="005F7CEC"/>
    <w:rsid w:val="00600F6F"/>
    <w:rsid w:val="00601643"/>
    <w:rsid w:val="00603101"/>
    <w:rsid w:val="006032F5"/>
    <w:rsid w:val="00603336"/>
    <w:rsid w:val="00603839"/>
    <w:rsid w:val="0060391E"/>
    <w:rsid w:val="0061094D"/>
    <w:rsid w:val="00610E43"/>
    <w:rsid w:val="006110BD"/>
    <w:rsid w:val="006116BC"/>
    <w:rsid w:val="00611D86"/>
    <w:rsid w:val="0061429B"/>
    <w:rsid w:val="00616AC2"/>
    <w:rsid w:val="00620CD3"/>
    <w:rsid w:val="0062206E"/>
    <w:rsid w:val="00622D38"/>
    <w:rsid w:val="00624706"/>
    <w:rsid w:val="006266F6"/>
    <w:rsid w:val="006270A8"/>
    <w:rsid w:val="00627BF4"/>
    <w:rsid w:val="0063041B"/>
    <w:rsid w:val="006311F6"/>
    <w:rsid w:val="00632AA8"/>
    <w:rsid w:val="006348B8"/>
    <w:rsid w:val="00635679"/>
    <w:rsid w:val="00635803"/>
    <w:rsid w:val="00635AA7"/>
    <w:rsid w:val="00635F7E"/>
    <w:rsid w:val="00637319"/>
    <w:rsid w:val="00640371"/>
    <w:rsid w:val="00640F65"/>
    <w:rsid w:val="00641772"/>
    <w:rsid w:val="006419FF"/>
    <w:rsid w:val="00641CE0"/>
    <w:rsid w:val="0064408D"/>
    <w:rsid w:val="006443F9"/>
    <w:rsid w:val="006444C1"/>
    <w:rsid w:val="0064527F"/>
    <w:rsid w:val="00646C28"/>
    <w:rsid w:val="00646DDB"/>
    <w:rsid w:val="00650FC5"/>
    <w:rsid w:val="00651853"/>
    <w:rsid w:val="00652015"/>
    <w:rsid w:val="00652AA3"/>
    <w:rsid w:val="006530A9"/>
    <w:rsid w:val="00653A91"/>
    <w:rsid w:val="00654794"/>
    <w:rsid w:val="00655544"/>
    <w:rsid w:val="00656C57"/>
    <w:rsid w:val="006578B1"/>
    <w:rsid w:val="00661ABA"/>
    <w:rsid w:val="0066209C"/>
    <w:rsid w:val="006634CE"/>
    <w:rsid w:val="006643CC"/>
    <w:rsid w:val="006651A2"/>
    <w:rsid w:val="00665C97"/>
    <w:rsid w:val="00667356"/>
    <w:rsid w:val="00670D0A"/>
    <w:rsid w:val="00673DD8"/>
    <w:rsid w:val="006754F6"/>
    <w:rsid w:val="00675A89"/>
    <w:rsid w:val="0067751F"/>
    <w:rsid w:val="006801D3"/>
    <w:rsid w:val="0068057B"/>
    <w:rsid w:val="0068074F"/>
    <w:rsid w:val="0068396C"/>
    <w:rsid w:val="006875E6"/>
    <w:rsid w:val="00687B6D"/>
    <w:rsid w:val="00690A27"/>
    <w:rsid w:val="006917C0"/>
    <w:rsid w:val="006917D9"/>
    <w:rsid w:val="0069183F"/>
    <w:rsid w:val="00693905"/>
    <w:rsid w:val="00697DE5"/>
    <w:rsid w:val="006A4D86"/>
    <w:rsid w:val="006A5AB9"/>
    <w:rsid w:val="006A7CEE"/>
    <w:rsid w:val="006B1D69"/>
    <w:rsid w:val="006B28F4"/>
    <w:rsid w:val="006B48D5"/>
    <w:rsid w:val="006B68F3"/>
    <w:rsid w:val="006B70C9"/>
    <w:rsid w:val="006B7D5C"/>
    <w:rsid w:val="006C0796"/>
    <w:rsid w:val="006C21D6"/>
    <w:rsid w:val="006C2B02"/>
    <w:rsid w:val="006C3E5F"/>
    <w:rsid w:val="006C4CEF"/>
    <w:rsid w:val="006C58FA"/>
    <w:rsid w:val="006D0009"/>
    <w:rsid w:val="006D05E7"/>
    <w:rsid w:val="006D22FE"/>
    <w:rsid w:val="006D2385"/>
    <w:rsid w:val="006D2F20"/>
    <w:rsid w:val="006D4AC1"/>
    <w:rsid w:val="006D4B7C"/>
    <w:rsid w:val="006D4CA5"/>
    <w:rsid w:val="006D4F62"/>
    <w:rsid w:val="006D736F"/>
    <w:rsid w:val="006D74FB"/>
    <w:rsid w:val="006D7FD1"/>
    <w:rsid w:val="006E04CC"/>
    <w:rsid w:val="006E1C5A"/>
    <w:rsid w:val="006E1FAC"/>
    <w:rsid w:val="006E5052"/>
    <w:rsid w:val="006E541C"/>
    <w:rsid w:val="006E5DAB"/>
    <w:rsid w:val="006E651F"/>
    <w:rsid w:val="006E7E77"/>
    <w:rsid w:val="006F2AE6"/>
    <w:rsid w:val="006F2FE2"/>
    <w:rsid w:val="006F3A9F"/>
    <w:rsid w:val="006F4B31"/>
    <w:rsid w:val="006F6980"/>
    <w:rsid w:val="006F75D5"/>
    <w:rsid w:val="00700796"/>
    <w:rsid w:val="0070160F"/>
    <w:rsid w:val="007017A5"/>
    <w:rsid w:val="00702316"/>
    <w:rsid w:val="00703005"/>
    <w:rsid w:val="00705004"/>
    <w:rsid w:val="00705821"/>
    <w:rsid w:val="00706055"/>
    <w:rsid w:val="007067CF"/>
    <w:rsid w:val="00707809"/>
    <w:rsid w:val="0071109F"/>
    <w:rsid w:val="007120E4"/>
    <w:rsid w:val="007124C2"/>
    <w:rsid w:val="0071357E"/>
    <w:rsid w:val="0071371C"/>
    <w:rsid w:val="007157F0"/>
    <w:rsid w:val="00715ECA"/>
    <w:rsid w:val="00716AB4"/>
    <w:rsid w:val="00716DC8"/>
    <w:rsid w:val="00717086"/>
    <w:rsid w:val="007172C8"/>
    <w:rsid w:val="007225F1"/>
    <w:rsid w:val="0072542B"/>
    <w:rsid w:val="007305D5"/>
    <w:rsid w:val="00731896"/>
    <w:rsid w:val="007319FA"/>
    <w:rsid w:val="007339C4"/>
    <w:rsid w:val="007353DE"/>
    <w:rsid w:val="007359FE"/>
    <w:rsid w:val="00736083"/>
    <w:rsid w:val="00736634"/>
    <w:rsid w:val="00736644"/>
    <w:rsid w:val="00736A54"/>
    <w:rsid w:val="0073739C"/>
    <w:rsid w:val="00742150"/>
    <w:rsid w:val="00742A19"/>
    <w:rsid w:val="00742F35"/>
    <w:rsid w:val="007436E3"/>
    <w:rsid w:val="00744207"/>
    <w:rsid w:val="00746014"/>
    <w:rsid w:val="0074639F"/>
    <w:rsid w:val="00746F17"/>
    <w:rsid w:val="0075045A"/>
    <w:rsid w:val="00751C4C"/>
    <w:rsid w:val="007525F4"/>
    <w:rsid w:val="007529B6"/>
    <w:rsid w:val="00753287"/>
    <w:rsid w:val="00754B98"/>
    <w:rsid w:val="00754DCA"/>
    <w:rsid w:val="00756843"/>
    <w:rsid w:val="007575E0"/>
    <w:rsid w:val="0075766C"/>
    <w:rsid w:val="00757BF3"/>
    <w:rsid w:val="007637F9"/>
    <w:rsid w:val="007645DA"/>
    <w:rsid w:val="0076511E"/>
    <w:rsid w:val="00766C61"/>
    <w:rsid w:val="00771464"/>
    <w:rsid w:val="00771A60"/>
    <w:rsid w:val="0077252A"/>
    <w:rsid w:val="007727B4"/>
    <w:rsid w:val="00772EA8"/>
    <w:rsid w:val="00774A66"/>
    <w:rsid w:val="00777725"/>
    <w:rsid w:val="00780BD0"/>
    <w:rsid w:val="007822A0"/>
    <w:rsid w:val="007827E1"/>
    <w:rsid w:val="00782C2D"/>
    <w:rsid w:val="007873D2"/>
    <w:rsid w:val="00787EC4"/>
    <w:rsid w:val="007901D6"/>
    <w:rsid w:val="00790EEF"/>
    <w:rsid w:val="007912C8"/>
    <w:rsid w:val="00793E7B"/>
    <w:rsid w:val="007942F4"/>
    <w:rsid w:val="00795975"/>
    <w:rsid w:val="00797C9C"/>
    <w:rsid w:val="007A0774"/>
    <w:rsid w:val="007A2659"/>
    <w:rsid w:val="007A36F0"/>
    <w:rsid w:val="007A49B3"/>
    <w:rsid w:val="007A4E41"/>
    <w:rsid w:val="007A4F6C"/>
    <w:rsid w:val="007A65C3"/>
    <w:rsid w:val="007A6EDC"/>
    <w:rsid w:val="007A7332"/>
    <w:rsid w:val="007B11FE"/>
    <w:rsid w:val="007B1B83"/>
    <w:rsid w:val="007C02E7"/>
    <w:rsid w:val="007C3029"/>
    <w:rsid w:val="007C4187"/>
    <w:rsid w:val="007C429F"/>
    <w:rsid w:val="007C4F7B"/>
    <w:rsid w:val="007C50CB"/>
    <w:rsid w:val="007C6DB4"/>
    <w:rsid w:val="007C6DD9"/>
    <w:rsid w:val="007D20C8"/>
    <w:rsid w:val="007D3D9C"/>
    <w:rsid w:val="007D6331"/>
    <w:rsid w:val="007D692B"/>
    <w:rsid w:val="007D7A4A"/>
    <w:rsid w:val="007E219C"/>
    <w:rsid w:val="007E2229"/>
    <w:rsid w:val="007F0C2F"/>
    <w:rsid w:val="007F198C"/>
    <w:rsid w:val="007F4284"/>
    <w:rsid w:val="007F59E1"/>
    <w:rsid w:val="007F5A46"/>
    <w:rsid w:val="00803FD9"/>
    <w:rsid w:val="00804386"/>
    <w:rsid w:val="008046A9"/>
    <w:rsid w:val="0080752F"/>
    <w:rsid w:val="00807637"/>
    <w:rsid w:val="0081143E"/>
    <w:rsid w:val="0081177A"/>
    <w:rsid w:val="008117FD"/>
    <w:rsid w:val="008124A3"/>
    <w:rsid w:val="00814ACE"/>
    <w:rsid w:val="0081568E"/>
    <w:rsid w:val="00815E7C"/>
    <w:rsid w:val="008208DE"/>
    <w:rsid w:val="008213D3"/>
    <w:rsid w:val="00821451"/>
    <w:rsid w:val="00821B51"/>
    <w:rsid w:val="0082227B"/>
    <w:rsid w:val="00823373"/>
    <w:rsid w:val="00824CC5"/>
    <w:rsid w:val="008254CD"/>
    <w:rsid w:val="00826BD0"/>
    <w:rsid w:val="008331F2"/>
    <w:rsid w:val="008335E2"/>
    <w:rsid w:val="0083428E"/>
    <w:rsid w:val="0083752A"/>
    <w:rsid w:val="0084031D"/>
    <w:rsid w:val="00840A76"/>
    <w:rsid w:val="00841EAE"/>
    <w:rsid w:val="0084204B"/>
    <w:rsid w:val="00842663"/>
    <w:rsid w:val="00842F2A"/>
    <w:rsid w:val="00843540"/>
    <w:rsid w:val="0084355D"/>
    <w:rsid w:val="00843B27"/>
    <w:rsid w:val="00846D92"/>
    <w:rsid w:val="00847484"/>
    <w:rsid w:val="00847E42"/>
    <w:rsid w:val="008504E2"/>
    <w:rsid w:val="00850DF4"/>
    <w:rsid w:val="00850ECD"/>
    <w:rsid w:val="008511F0"/>
    <w:rsid w:val="008540D1"/>
    <w:rsid w:val="00856525"/>
    <w:rsid w:val="008566D9"/>
    <w:rsid w:val="00856E26"/>
    <w:rsid w:val="008572E2"/>
    <w:rsid w:val="00860E64"/>
    <w:rsid w:val="0086136E"/>
    <w:rsid w:val="00862477"/>
    <w:rsid w:val="008627AD"/>
    <w:rsid w:val="008654F2"/>
    <w:rsid w:val="00867EF4"/>
    <w:rsid w:val="00870B5E"/>
    <w:rsid w:val="00871178"/>
    <w:rsid w:val="00871CE3"/>
    <w:rsid w:val="00874169"/>
    <w:rsid w:val="008754C1"/>
    <w:rsid w:val="008827BA"/>
    <w:rsid w:val="00882D88"/>
    <w:rsid w:val="00882DB6"/>
    <w:rsid w:val="00882F1D"/>
    <w:rsid w:val="00883869"/>
    <w:rsid w:val="008852E8"/>
    <w:rsid w:val="00885D5A"/>
    <w:rsid w:val="00885FC3"/>
    <w:rsid w:val="0088721C"/>
    <w:rsid w:val="00890BE1"/>
    <w:rsid w:val="00892926"/>
    <w:rsid w:val="00893F6C"/>
    <w:rsid w:val="00894F4C"/>
    <w:rsid w:val="00896BC6"/>
    <w:rsid w:val="00897288"/>
    <w:rsid w:val="00897E20"/>
    <w:rsid w:val="008A0AD6"/>
    <w:rsid w:val="008A0B2A"/>
    <w:rsid w:val="008A1D90"/>
    <w:rsid w:val="008A22CD"/>
    <w:rsid w:val="008A3124"/>
    <w:rsid w:val="008A4922"/>
    <w:rsid w:val="008A5460"/>
    <w:rsid w:val="008A7254"/>
    <w:rsid w:val="008A79FE"/>
    <w:rsid w:val="008A7B15"/>
    <w:rsid w:val="008B0E3B"/>
    <w:rsid w:val="008B14BB"/>
    <w:rsid w:val="008B22AD"/>
    <w:rsid w:val="008B35CB"/>
    <w:rsid w:val="008B382E"/>
    <w:rsid w:val="008B407B"/>
    <w:rsid w:val="008B451C"/>
    <w:rsid w:val="008B5268"/>
    <w:rsid w:val="008B67C9"/>
    <w:rsid w:val="008B6F86"/>
    <w:rsid w:val="008B7526"/>
    <w:rsid w:val="008B7B2E"/>
    <w:rsid w:val="008C1B56"/>
    <w:rsid w:val="008C26B7"/>
    <w:rsid w:val="008C2B76"/>
    <w:rsid w:val="008C3565"/>
    <w:rsid w:val="008C35C7"/>
    <w:rsid w:val="008C428D"/>
    <w:rsid w:val="008C4EAF"/>
    <w:rsid w:val="008C58F7"/>
    <w:rsid w:val="008C6231"/>
    <w:rsid w:val="008C6534"/>
    <w:rsid w:val="008C6C48"/>
    <w:rsid w:val="008D012F"/>
    <w:rsid w:val="008D08DB"/>
    <w:rsid w:val="008D0A18"/>
    <w:rsid w:val="008D2F14"/>
    <w:rsid w:val="008D2F1B"/>
    <w:rsid w:val="008D340A"/>
    <w:rsid w:val="008D3DAD"/>
    <w:rsid w:val="008D464C"/>
    <w:rsid w:val="008D4A5A"/>
    <w:rsid w:val="008D4BA7"/>
    <w:rsid w:val="008D4D5B"/>
    <w:rsid w:val="008D5424"/>
    <w:rsid w:val="008E0B31"/>
    <w:rsid w:val="008E1DDE"/>
    <w:rsid w:val="008E2FFC"/>
    <w:rsid w:val="008E3304"/>
    <w:rsid w:val="008E4F57"/>
    <w:rsid w:val="008E6625"/>
    <w:rsid w:val="008F06CC"/>
    <w:rsid w:val="008F1EAE"/>
    <w:rsid w:val="008F215A"/>
    <w:rsid w:val="008F2800"/>
    <w:rsid w:val="008F29CD"/>
    <w:rsid w:val="008F3BBF"/>
    <w:rsid w:val="008F40E5"/>
    <w:rsid w:val="008F6969"/>
    <w:rsid w:val="00900735"/>
    <w:rsid w:val="009009A6"/>
    <w:rsid w:val="00901FAE"/>
    <w:rsid w:val="009037E2"/>
    <w:rsid w:val="009043F0"/>
    <w:rsid w:val="00907261"/>
    <w:rsid w:val="0090781D"/>
    <w:rsid w:val="00911166"/>
    <w:rsid w:val="009120D1"/>
    <w:rsid w:val="00913661"/>
    <w:rsid w:val="00914752"/>
    <w:rsid w:val="00921769"/>
    <w:rsid w:val="009230E6"/>
    <w:rsid w:val="0092314C"/>
    <w:rsid w:val="0092341B"/>
    <w:rsid w:val="00924D83"/>
    <w:rsid w:val="00924DEE"/>
    <w:rsid w:val="00925CBD"/>
    <w:rsid w:val="00931353"/>
    <w:rsid w:val="0093189F"/>
    <w:rsid w:val="009321CE"/>
    <w:rsid w:val="00932C49"/>
    <w:rsid w:val="009331C4"/>
    <w:rsid w:val="00936884"/>
    <w:rsid w:val="00940473"/>
    <w:rsid w:val="00941DF3"/>
    <w:rsid w:val="00942E12"/>
    <w:rsid w:val="00944017"/>
    <w:rsid w:val="00944098"/>
    <w:rsid w:val="009440B5"/>
    <w:rsid w:val="00945C8C"/>
    <w:rsid w:val="0094635A"/>
    <w:rsid w:val="00947FDF"/>
    <w:rsid w:val="009513B1"/>
    <w:rsid w:val="0095446F"/>
    <w:rsid w:val="00954AA6"/>
    <w:rsid w:val="00955AB1"/>
    <w:rsid w:val="00956561"/>
    <w:rsid w:val="00956609"/>
    <w:rsid w:val="00956EB3"/>
    <w:rsid w:val="00957290"/>
    <w:rsid w:val="009575E2"/>
    <w:rsid w:val="00961181"/>
    <w:rsid w:val="00961D14"/>
    <w:rsid w:val="00964644"/>
    <w:rsid w:val="00964BE7"/>
    <w:rsid w:val="00964F9F"/>
    <w:rsid w:val="009653FD"/>
    <w:rsid w:val="00967147"/>
    <w:rsid w:val="009673E4"/>
    <w:rsid w:val="00970ADD"/>
    <w:rsid w:val="00971A1C"/>
    <w:rsid w:val="0097208B"/>
    <w:rsid w:val="00974B21"/>
    <w:rsid w:val="00975108"/>
    <w:rsid w:val="00975A32"/>
    <w:rsid w:val="00977B72"/>
    <w:rsid w:val="009807EE"/>
    <w:rsid w:val="009834F8"/>
    <w:rsid w:val="00984BB4"/>
    <w:rsid w:val="009869D3"/>
    <w:rsid w:val="00986E2E"/>
    <w:rsid w:val="00986EDD"/>
    <w:rsid w:val="00987A18"/>
    <w:rsid w:val="00987BBA"/>
    <w:rsid w:val="0099042A"/>
    <w:rsid w:val="0099360A"/>
    <w:rsid w:val="00994AA1"/>
    <w:rsid w:val="00994FB3"/>
    <w:rsid w:val="00995521"/>
    <w:rsid w:val="0099640C"/>
    <w:rsid w:val="009A0235"/>
    <w:rsid w:val="009A0739"/>
    <w:rsid w:val="009A0853"/>
    <w:rsid w:val="009A0B92"/>
    <w:rsid w:val="009A156B"/>
    <w:rsid w:val="009A20EB"/>
    <w:rsid w:val="009A24F1"/>
    <w:rsid w:val="009A2E6E"/>
    <w:rsid w:val="009A3006"/>
    <w:rsid w:val="009A3B36"/>
    <w:rsid w:val="009A3ED4"/>
    <w:rsid w:val="009A4F6C"/>
    <w:rsid w:val="009B0125"/>
    <w:rsid w:val="009B040E"/>
    <w:rsid w:val="009B1967"/>
    <w:rsid w:val="009B2811"/>
    <w:rsid w:val="009B3DD1"/>
    <w:rsid w:val="009B42B9"/>
    <w:rsid w:val="009B4818"/>
    <w:rsid w:val="009B49B4"/>
    <w:rsid w:val="009B6721"/>
    <w:rsid w:val="009B68B8"/>
    <w:rsid w:val="009B7A99"/>
    <w:rsid w:val="009C0A41"/>
    <w:rsid w:val="009C1358"/>
    <w:rsid w:val="009C1DBB"/>
    <w:rsid w:val="009C66B1"/>
    <w:rsid w:val="009C77A6"/>
    <w:rsid w:val="009D2EFB"/>
    <w:rsid w:val="009D34C3"/>
    <w:rsid w:val="009D3E40"/>
    <w:rsid w:val="009D466A"/>
    <w:rsid w:val="009D5019"/>
    <w:rsid w:val="009D546C"/>
    <w:rsid w:val="009D5691"/>
    <w:rsid w:val="009D575B"/>
    <w:rsid w:val="009D7AF1"/>
    <w:rsid w:val="009E43A4"/>
    <w:rsid w:val="009E4CEE"/>
    <w:rsid w:val="009E4FA1"/>
    <w:rsid w:val="009E584A"/>
    <w:rsid w:val="009E69C4"/>
    <w:rsid w:val="009E69DD"/>
    <w:rsid w:val="009E6E37"/>
    <w:rsid w:val="009E72B5"/>
    <w:rsid w:val="009E76F4"/>
    <w:rsid w:val="009F0750"/>
    <w:rsid w:val="009F0EB0"/>
    <w:rsid w:val="009F105D"/>
    <w:rsid w:val="009F26DB"/>
    <w:rsid w:val="009F3C03"/>
    <w:rsid w:val="009F5968"/>
    <w:rsid w:val="009F7546"/>
    <w:rsid w:val="00A000DC"/>
    <w:rsid w:val="00A03AD5"/>
    <w:rsid w:val="00A04AC1"/>
    <w:rsid w:val="00A07713"/>
    <w:rsid w:val="00A079D1"/>
    <w:rsid w:val="00A1053E"/>
    <w:rsid w:val="00A10DD6"/>
    <w:rsid w:val="00A11416"/>
    <w:rsid w:val="00A11CE7"/>
    <w:rsid w:val="00A12B65"/>
    <w:rsid w:val="00A1313C"/>
    <w:rsid w:val="00A13295"/>
    <w:rsid w:val="00A16DA7"/>
    <w:rsid w:val="00A2245D"/>
    <w:rsid w:val="00A22CA6"/>
    <w:rsid w:val="00A23497"/>
    <w:rsid w:val="00A23F73"/>
    <w:rsid w:val="00A23F80"/>
    <w:rsid w:val="00A2493C"/>
    <w:rsid w:val="00A24A8C"/>
    <w:rsid w:val="00A33B89"/>
    <w:rsid w:val="00A34304"/>
    <w:rsid w:val="00A35EAD"/>
    <w:rsid w:val="00A35EDF"/>
    <w:rsid w:val="00A37738"/>
    <w:rsid w:val="00A37C7B"/>
    <w:rsid w:val="00A412CF"/>
    <w:rsid w:val="00A43941"/>
    <w:rsid w:val="00A43BF5"/>
    <w:rsid w:val="00A44204"/>
    <w:rsid w:val="00A4432B"/>
    <w:rsid w:val="00A4755D"/>
    <w:rsid w:val="00A506A6"/>
    <w:rsid w:val="00A5088C"/>
    <w:rsid w:val="00A5333D"/>
    <w:rsid w:val="00A539DA"/>
    <w:rsid w:val="00A53BC5"/>
    <w:rsid w:val="00A55F14"/>
    <w:rsid w:val="00A565C0"/>
    <w:rsid w:val="00A569ED"/>
    <w:rsid w:val="00A56DD5"/>
    <w:rsid w:val="00A6202A"/>
    <w:rsid w:val="00A62BA7"/>
    <w:rsid w:val="00A63063"/>
    <w:rsid w:val="00A64693"/>
    <w:rsid w:val="00A672ED"/>
    <w:rsid w:val="00A70CF6"/>
    <w:rsid w:val="00A73AEC"/>
    <w:rsid w:val="00A73BD9"/>
    <w:rsid w:val="00A747B1"/>
    <w:rsid w:val="00A765C3"/>
    <w:rsid w:val="00A77CD4"/>
    <w:rsid w:val="00A82121"/>
    <w:rsid w:val="00A82272"/>
    <w:rsid w:val="00A87A5C"/>
    <w:rsid w:val="00A901A5"/>
    <w:rsid w:val="00A96642"/>
    <w:rsid w:val="00A96FB6"/>
    <w:rsid w:val="00AA191F"/>
    <w:rsid w:val="00AA5878"/>
    <w:rsid w:val="00AA5946"/>
    <w:rsid w:val="00AA5DD7"/>
    <w:rsid w:val="00AA74FB"/>
    <w:rsid w:val="00AB135C"/>
    <w:rsid w:val="00AB1E93"/>
    <w:rsid w:val="00AB4513"/>
    <w:rsid w:val="00AB4DB1"/>
    <w:rsid w:val="00AB6760"/>
    <w:rsid w:val="00AB71DC"/>
    <w:rsid w:val="00AB7DF5"/>
    <w:rsid w:val="00AC0B0D"/>
    <w:rsid w:val="00AC4009"/>
    <w:rsid w:val="00AC4228"/>
    <w:rsid w:val="00AC5169"/>
    <w:rsid w:val="00AC56A1"/>
    <w:rsid w:val="00AC584F"/>
    <w:rsid w:val="00AC775C"/>
    <w:rsid w:val="00AC7F0E"/>
    <w:rsid w:val="00AD0319"/>
    <w:rsid w:val="00AD06E8"/>
    <w:rsid w:val="00AD3193"/>
    <w:rsid w:val="00AD343C"/>
    <w:rsid w:val="00AD3466"/>
    <w:rsid w:val="00AD3657"/>
    <w:rsid w:val="00AD3673"/>
    <w:rsid w:val="00AD45B4"/>
    <w:rsid w:val="00AD4BF7"/>
    <w:rsid w:val="00AD4BFA"/>
    <w:rsid w:val="00AD5D69"/>
    <w:rsid w:val="00AD6815"/>
    <w:rsid w:val="00AD77E1"/>
    <w:rsid w:val="00AE0D79"/>
    <w:rsid w:val="00AE0E8D"/>
    <w:rsid w:val="00AE1EDF"/>
    <w:rsid w:val="00AE2CE7"/>
    <w:rsid w:val="00AE3AA3"/>
    <w:rsid w:val="00AE3F2C"/>
    <w:rsid w:val="00AE41E6"/>
    <w:rsid w:val="00AE487D"/>
    <w:rsid w:val="00AE4B79"/>
    <w:rsid w:val="00AF0C12"/>
    <w:rsid w:val="00AF3FFE"/>
    <w:rsid w:val="00AF52BE"/>
    <w:rsid w:val="00AF6A4D"/>
    <w:rsid w:val="00B0006F"/>
    <w:rsid w:val="00B0025A"/>
    <w:rsid w:val="00B01037"/>
    <w:rsid w:val="00B0170C"/>
    <w:rsid w:val="00B022C4"/>
    <w:rsid w:val="00B052B5"/>
    <w:rsid w:val="00B0533E"/>
    <w:rsid w:val="00B0589C"/>
    <w:rsid w:val="00B05C0E"/>
    <w:rsid w:val="00B0631D"/>
    <w:rsid w:val="00B0733C"/>
    <w:rsid w:val="00B10640"/>
    <w:rsid w:val="00B13A1B"/>
    <w:rsid w:val="00B156C2"/>
    <w:rsid w:val="00B17FF9"/>
    <w:rsid w:val="00B20C45"/>
    <w:rsid w:val="00B21213"/>
    <w:rsid w:val="00B21686"/>
    <w:rsid w:val="00B23A3D"/>
    <w:rsid w:val="00B240F4"/>
    <w:rsid w:val="00B24B85"/>
    <w:rsid w:val="00B25635"/>
    <w:rsid w:val="00B261B2"/>
    <w:rsid w:val="00B276CE"/>
    <w:rsid w:val="00B27E02"/>
    <w:rsid w:val="00B30AE8"/>
    <w:rsid w:val="00B325A5"/>
    <w:rsid w:val="00B35CF4"/>
    <w:rsid w:val="00B3681D"/>
    <w:rsid w:val="00B37B08"/>
    <w:rsid w:val="00B410EC"/>
    <w:rsid w:val="00B42666"/>
    <w:rsid w:val="00B42DAD"/>
    <w:rsid w:val="00B43202"/>
    <w:rsid w:val="00B43436"/>
    <w:rsid w:val="00B434CA"/>
    <w:rsid w:val="00B43D41"/>
    <w:rsid w:val="00B43DA9"/>
    <w:rsid w:val="00B45BCE"/>
    <w:rsid w:val="00B50745"/>
    <w:rsid w:val="00B51800"/>
    <w:rsid w:val="00B52064"/>
    <w:rsid w:val="00B535FA"/>
    <w:rsid w:val="00B53F4D"/>
    <w:rsid w:val="00B54559"/>
    <w:rsid w:val="00B54FB8"/>
    <w:rsid w:val="00B575D7"/>
    <w:rsid w:val="00B60435"/>
    <w:rsid w:val="00B60465"/>
    <w:rsid w:val="00B60F49"/>
    <w:rsid w:val="00B613EE"/>
    <w:rsid w:val="00B62281"/>
    <w:rsid w:val="00B62634"/>
    <w:rsid w:val="00B62A90"/>
    <w:rsid w:val="00B63663"/>
    <w:rsid w:val="00B64E1B"/>
    <w:rsid w:val="00B660EE"/>
    <w:rsid w:val="00B67685"/>
    <w:rsid w:val="00B7191B"/>
    <w:rsid w:val="00B731AB"/>
    <w:rsid w:val="00B74067"/>
    <w:rsid w:val="00B743E3"/>
    <w:rsid w:val="00B74EC7"/>
    <w:rsid w:val="00B756FA"/>
    <w:rsid w:val="00B7576D"/>
    <w:rsid w:val="00B76CE9"/>
    <w:rsid w:val="00B80C31"/>
    <w:rsid w:val="00B8270D"/>
    <w:rsid w:val="00B839F9"/>
    <w:rsid w:val="00B845E5"/>
    <w:rsid w:val="00B90D1A"/>
    <w:rsid w:val="00B90D1B"/>
    <w:rsid w:val="00B921F0"/>
    <w:rsid w:val="00B92D6C"/>
    <w:rsid w:val="00B9458F"/>
    <w:rsid w:val="00B946DA"/>
    <w:rsid w:val="00B94728"/>
    <w:rsid w:val="00B954E1"/>
    <w:rsid w:val="00B95DD7"/>
    <w:rsid w:val="00B9638D"/>
    <w:rsid w:val="00B9692B"/>
    <w:rsid w:val="00BA0412"/>
    <w:rsid w:val="00BA14E2"/>
    <w:rsid w:val="00BA24C4"/>
    <w:rsid w:val="00BA2FE6"/>
    <w:rsid w:val="00BA3DDE"/>
    <w:rsid w:val="00BA4A56"/>
    <w:rsid w:val="00BB25E9"/>
    <w:rsid w:val="00BB5B5D"/>
    <w:rsid w:val="00BB6534"/>
    <w:rsid w:val="00BC0E1C"/>
    <w:rsid w:val="00BC1D24"/>
    <w:rsid w:val="00BC3E07"/>
    <w:rsid w:val="00BC467D"/>
    <w:rsid w:val="00BC5536"/>
    <w:rsid w:val="00BC5B3C"/>
    <w:rsid w:val="00BC5DED"/>
    <w:rsid w:val="00BD279E"/>
    <w:rsid w:val="00BD2E39"/>
    <w:rsid w:val="00BD34E1"/>
    <w:rsid w:val="00BD369E"/>
    <w:rsid w:val="00BD37AA"/>
    <w:rsid w:val="00BD5F5C"/>
    <w:rsid w:val="00BD7E36"/>
    <w:rsid w:val="00BE0A37"/>
    <w:rsid w:val="00BE0B68"/>
    <w:rsid w:val="00BE1DAF"/>
    <w:rsid w:val="00BE3619"/>
    <w:rsid w:val="00BE3DCC"/>
    <w:rsid w:val="00BE565B"/>
    <w:rsid w:val="00BE6FF0"/>
    <w:rsid w:val="00BE781A"/>
    <w:rsid w:val="00BF14F8"/>
    <w:rsid w:val="00BF1F87"/>
    <w:rsid w:val="00BF2614"/>
    <w:rsid w:val="00BF261E"/>
    <w:rsid w:val="00BF27B9"/>
    <w:rsid w:val="00BF4EA5"/>
    <w:rsid w:val="00BF5124"/>
    <w:rsid w:val="00BF6C10"/>
    <w:rsid w:val="00BF6ED8"/>
    <w:rsid w:val="00BF7A22"/>
    <w:rsid w:val="00C03159"/>
    <w:rsid w:val="00C065C8"/>
    <w:rsid w:val="00C06B1F"/>
    <w:rsid w:val="00C06F6C"/>
    <w:rsid w:val="00C10336"/>
    <w:rsid w:val="00C1177D"/>
    <w:rsid w:val="00C12160"/>
    <w:rsid w:val="00C14164"/>
    <w:rsid w:val="00C1791A"/>
    <w:rsid w:val="00C221B6"/>
    <w:rsid w:val="00C22CF8"/>
    <w:rsid w:val="00C231A7"/>
    <w:rsid w:val="00C23D0F"/>
    <w:rsid w:val="00C23D37"/>
    <w:rsid w:val="00C24210"/>
    <w:rsid w:val="00C24332"/>
    <w:rsid w:val="00C24CF7"/>
    <w:rsid w:val="00C252A1"/>
    <w:rsid w:val="00C3390F"/>
    <w:rsid w:val="00C351C4"/>
    <w:rsid w:val="00C357B4"/>
    <w:rsid w:val="00C36778"/>
    <w:rsid w:val="00C36BEF"/>
    <w:rsid w:val="00C41A38"/>
    <w:rsid w:val="00C41B4D"/>
    <w:rsid w:val="00C43DBB"/>
    <w:rsid w:val="00C44751"/>
    <w:rsid w:val="00C46A74"/>
    <w:rsid w:val="00C47638"/>
    <w:rsid w:val="00C47A69"/>
    <w:rsid w:val="00C516D4"/>
    <w:rsid w:val="00C51CCF"/>
    <w:rsid w:val="00C52118"/>
    <w:rsid w:val="00C52343"/>
    <w:rsid w:val="00C551B1"/>
    <w:rsid w:val="00C5653C"/>
    <w:rsid w:val="00C6015B"/>
    <w:rsid w:val="00C618BB"/>
    <w:rsid w:val="00C65442"/>
    <w:rsid w:val="00C65BCE"/>
    <w:rsid w:val="00C66411"/>
    <w:rsid w:val="00C66DDA"/>
    <w:rsid w:val="00C7260C"/>
    <w:rsid w:val="00C7300A"/>
    <w:rsid w:val="00C7315E"/>
    <w:rsid w:val="00C73776"/>
    <w:rsid w:val="00C73F4D"/>
    <w:rsid w:val="00C7542A"/>
    <w:rsid w:val="00C7548C"/>
    <w:rsid w:val="00C75700"/>
    <w:rsid w:val="00C75780"/>
    <w:rsid w:val="00C75ADA"/>
    <w:rsid w:val="00C75F60"/>
    <w:rsid w:val="00C77BB4"/>
    <w:rsid w:val="00C803DF"/>
    <w:rsid w:val="00C81384"/>
    <w:rsid w:val="00C81533"/>
    <w:rsid w:val="00C81E69"/>
    <w:rsid w:val="00C833DB"/>
    <w:rsid w:val="00C851B6"/>
    <w:rsid w:val="00C863F6"/>
    <w:rsid w:val="00C8727F"/>
    <w:rsid w:val="00C878C3"/>
    <w:rsid w:val="00C87BC1"/>
    <w:rsid w:val="00C91074"/>
    <w:rsid w:val="00C9109A"/>
    <w:rsid w:val="00C9133D"/>
    <w:rsid w:val="00C931FB"/>
    <w:rsid w:val="00C9404A"/>
    <w:rsid w:val="00CA0876"/>
    <w:rsid w:val="00CA0FDF"/>
    <w:rsid w:val="00CA3635"/>
    <w:rsid w:val="00CA365D"/>
    <w:rsid w:val="00CA3A41"/>
    <w:rsid w:val="00CA3E8D"/>
    <w:rsid w:val="00CA50D5"/>
    <w:rsid w:val="00CA6521"/>
    <w:rsid w:val="00CA6ECB"/>
    <w:rsid w:val="00CB1251"/>
    <w:rsid w:val="00CB1298"/>
    <w:rsid w:val="00CB26D7"/>
    <w:rsid w:val="00CB3F33"/>
    <w:rsid w:val="00CB3F44"/>
    <w:rsid w:val="00CB548F"/>
    <w:rsid w:val="00CB6A12"/>
    <w:rsid w:val="00CB6D2C"/>
    <w:rsid w:val="00CB7705"/>
    <w:rsid w:val="00CC5E97"/>
    <w:rsid w:val="00CC6E12"/>
    <w:rsid w:val="00CC7156"/>
    <w:rsid w:val="00CC73E2"/>
    <w:rsid w:val="00CD0E45"/>
    <w:rsid w:val="00CD1C53"/>
    <w:rsid w:val="00CD20EA"/>
    <w:rsid w:val="00CD2112"/>
    <w:rsid w:val="00CD5750"/>
    <w:rsid w:val="00CD68E5"/>
    <w:rsid w:val="00CE093E"/>
    <w:rsid w:val="00CE110C"/>
    <w:rsid w:val="00CE1742"/>
    <w:rsid w:val="00CE23FE"/>
    <w:rsid w:val="00CE3A4A"/>
    <w:rsid w:val="00CE3CD6"/>
    <w:rsid w:val="00CE42AF"/>
    <w:rsid w:val="00CE4715"/>
    <w:rsid w:val="00CE5B1B"/>
    <w:rsid w:val="00CF0245"/>
    <w:rsid w:val="00CF09EA"/>
    <w:rsid w:val="00CF1651"/>
    <w:rsid w:val="00CF1F6D"/>
    <w:rsid w:val="00CF2794"/>
    <w:rsid w:val="00CF3B56"/>
    <w:rsid w:val="00CF3F09"/>
    <w:rsid w:val="00CF4DFC"/>
    <w:rsid w:val="00CF560A"/>
    <w:rsid w:val="00CF59A6"/>
    <w:rsid w:val="00CF59BC"/>
    <w:rsid w:val="00CF5E46"/>
    <w:rsid w:val="00CF64AE"/>
    <w:rsid w:val="00CF6E0F"/>
    <w:rsid w:val="00D003CC"/>
    <w:rsid w:val="00D00770"/>
    <w:rsid w:val="00D01410"/>
    <w:rsid w:val="00D035C4"/>
    <w:rsid w:val="00D06122"/>
    <w:rsid w:val="00D07EB6"/>
    <w:rsid w:val="00D105B1"/>
    <w:rsid w:val="00D107AF"/>
    <w:rsid w:val="00D1181E"/>
    <w:rsid w:val="00D12FDF"/>
    <w:rsid w:val="00D1355E"/>
    <w:rsid w:val="00D14C58"/>
    <w:rsid w:val="00D16EC7"/>
    <w:rsid w:val="00D17ADF"/>
    <w:rsid w:val="00D20E16"/>
    <w:rsid w:val="00D2191D"/>
    <w:rsid w:val="00D23569"/>
    <w:rsid w:val="00D23C28"/>
    <w:rsid w:val="00D25879"/>
    <w:rsid w:val="00D25DB8"/>
    <w:rsid w:val="00D265C2"/>
    <w:rsid w:val="00D26962"/>
    <w:rsid w:val="00D26C44"/>
    <w:rsid w:val="00D26DDC"/>
    <w:rsid w:val="00D270F8"/>
    <w:rsid w:val="00D274FD"/>
    <w:rsid w:val="00D27EB6"/>
    <w:rsid w:val="00D30999"/>
    <w:rsid w:val="00D30EB2"/>
    <w:rsid w:val="00D312CF"/>
    <w:rsid w:val="00D31A8C"/>
    <w:rsid w:val="00D323A0"/>
    <w:rsid w:val="00D333B2"/>
    <w:rsid w:val="00D33DE4"/>
    <w:rsid w:val="00D37637"/>
    <w:rsid w:val="00D42E46"/>
    <w:rsid w:val="00D43312"/>
    <w:rsid w:val="00D4436E"/>
    <w:rsid w:val="00D44DA2"/>
    <w:rsid w:val="00D50D21"/>
    <w:rsid w:val="00D54490"/>
    <w:rsid w:val="00D54676"/>
    <w:rsid w:val="00D5539F"/>
    <w:rsid w:val="00D55937"/>
    <w:rsid w:val="00D56C04"/>
    <w:rsid w:val="00D56D48"/>
    <w:rsid w:val="00D577E7"/>
    <w:rsid w:val="00D626A9"/>
    <w:rsid w:val="00D62A50"/>
    <w:rsid w:val="00D64DAF"/>
    <w:rsid w:val="00D65F5C"/>
    <w:rsid w:val="00D661EB"/>
    <w:rsid w:val="00D669BE"/>
    <w:rsid w:val="00D677D0"/>
    <w:rsid w:val="00D72C66"/>
    <w:rsid w:val="00D741EF"/>
    <w:rsid w:val="00D754A0"/>
    <w:rsid w:val="00D76113"/>
    <w:rsid w:val="00D76EBA"/>
    <w:rsid w:val="00D770F4"/>
    <w:rsid w:val="00D773AF"/>
    <w:rsid w:val="00D800E6"/>
    <w:rsid w:val="00D80A24"/>
    <w:rsid w:val="00D8155F"/>
    <w:rsid w:val="00D81907"/>
    <w:rsid w:val="00D81D3D"/>
    <w:rsid w:val="00D87AFB"/>
    <w:rsid w:val="00D9281C"/>
    <w:rsid w:val="00D92B6E"/>
    <w:rsid w:val="00D93454"/>
    <w:rsid w:val="00D94369"/>
    <w:rsid w:val="00D96AE7"/>
    <w:rsid w:val="00D975D6"/>
    <w:rsid w:val="00DA072D"/>
    <w:rsid w:val="00DA1A14"/>
    <w:rsid w:val="00DA1E5D"/>
    <w:rsid w:val="00DA42F5"/>
    <w:rsid w:val="00DA6DF2"/>
    <w:rsid w:val="00DA7523"/>
    <w:rsid w:val="00DB0C04"/>
    <w:rsid w:val="00DB1C37"/>
    <w:rsid w:val="00DB3959"/>
    <w:rsid w:val="00DB5C8D"/>
    <w:rsid w:val="00DB5E0E"/>
    <w:rsid w:val="00DB66E7"/>
    <w:rsid w:val="00DB6AAE"/>
    <w:rsid w:val="00DC1214"/>
    <w:rsid w:val="00DC15FB"/>
    <w:rsid w:val="00DC1D27"/>
    <w:rsid w:val="00DC1D83"/>
    <w:rsid w:val="00DC3769"/>
    <w:rsid w:val="00DC3C22"/>
    <w:rsid w:val="00DC42A6"/>
    <w:rsid w:val="00DC55EA"/>
    <w:rsid w:val="00DC6C9A"/>
    <w:rsid w:val="00DC72C6"/>
    <w:rsid w:val="00DD0B5A"/>
    <w:rsid w:val="00DD1E8F"/>
    <w:rsid w:val="00DD2B2F"/>
    <w:rsid w:val="00DD2E57"/>
    <w:rsid w:val="00DD3DCB"/>
    <w:rsid w:val="00DD4EBD"/>
    <w:rsid w:val="00DD522C"/>
    <w:rsid w:val="00DD52D6"/>
    <w:rsid w:val="00DD6985"/>
    <w:rsid w:val="00DE0DFA"/>
    <w:rsid w:val="00DE15C2"/>
    <w:rsid w:val="00DE2038"/>
    <w:rsid w:val="00DE22DE"/>
    <w:rsid w:val="00DE596E"/>
    <w:rsid w:val="00DE5F04"/>
    <w:rsid w:val="00DE6C32"/>
    <w:rsid w:val="00DF0423"/>
    <w:rsid w:val="00DF1356"/>
    <w:rsid w:val="00DF1B10"/>
    <w:rsid w:val="00DF1E1F"/>
    <w:rsid w:val="00DF443C"/>
    <w:rsid w:val="00DF4B59"/>
    <w:rsid w:val="00DF79E0"/>
    <w:rsid w:val="00E002A9"/>
    <w:rsid w:val="00E00301"/>
    <w:rsid w:val="00E013AC"/>
    <w:rsid w:val="00E01A69"/>
    <w:rsid w:val="00E01D47"/>
    <w:rsid w:val="00E023EE"/>
    <w:rsid w:val="00E02DB2"/>
    <w:rsid w:val="00E0357F"/>
    <w:rsid w:val="00E03B39"/>
    <w:rsid w:val="00E04B59"/>
    <w:rsid w:val="00E1218A"/>
    <w:rsid w:val="00E12584"/>
    <w:rsid w:val="00E12988"/>
    <w:rsid w:val="00E1463A"/>
    <w:rsid w:val="00E14A45"/>
    <w:rsid w:val="00E14B11"/>
    <w:rsid w:val="00E16023"/>
    <w:rsid w:val="00E218A7"/>
    <w:rsid w:val="00E223AD"/>
    <w:rsid w:val="00E2263C"/>
    <w:rsid w:val="00E23867"/>
    <w:rsid w:val="00E23D29"/>
    <w:rsid w:val="00E24B13"/>
    <w:rsid w:val="00E25FF1"/>
    <w:rsid w:val="00E26E78"/>
    <w:rsid w:val="00E30034"/>
    <w:rsid w:val="00E308EF"/>
    <w:rsid w:val="00E30967"/>
    <w:rsid w:val="00E34BE1"/>
    <w:rsid w:val="00E3696A"/>
    <w:rsid w:val="00E36A04"/>
    <w:rsid w:val="00E36F87"/>
    <w:rsid w:val="00E41527"/>
    <w:rsid w:val="00E4162C"/>
    <w:rsid w:val="00E41FE4"/>
    <w:rsid w:val="00E43B43"/>
    <w:rsid w:val="00E44141"/>
    <w:rsid w:val="00E4493C"/>
    <w:rsid w:val="00E462B7"/>
    <w:rsid w:val="00E479F1"/>
    <w:rsid w:val="00E47D9A"/>
    <w:rsid w:val="00E5142C"/>
    <w:rsid w:val="00E517B3"/>
    <w:rsid w:val="00E51DE1"/>
    <w:rsid w:val="00E572A8"/>
    <w:rsid w:val="00E57CC8"/>
    <w:rsid w:val="00E611CA"/>
    <w:rsid w:val="00E631AC"/>
    <w:rsid w:val="00E63BAC"/>
    <w:rsid w:val="00E64526"/>
    <w:rsid w:val="00E66F76"/>
    <w:rsid w:val="00E67102"/>
    <w:rsid w:val="00E7052B"/>
    <w:rsid w:val="00E72126"/>
    <w:rsid w:val="00E73197"/>
    <w:rsid w:val="00E73437"/>
    <w:rsid w:val="00E806B6"/>
    <w:rsid w:val="00E81937"/>
    <w:rsid w:val="00E83013"/>
    <w:rsid w:val="00E86BD6"/>
    <w:rsid w:val="00E90804"/>
    <w:rsid w:val="00E90B96"/>
    <w:rsid w:val="00E92E99"/>
    <w:rsid w:val="00E9423A"/>
    <w:rsid w:val="00E942F5"/>
    <w:rsid w:val="00E94F11"/>
    <w:rsid w:val="00E95652"/>
    <w:rsid w:val="00E965E7"/>
    <w:rsid w:val="00E97B14"/>
    <w:rsid w:val="00E97D47"/>
    <w:rsid w:val="00EA05A8"/>
    <w:rsid w:val="00EA3593"/>
    <w:rsid w:val="00EA3657"/>
    <w:rsid w:val="00EA4EF6"/>
    <w:rsid w:val="00EA63C8"/>
    <w:rsid w:val="00EB00DA"/>
    <w:rsid w:val="00EB024D"/>
    <w:rsid w:val="00EB15FC"/>
    <w:rsid w:val="00EB1D3D"/>
    <w:rsid w:val="00EB2B8A"/>
    <w:rsid w:val="00EB5201"/>
    <w:rsid w:val="00EB5BE9"/>
    <w:rsid w:val="00EB5F74"/>
    <w:rsid w:val="00EB6C42"/>
    <w:rsid w:val="00EB6D12"/>
    <w:rsid w:val="00EB7DEC"/>
    <w:rsid w:val="00EC2727"/>
    <w:rsid w:val="00EC3B2D"/>
    <w:rsid w:val="00EC4D69"/>
    <w:rsid w:val="00EC51E6"/>
    <w:rsid w:val="00EC5215"/>
    <w:rsid w:val="00EC69F9"/>
    <w:rsid w:val="00ED1863"/>
    <w:rsid w:val="00ED2670"/>
    <w:rsid w:val="00ED4260"/>
    <w:rsid w:val="00ED5AE5"/>
    <w:rsid w:val="00ED6190"/>
    <w:rsid w:val="00EE2318"/>
    <w:rsid w:val="00EE3B29"/>
    <w:rsid w:val="00EE3DCE"/>
    <w:rsid w:val="00EE43AE"/>
    <w:rsid w:val="00EE4F63"/>
    <w:rsid w:val="00EE5BF4"/>
    <w:rsid w:val="00EF1435"/>
    <w:rsid w:val="00EF26D5"/>
    <w:rsid w:val="00EF2AFB"/>
    <w:rsid w:val="00EF3867"/>
    <w:rsid w:val="00EF3A39"/>
    <w:rsid w:val="00EF6BEA"/>
    <w:rsid w:val="00F00F87"/>
    <w:rsid w:val="00F01C7D"/>
    <w:rsid w:val="00F05952"/>
    <w:rsid w:val="00F06FCC"/>
    <w:rsid w:val="00F10BA9"/>
    <w:rsid w:val="00F10EFC"/>
    <w:rsid w:val="00F11C25"/>
    <w:rsid w:val="00F12F33"/>
    <w:rsid w:val="00F1310D"/>
    <w:rsid w:val="00F143D3"/>
    <w:rsid w:val="00F14DD8"/>
    <w:rsid w:val="00F152CF"/>
    <w:rsid w:val="00F15D5E"/>
    <w:rsid w:val="00F15E1B"/>
    <w:rsid w:val="00F170CC"/>
    <w:rsid w:val="00F17252"/>
    <w:rsid w:val="00F20822"/>
    <w:rsid w:val="00F21DFD"/>
    <w:rsid w:val="00F222C8"/>
    <w:rsid w:val="00F227E7"/>
    <w:rsid w:val="00F22FC7"/>
    <w:rsid w:val="00F253F6"/>
    <w:rsid w:val="00F257F7"/>
    <w:rsid w:val="00F264D7"/>
    <w:rsid w:val="00F27C7F"/>
    <w:rsid w:val="00F321F2"/>
    <w:rsid w:val="00F331F3"/>
    <w:rsid w:val="00F34B7A"/>
    <w:rsid w:val="00F4166E"/>
    <w:rsid w:val="00F42441"/>
    <w:rsid w:val="00F445F6"/>
    <w:rsid w:val="00F457A4"/>
    <w:rsid w:val="00F46535"/>
    <w:rsid w:val="00F47341"/>
    <w:rsid w:val="00F50B2A"/>
    <w:rsid w:val="00F52351"/>
    <w:rsid w:val="00F52D66"/>
    <w:rsid w:val="00F541AE"/>
    <w:rsid w:val="00F550BD"/>
    <w:rsid w:val="00F5702E"/>
    <w:rsid w:val="00F577DC"/>
    <w:rsid w:val="00F57AE1"/>
    <w:rsid w:val="00F63380"/>
    <w:rsid w:val="00F63CAF"/>
    <w:rsid w:val="00F643D9"/>
    <w:rsid w:val="00F64B19"/>
    <w:rsid w:val="00F661FC"/>
    <w:rsid w:val="00F66D88"/>
    <w:rsid w:val="00F70AE5"/>
    <w:rsid w:val="00F72B45"/>
    <w:rsid w:val="00F72E16"/>
    <w:rsid w:val="00F73066"/>
    <w:rsid w:val="00F739F7"/>
    <w:rsid w:val="00F73E22"/>
    <w:rsid w:val="00F74733"/>
    <w:rsid w:val="00F80559"/>
    <w:rsid w:val="00F83082"/>
    <w:rsid w:val="00F85BDF"/>
    <w:rsid w:val="00F86511"/>
    <w:rsid w:val="00F91A63"/>
    <w:rsid w:val="00F93836"/>
    <w:rsid w:val="00F952E9"/>
    <w:rsid w:val="00F97185"/>
    <w:rsid w:val="00F972D2"/>
    <w:rsid w:val="00F97933"/>
    <w:rsid w:val="00FA05D5"/>
    <w:rsid w:val="00FA2F5C"/>
    <w:rsid w:val="00FA3399"/>
    <w:rsid w:val="00FA5A33"/>
    <w:rsid w:val="00FB07A3"/>
    <w:rsid w:val="00FB0D10"/>
    <w:rsid w:val="00FB1E59"/>
    <w:rsid w:val="00FB44E0"/>
    <w:rsid w:val="00FB4EFC"/>
    <w:rsid w:val="00FB5773"/>
    <w:rsid w:val="00FB6A5D"/>
    <w:rsid w:val="00FC073C"/>
    <w:rsid w:val="00FC151A"/>
    <w:rsid w:val="00FC16B4"/>
    <w:rsid w:val="00FC3469"/>
    <w:rsid w:val="00FC49C9"/>
    <w:rsid w:val="00FC4A1A"/>
    <w:rsid w:val="00FC649A"/>
    <w:rsid w:val="00FC6B27"/>
    <w:rsid w:val="00FD0339"/>
    <w:rsid w:val="00FD0EAE"/>
    <w:rsid w:val="00FD28AC"/>
    <w:rsid w:val="00FD766F"/>
    <w:rsid w:val="00FD7F95"/>
    <w:rsid w:val="00FE02FC"/>
    <w:rsid w:val="00FE147D"/>
    <w:rsid w:val="00FE25EB"/>
    <w:rsid w:val="00FE28E9"/>
    <w:rsid w:val="00FE408D"/>
    <w:rsid w:val="00FE7467"/>
    <w:rsid w:val="00FF074F"/>
    <w:rsid w:val="00FF31EA"/>
    <w:rsid w:val="00FF3677"/>
    <w:rsid w:val="00FF44EE"/>
    <w:rsid w:val="00FF7222"/>
    <w:rsid w:val="02B062E5"/>
    <w:rsid w:val="02DF2361"/>
    <w:rsid w:val="080C767D"/>
    <w:rsid w:val="0A5F298F"/>
    <w:rsid w:val="0D3C593D"/>
    <w:rsid w:val="13483C21"/>
    <w:rsid w:val="140B5DCB"/>
    <w:rsid w:val="14C6036F"/>
    <w:rsid w:val="14E6530C"/>
    <w:rsid w:val="16C91FD5"/>
    <w:rsid w:val="1B9F25A8"/>
    <w:rsid w:val="1DAB35D8"/>
    <w:rsid w:val="1F0C270E"/>
    <w:rsid w:val="20575B6F"/>
    <w:rsid w:val="245733BD"/>
    <w:rsid w:val="25BF3EFF"/>
    <w:rsid w:val="2A7C4345"/>
    <w:rsid w:val="340045BD"/>
    <w:rsid w:val="35CB14A4"/>
    <w:rsid w:val="360E4AF0"/>
    <w:rsid w:val="3738634A"/>
    <w:rsid w:val="38AD3781"/>
    <w:rsid w:val="39EE6B81"/>
    <w:rsid w:val="3A994B00"/>
    <w:rsid w:val="3B6D358B"/>
    <w:rsid w:val="3DED005A"/>
    <w:rsid w:val="442B74BD"/>
    <w:rsid w:val="47001105"/>
    <w:rsid w:val="4A784869"/>
    <w:rsid w:val="4AD5499F"/>
    <w:rsid w:val="4AE9007A"/>
    <w:rsid w:val="4BFD0BAC"/>
    <w:rsid w:val="4DC50072"/>
    <w:rsid w:val="50223A09"/>
    <w:rsid w:val="518733B0"/>
    <w:rsid w:val="524B0E4E"/>
    <w:rsid w:val="52BC5F9E"/>
    <w:rsid w:val="55EC0A46"/>
    <w:rsid w:val="5DB07482"/>
    <w:rsid w:val="5E7D155E"/>
    <w:rsid w:val="5F980D27"/>
    <w:rsid w:val="60A41F02"/>
    <w:rsid w:val="627B41F8"/>
    <w:rsid w:val="629C3D73"/>
    <w:rsid w:val="64794F46"/>
    <w:rsid w:val="6A1515DE"/>
    <w:rsid w:val="6D63353E"/>
    <w:rsid w:val="6F414E29"/>
    <w:rsid w:val="72FA791E"/>
    <w:rsid w:val="7F0824A2"/>
    <w:rsid w:val="7F653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kern w:val="0"/>
      <w:sz w:val="34"/>
      <w:szCs w:val="20"/>
      <w:lang w:val="en-US" w:eastAsia="zh-CN" w:bidi="ar-SA"/>
    </w:rPr>
  </w:style>
  <w:style w:type="paragraph" w:styleId="2">
    <w:name w:val="heading 1"/>
    <w:basedOn w:val="1"/>
    <w:next w:val="1"/>
    <w:link w:val="5"/>
    <w:qFormat/>
    <w:uiPriority w:val="0"/>
    <w:pPr>
      <w:keepNext/>
      <w:keepLines/>
      <w:spacing w:before="340" w:after="330" w:line="576" w:lineRule="auto"/>
      <w:outlineLvl w:val="0"/>
    </w:pPr>
    <w:rPr>
      <w:b/>
      <w:kern w:val="44"/>
      <w:sz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字符"/>
    <w:basedOn w:val="4"/>
    <w:link w:val="2"/>
    <w:qFormat/>
    <w:uiPriority w:val="0"/>
    <w:rPr>
      <w:rFonts w:ascii="宋体" w:hAnsi="Times New Roman" w:eastAsia="宋体" w:cs="Times New Roman"/>
      <w:b/>
      <w:kern w:val="44"/>
      <w:sz w:val="44"/>
      <w:szCs w:val="20"/>
    </w:rPr>
  </w:style>
  <w:style w:type="character" w:customStyle="1" w:styleId="6">
    <w:name w:val="layui-layer-tabnow"/>
    <w:basedOn w:val="4"/>
    <w:qFormat/>
    <w:uiPriority w:val="0"/>
    <w:rPr>
      <w:bdr w:val="single" w:color="CCCCCC" w:sz="6" w:space="0"/>
      <w:shd w:val="clear" w:fill="FFFFFF"/>
    </w:rPr>
  </w:style>
  <w:style w:type="character" w:customStyle="1" w:styleId="7">
    <w:name w:val="first-child"/>
    <w:basedOn w:val="4"/>
    <w:uiPriority w:val="0"/>
  </w:style>
  <w:style w:type="paragraph" w:customStyle="1" w:styleId="8">
    <w:name w:val="JY的章标题"/>
    <w:basedOn w:val="1"/>
    <w:qFormat/>
    <w:uiPriority w:val="0"/>
    <w:pPr>
      <w:tabs>
        <w:tab w:val="left" w:pos="-105"/>
        <w:tab w:val="left" w:pos="120"/>
      </w:tabs>
      <w:spacing w:line="440" w:lineRule="exact"/>
      <w:ind w:left="864" w:rightChars="-70"/>
      <w:outlineLvl w:val="2"/>
    </w:pPr>
    <w:rPr>
      <w:rFonts w:ascii="宋体" w:hAnsi="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609</Words>
  <Characters>3475</Characters>
  <Lines>28</Lines>
  <Paragraphs>8</Paragraphs>
  <TotalTime>3</TotalTime>
  <ScaleCrop>false</ScaleCrop>
  <LinksUpToDate>false</LinksUpToDate>
  <CharactersWithSpaces>4076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2018-06-28T01:31:00Z</dcterms:created>
  <dc:creator>Liu Guanjie</dc:creator>
  <cp:lastModifiedBy>人生若只如初见</cp:lastModifiedBy>
  <dcterms:modified xsi:type="dcterms:W3CDTF">2021-01-18T01:37:17Z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