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eastAsia="宋体" w:cs="Times New Roman"/>
          <w:color w:val="000000"/>
          <w:sz w:val="18"/>
          <w:szCs w:val="18"/>
          <w:lang w:eastAsia="zh-CN"/>
        </w:rPr>
      </w:pPr>
      <w:r>
        <w:rPr>
          <w:rFonts w:hint="eastAsia" w:ascii="宋体" w:eastAsia="宋体" w:cs="Times New Roman"/>
          <w:color w:val="000000"/>
          <w:sz w:val="18"/>
          <w:szCs w:val="18"/>
          <w:lang w:eastAsia="zh-CN"/>
        </w:rPr>
        <w:drawing>
          <wp:inline distT="0" distB="0" distL="114300" distR="114300">
            <wp:extent cx="5266055" cy="7036435"/>
            <wp:effectExtent l="0" t="0" r="10795" b="12065"/>
            <wp:docPr id="2" name="图片 2" descr="电缆盖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缆盖章页"/>
                    <pic:cNvPicPr>
                      <a:picLocks noChangeAspect="1"/>
                    </pic:cNvPicPr>
                  </pic:nvPicPr>
                  <pic:blipFill>
                    <a:blip r:embed="rId4"/>
                    <a:stretch>
                      <a:fillRect/>
                    </a:stretch>
                  </pic:blipFill>
                  <pic:spPr>
                    <a:xfrm>
                      <a:off x="0" y="0"/>
                      <a:ext cx="5266055" cy="7036435"/>
                    </a:xfrm>
                    <a:prstGeom prst="rect">
                      <a:avLst/>
                    </a:prstGeom>
                  </pic:spPr>
                </pic:pic>
              </a:graphicData>
            </a:graphic>
          </wp:inline>
        </w:drawing>
      </w:r>
      <w:bookmarkStart w:id="0" w:name="_GoBack"/>
      <w:bookmarkEnd w:id="0"/>
    </w:p>
    <w:p>
      <w:pPr>
        <w:spacing w:line="360" w:lineRule="auto"/>
        <w:jc w:val="both"/>
        <w:rPr>
          <w:rFonts w:ascii="宋体" w:cs="Times New Roman"/>
          <w:b/>
          <w:bCs/>
          <w:color w:val="FF0000"/>
          <w:sz w:val="32"/>
          <w:szCs w:val="32"/>
        </w:rPr>
      </w:pPr>
    </w:p>
    <w:p>
      <w:pPr>
        <w:spacing w:line="360" w:lineRule="auto"/>
        <w:jc w:val="center"/>
        <w:rPr>
          <w:rFonts w:ascii="宋体" w:cs="Times New Roman"/>
          <w:color w:val="000000"/>
          <w:sz w:val="32"/>
          <w:szCs w:val="32"/>
        </w:rPr>
      </w:pPr>
    </w:p>
    <w:p>
      <w:pPr>
        <w:spacing w:line="360" w:lineRule="auto"/>
        <w:jc w:val="center"/>
        <w:rPr>
          <w:rFonts w:ascii="黑体" w:hAnsi="黑体" w:eastAsia="黑体" w:cs="Times New Roman"/>
          <w:sz w:val="36"/>
          <w:szCs w:val="36"/>
        </w:rPr>
      </w:pPr>
    </w:p>
    <w:p>
      <w:pPr>
        <w:spacing w:line="360" w:lineRule="auto"/>
        <w:jc w:val="center"/>
        <w:rPr>
          <w:rFonts w:hint="eastAsia" w:ascii="宋体" w:hAnsi="宋体" w:cs="宋体"/>
          <w:b/>
          <w:bCs/>
          <w:sz w:val="48"/>
          <w:szCs w:val="48"/>
        </w:rPr>
      </w:pPr>
    </w:p>
    <w:p>
      <w:pPr>
        <w:spacing w:line="360" w:lineRule="auto"/>
        <w:jc w:val="center"/>
        <w:rPr>
          <w:rFonts w:ascii="宋体" w:cs="宋体"/>
          <w:b/>
          <w:bCs/>
          <w:sz w:val="48"/>
          <w:szCs w:val="48"/>
        </w:rPr>
      </w:pPr>
      <w:r>
        <w:rPr>
          <w:rFonts w:hint="eastAsia" w:ascii="宋体" w:hAnsi="宋体" w:cs="宋体"/>
          <w:b/>
          <w:bCs/>
          <w:sz w:val="48"/>
          <w:szCs w:val="48"/>
        </w:rPr>
        <w:t>注意事项</w:t>
      </w:r>
    </w:p>
    <w:p>
      <w:pPr>
        <w:spacing w:line="360" w:lineRule="auto"/>
        <w:jc w:val="center"/>
        <w:rPr>
          <w:rFonts w:ascii="宋体" w:cs="宋体"/>
          <w:b/>
          <w:bCs/>
          <w:sz w:val="40"/>
          <w:szCs w:val="40"/>
        </w:rPr>
      </w:pPr>
    </w:p>
    <w:p>
      <w:pPr>
        <w:spacing w:line="360" w:lineRule="auto"/>
        <w:ind w:firstLine="810"/>
        <w:jc w:val="left"/>
        <w:rPr>
          <w:rFonts w:ascii="宋体" w:cs="宋体"/>
          <w:b/>
          <w:bCs/>
          <w:sz w:val="40"/>
          <w:szCs w:val="40"/>
        </w:rPr>
      </w:pPr>
      <w:r>
        <w:rPr>
          <w:rFonts w:hint="eastAsia" w:ascii="宋体" w:hAnsi="宋体" w:cs="宋体"/>
          <w:b/>
          <w:bCs/>
          <w:sz w:val="40"/>
          <w:szCs w:val="40"/>
        </w:rPr>
        <w:t>供应商报价时凡</w:t>
      </w:r>
      <w:r>
        <w:rPr>
          <w:rFonts w:hint="eastAsia" w:ascii="宋体" w:hAnsi="宋体" w:cs="宋体"/>
          <w:b/>
          <w:bCs/>
          <w:color w:val="FF0000"/>
          <w:sz w:val="40"/>
          <w:szCs w:val="40"/>
        </w:rPr>
        <w:t>涉及以下任一条款</w:t>
      </w:r>
      <w:r>
        <w:rPr>
          <w:rFonts w:hint="eastAsia" w:ascii="宋体" w:hAnsi="宋体" w:cs="宋体"/>
          <w:b/>
          <w:bCs/>
          <w:sz w:val="40"/>
          <w:szCs w:val="40"/>
        </w:rPr>
        <w:t>均</w:t>
      </w:r>
      <w:r>
        <w:rPr>
          <w:rFonts w:hint="eastAsia" w:ascii="宋体" w:hAnsi="宋体" w:cs="宋体"/>
          <w:b/>
          <w:bCs/>
          <w:color w:val="FF0000"/>
          <w:sz w:val="40"/>
          <w:szCs w:val="40"/>
        </w:rPr>
        <w:t>视为无效报价并纳入供应商考评</w:t>
      </w:r>
      <w:r>
        <w:rPr>
          <w:rFonts w:hint="eastAsia" w:ascii="宋体" w:hAnsi="宋体" w:cs="宋体"/>
          <w:b/>
          <w:bCs/>
          <w:sz w:val="40"/>
          <w:szCs w:val="40"/>
        </w:rPr>
        <w:t>，具体条款如下：</w:t>
      </w:r>
    </w:p>
    <w:p>
      <w:pPr>
        <w:numPr>
          <w:ilvl w:val="0"/>
          <w:numId w:val="1"/>
        </w:numPr>
        <w:spacing w:line="360" w:lineRule="auto"/>
        <w:ind w:firstLine="810"/>
        <w:jc w:val="left"/>
        <w:rPr>
          <w:rFonts w:ascii="宋体" w:cs="Times New Roman"/>
          <w:sz w:val="40"/>
          <w:szCs w:val="40"/>
        </w:rPr>
      </w:pPr>
      <w:r>
        <w:rPr>
          <w:rFonts w:hint="eastAsia" w:ascii="宋体" w:hAnsi="宋体" w:cs="宋体"/>
          <w:sz w:val="40"/>
          <w:szCs w:val="40"/>
        </w:rPr>
        <w:t>供应商处于</w:t>
      </w:r>
      <w:r>
        <w:rPr>
          <w:rFonts w:hint="eastAsia" w:ascii="宋体" w:hAnsi="宋体" w:cs="宋体"/>
          <w:color w:val="FF0000"/>
          <w:sz w:val="40"/>
          <w:szCs w:val="40"/>
        </w:rPr>
        <w:t>人民法院“失信被执行人”名单</w:t>
      </w:r>
      <w:r>
        <w:rPr>
          <w:rFonts w:hint="eastAsia" w:ascii="宋体" w:hAnsi="宋体" w:cs="宋体"/>
          <w:sz w:val="40"/>
          <w:szCs w:val="40"/>
        </w:rPr>
        <w:t>或</w:t>
      </w:r>
      <w:r>
        <w:rPr>
          <w:rFonts w:hint="eastAsia" w:ascii="宋体" w:hAnsi="宋体" w:cs="宋体"/>
          <w:color w:val="FF0000"/>
          <w:sz w:val="40"/>
          <w:szCs w:val="40"/>
        </w:rPr>
        <w:t>工商行政管理机关“严重违法失信企业”名单</w:t>
      </w:r>
      <w:r>
        <w:rPr>
          <w:rFonts w:hint="eastAsia" w:ascii="宋体" w:hAnsi="宋体" w:cs="宋体"/>
          <w:sz w:val="40"/>
          <w:szCs w:val="40"/>
        </w:rPr>
        <w:t>的；</w:t>
      </w:r>
    </w:p>
    <w:p>
      <w:pPr>
        <w:spacing w:line="360" w:lineRule="auto"/>
        <w:ind w:firstLine="810"/>
        <w:jc w:val="left"/>
        <w:rPr>
          <w:rFonts w:ascii="宋体" w:cs="宋体"/>
          <w:sz w:val="40"/>
          <w:szCs w:val="40"/>
        </w:rPr>
      </w:pPr>
      <w:r>
        <w:rPr>
          <w:rFonts w:hint="eastAsia" w:ascii="宋体" w:hAnsi="宋体" w:cs="宋体"/>
          <w:sz w:val="40"/>
          <w:szCs w:val="40"/>
        </w:rPr>
        <w:t>2</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无法接受</w:t>
      </w:r>
      <w:r>
        <w:rPr>
          <w:rFonts w:hint="eastAsia" w:ascii="宋体" w:hAnsi="宋体" w:cs="宋体"/>
          <w:b/>
          <w:bCs/>
          <w:color w:val="FF0000"/>
          <w:sz w:val="40"/>
          <w:szCs w:val="40"/>
        </w:rPr>
        <w:t>后付款</w:t>
      </w:r>
      <w:r>
        <w:rPr>
          <w:rFonts w:hint="eastAsia" w:ascii="宋体" w:hAnsi="宋体" w:cs="宋体"/>
          <w:color w:val="FF0000"/>
          <w:sz w:val="40"/>
          <w:szCs w:val="40"/>
        </w:rPr>
        <w:t>方式</w:t>
      </w:r>
      <w:r>
        <w:rPr>
          <w:rFonts w:hint="eastAsia" w:ascii="宋体" w:hAnsi="宋体" w:cs="宋体"/>
          <w:sz w:val="40"/>
          <w:szCs w:val="40"/>
        </w:rPr>
        <w:t>的；</w:t>
      </w:r>
    </w:p>
    <w:p>
      <w:pPr>
        <w:spacing w:line="360" w:lineRule="auto"/>
        <w:ind w:firstLine="810"/>
        <w:jc w:val="left"/>
        <w:rPr>
          <w:rFonts w:ascii="宋体" w:cs="宋体"/>
          <w:sz w:val="40"/>
          <w:szCs w:val="40"/>
        </w:rPr>
      </w:pPr>
      <w:r>
        <w:rPr>
          <w:rFonts w:hint="eastAsia" w:ascii="宋体" w:hAnsi="宋体" w:cs="宋体"/>
          <w:sz w:val="40"/>
          <w:szCs w:val="40"/>
        </w:rPr>
        <w:t>3</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未上传《资格预审合格通知书》</w:t>
      </w:r>
      <w:r>
        <w:rPr>
          <w:rFonts w:hint="eastAsia" w:ascii="宋体" w:hAnsi="宋体" w:cs="宋体"/>
          <w:sz w:val="40"/>
          <w:szCs w:val="40"/>
        </w:rPr>
        <w:t>或</w:t>
      </w:r>
      <w:r>
        <w:rPr>
          <w:rFonts w:hint="eastAsia" w:ascii="宋体" w:hAnsi="宋体" w:cs="宋体"/>
          <w:color w:val="FF0000"/>
          <w:sz w:val="40"/>
          <w:szCs w:val="40"/>
        </w:rPr>
        <w:t>上传的《资格预审合格通知书》扫描件是复印件</w:t>
      </w:r>
      <w:r>
        <w:rPr>
          <w:rFonts w:hint="eastAsia" w:ascii="宋体" w:hAnsi="宋体" w:cs="宋体"/>
          <w:sz w:val="40"/>
          <w:szCs w:val="40"/>
        </w:rPr>
        <w:t>的；</w:t>
      </w:r>
      <w:r>
        <w:rPr>
          <w:rFonts w:hint="eastAsia" w:ascii="宋体" w:hAnsi="宋体" w:cs="宋体"/>
          <w:sz w:val="40"/>
          <w:szCs w:val="40"/>
          <w:highlight w:val="yellow"/>
        </w:rPr>
        <w:t>(已回复承诺函及社保证明的供应商)</w:t>
      </w:r>
    </w:p>
    <w:p>
      <w:pPr>
        <w:spacing w:line="360" w:lineRule="auto"/>
        <w:ind w:firstLine="810"/>
        <w:jc w:val="left"/>
        <w:rPr>
          <w:rFonts w:ascii="宋体" w:cs="宋体"/>
          <w:color w:val="FF0000"/>
          <w:sz w:val="40"/>
          <w:szCs w:val="40"/>
        </w:rPr>
      </w:pPr>
      <w:r>
        <w:rPr>
          <w:rFonts w:hint="eastAsia" w:ascii="宋体" w:hAnsi="宋体" w:cs="宋体"/>
          <w:sz w:val="40"/>
          <w:szCs w:val="40"/>
        </w:rPr>
        <w:t>4</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无资格随意报价</w:t>
      </w:r>
      <w:r>
        <w:rPr>
          <w:rFonts w:hint="eastAsia" w:ascii="宋体" w:hAnsi="宋体" w:cs="宋体"/>
          <w:sz w:val="40"/>
          <w:szCs w:val="40"/>
        </w:rPr>
        <w:t>的；</w:t>
      </w:r>
    </w:p>
    <w:p>
      <w:pPr>
        <w:spacing w:line="360" w:lineRule="auto"/>
        <w:ind w:firstLine="810"/>
        <w:jc w:val="left"/>
        <w:rPr>
          <w:rFonts w:ascii="宋体" w:cs="宋体"/>
          <w:color w:val="00B0F0"/>
          <w:sz w:val="40"/>
          <w:szCs w:val="40"/>
        </w:rPr>
      </w:pPr>
      <w:r>
        <w:rPr>
          <w:rFonts w:hint="eastAsia" w:ascii="宋体" w:hAnsi="宋体" w:cs="宋体"/>
          <w:sz w:val="40"/>
          <w:szCs w:val="40"/>
        </w:rPr>
        <w:t>5</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提供的《资格预审合格通知书》存在造假行为</w:t>
      </w:r>
      <w:r>
        <w:rPr>
          <w:rFonts w:hint="eastAsia" w:ascii="宋体" w:hAnsi="宋体" w:cs="宋体"/>
          <w:sz w:val="40"/>
          <w:szCs w:val="40"/>
        </w:rPr>
        <w:t>的。</w:t>
      </w:r>
    </w:p>
    <w:p>
      <w:pPr>
        <w:pStyle w:val="13"/>
        <w:pageBreakBefore/>
        <w:jc w:val="center"/>
        <w:rPr>
          <w:b/>
          <w:bCs/>
          <w:sz w:val="44"/>
          <w:szCs w:val="44"/>
        </w:rPr>
      </w:pPr>
      <w:r>
        <w:rPr>
          <w:rFonts w:hint="eastAsia" w:cs="宋体"/>
          <w:b/>
          <w:bCs/>
          <w:sz w:val="44"/>
          <w:szCs w:val="44"/>
        </w:rPr>
        <w:t>总目录</w:t>
      </w:r>
    </w:p>
    <w:p>
      <w:pPr>
        <w:pStyle w:val="13"/>
        <w:rPr>
          <w:sz w:val="32"/>
          <w:szCs w:val="32"/>
        </w:rPr>
      </w:pPr>
    </w:p>
    <w:p>
      <w:pPr>
        <w:pStyle w:val="13"/>
        <w:spacing w:line="360" w:lineRule="auto"/>
        <w:rPr>
          <w:rFonts w:ascii="宋体"/>
          <w:b/>
          <w:bCs/>
          <w:color w:val="000000"/>
          <w:sz w:val="32"/>
          <w:szCs w:val="32"/>
        </w:rPr>
      </w:pPr>
      <w:r>
        <w:rPr>
          <w:rFonts w:hint="eastAsia" w:ascii="宋体" w:hAnsi="宋体" w:cs="宋体"/>
          <w:b/>
          <w:bCs/>
          <w:color w:val="000000"/>
          <w:sz w:val="32"/>
          <w:szCs w:val="32"/>
        </w:rPr>
        <w:t>第一章供应商须知</w:t>
      </w:r>
    </w:p>
    <w:p>
      <w:pPr>
        <w:pStyle w:val="13"/>
        <w:spacing w:line="360" w:lineRule="auto"/>
        <w:rPr>
          <w:b/>
          <w:bCs/>
          <w:sz w:val="32"/>
          <w:szCs w:val="32"/>
        </w:rPr>
      </w:pPr>
      <w:r>
        <w:rPr>
          <w:rFonts w:hint="eastAsia" w:cs="宋体"/>
          <w:b/>
          <w:bCs/>
          <w:sz w:val="32"/>
          <w:szCs w:val="32"/>
        </w:rPr>
        <w:t>第二章采购项目概况</w:t>
      </w:r>
    </w:p>
    <w:p>
      <w:pPr>
        <w:pStyle w:val="13"/>
        <w:spacing w:line="360" w:lineRule="auto"/>
        <w:rPr>
          <w:b/>
          <w:bCs/>
          <w:sz w:val="32"/>
          <w:szCs w:val="32"/>
        </w:rPr>
      </w:pPr>
      <w:r>
        <w:rPr>
          <w:rFonts w:hint="eastAsia" w:cs="宋体"/>
          <w:b/>
          <w:bCs/>
          <w:sz w:val="32"/>
          <w:szCs w:val="32"/>
        </w:rPr>
        <w:t>第三章供应商资格要求</w:t>
      </w:r>
    </w:p>
    <w:p>
      <w:pPr>
        <w:pStyle w:val="13"/>
        <w:spacing w:line="360" w:lineRule="auto"/>
        <w:rPr>
          <w:b/>
          <w:bCs/>
          <w:sz w:val="32"/>
          <w:szCs w:val="32"/>
        </w:rPr>
      </w:pPr>
      <w:r>
        <w:rPr>
          <w:rFonts w:hint="eastAsia" w:cs="宋体"/>
          <w:b/>
          <w:bCs/>
          <w:sz w:val="32"/>
          <w:szCs w:val="32"/>
        </w:rPr>
        <w:t>第四章技术规范要求</w:t>
      </w:r>
    </w:p>
    <w:p>
      <w:pPr>
        <w:pageBreakBefore/>
        <w:spacing w:line="360" w:lineRule="auto"/>
        <w:jc w:val="center"/>
        <w:rPr>
          <w:rFonts w:ascii="黑体" w:hAnsi="黑体" w:eastAsia="黑体" w:cs="Times New Roman"/>
          <w:sz w:val="32"/>
          <w:szCs w:val="32"/>
        </w:rPr>
      </w:pPr>
      <w:r>
        <w:rPr>
          <w:rFonts w:hint="eastAsia" w:ascii="黑体" w:hAnsi="黑体" w:eastAsia="黑体" w:cs="黑体"/>
          <w:sz w:val="40"/>
          <w:szCs w:val="40"/>
        </w:rPr>
        <w:t>第一章  供应商须知</w:t>
      </w:r>
    </w:p>
    <w:p>
      <w:pPr>
        <w:spacing w:line="360" w:lineRule="auto"/>
        <w:jc w:val="center"/>
        <w:rPr>
          <w:rFonts w:hint="eastAsia" w:ascii="黑体" w:hAnsi="黑体" w:eastAsia="黑体" w:cs="黑体"/>
          <w:color w:val="000000"/>
          <w:sz w:val="32"/>
          <w:szCs w:val="32"/>
          <w:u w:val="none"/>
          <w:lang w:eastAsia="zh-CN"/>
        </w:rPr>
      </w:pPr>
      <w:r>
        <w:rPr>
          <w:rFonts w:hint="eastAsia" w:ascii="黑体" w:hAnsi="黑体" w:eastAsia="黑体" w:cs="黑体"/>
          <w:color w:val="000000"/>
          <w:sz w:val="32"/>
          <w:szCs w:val="32"/>
          <w:u w:val="single"/>
          <w:lang w:eastAsia="zh-CN"/>
        </w:rPr>
        <w:t>重油库变频</w:t>
      </w:r>
      <w:r>
        <w:rPr>
          <w:rFonts w:hint="eastAsia" w:ascii="黑体" w:hAnsi="黑体" w:eastAsia="黑体" w:cs="黑体"/>
          <w:color w:val="000000"/>
          <w:sz w:val="32"/>
          <w:szCs w:val="32"/>
          <w:u w:val="single"/>
        </w:rPr>
        <w:t>电力电缆</w:t>
      </w:r>
      <w:r>
        <w:rPr>
          <w:rFonts w:hint="eastAsia" w:ascii="黑体" w:hAnsi="黑体" w:eastAsia="黑体" w:cs="黑体"/>
          <w:color w:val="000000"/>
          <w:sz w:val="32"/>
          <w:szCs w:val="32"/>
          <w:u w:val="single"/>
          <w:lang w:eastAsia="zh-CN"/>
        </w:rPr>
        <w:t>改造</w:t>
      </w:r>
      <w:r>
        <w:rPr>
          <w:rFonts w:hint="eastAsia" w:ascii="宋体" w:hAnsi="宋体" w:eastAsia="宋体" w:cs="宋体"/>
          <w:color w:val="000000"/>
          <w:sz w:val="32"/>
          <w:szCs w:val="32"/>
          <w:u w:val="single"/>
        </w:rPr>
        <w:t>、</w:t>
      </w:r>
      <w:r>
        <w:rPr>
          <w:rFonts w:hint="eastAsia" w:ascii="黑体" w:hAnsi="黑体" w:eastAsia="黑体" w:cs="黑体"/>
          <w:color w:val="000000"/>
          <w:sz w:val="32"/>
          <w:szCs w:val="32"/>
          <w:u w:val="single"/>
          <w:lang w:eastAsia="zh-CN"/>
        </w:rPr>
        <w:t>北门岗电源电缆更换</w:t>
      </w:r>
      <w:r>
        <w:rPr>
          <w:rFonts w:hint="eastAsia" w:ascii="黑体" w:hAnsi="黑体" w:eastAsia="黑体" w:cs="黑体"/>
          <w:color w:val="000000"/>
          <w:sz w:val="32"/>
          <w:szCs w:val="32"/>
          <w:u w:val="none"/>
          <w:lang w:eastAsia="zh-CN"/>
        </w:rPr>
        <w:t>采购项目</w:t>
      </w:r>
    </w:p>
    <w:p>
      <w:pPr>
        <w:spacing w:line="360" w:lineRule="auto"/>
        <w:jc w:val="center"/>
        <w:rPr>
          <w:rFonts w:eastAsia="黑体" w:cs="Times New Roman"/>
          <w:b/>
          <w:bCs/>
          <w:sz w:val="48"/>
          <w:szCs w:val="48"/>
        </w:rPr>
      </w:pPr>
      <w:r>
        <w:rPr>
          <w:rFonts w:hint="eastAsia" w:ascii="黑体" w:hAnsi="黑体" w:eastAsia="黑体" w:cs="黑体"/>
          <w:sz w:val="36"/>
          <w:szCs w:val="36"/>
        </w:rPr>
        <w:t>电商询价采购文件</w:t>
      </w:r>
    </w:p>
    <w:tbl>
      <w:tblPr>
        <w:tblStyle w:val="8"/>
        <w:tblW w:w="9781" w:type="dxa"/>
        <w:tblInd w:w="-459" w:type="dxa"/>
        <w:tblLayout w:type="fixed"/>
        <w:tblCellMar>
          <w:top w:w="0" w:type="dxa"/>
          <w:left w:w="108" w:type="dxa"/>
          <w:bottom w:w="0" w:type="dxa"/>
          <w:right w:w="108" w:type="dxa"/>
        </w:tblCellMar>
      </w:tblPr>
      <w:tblGrid>
        <w:gridCol w:w="1490"/>
        <w:gridCol w:w="2128"/>
        <w:gridCol w:w="6163"/>
      </w:tblGrid>
      <w:tr>
        <w:tblPrEx>
          <w:tblLayout w:type="fixed"/>
          <w:tblCellMar>
            <w:top w:w="0" w:type="dxa"/>
            <w:left w:w="108" w:type="dxa"/>
            <w:bottom w:w="0" w:type="dxa"/>
            <w:right w:w="108" w:type="dxa"/>
          </w:tblCellMar>
        </w:tblPrEx>
        <w:trPr>
          <w:trHeight w:val="315" w:hRule="atLeast"/>
        </w:trPr>
        <w:tc>
          <w:tcPr>
            <w:tcW w:w="14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条款名称</w:t>
            </w:r>
          </w:p>
        </w:tc>
        <w:tc>
          <w:tcPr>
            <w:tcW w:w="616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主要内容</w:t>
            </w:r>
          </w:p>
        </w:tc>
      </w:tr>
      <w:tr>
        <w:tblPrEx>
          <w:tblLayout w:type="fixed"/>
          <w:tblCellMar>
            <w:top w:w="0" w:type="dxa"/>
            <w:left w:w="108" w:type="dxa"/>
            <w:bottom w:w="0" w:type="dxa"/>
            <w:right w:w="108" w:type="dxa"/>
          </w:tblCellMar>
        </w:tblPrEx>
        <w:trPr>
          <w:trHeight w:val="300"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w:t>
            </w:r>
          </w:p>
        </w:tc>
        <w:tc>
          <w:tcPr>
            <w:tcW w:w="2128" w:type="dxa"/>
            <w:tcBorders>
              <w:top w:val="nil"/>
              <w:left w:val="nil"/>
              <w:bottom w:val="nil"/>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采购名称</w:t>
            </w:r>
          </w:p>
        </w:tc>
        <w:tc>
          <w:tcPr>
            <w:tcW w:w="6163" w:type="dxa"/>
            <w:tcBorders>
              <w:top w:val="nil"/>
              <w:left w:val="nil"/>
              <w:bottom w:val="nil"/>
              <w:right w:val="single" w:color="auto" w:sz="8" w:space="0"/>
            </w:tcBorders>
            <w:shd w:val="clear" w:color="000000" w:fill="FFFFFF"/>
            <w:vAlign w:val="center"/>
          </w:tcPr>
          <w:p>
            <w:pPr>
              <w:widowControl/>
              <w:jc w:val="center"/>
              <w:rPr>
                <w:rFonts w:ascii="宋体" w:cs="Times New Roman"/>
                <w:kern w:val="0"/>
                <w:sz w:val="22"/>
                <w:szCs w:val="22"/>
              </w:rPr>
            </w:pPr>
            <w:r>
              <w:rPr>
                <w:rFonts w:hint="eastAsia" w:ascii="宋体" w:cs="Times New Roman"/>
                <w:kern w:val="0"/>
                <w:sz w:val="22"/>
                <w:szCs w:val="22"/>
                <w:lang w:eastAsia="zh-CN"/>
              </w:rPr>
              <w:t>重油库变频</w:t>
            </w:r>
            <w:r>
              <w:rPr>
                <w:rFonts w:hint="eastAsia" w:ascii="宋体" w:cs="Times New Roman"/>
                <w:kern w:val="0"/>
                <w:sz w:val="22"/>
                <w:szCs w:val="22"/>
              </w:rPr>
              <w:t>电力电缆</w:t>
            </w:r>
            <w:r>
              <w:rPr>
                <w:rFonts w:hint="eastAsia" w:ascii="宋体" w:cs="Times New Roman"/>
                <w:kern w:val="0"/>
                <w:sz w:val="22"/>
                <w:szCs w:val="22"/>
                <w:lang w:eastAsia="zh-CN"/>
              </w:rPr>
              <w:t>改造</w:t>
            </w:r>
            <w:r>
              <w:rPr>
                <w:rFonts w:hint="eastAsia" w:ascii="宋体" w:hAnsi="宋体" w:eastAsia="宋体" w:cs="宋体"/>
                <w:kern w:val="0"/>
                <w:sz w:val="22"/>
                <w:szCs w:val="22"/>
                <w:lang w:eastAsia="zh-CN"/>
              </w:rPr>
              <w:t>、</w:t>
            </w:r>
            <w:r>
              <w:rPr>
                <w:rFonts w:hint="eastAsia" w:ascii="宋体" w:cs="Times New Roman"/>
                <w:kern w:val="0"/>
                <w:sz w:val="22"/>
                <w:szCs w:val="22"/>
                <w:lang w:eastAsia="zh-CN"/>
              </w:rPr>
              <w:t>北门岗电源电缆更换</w:t>
            </w:r>
          </w:p>
        </w:tc>
      </w:tr>
      <w:tr>
        <w:tblPrEx>
          <w:tblLayout w:type="fixed"/>
          <w:tblCellMar>
            <w:top w:w="0" w:type="dxa"/>
            <w:left w:w="108" w:type="dxa"/>
            <w:bottom w:w="0" w:type="dxa"/>
            <w:right w:w="108" w:type="dxa"/>
          </w:tblCellMar>
        </w:tblPrEx>
        <w:trPr>
          <w:trHeight w:val="270" w:hRule="atLeast"/>
        </w:trPr>
        <w:tc>
          <w:tcPr>
            <w:tcW w:w="14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采购单位</w:t>
            </w:r>
          </w:p>
        </w:tc>
        <w:tc>
          <w:tcPr>
            <w:tcW w:w="6163"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项目单位：包头第一热电厂</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地址：内蒙古包头市九原区哈业脑包乡背锅窑子村110国道693公里处</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联 系 人</w:t>
            </w:r>
            <w:r>
              <w:rPr>
                <w:rFonts w:hint="eastAsia" w:ascii="宋体" w:hAnsi="宋体" w:cs="宋体"/>
                <w:kern w:val="0"/>
                <w:sz w:val="22"/>
                <w:lang w:val="en-US" w:eastAsia="zh-CN"/>
              </w:rPr>
              <w:t>:张承刚</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联系方式：13847</w:t>
            </w:r>
            <w:r>
              <w:rPr>
                <w:rFonts w:hint="eastAsia" w:ascii="宋体" w:hAnsi="宋体" w:cs="宋体"/>
                <w:kern w:val="0"/>
                <w:sz w:val="22"/>
                <w:lang w:val="en-US" w:eastAsia="zh-CN"/>
              </w:rPr>
              <w:t>205842</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电商询价：</w:t>
            </w:r>
            <w:r>
              <w:rPr>
                <w:rFonts w:hint="eastAsia" w:ascii="宋体" w:hAnsi="宋体" w:cs="宋体"/>
                <w:kern w:val="0"/>
                <w:sz w:val="22"/>
                <w:lang w:val="en-US" w:eastAsia="zh-CN"/>
              </w:rPr>
              <w:t>13664036587张宏光</w:t>
            </w:r>
          </w:p>
        </w:tc>
      </w:tr>
      <w:tr>
        <w:tblPrEx>
          <w:tblLayout w:type="fixed"/>
          <w:tblCellMar>
            <w:top w:w="0" w:type="dxa"/>
            <w:left w:w="108" w:type="dxa"/>
            <w:bottom w:w="0" w:type="dxa"/>
            <w:right w:w="108" w:type="dxa"/>
          </w:tblCellMar>
        </w:tblPrEx>
        <w:trPr>
          <w:trHeight w:val="800"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color w:val="FF0000"/>
                <w:kern w:val="0"/>
                <w:sz w:val="22"/>
                <w:szCs w:val="22"/>
              </w:rPr>
            </w:pPr>
            <w:r>
              <w:rPr>
                <w:color w:val="FF0000"/>
                <w:kern w:val="0"/>
                <w:sz w:val="22"/>
                <w:szCs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FF0000"/>
                <w:kern w:val="0"/>
                <w:sz w:val="22"/>
                <w:szCs w:val="22"/>
              </w:rPr>
            </w:pPr>
            <w:r>
              <w:rPr>
                <w:rFonts w:hint="eastAsia" w:ascii="宋体" w:hAnsi="宋体" w:cs="宋体"/>
                <w:color w:val="FF0000"/>
                <w:kern w:val="0"/>
                <w:sz w:val="22"/>
                <w:szCs w:val="22"/>
              </w:rPr>
              <w:t>采购范围</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eastAsia="宋体" w:cs="Times New Roman"/>
                <w:color w:val="FF0000"/>
                <w:kern w:val="0"/>
                <w:sz w:val="22"/>
                <w:szCs w:val="22"/>
                <w:lang w:val="en-US" w:eastAsia="zh-CN"/>
              </w:rPr>
            </w:pPr>
            <w:r>
              <w:rPr>
                <w:rFonts w:hint="eastAsia" w:ascii="宋体" w:cs="Times New Roman"/>
                <w:color w:val="FF0000"/>
                <w:kern w:val="0"/>
                <w:sz w:val="22"/>
                <w:szCs w:val="22"/>
                <w:lang w:eastAsia="zh-CN"/>
              </w:rPr>
              <w:t>北门岗电源电缆：电力电缆</w:t>
            </w:r>
            <w:r>
              <w:rPr>
                <w:rFonts w:hint="eastAsia" w:ascii="宋体" w:cs="Times New Roman"/>
                <w:color w:val="FF0000"/>
                <w:kern w:val="0"/>
                <w:sz w:val="22"/>
                <w:szCs w:val="22"/>
              </w:rPr>
              <w:t xml:space="preserve">VV22 3×25+1×16 </w:t>
            </w:r>
            <w:r>
              <w:rPr>
                <w:rFonts w:hint="eastAsia" w:ascii="宋体" w:cs="Times New Roman"/>
                <w:color w:val="FF0000"/>
                <w:kern w:val="0"/>
                <w:sz w:val="22"/>
                <w:szCs w:val="22"/>
                <w:lang w:val="en-US" w:eastAsia="zh-CN"/>
              </w:rPr>
              <w:t xml:space="preserve"> 400米</w:t>
            </w:r>
          </w:p>
          <w:p>
            <w:pPr>
              <w:widowControl/>
              <w:jc w:val="left"/>
              <w:rPr>
                <w:rFonts w:ascii="宋体" w:cs="Times New Roman"/>
                <w:color w:val="FF0000"/>
                <w:kern w:val="0"/>
                <w:sz w:val="22"/>
                <w:szCs w:val="22"/>
              </w:rPr>
            </w:pPr>
            <w:r>
              <w:rPr>
                <w:rFonts w:hint="eastAsia" w:ascii="宋体" w:cs="Times New Roman"/>
                <w:color w:val="FF0000"/>
                <w:kern w:val="0"/>
                <w:sz w:val="22"/>
                <w:szCs w:val="22"/>
                <w:lang w:eastAsia="zh-CN"/>
              </w:rPr>
              <w:t>重油库变频改造：电力电缆VV22</w:t>
            </w:r>
            <w:r>
              <w:rPr>
                <w:rFonts w:hint="eastAsia" w:ascii="宋体" w:cs="Times New Roman"/>
                <w:color w:val="FF0000"/>
                <w:kern w:val="0"/>
                <w:sz w:val="22"/>
                <w:szCs w:val="22"/>
                <w:lang w:val="en-US" w:eastAsia="zh-CN"/>
              </w:rPr>
              <w:t xml:space="preserve"> </w:t>
            </w:r>
            <w:r>
              <w:rPr>
                <w:rFonts w:hint="eastAsia" w:ascii="宋体" w:cs="Times New Roman"/>
                <w:color w:val="FF0000"/>
                <w:kern w:val="0"/>
                <w:sz w:val="22"/>
                <w:szCs w:val="22"/>
              </w:rPr>
              <w:t>3×</w:t>
            </w:r>
            <w:r>
              <w:rPr>
                <w:rFonts w:hint="eastAsia" w:ascii="宋体" w:cs="Times New Roman"/>
                <w:color w:val="FF0000"/>
                <w:kern w:val="0"/>
                <w:sz w:val="22"/>
                <w:szCs w:val="22"/>
                <w:lang w:val="en-US" w:eastAsia="zh-CN"/>
              </w:rPr>
              <w:t>9</w:t>
            </w:r>
            <w:r>
              <w:rPr>
                <w:rFonts w:hint="eastAsia" w:ascii="宋体" w:cs="Times New Roman"/>
                <w:color w:val="FF0000"/>
                <w:kern w:val="0"/>
                <w:sz w:val="22"/>
                <w:szCs w:val="22"/>
              </w:rPr>
              <w:t>5+1×</w:t>
            </w:r>
            <w:r>
              <w:rPr>
                <w:rFonts w:hint="eastAsia" w:ascii="宋体" w:cs="Times New Roman"/>
                <w:color w:val="FF0000"/>
                <w:kern w:val="0"/>
                <w:sz w:val="22"/>
                <w:szCs w:val="22"/>
                <w:lang w:val="en-US" w:eastAsia="zh-CN"/>
              </w:rPr>
              <w:t>35</w:t>
            </w:r>
            <w:r>
              <w:rPr>
                <w:rFonts w:hint="eastAsia" w:ascii="宋体" w:cs="Times New Roman"/>
                <w:color w:val="FF0000"/>
                <w:kern w:val="0"/>
                <w:sz w:val="22"/>
                <w:szCs w:val="22"/>
              </w:rPr>
              <w:t xml:space="preserve"> </w:t>
            </w:r>
            <w:r>
              <w:rPr>
                <w:rFonts w:hint="eastAsia" w:ascii="宋体" w:cs="Times New Roman"/>
                <w:color w:val="FF0000"/>
                <w:kern w:val="0"/>
                <w:sz w:val="22"/>
                <w:szCs w:val="22"/>
                <w:lang w:val="en-US" w:eastAsia="zh-CN"/>
              </w:rPr>
              <w:t xml:space="preserve"> 60米</w:t>
            </w:r>
            <w:r>
              <w:rPr>
                <w:rFonts w:hint="eastAsia" w:ascii="宋体" w:cs="Times New Roman"/>
                <w:color w:val="FF0000"/>
                <w:kern w:val="0"/>
                <w:sz w:val="22"/>
                <w:szCs w:val="22"/>
              </w:rPr>
              <w:t xml:space="preserve">   </w:t>
            </w:r>
          </w:p>
        </w:tc>
      </w:tr>
      <w:tr>
        <w:tblPrEx>
          <w:tblLayout w:type="fixed"/>
          <w:tblCellMar>
            <w:top w:w="0" w:type="dxa"/>
            <w:left w:w="108" w:type="dxa"/>
            <w:bottom w:w="0" w:type="dxa"/>
            <w:right w:w="108" w:type="dxa"/>
          </w:tblCellMar>
        </w:tblPrEx>
        <w:trPr>
          <w:trHeight w:val="451"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服务期限</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eastAsia="宋体" w:cs="Times New Roman"/>
                <w:kern w:val="0"/>
                <w:sz w:val="22"/>
                <w:szCs w:val="22"/>
                <w:lang w:eastAsia="zh-CN"/>
              </w:rPr>
            </w:pPr>
            <w:r>
              <w:rPr>
                <w:rFonts w:hint="eastAsia" w:ascii="宋体" w:hAnsi="宋体" w:cs="宋体"/>
                <w:kern w:val="0"/>
                <w:sz w:val="22"/>
                <w:lang w:eastAsia="zh-CN"/>
              </w:rPr>
              <w:t>电力电缆质量执行国家三包标准（包修</w:t>
            </w:r>
            <w:r>
              <w:rPr>
                <w:rFonts w:hint="eastAsia" w:ascii="宋体" w:hAnsi="宋体" w:eastAsia="宋体" w:cs="宋体"/>
                <w:kern w:val="0"/>
                <w:sz w:val="22"/>
                <w:lang w:eastAsia="zh-CN"/>
              </w:rPr>
              <w:t>、</w:t>
            </w:r>
            <w:r>
              <w:rPr>
                <w:rFonts w:hint="eastAsia" w:ascii="宋体" w:hAnsi="宋体" w:cs="宋体"/>
                <w:kern w:val="0"/>
                <w:sz w:val="22"/>
                <w:lang w:eastAsia="zh-CN"/>
              </w:rPr>
              <w:t>包换</w:t>
            </w:r>
            <w:r>
              <w:rPr>
                <w:rFonts w:hint="eastAsia" w:ascii="宋体" w:hAnsi="宋体" w:eastAsia="宋体" w:cs="宋体"/>
                <w:kern w:val="0"/>
                <w:sz w:val="22"/>
                <w:lang w:eastAsia="zh-CN"/>
              </w:rPr>
              <w:t>、</w:t>
            </w:r>
            <w:r>
              <w:rPr>
                <w:rFonts w:hint="eastAsia" w:ascii="宋体" w:hAnsi="宋体" w:cs="宋体"/>
                <w:kern w:val="0"/>
                <w:sz w:val="22"/>
                <w:lang w:eastAsia="zh-CN"/>
              </w:rPr>
              <w:t>包退）条款，质保期</w:t>
            </w:r>
            <w:r>
              <w:rPr>
                <w:rFonts w:hint="eastAsia" w:ascii="宋体" w:hAnsi="宋体" w:cs="宋体"/>
                <w:kern w:val="0"/>
                <w:sz w:val="22"/>
                <w:highlight w:val="yellow"/>
              </w:rPr>
              <w:t>三年</w:t>
            </w:r>
            <w:r>
              <w:rPr>
                <w:rFonts w:hint="eastAsia" w:ascii="宋体" w:hAnsi="宋体" w:cs="宋体"/>
                <w:kern w:val="0"/>
                <w:sz w:val="22"/>
                <w:highlight w:val="yellow"/>
                <w:lang w:eastAsia="zh-CN"/>
              </w:rPr>
              <w:t>。</w:t>
            </w:r>
          </w:p>
        </w:tc>
      </w:tr>
      <w:tr>
        <w:tblPrEx>
          <w:tblLayout w:type="fixed"/>
          <w:tblCellMar>
            <w:top w:w="0" w:type="dxa"/>
            <w:left w:w="108" w:type="dxa"/>
            <w:bottom w:w="0" w:type="dxa"/>
            <w:right w:w="108" w:type="dxa"/>
          </w:tblCellMar>
        </w:tblPrEx>
        <w:trPr>
          <w:trHeight w:val="1357" w:hRule="atLeast"/>
        </w:trPr>
        <w:tc>
          <w:tcPr>
            <w:tcW w:w="1490" w:type="dxa"/>
            <w:tcBorders>
              <w:top w:val="nil"/>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询价程序</w:t>
            </w:r>
          </w:p>
        </w:tc>
        <w:tc>
          <w:tcPr>
            <w:tcW w:w="6163" w:type="dxa"/>
            <w:tcBorders>
              <w:top w:val="nil"/>
              <w:left w:val="nil"/>
              <w:bottom w:val="single" w:color="auto" w:sz="4" w:space="0"/>
              <w:right w:val="single" w:color="auto" w:sz="4" w:space="0"/>
            </w:tcBorders>
            <w:shd w:val="clear" w:color="000000" w:fill="FFFFFF"/>
            <w:vAlign w:val="center"/>
          </w:tcPr>
          <w:p>
            <w:pPr>
              <w:widowControl/>
              <w:numPr>
                <w:ilvl w:val="0"/>
                <w:numId w:val="2"/>
              </w:numPr>
              <w:jc w:val="left"/>
              <w:rPr>
                <w:rFonts w:ascii="宋体" w:cs="Times New Roman"/>
                <w:color w:val="000000" w:themeColor="text1"/>
                <w:kern w:val="0"/>
                <w:sz w:val="22"/>
                <w:szCs w:val="22"/>
              </w:rPr>
            </w:pPr>
            <w:r>
              <w:rPr>
                <w:rFonts w:hint="eastAsia" w:ascii="宋体" w:hAnsi="宋体" w:cs="宋体"/>
                <w:color w:val="000000" w:themeColor="text1"/>
                <w:kern w:val="0"/>
                <w:sz w:val="22"/>
                <w:szCs w:val="22"/>
              </w:rPr>
              <w:t>采购方制定询价文件；</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(2) </w:t>
            </w:r>
            <w:r>
              <w:rPr>
                <w:rFonts w:hint="eastAsia" w:ascii="宋体" w:hAnsi="宋体" w:cs="宋体"/>
                <w:color w:val="000000" w:themeColor="text1"/>
                <w:kern w:val="0"/>
                <w:sz w:val="22"/>
                <w:szCs w:val="22"/>
              </w:rPr>
              <w:t>采购方发起电商平台公开询价；</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(3) </w:t>
            </w:r>
            <w:r>
              <w:rPr>
                <w:rFonts w:hint="eastAsia" w:ascii="宋体" w:hAnsi="宋体" w:cs="宋体"/>
                <w:color w:val="000000" w:themeColor="text1"/>
                <w:kern w:val="0"/>
                <w:sz w:val="22"/>
                <w:szCs w:val="22"/>
              </w:rPr>
              <w:t>供应商严格按照询价文件要求编制并按时在线递交响应文件（含《资格预审合格通知书》和报价清单）；</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(4) </w:t>
            </w:r>
            <w:r>
              <w:rPr>
                <w:rFonts w:hint="eastAsia" w:ascii="宋体" w:hAnsi="宋体" w:cs="宋体"/>
                <w:color w:val="000000" w:themeColor="text1"/>
                <w:kern w:val="0"/>
                <w:sz w:val="22"/>
                <w:szCs w:val="22"/>
              </w:rPr>
              <w:t>采购方组织评审；</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(5) </w:t>
            </w:r>
            <w:r>
              <w:rPr>
                <w:rFonts w:hint="eastAsia" w:ascii="宋体" w:hAnsi="宋体" w:cs="宋体"/>
                <w:color w:val="000000" w:themeColor="text1"/>
                <w:kern w:val="0"/>
                <w:sz w:val="22"/>
                <w:szCs w:val="22"/>
              </w:rPr>
              <w:t>采购方确定成交候选人及成交人。</w:t>
            </w:r>
          </w:p>
        </w:tc>
      </w:tr>
      <w:tr>
        <w:tblPrEx>
          <w:tblLayout w:type="fixed"/>
          <w:tblCellMar>
            <w:top w:w="0" w:type="dxa"/>
            <w:left w:w="108" w:type="dxa"/>
            <w:bottom w:w="0" w:type="dxa"/>
            <w:right w:w="108" w:type="dxa"/>
          </w:tblCellMar>
        </w:tblPrEx>
        <w:trPr>
          <w:trHeight w:val="1058" w:hRule="atLeast"/>
        </w:trPr>
        <w:tc>
          <w:tcPr>
            <w:tcW w:w="1490" w:type="dxa"/>
            <w:tcBorders>
              <w:top w:val="single" w:color="auto" w:sz="4" w:space="0"/>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highlight w:val="yellow"/>
              </w:rPr>
              <w:t>报价要求</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(1) </w:t>
            </w:r>
            <w:r>
              <w:rPr>
                <w:rFonts w:hint="eastAsia" w:ascii="宋体" w:hAnsi="宋体" w:cs="宋体"/>
                <w:color w:val="000000" w:themeColor="text1"/>
                <w:kern w:val="0"/>
                <w:sz w:val="22"/>
                <w:szCs w:val="22"/>
              </w:rPr>
              <w:t>报价方必须按照物料行项进行报价；</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(2) </w:t>
            </w:r>
            <w:r>
              <w:rPr>
                <w:rFonts w:hint="eastAsia" w:ascii="宋体" w:hAnsi="宋体" w:cs="宋体"/>
                <w:color w:val="000000" w:themeColor="text1"/>
                <w:kern w:val="0"/>
                <w:sz w:val="22"/>
                <w:szCs w:val="22"/>
              </w:rPr>
              <w:t>报价必须含运杂费；</w:t>
            </w:r>
          </w:p>
          <w:p>
            <w:pPr>
              <w:widowControl/>
              <w:jc w:val="left"/>
              <w:rPr>
                <w:rFonts w:hint="eastAsia" w:ascii="宋体" w:hAnsi="宋体" w:cs="宋体"/>
                <w:color w:val="000000" w:themeColor="text1"/>
                <w:kern w:val="0"/>
                <w:sz w:val="22"/>
                <w:szCs w:val="22"/>
              </w:rPr>
            </w:pPr>
            <w:r>
              <w:rPr>
                <w:rFonts w:ascii="宋体" w:hAnsi="宋体" w:cs="宋体"/>
                <w:color w:val="000000" w:themeColor="text1"/>
                <w:kern w:val="0"/>
                <w:sz w:val="22"/>
                <w:szCs w:val="22"/>
              </w:rPr>
              <w:t xml:space="preserve">(3) </w:t>
            </w:r>
            <w:r>
              <w:rPr>
                <w:rFonts w:hint="eastAsia" w:ascii="宋体" w:hAnsi="宋体" w:cs="宋体"/>
                <w:color w:val="000000" w:themeColor="text1"/>
                <w:kern w:val="0"/>
                <w:sz w:val="22"/>
                <w:szCs w:val="22"/>
              </w:rPr>
              <w:t>缺项、漏项报价视同报价无效；</w:t>
            </w:r>
          </w:p>
          <w:p>
            <w:pPr>
              <w:widowControl/>
              <w:jc w:val="left"/>
              <w:rPr>
                <w:rFonts w:hint="eastAsia" w:ascii="宋体" w:hAnsi="宋体" w:eastAsia="宋体" w:cs="宋体"/>
                <w:color w:val="000000" w:themeColor="text1"/>
                <w:kern w:val="0"/>
                <w:sz w:val="22"/>
                <w:szCs w:val="22"/>
                <w:lang w:val="en-US" w:eastAsia="zh-CN"/>
              </w:rPr>
            </w:pPr>
            <w:r>
              <w:rPr>
                <w:rFonts w:hint="eastAsia" w:ascii="宋体" w:hAnsi="宋体" w:cs="宋体"/>
                <w:color w:val="000000" w:themeColor="text1"/>
                <w:kern w:val="0"/>
                <w:sz w:val="22"/>
                <w:szCs w:val="22"/>
                <w:lang w:eastAsia="zh-CN"/>
              </w:rPr>
              <w:t>（</w:t>
            </w:r>
            <w:r>
              <w:rPr>
                <w:rFonts w:hint="eastAsia" w:ascii="宋体" w:hAnsi="宋体" w:cs="宋体"/>
                <w:color w:val="000000" w:themeColor="text1"/>
                <w:kern w:val="0"/>
                <w:sz w:val="22"/>
                <w:szCs w:val="22"/>
                <w:lang w:val="en-US" w:eastAsia="zh-CN"/>
              </w:rPr>
              <w:t>4）</w:t>
            </w:r>
            <w:r>
              <w:rPr>
                <w:rFonts w:hint="eastAsia" w:ascii="宋体" w:hAnsi="宋体" w:cs="宋体"/>
                <w:kern w:val="0"/>
                <w:sz w:val="22"/>
              </w:rPr>
              <w:t>分项报价与总价不一致视为报价无效；</w:t>
            </w:r>
          </w:p>
        </w:tc>
      </w:tr>
      <w:tr>
        <w:tblPrEx>
          <w:tblLayout w:type="fixed"/>
          <w:tblCellMar>
            <w:top w:w="0" w:type="dxa"/>
            <w:left w:w="108" w:type="dxa"/>
            <w:bottom w:w="0" w:type="dxa"/>
            <w:right w:w="108" w:type="dxa"/>
          </w:tblCellMar>
        </w:tblPrEx>
        <w:trPr>
          <w:trHeight w:val="398" w:hRule="atLeast"/>
        </w:trPr>
        <w:tc>
          <w:tcPr>
            <w:tcW w:w="149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电子报价文件递交截止时间</w:t>
            </w:r>
          </w:p>
        </w:tc>
        <w:tc>
          <w:tcPr>
            <w:tcW w:w="6163" w:type="dxa"/>
            <w:tcBorders>
              <w:top w:val="nil"/>
              <w:left w:val="nil"/>
              <w:bottom w:val="single" w:color="auto" w:sz="8" w:space="0"/>
              <w:right w:val="single" w:color="auto" w:sz="8" w:space="0"/>
            </w:tcBorders>
            <w:shd w:val="clear" w:color="000000" w:fill="FFFFFF"/>
            <w:vAlign w:val="center"/>
          </w:tcPr>
          <w:p>
            <w:pPr>
              <w:widowControl/>
              <w:jc w:val="left"/>
              <w:rPr>
                <w:rFonts w:cs="Times New Roman"/>
                <w:color w:val="000000" w:themeColor="text1"/>
                <w:kern w:val="0"/>
                <w:sz w:val="22"/>
                <w:szCs w:val="22"/>
              </w:rPr>
            </w:pPr>
            <w:r>
              <w:rPr>
                <w:rFonts w:hint="eastAsia" w:cs="宋体"/>
                <w:color w:val="000000" w:themeColor="text1"/>
                <w:kern w:val="0"/>
                <w:sz w:val="22"/>
                <w:szCs w:val="22"/>
              </w:rPr>
              <w:t>以华能电子商务平台报价截止时间为准</w:t>
            </w:r>
          </w:p>
        </w:tc>
      </w:tr>
      <w:tr>
        <w:tblPrEx>
          <w:tblLayout w:type="fixed"/>
          <w:tblCellMar>
            <w:top w:w="0" w:type="dxa"/>
            <w:left w:w="108" w:type="dxa"/>
            <w:bottom w:w="0" w:type="dxa"/>
            <w:right w:w="108" w:type="dxa"/>
          </w:tblCellMar>
        </w:tblPrEx>
        <w:trPr>
          <w:trHeight w:val="570" w:hRule="atLeast"/>
        </w:trPr>
        <w:tc>
          <w:tcPr>
            <w:tcW w:w="14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color w:val="000000" w:themeColor="text1"/>
                <w:kern w:val="0"/>
                <w:sz w:val="22"/>
                <w:szCs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电子报价文件递交方式</w:t>
            </w:r>
          </w:p>
        </w:tc>
        <w:tc>
          <w:tcPr>
            <w:tcW w:w="6163" w:type="dxa"/>
            <w:tcBorders>
              <w:top w:val="nil"/>
              <w:left w:val="nil"/>
              <w:bottom w:val="single" w:color="auto" w:sz="4" w:space="0"/>
              <w:right w:val="single" w:color="auto" w:sz="8" w:space="0"/>
            </w:tcBorders>
            <w:shd w:val="clear" w:color="000000" w:fill="FFFFFF"/>
            <w:vAlign w:val="center"/>
          </w:tcPr>
          <w:p>
            <w:pPr>
              <w:widowControl/>
              <w:jc w:val="left"/>
              <w:rPr>
                <w:rFonts w:cs="Times New Roman"/>
                <w:color w:val="000000" w:themeColor="text1"/>
                <w:kern w:val="0"/>
                <w:sz w:val="22"/>
                <w:szCs w:val="22"/>
              </w:rPr>
            </w:pPr>
            <w:r>
              <w:rPr>
                <w:rFonts w:hint="eastAsia" w:ascii="宋体" w:hAnsi="宋体" w:cs="宋体"/>
                <w:color w:val="000000" w:themeColor="text1"/>
                <w:kern w:val="0"/>
                <w:sz w:val="22"/>
                <w:szCs w:val="22"/>
              </w:rPr>
              <w:t>报价人通过中国华能集团公司电子商务平台在规定日期内</w:t>
            </w:r>
            <w:r>
              <w:rPr>
                <w:rFonts w:hint="eastAsia" w:ascii="宋体" w:hAnsi="宋体" w:cs="宋体"/>
                <w:color w:val="FF0000"/>
                <w:kern w:val="0"/>
                <w:sz w:val="22"/>
                <w:szCs w:val="22"/>
              </w:rPr>
              <w:t>进行报价并上传《资格预审合格通知书》</w:t>
            </w:r>
            <w:r>
              <w:rPr>
                <w:rFonts w:hint="eastAsia" w:ascii="宋体" w:hAnsi="宋体" w:cs="宋体"/>
                <w:color w:val="000000" w:themeColor="text1"/>
                <w:kern w:val="0"/>
                <w:sz w:val="22"/>
                <w:szCs w:val="22"/>
              </w:rPr>
              <w:t>。</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8</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付款方式</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color w:val="000000" w:themeColor="text1"/>
                <w:sz w:val="24"/>
                <w:szCs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9</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交货期限</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kern w:val="0"/>
                <w:sz w:val="22"/>
              </w:rPr>
              <w:t>要求报价方必须满足合同签订后</w:t>
            </w:r>
            <w:r>
              <w:rPr>
                <w:rFonts w:hint="eastAsia" w:ascii="宋体" w:hAnsi="宋体" w:cs="宋体"/>
                <w:kern w:val="0"/>
                <w:sz w:val="22"/>
                <w:lang w:val="en-US" w:eastAsia="zh-CN"/>
              </w:rPr>
              <w:t>25</w:t>
            </w:r>
            <w:r>
              <w:rPr>
                <w:rFonts w:hint="eastAsia" w:ascii="宋体" w:hAnsi="宋体" w:cs="宋体"/>
                <w:kern w:val="0"/>
                <w:sz w:val="22"/>
              </w:rPr>
              <w:t>日到货(物资)</w:t>
            </w:r>
            <w:r>
              <w:rPr>
                <w:rFonts w:hint="eastAsia" w:ascii="宋体" w:hAnsi="宋体" w:cs="宋体"/>
                <w:kern w:val="0"/>
                <w:sz w:val="22"/>
                <w:lang w:eastAsia="zh-CN"/>
              </w:rPr>
              <w:t>，</w:t>
            </w:r>
            <w:r>
              <w:rPr>
                <w:rFonts w:hint="eastAsia" w:ascii="宋体" w:hAnsi="宋体" w:cs="宋体"/>
                <w:kern w:val="0"/>
                <w:sz w:val="22"/>
              </w:rPr>
              <w:t>如不能满足严禁参与报价，否则终止合同并纳入供应商考评。</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10</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报价评价原则</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color w:val="FF0000"/>
                <w:kern w:val="0"/>
                <w:sz w:val="22"/>
                <w:szCs w:val="22"/>
              </w:rPr>
              <w:t>经评审的最低价法</w:t>
            </w:r>
          </w:p>
        </w:tc>
      </w:tr>
      <w:tr>
        <w:tblPrEx>
          <w:tblLayout w:type="fixed"/>
          <w:tblCellMar>
            <w:top w:w="0" w:type="dxa"/>
            <w:left w:w="108" w:type="dxa"/>
            <w:bottom w:w="0" w:type="dxa"/>
            <w:right w:w="108" w:type="dxa"/>
          </w:tblCellMar>
        </w:tblPrEx>
        <w:trPr>
          <w:trHeight w:val="1500" w:hRule="atLeast"/>
        </w:trPr>
        <w:tc>
          <w:tcPr>
            <w:tcW w:w="14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合同主要条款</w:t>
            </w:r>
          </w:p>
        </w:tc>
        <w:tc>
          <w:tcPr>
            <w:tcW w:w="61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(1) </w:t>
            </w:r>
            <w:r>
              <w:rPr>
                <w:rFonts w:hint="eastAsia" w:ascii="宋体" w:hAnsi="宋体" w:cs="宋体"/>
                <w:color w:val="000000" w:themeColor="text1"/>
                <w:kern w:val="0"/>
                <w:sz w:val="22"/>
                <w:szCs w:val="22"/>
              </w:rPr>
              <w:t>合同范围；</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(2) </w:t>
            </w:r>
            <w:r>
              <w:rPr>
                <w:rFonts w:hint="eastAsia" w:ascii="宋体" w:hAnsi="宋体" w:cs="宋体"/>
                <w:color w:val="000000" w:themeColor="text1"/>
                <w:kern w:val="0"/>
                <w:sz w:val="22"/>
                <w:szCs w:val="22"/>
              </w:rPr>
              <w:t>合同价格；</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(3) </w:t>
            </w:r>
            <w:r>
              <w:rPr>
                <w:rFonts w:hint="eastAsia" w:ascii="宋体" w:hAnsi="宋体" w:cs="宋体"/>
                <w:color w:val="000000" w:themeColor="text1"/>
                <w:kern w:val="0"/>
                <w:sz w:val="22"/>
                <w:szCs w:val="22"/>
              </w:rPr>
              <w:t>合同后付款；</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(4) </w:t>
            </w:r>
            <w:r>
              <w:rPr>
                <w:rFonts w:hint="eastAsia" w:ascii="宋体" w:hAnsi="宋体" w:cs="宋体"/>
                <w:color w:val="000000" w:themeColor="text1"/>
                <w:kern w:val="0"/>
                <w:sz w:val="22"/>
                <w:szCs w:val="22"/>
              </w:rPr>
              <w:t>服务期；</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(5) </w:t>
            </w:r>
            <w:r>
              <w:rPr>
                <w:rFonts w:hint="eastAsia" w:ascii="宋体" w:hAnsi="宋体" w:cs="宋体"/>
                <w:color w:val="000000" w:themeColor="text1"/>
                <w:kern w:val="0"/>
                <w:sz w:val="22"/>
                <w:szCs w:val="22"/>
              </w:rPr>
              <w:t>其他内容</w:t>
            </w:r>
          </w:p>
        </w:tc>
      </w:tr>
    </w:tbl>
    <w:p>
      <w:pPr>
        <w:pageBreakBefore/>
        <w:spacing w:line="360" w:lineRule="auto"/>
        <w:jc w:val="center"/>
        <w:rPr>
          <w:rFonts w:ascii="黑体" w:hAnsi="黑体" w:eastAsia="黑体" w:cs="Times New Roman"/>
          <w:sz w:val="40"/>
          <w:szCs w:val="40"/>
        </w:rPr>
      </w:pPr>
      <w:r>
        <w:rPr>
          <w:rFonts w:hint="eastAsia" w:ascii="黑体" w:hAnsi="黑体" w:eastAsia="黑体" w:cs="黑体"/>
          <w:sz w:val="40"/>
          <w:szCs w:val="40"/>
        </w:rPr>
        <w:t>第二章采购项目概况</w:t>
      </w:r>
    </w:p>
    <w:p>
      <w:pPr>
        <w:pStyle w:val="13"/>
        <w:numPr>
          <w:ilvl w:val="0"/>
          <w:numId w:val="0"/>
        </w:numPr>
        <w:spacing w:line="360" w:lineRule="auto"/>
        <w:rPr>
          <w:rFonts w:hint="eastAsia" w:ascii="宋体" w:cs="Times New Roman"/>
          <w:color w:val="000000" w:themeColor="text1"/>
          <w:kern w:val="0"/>
          <w:sz w:val="28"/>
          <w:szCs w:val="28"/>
          <w:lang w:eastAsia="zh-CN"/>
        </w:rPr>
      </w:pPr>
      <w:r>
        <w:rPr>
          <w:rFonts w:hint="eastAsia" w:ascii="宋体" w:cs="Times New Roman"/>
          <w:color w:val="000000" w:themeColor="text1"/>
          <w:kern w:val="0"/>
          <w:sz w:val="28"/>
          <w:szCs w:val="28"/>
          <w:lang w:eastAsia="zh-CN"/>
        </w:rPr>
        <w:t>一、采购项目概况：</w:t>
      </w:r>
    </w:p>
    <w:p>
      <w:pPr>
        <w:pStyle w:val="13"/>
        <w:numPr>
          <w:ilvl w:val="0"/>
          <w:numId w:val="3"/>
        </w:numPr>
        <w:spacing w:line="360" w:lineRule="auto"/>
        <w:rPr>
          <w:rFonts w:hint="eastAsia" w:cs="宋体"/>
          <w:color w:val="000000" w:themeColor="text1"/>
          <w:sz w:val="28"/>
          <w:szCs w:val="28"/>
        </w:rPr>
      </w:pPr>
      <w:r>
        <w:rPr>
          <w:rFonts w:hint="eastAsia" w:ascii="宋体" w:cs="Times New Roman"/>
          <w:color w:val="000000" w:themeColor="text1"/>
          <w:kern w:val="0"/>
          <w:sz w:val="28"/>
          <w:szCs w:val="28"/>
          <w:lang w:eastAsia="zh-CN"/>
        </w:rPr>
        <w:t>电力电缆</w:t>
      </w:r>
      <w:r>
        <w:rPr>
          <w:rFonts w:hint="eastAsia" w:ascii="宋体" w:cs="Times New Roman"/>
          <w:color w:val="000000" w:themeColor="text1"/>
          <w:kern w:val="0"/>
          <w:sz w:val="28"/>
          <w:szCs w:val="28"/>
        </w:rPr>
        <w:t>VV22 3×25+1×16</w:t>
      </w:r>
      <w:r>
        <w:rPr>
          <w:rFonts w:hint="eastAsia" w:ascii="宋体" w:cs="Times New Roman"/>
          <w:color w:val="000000" w:themeColor="text1"/>
          <w:kern w:val="0"/>
          <w:sz w:val="28"/>
          <w:szCs w:val="28"/>
          <w:lang w:eastAsia="zh-CN"/>
        </w:rPr>
        <w:t>：</w:t>
      </w:r>
      <w:r>
        <w:rPr>
          <w:rFonts w:hint="eastAsia" w:cs="宋体"/>
          <w:color w:val="000000" w:themeColor="text1"/>
          <w:sz w:val="28"/>
          <w:szCs w:val="28"/>
        </w:rPr>
        <w:t>由于北门岗至行政楼北侧电源转接箱此段电缆受潮导致绝缘下降，达不到标准要求，频繁发生接地短路，对北门岗设备造成影响，</w:t>
      </w:r>
      <w:r>
        <w:rPr>
          <w:rFonts w:hint="eastAsia" w:cs="宋体"/>
          <w:color w:val="000000" w:themeColor="text1"/>
          <w:sz w:val="28"/>
          <w:szCs w:val="28"/>
          <w:lang w:eastAsia="zh-CN"/>
        </w:rPr>
        <w:t>需</w:t>
      </w:r>
      <w:r>
        <w:rPr>
          <w:rFonts w:hint="eastAsia" w:cs="宋体"/>
          <w:color w:val="000000" w:themeColor="text1"/>
          <w:sz w:val="28"/>
          <w:szCs w:val="28"/>
        </w:rPr>
        <w:t>采买</w:t>
      </w:r>
      <w:r>
        <w:rPr>
          <w:rFonts w:hint="eastAsia" w:cs="宋体"/>
          <w:color w:val="000000" w:themeColor="text1"/>
          <w:sz w:val="28"/>
          <w:szCs w:val="28"/>
          <w:lang w:val="en-US" w:eastAsia="zh-CN"/>
        </w:rPr>
        <w:t>400米</w:t>
      </w:r>
      <w:r>
        <w:rPr>
          <w:rFonts w:hint="eastAsia" w:cs="宋体"/>
          <w:color w:val="000000" w:themeColor="text1"/>
          <w:sz w:val="28"/>
          <w:szCs w:val="28"/>
        </w:rPr>
        <w:t>更换。</w:t>
      </w:r>
    </w:p>
    <w:p>
      <w:pPr>
        <w:pStyle w:val="13"/>
        <w:numPr>
          <w:ilvl w:val="0"/>
          <w:numId w:val="0"/>
        </w:numPr>
        <w:spacing w:line="360" w:lineRule="auto"/>
        <w:rPr>
          <w:rFonts w:hint="eastAsia" w:cs="宋体"/>
          <w:color w:val="000000" w:themeColor="text1"/>
          <w:sz w:val="28"/>
          <w:szCs w:val="28"/>
        </w:rPr>
      </w:pPr>
      <w:r>
        <w:rPr>
          <w:rFonts w:hint="eastAsia" w:ascii="宋体" w:cs="Times New Roman"/>
          <w:color w:val="000000" w:themeColor="text1"/>
          <w:kern w:val="0"/>
          <w:sz w:val="28"/>
          <w:szCs w:val="28"/>
          <w:lang w:val="en-US" w:eastAsia="zh-CN"/>
        </w:rPr>
        <w:t>2</w:t>
      </w:r>
      <w:r>
        <w:rPr>
          <w:rFonts w:hint="eastAsia" w:ascii="宋体" w:hAnsi="宋体" w:eastAsia="宋体" w:cs="宋体"/>
          <w:color w:val="000000" w:themeColor="text1"/>
          <w:kern w:val="0"/>
          <w:sz w:val="28"/>
          <w:szCs w:val="28"/>
          <w:lang w:val="en-US" w:eastAsia="zh-CN"/>
        </w:rPr>
        <w:t>、</w:t>
      </w:r>
      <w:r>
        <w:rPr>
          <w:rFonts w:hint="eastAsia" w:ascii="宋体" w:cs="Times New Roman"/>
          <w:color w:val="000000" w:themeColor="text1"/>
          <w:kern w:val="0"/>
          <w:sz w:val="28"/>
          <w:szCs w:val="28"/>
          <w:lang w:eastAsia="zh-CN"/>
        </w:rPr>
        <w:t>电力电缆VV22</w:t>
      </w:r>
      <w:r>
        <w:rPr>
          <w:rFonts w:hint="eastAsia" w:ascii="宋体" w:cs="Times New Roman"/>
          <w:color w:val="000000" w:themeColor="text1"/>
          <w:kern w:val="0"/>
          <w:sz w:val="28"/>
          <w:szCs w:val="28"/>
          <w:lang w:val="en-US" w:eastAsia="zh-CN"/>
        </w:rPr>
        <w:t xml:space="preserve"> </w:t>
      </w:r>
      <w:r>
        <w:rPr>
          <w:rFonts w:hint="eastAsia" w:ascii="宋体" w:cs="Times New Roman"/>
          <w:color w:val="000000" w:themeColor="text1"/>
          <w:kern w:val="0"/>
          <w:sz w:val="28"/>
          <w:szCs w:val="28"/>
        </w:rPr>
        <w:t>3×</w:t>
      </w:r>
      <w:r>
        <w:rPr>
          <w:rFonts w:hint="eastAsia" w:ascii="宋体" w:cs="Times New Roman"/>
          <w:color w:val="000000" w:themeColor="text1"/>
          <w:kern w:val="0"/>
          <w:sz w:val="28"/>
          <w:szCs w:val="28"/>
          <w:lang w:val="en-US" w:eastAsia="zh-CN"/>
        </w:rPr>
        <w:t>9</w:t>
      </w:r>
      <w:r>
        <w:rPr>
          <w:rFonts w:hint="eastAsia" w:ascii="宋体" w:cs="Times New Roman"/>
          <w:color w:val="000000" w:themeColor="text1"/>
          <w:kern w:val="0"/>
          <w:sz w:val="28"/>
          <w:szCs w:val="28"/>
        </w:rPr>
        <w:t>5+1×</w:t>
      </w:r>
      <w:r>
        <w:rPr>
          <w:rFonts w:hint="eastAsia" w:ascii="宋体" w:cs="Times New Roman"/>
          <w:color w:val="000000" w:themeColor="text1"/>
          <w:kern w:val="0"/>
          <w:sz w:val="28"/>
          <w:szCs w:val="28"/>
          <w:lang w:val="en-US" w:eastAsia="zh-CN"/>
        </w:rPr>
        <w:t>35：配合热工进行重油库变频改造，电气需增加一面刀闸切换柜，更改电缆的路径，需采买60米</w:t>
      </w:r>
    </w:p>
    <w:p>
      <w:pPr>
        <w:pStyle w:val="20"/>
        <w:spacing w:line="360" w:lineRule="auto"/>
        <w:rPr>
          <w:rFonts w:hint="eastAsia" w:ascii="宋体" w:hAnsi="Times New Roman" w:eastAsia="宋体" w:cs="Times New Roman"/>
          <w:color w:val="000000" w:themeColor="text1"/>
          <w:kern w:val="0"/>
          <w:sz w:val="28"/>
          <w:szCs w:val="28"/>
          <w:lang w:val="en-US" w:eastAsia="zh-CN" w:bidi="ar-SA"/>
        </w:rPr>
      </w:pPr>
      <w:r>
        <w:rPr>
          <w:rFonts w:hint="eastAsia" w:ascii="宋体" w:cs="Times New Roman"/>
          <w:color w:val="000000" w:themeColor="text1"/>
          <w:kern w:val="0"/>
          <w:sz w:val="28"/>
          <w:szCs w:val="28"/>
          <w:lang w:val="en-US" w:eastAsia="zh-CN" w:bidi="ar-SA"/>
        </w:rPr>
        <w:t>二</w:t>
      </w:r>
      <w:r>
        <w:rPr>
          <w:rFonts w:hint="eastAsia" w:ascii="宋体" w:hAnsi="宋体" w:eastAsia="宋体" w:cs="宋体"/>
          <w:color w:val="000000" w:themeColor="text1"/>
          <w:kern w:val="0"/>
          <w:sz w:val="28"/>
          <w:szCs w:val="28"/>
          <w:lang w:val="en-US" w:eastAsia="zh-CN" w:bidi="ar-SA"/>
        </w:rPr>
        <w:t>、</w:t>
      </w:r>
      <w:r>
        <w:rPr>
          <w:rFonts w:hint="eastAsia" w:ascii="宋体" w:hAnsi="Times New Roman" w:eastAsia="宋体" w:cs="Times New Roman"/>
          <w:color w:val="000000" w:themeColor="text1"/>
          <w:kern w:val="0"/>
          <w:sz w:val="28"/>
          <w:szCs w:val="28"/>
          <w:lang w:val="en-US" w:eastAsia="zh-CN" w:bidi="ar-SA"/>
        </w:rPr>
        <w:t>供货周期：以上采购项目电力电缆供货周期为25天，自签订合同之日起25天内供货方必须将采购配件运送至采购方指定地点。</w:t>
      </w:r>
    </w:p>
    <w:p>
      <w:pPr>
        <w:pStyle w:val="13"/>
        <w:spacing w:line="360" w:lineRule="auto"/>
        <w:rPr>
          <w:b/>
          <w:bCs/>
          <w:color w:val="000000" w:themeColor="text1"/>
          <w:sz w:val="28"/>
          <w:szCs w:val="28"/>
        </w:rPr>
      </w:pPr>
    </w:p>
    <w:p>
      <w:pPr>
        <w:pStyle w:val="13"/>
        <w:pageBreakBefore/>
        <w:spacing w:line="360" w:lineRule="auto"/>
        <w:jc w:val="center"/>
        <w:rPr>
          <w:rFonts w:ascii="黑体" w:hAnsi="黑体" w:eastAsia="黑体"/>
          <w:sz w:val="40"/>
          <w:szCs w:val="40"/>
        </w:rPr>
      </w:pPr>
      <w:r>
        <w:rPr>
          <w:rFonts w:hint="eastAsia" w:ascii="黑体" w:hAnsi="黑体" w:eastAsia="黑体" w:cs="黑体"/>
          <w:sz w:val="40"/>
          <w:szCs w:val="40"/>
        </w:rPr>
        <w:t>第三章供应商资格要求</w:t>
      </w:r>
    </w:p>
    <w:p>
      <w:pPr>
        <w:pStyle w:val="13"/>
        <w:spacing w:line="360" w:lineRule="auto"/>
        <w:rPr>
          <w:rFonts w:ascii="黑体" w:hAnsi="黑体" w:eastAsia="黑体"/>
          <w:sz w:val="24"/>
          <w:szCs w:val="24"/>
        </w:rPr>
      </w:pPr>
    </w:p>
    <w:p>
      <w:pPr>
        <w:pStyle w:val="13"/>
        <w:spacing w:line="360" w:lineRule="auto"/>
        <w:rPr>
          <w:rFonts w:ascii="黑体" w:hAnsi="黑体" w:eastAsia="黑体"/>
          <w:b/>
          <w:bCs/>
          <w:sz w:val="24"/>
          <w:szCs w:val="24"/>
        </w:rPr>
      </w:pPr>
      <w:r>
        <w:rPr>
          <w:rFonts w:hint="eastAsia" w:ascii="黑体" w:hAnsi="黑体" w:eastAsia="黑体" w:cs="黑体"/>
          <w:b/>
          <w:bCs/>
          <w:sz w:val="24"/>
          <w:szCs w:val="24"/>
        </w:rPr>
        <w:t>一、通用条款</w:t>
      </w:r>
    </w:p>
    <w:p>
      <w:pPr>
        <w:pStyle w:val="13"/>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具有良好的银行资信和商业信誉，未处于财产被接管、冻结、破产状态，未处于有关禁止经营的行政处罚期间；</w:t>
      </w:r>
    </w:p>
    <w:p>
      <w:pPr>
        <w:pStyle w:val="13"/>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单位负责人为同一人或者存在控股、管理关系的不同单位，不得同时参加此次报价；</w:t>
      </w:r>
    </w:p>
    <w:p>
      <w:pPr>
        <w:pStyle w:val="13"/>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不得处于人民法院“失信被执行人”名单和工商行政管理机关“严重违法失信企业”名单；</w:t>
      </w:r>
    </w:p>
    <w:p>
      <w:pPr>
        <w:pStyle w:val="13"/>
        <w:spacing w:line="360" w:lineRule="auto"/>
        <w:rPr>
          <w:rFonts w:ascii="宋体" w:cs="宋体"/>
          <w:sz w:val="24"/>
          <w:szCs w:val="24"/>
        </w:rPr>
      </w:pPr>
      <w:r>
        <w:rPr>
          <w:rFonts w:ascii="宋体" w:hAnsi="宋体" w:cs="宋体"/>
          <w:sz w:val="24"/>
          <w:szCs w:val="24"/>
        </w:rPr>
        <w:t>4.</w:t>
      </w:r>
      <w:r>
        <w:rPr>
          <w:rFonts w:hint="eastAsia" w:ascii="Arial" w:hAnsi="宋体" w:cs="宋体"/>
          <w:color w:val="000000"/>
          <w:sz w:val="24"/>
          <w:szCs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宋体" w:hAnsi="宋体" w:cs="宋体"/>
          <w:sz w:val="24"/>
          <w:szCs w:val="24"/>
        </w:rPr>
        <w:t>；</w:t>
      </w:r>
    </w:p>
    <w:p>
      <w:pPr>
        <w:pStyle w:val="13"/>
        <w:spacing w:line="360" w:lineRule="auto"/>
        <w:rPr>
          <w:rFonts w:ascii="宋体"/>
          <w:color w:val="FF0000"/>
          <w:sz w:val="24"/>
          <w:szCs w:val="24"/>
        </w:rPr>
      </w:pPr>
    </w:p>
    <w:p>
      <w:pPr>
        <w:pStyle w:val="13"/>
        <w:spacing w:line="360" w:lineRule="auto"/>
        <w:rPr>
          <w:rFonts w:ascii="黑体" w:hAnsi="黑体" w:eastAsia="黑体"/>
          <w:b/>
          <w:bCs/>
          <w:sz w:val="24"/>
          <w:szCs w:val="24"/>
        </w:rPr>
      </w:pPr>
      <w:r>
        <w:rPr>
          <w:rFonts w:hint="eastAsia" w:ascii="黑体" w:hAnsi="黑体" w:eastAsia="黑体" w:cs="黑体"/>
          <w:b/>
          <w:bCs/>
          <w:sz w:val="24"/>
          <w:szCs w:val="24"/>
        </w:rPr>
        <w:t>二、专用条款</w:t>
      </w:r>
    </w:p>
    <w:p>
      <w:pPr>
        <w:pStyle w:val="13"/>
        <w:spacing w:line="360" w:lineRule="auto"/>
        <w:rPr>
          <w:rFonts w:ascii="宋体"/>
          <w:color w:val="FF0000"/>
          <w:sz w:val="24"/>
          <w:szCs w:val="24"/>
        </w:rPr>
      </w:pPr>
      <w:r>
        <w:rPr>
          <w:rFonts w:hint="eastAsia" w:ascii="宋体" w:hAnsi="宋体" w:cs="宋体"/>
          <w:color w:val="FF0000"/>
          <w:sz w:val="24"/>
          <w:szCs w:val="24"/>
        </w:rPr>
        <w:t>仅限通过华能集团</w:t>
      </w:r>
      <w:r>
        <w:rPr>
          <w:rFonts w:ascii="宋体" w:hAnsi="宋体" w:cs="宋体"/>
          <w:color w:val="FF0000"/>
          <w:sz w:val="24"/>
          <w:szCs w:val="24"/>
          <w:highlight w:val="yellow"/>
        </w:rPr>
        <w:t>2019</w:t>
      </w:r>
      <w:r>
        <w:rPr>
          <w:rFonts w:hint="eastAsia" w:ascii="宋体" w:hAnsi="宋体" w:cs="宋体"/>
          <w:color w:val="FF0000"/>
          <w:sz w:val="24"/>
          <w:szCs w:val="24"/>
          <w:highlight w:val="yellow"/>
        </w:rPr>
        <w:t>年</w:t>
      </w:r>
      <w:r>
        <w:rPr>
          <w:rFonts w:ascii="宋体" w:hAnsi="宋体" w:cs="宋体"/>
          <w:color w:val="FF0000"/>
          <w:sz w:val="24"/>
          <w:szCs w:val="24"/>
          <w:highlight w:val="yellow"/>
        </w:rPr>
        <w:t>-2021</w:t>
      </w:r>
      <w:r>
        <w:rPr>
          <w:rFonts w:hint="eastAsia" w:ascii="宋体" w:hAnsi="宋体" w:cs="宋体"/>
          <w:color w:val="FF0000"/>
          <w:sz w:val="24"/>
          <w:szCs w:val="24"/>
          <w:highlight w:val="yellow"/>
        </w:rPr>
        <w:t>年度</w:t>
      </w:r>
      <w:r>
        <w:rPr>
          <w:rFonts w:hint="eastAsia" w:ascii="宋体" w:hAnsi="宋体" w:cs="宋体"/>
          <w:color w:val="FF0000"/>
          <w:sz w:val="24"/>
          <w:szCs w:val="24"/>
        </w:rPr>
        <w:t>资格预审的供应商参与报价，并上传</w:t>
      </w:r>
      <w:r>
        <w:rPr>
          <w:rFonts w:hint="eastAsia" w:ascii="宋体" w:hAnsi="宋体" w:cs="宋体"/>
          <w:b/>
          <w:bCs/>
          <w:color w:val="FF0000"/>
          <w:sz w:val="24"/>
          <w:szCs w:val="24"/>
        </w:rPr>
        <w:t>《资格预审合格通知书》</w:t>
      </w:r>
      <w:r>
        <w:rPr>
          <w:rFonts w:hint="eastAsia" w:ascii="宋体" w:hAnsi="宋体" w:cs="宋体"/>
          <w:b/>
          <w:bCs/>
          <w:color w:val="FF0000"/>
          <w:sz w:val="24"/>
          <w:szCs w:val="24"/>
          <w:highlight w:val="yellow"/>
        </w:rPr>
        <w:t>及回复北方公司的承诺函</w:t>
      </w:r>
      <w:r>
        <w:rPr>
          <w:rFonts w:hint="eastAsia" w:ascii="宋体" w:hAnsi="宋体" w:cs="宋体"/>
          <w:color w:val="FF0000"/>
          <w:sz w:val="24"/>
          <w:szCs w:val="24"/>
        </w:rPr>
        <w:t>，无资格和</w:t>
      </w:r>
      <w:r>
        <w:rPr>
          <w:rFonts w:hint="eastAsia" w:ascii="宋体" w:hAnsi="宋体" w:cs="宋体"/>
          <w:color w:val="FF0000"/>
          <w:sz w:val="24"/>
          <w:szCs w:val="24"/>
          <w:highlight w:val="yellow"/>
        </w:rPr>
        <w:t>承诺函</w:t>
      </w:r>
      <w:r>
        <w:rPr>
          <w:rFonts w:hint="eastAsia" w:ascii="宋体" w:hAnsi="宋体" w:cs="宋体"/>
          <w:color w:val="FF0000"/>
          <w:sz w:val="24"/>
          <w:szCs w:val="24"/>
        </w:rPr>
        <w:t>随意报价将纳入考核。</w:t>
      </w:r>
    </w:p>
    <w:p>
      <w:pPr>
        <w:pStyle w:val="13"/>
        <w:pageBreakBefore/>
        <w:spacing w:line="360" w:lineRule="auto"/>
        <w:jc w:val="center"/>
        <w:rPr>
          <w:rFonts w:ascii="黑体" w:hAnsi="黑体" w:eastAsia="黑体"/>
          <w:sz w:val="40"/>
          <w:szCs w:val="40"/>
        </w:rPr>
        <w:sectPr>
          <w:pgSz w:w="11906" w:h="16838"/>
          <w:pgMar w:top="1440" w:right="1800" w:bottom="1440" w:left="1800" w:header="851" w:footer="992" w:gutter="0"/>
          <w:cols w:space="425" w:num="1"/>
          <w:docGrid w:type="lines" w:linePitch="312" w:charSpace="0"/>
        </w:sectPr>
      </w:pPr>
    </w:p>
    <w:p>
      <w:pPr>
        <w:pStyle w:val="13"/>
        <w:pageBreakBefore/>
        <w:spacing w:line="360" w:lineRule="auto"/>
        <w:jc w:val="center"/>
        <w:rPr>
          <w:rFonts w:ascii="黑体" w:hAnsi="黑体" w:eastAsia="黑体"/>
          <w:sz w:val="40"/>
          <w:szCs w:val="40"/>
        </w:rPr>
      </w:pPr>
      <w:r>
        <w:rPr>
          <w:rFonts w:hint="eastAsia" w:ascii="黑体" w:hAnsi="黑体" w:eastAsia="黑体" w:cs="黑体"/>
          <w:sz w:val="40"/>
          <w:szCs w:val="40"/>
        </w:rPr>
        <w:t>第四章技术规范要求</w:t>
      </w:r>
    </w:p>
    <w:p>
      <w:pPr>
        <w:pStyle w:val="13"/>
        <w:spacing w:line="360" w:lineRule="auto"/>
        <w:ind w:firstLine="482" w:firstLineChars="200"/>
        <w:rPr>
          <w:rFonts w:ascii="宋体"/>
          <w:sz w:val="24"/>
          <w:szCs w:val="24"/>
        </w:rPr>
      </w:pPr>
      <w:r>
        <w:rPr>
          <w:rFonts w:hint="eastAsia" w:ascii="宋体" w:hAnsi="宋体" w:cs="宋体"/>
          <w:b/>
          <w:bCs/>
          <w:sz w:val="24"/>
          <w:szCs w:val="24"/>
        </w:rPr>
        <w:t>一、</w:t>
      </w:r>
      <w:r>
        <w:rPr>
          <w:rFonts w:hint="eastAsia" w:ascii="宋体" w:hAnsi="宋体" w:cs="宋体"/>
          <w:sz w:val="24"/>
          <w:szCs w:val="24"/>
        </w:rPr>
        <w:t>设备需求一览表</w:t>
      </w:r>
    </w:p>
    <w:tbl>
      <w:tblPr>
        <w:tblStyle w:val="8"/>
        <w:tblW w:w="87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130"/>
        <w:gridCol w:w="1148"/>
        <w:gridCol w:w="733"/>
        <w:gridCol w:w="604"/>
        <w:gridCol w:w="511"/>
        <w:gridCol w:w="680"/>
        <w:gridCol w:w="680"/>
        <w:gridCol w:w="1104"/>
        <w:gridCol w:w="98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510"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序号</w:t>
            </w:r>
          </w:p>
        </w:tc>
        <w:tc>
          <w:tcPr>
            <w:tcW w:w="1130"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物料编码</w:t>
            </w:r>
          </w:p>
        </w:tc>
        <w:tc>
          <w:tcPr>
            <w:tcW w:w="1148"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物料描述</w:t>
            </w:r>
          </w:p>
        </w:tc>
        <w:tc>
          <w:tcPr>
            <w:tcW w:w="733"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技术参数</w:t>
            </w:r>
          </w:p>
        </w:tc>
        <w:tc>
          <w:tcPr>
            <w:tcW w:w="604" w:type="dxa"/>
            <w:vMerge w:val="restart"/>
            <w:vAlign w:val="center"/>
          </w:tcPr>
          <w:p>
            <w:pPr>
              <w:pStyle w:val="13"/>
              <w:spacing w:line="360" w:lineRule="auto"/>
              <w:rPr>
                <w:rFonts w:ascii="宋体"/>
                <w:color w:val="00B0F0"/>
                <w:kern w:val="2"/>
                <w:sz w:val="24"/>
                <w:szCs w:val="24"/>
              </w:rPr>
            </w:pPr>
            <w:r>
              <w:rPr>
                <w:rFonts w:hint="eastAsia" w:ascii="宋体" w:hAnsi="宋体" w:cs="宋体"/>
                <w:color w:val="00B0F0"/>
                <w:kern w:val="2"/>
                <w:sz w:val="24"/>
                <w:szCs w:val="24"/>
              </w:rPr>
              <w:t>数量</w:t>
            </w:r>
          </w:p>
        </w:tc>
        <w:tc>
          <w:tcPr>
            <w:tcW w:w="511" w:type="dxa"/>
            <w:vMerge w:val="restart"/>
            <w:vAlign w:val="center"/>
          </w:tcPr>
          <w:p>
            <w:pPr>
              <w:pStyle w:val="13"/>
              <w:spacing w:line="360" w:lineRule="auto"/>
              <w:jc w:val="center"/>
              <w:rPr>
                <w:rFonts w:ascii="宋体"/>
                <w:color w:val="00B0F0"/>
                <w:kern w:val="2"/>
                <w:sz w:val="24"/>
                <w:szCs w:val="24"/>
              </w:rPr>
            </w:pPr>
            <w:r>
              <w:rPr>
                <w:rFonts w:hint="eastAsia" w:ascii="宋体" w:hAnsi="宋体" w:cs="宋体"/>
                <w:color w:val="00B0F0"/>
                <w:kern w:val="2"/>
                <w:sz w:val="24"/>
                <w:szCs w:val="24"/>
              </w:rPr>
              <w:t>单位</w:t>
            </w:r>
          </w:p>
        </w:tc>
        <w:tc>
          <w:tcPr>
            <w:tcW w:w="1360" w:type="dxa"/>
            <w:gridSpan w:val="2"/>
            <w:vAlign w:val="center"/>
          </w:tcPr>
          <w:p>
            <w:pPr>
              <w:pStyle w:val="13"/>
              <w:spacing w:line="360" w:lineRule="auto"/>
              <w:jc w:val="center"/>
              <w:rPr>
                <w:rFonts w:ascii="宋体"/>
                <w:color w:val="00B0F0"/>
                <w:kern w:val="2"/>
                <w:sz w:val="24"/>
                <w:szCs w:val="24"/>
              </w:rPr>
            </w:pPr>
            <w:r>
              <w:rPr>
                <w:rFonts w:hint="eastAsia" w:ascii="宋体" w:hAnsi="宋体" w:cs="宋体"/>
                <w:kern w:val="2"/>
                <w:sz w:val="24"/>
                <w:szCs w:val="24"/>
              </w:rPr>
              <w:t>报价方</w:t>
            </w:r>
          </w:p>
        </w:tc>
        <w:tc>
          <w:tcPr>
            <w:tcW w:w="1104"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交货时间</w:t>
            </w:r>
          </w:p>
        </w:tc>
        <w:tc>
          <w:tcPr>
            <w:tcW w:w="982"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交货地点</w:t>
            </w:r>
          </w:p>
        </w:tc>
        <w:tc>
          <w:tcPr>
            <w:tcW w:w="696"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510" w:type="dxa"/>
            <w:vMerge w:val="continue"/>
            <w:vAlign w:val="center"/>
          </w:tcPr>
          <w:p>
            <w:pPr>
              <w:pStyle w:val="13"/>
              <w:spacing w:line="360" w:lineRule="auto"/>
              <w:rPr>
                <w:rFonts w:ascii="宋体"/>
                <w:kern w:val="2"/>
                <w:sz w:val="24"/>
                <w:szCs w:val="24"/>
              </w:rPr>
            </w:pPr>
          </w:p>
        </w:tc>
        <w:tc>
          <w:tcPr>
            <w:tcW w:w="1130" w:type="dxa"/>
            <w:vMerge w:val="continue"/>
            <w:vAlign w:val="center"/>
          </w:tcPr>
          <w:p>
            <w:pPr>
              <w:pStyle w:val="13"/>
              <w:spacing w:line="360" w:lineRule="auto"/>
              <w:jc w:val="center"/>
              <w:rPr>
                <w:rFonts w:ascii="宋体"/>
                <w:kern w:val="2"/>
                <w:sz w:val="24"/>
                <w:szCs w:val="24"/>
              </w:rPr>
            </w:pPr>
          </w:p>
        </w:tc>
        <w:tc>
          <w:tcPr>
            <w:tcW w:w="1148" w:type="dxa"/>
            <w:vMerge w:val="continue"/>
            <w:vAlign w:val="center"/>
          </w:tcPr>
          <w:p>
            <w:pPr>
              <w:pStyle w:val="13"/>
              <w:spacing w:line="360" w:lineRule="auto"/>
              <w:jc w:val="center"/>
              <w:rPr>
                <w:rFonts w:ascii="宋体"/>
                <w:kern w:val="2"/>
                <w:sz w:val="24"/>
                <w:szCs w:val="24"/>
              </w:rPr>
            </w:pPr>
          </w:p>
        </w:tc>
        <w:tc>
          <w:tcPr>
            <w:tcW w:w="733" w:type="dxa"/>
            <w:vMerge w:val="continue"/>
            <w:vAlign w:val="center"/>
          </w:tcPr>
          <w:p>
            <w:pPr>
              <w:pStyle w:val="13"/>
              <w:spacing w:line="360" w:lineRule="auto"/>
              <w:jc w:val="center"/>
              <w:rPr>
                <w:rFonts w:ascii="宋体"/>
                <w:kern w:val="2"/>
                <w:sz w:val="24"/>
                <w:szCs w:val="24"/>
              </w:rPr>
            </w:pPr>
          </w:p>
        </w:tc>
        <w:tc>
          <w:tcPr>
            <w:tcW w:w="604" w:type="dxa"/>
            <w:vMerge w:val="continue"/>
            <w:vAlign w:val="center"/>
          </w:tcPr>
          <w:p>
            <w:pPr>
              <w:pStyle w:val="13"/>
              <w:spacing w:line="360" w:lineRule="auto"/>
              <w:rPr>
                <w:rFonts w:ascii="宋体"/>
                <w:color w:val="00B0F0"/>
                <w:kern w:val="2"/>
                <w:sz w:val="24"/>
                <w:szCs w:val="24"/>
              </w:rPr>
            </w:pPr>
          </w:p>
        </w:tc>
        <w:tc>
          <w:tcPr>
            <w:tcW w:w="511" w:type="dxa"/>
            <w:vMerge w:val="continue"/>
            <w:vAlign w:val="center"/>
          </w:tcPr>
          <w:p>
            <w:pPr>
              <w:pStyle w:val="13"/>
              <w:spacing w:line="360" w:lineRule="auto"/>
              <w:jc w:val="center"/>
              <w:rPr>
                <w:rFonts w:ascii="宋体"/>
                <w:color w:val="00B0F0"/>
                <w:kern w:val="2"/>
                <w:sz w:val="24"/>
                <w:szCs w:val="24"/>
              </w:rPr>
            </w:pPr>
          </w:p>
        </w:tc>
        <w:tc>
          <w:tcPr>
            <w:tcW w:w="680"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含税报单价</w:t>
            </w:r>
          </w:p>
        </w:tc>
        <w:tc>
          <w:tcPr>
            <w:tcW w:w="680"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含税报总价</w:t>
            </w:r>
          </w:p>
        </w:tc>
        <w:tc>
          <w:tcPr>
            <w:tcW w:w="1104" w:type="dxa"/>
            <w:vMerge w:val="continue"/>
            <w:vAlign w:val="center"/>
          </w:tcPr>
          <w:p>
            <w:pPr>
              <w:pStyle w:val="13"/>
              <w:spacing w:line="360" w:lineRule="auto"/>
              <w:jc w:val="center"/>
              <w:rPr>
                <w:rFonts w:ascii="宋体"/>
                <w:kern w:val="2"/>
                <w:sz w:val="24"/>
                <w:szCs w:val="24"/>
              </w:rPr>
            </w:pPr>
          </w:p>
        </w:tc>
        <w:tc>
          <w:tcPr>
            <w:tcW w:w="982" w:type="dxa"/>
            <w:vMerge w:val="continue"/>
            <w:vAlign w:val="center"/>
          </w:tcPr>
          <w:p>
            <w:pPr>
              <w:pStyle w:val="13"/>
              <w:spacing w:line="360" w:lineRule="auto"/>
              <w:jc w:val="center"/>
              <w:rPr>
                <w:rFonts w:ascii="宋体"/>
                <w:kern w:val="2"/>
                <w:sz w:val="24"/>
                <w:szCs w:val="24"/>
              </w:rPr>
            </w:pPr>
          </w:p>
        </w:tc>
        <w:tc>
          <w:tcPr>
            <w:tcW w:w="696" w:type="dxa"/>
            <w:vMerge w:val="continue"/>
            <w:vAlign w:val="center"/>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trPr>
        <w:tc>
          <w:tcPr>
            <w:tcW w:w="510" w:type="dxa"/>
            <w:vAlign w:val="top"/>
          </w:tcPr>
          <w:p>
            <w:pPr>
              <w:pStyle w:val="13"/>
              <w:spacing w:line="360" w:lineRule="auto"/>
              <w:jc w:val="center"/>
              <w:rPr>
                <w:rFonts w:ascii="宋体"/>
                <w:color w:val="FF0000"/>
                <w:kern w:val="2"/>
                <w:sz w:val="24"/>
                <w:szCs w:val="24"/>
              </w:rPr>
            </w:pPr>
            <w:r>
              <w:rPr>
                <w:rFonts w:ascii="宋体" w:hAnsi="宋体" w:cs="宋体"/>
                <w:color w:val="FF0000"/>
                <w:kern w:val="2"/>
                <w:sz w:val="24"/>
                <w:szCs w:val="24"/>
              </w:rPr>
              <w:t>1</w:t>
            </w:r>
          </w:p>
        </w:tc>
        <w:tc>
          <w:tcPr>
            <w:tcW w:w="1130" w:type="dxa"/>
            <w:vAlign w:val="top"/>
          </w:tcPr>
          <w:p>
            <w:pPr>
              <w:pStyle w:val="13"/>
              <w:spacing w:line="360" w:lineRule="auto"/>
              <w:jc w:val="center"/>
              <w:rPr>
                <w:rFonts w:ascii="宋体"/>
                <w:color w:val="FF0000"/>
                <w:kern w:val="2"/>
                <w:sz w:val="21"/>
                <w:szCs w:val="21"/>
              </w:rPr>
            </w:pPr>
            <w:r>
              <w:rPr>
                <w:rFonts w:ascii="ˎ̥" w:hAnsi="ˎ̥"/>
                <w:color w:val="FF0000"/>
                <w:sz w:val="18"/>
                <w:szCs w:val="18"/>
              </w:rPr>
              <w:t>2020303259</w:t>
            </w:r>
          </w:p>
        </w:tc>
        <w:tc>
          <w:tcPr>
            <w:tcW w:w="1148" w:type="dxa"/>
            <w:vAlign w:val="top"/>
          </w:tcPr>
          <w:p>
            <w:pPr>
              <w:pStyle w:val="13"/>
              <w:spacing w:line="360" w:lineRule="auto"/>
              <w:jc w:val="center"/>
              <w:rPr>
                <w:rFonts w:ascii="宋体"/>
                <w:color w:val="FF0000"/>
                <w:kern w:val="2"/>
                <w:sz w:val="21"/>
                <w:szCs w:val="21"/>
              </w:rPr>
            </w:pPr>
            <w:r>
              <w:rPr>
                <w:rFonts w:ascii="ˎ̥" w:hAnsi="ˎ̥"/>
                <w:color w:val="FF0000"/>
                <w:sz w:val="18"/>
                <w:szCs w:val="18"/>
              </w:rPr>
              <w:t>电力电缆</w:t>
            </w:r>
            <w:r>
              <w:rPr>
                <w:rFonts w:hint="eastAsia" w:ascii="ˎ̥" w:hAnsi="ˎ̥"/>
                <w:color w:val="FF0000"/>
                <w:sz w:val="18"/>
                <w:szCs w:val="18"/>
              </w:rPr>
              <w:t xml:space="preserve"> </w:t>
            </w:r>
            <w:r>
              <w:rPr>
                <w:rFonts w:hint="eastAsia" w:ascii="宋体"/>
                <w:color w:val="FF0000"/>
                <w:sz w:val="22"/>
                <w:szCs w:val="22"/>
              </w:rPr>
              <w:t>VV22 3×25+1×16</w:t>
            </w:r>
          </w:p>
        </w:tc>
        <w:tc>
          <w:tcPr>
            <w:tcW w:w="733" w:type="dxa"/>
            <w:vAlign w:val="top"/>
          </w:tcPr>
          <w:p>
            <w:pPr>
              <w:pStyle w:val="13"/>
              <w:jc w:val="center"/>
              <w:rPr>
                <w:rFonts w:ascii="宋体"/>
                <w:color w:val="FF0000"/>
                <w:kern w:val="2"/>
                <w:sz w:val="24"/>
                <w:szCs w:val="24"/>
              </w:rPr>
            </w:pPr>
            <w:r>
              <w:rPr>
                <w:rFonts w:hint="eastAsia" w:ascii="宋体"/>
                <w:color w:val="FF0000"/>
                <w:sz w:val="22"/>
                <w:szCs w:val="22"/>
              </w:rPr>
              <w:t>VV22 3×25+1×16</w:t>
            </w:r>
            <w:r>
              <w:rPr>
                <w:rFonts w:hint="eastAsia" w:ascii="宋体"/>
                <w:color w:val="FF0000"/>
                <w:sz w:val="22"/>
                <w:szCs w:val="22"/>
                <w:lang w:eastAsia="zh-CN"/>
              </w:rPr>
              <w:t>其他</w:t>
            </w:r>
            <w:r>
              <w:rPr>
                <w:rFonts w:hint="eastAsia" w:ascii="宋体" w:hAnsi="宋体" w:cs="宋体"/>
                <w:color w:val="FF0000"/>
                <w:kern w:val="2"/>
                <w:sz w:val="24"/>
                <w:szCs w:val="24"/>
              </w:rPr>
              <w:t>详见</w:t>
            </w:r>
            <w:r>
              <w:rPr>
                <w:rFonts w:hint="eastAsia" w:ascii="宋体" w:hAnsi="宋体" w:cs="宋体"/>
                <w:color w:val="FF0000"/>
                <w:sz w:val="24"/>
                <w:szCs w:val="24"/>
              </w:rPr>
              <w:t>参数标准</w:t>
            </w:r>
          </w:p>
        </w:tc>
        <w:tc>
          <w:tcPr>
            <w:tcW w:w="604" w:type="dxa"/>
            <w:vAlign w:val="top"/>
          </w:tcPr>
          <w:p>
            <w:pPr>
              <w:pStyle w:val="13"/>
              <w:spacing w:line="360" w:lineRule="auto"/>
              <w:jc w:val="center"/>
              <w:rPr>
                <w:rFonts w:ascii="宋体"/>
                <w:color w:val="FF0000"/>
                <w:kern w:val="2"/>
                <w:sz w:val="24"/>
                <w:szCs w:val="24"/>
              </w:rPr>
            </w:pPr>
            <w:r>
              <w:rPr>
                <w:rFonts w:hint="eastAsia" w:ascii="宋体"/>
                <w:color w:val="FF0000"/>
                <w:kern w:val="2"/>
                <w:sz w:val="24"/>
                <w:szCs w:val="24"/>
              </w:rPr>
              <w:t>400</w:t>
            </w:r>
          </w:p>
        </w:tc>
        <w:tc>
          <w:tcPr>
            <w:tcW w:w="511" w:type="dxa"/>
            <w:vAlign w:val="top"/>
          </w:tcPr>
          <w:p>
            <w:pPr>
              <w:pStyle w:val="13"/>
              <w:spacing w:line="360" w:lineRule="auto"/>
              <w:jc w:val="center"/>
              <w:rPr>
                <w:rFonts w:ascii="宋体"/>
                <w:color w:val="FF0000"/>
                <w:kern w:val="2"/>
                <w:sz w:val="24"/>
                <w:szCs w:val="24"/>
              </w:rPr>
            </w:pPr>
            <w:r>
              <w:rPr>
                <w:rFonts w:hint="eastAsia" w:ascii="宋体" w:cs="宋体"/>
                <w:color w:val="FF0000"/>
                <w:kern w:val="2"/>
                <w:sz w:val="24"/>
                <w:szCs w:val="24"/>
              </w:rPr>
              <w:t>米</w:t>
            </w:r>
          </w:p>
        </w:tc>
        <w:tc>
          <w:tcPr>
            <w:tcW w:w="680" w:type="dxa"/>
            <w:vAlign w:val="top"/>
          </w:tcPr>
          <w:p>
            <w:pPr>
              <w:pStyle w:val="13"/>
              <w:spacing w:line="360" w:lineRule="auto"/>
              <w:jc w:val="center"/>
              <w:rPr>
                <w:rFonts w:ascii="宋体"/>
                <w:kern w:val="2"/>
                <w:sz w:val="24"/>
                <w:szCs w:val="24"/>
              </w:rPr>
            </w:pPr>
          </w:p>
        </w:tc>
        <w:tc>
          <w:tcPr>
            <w:tcW w:w="680" w:type="dxa"/>
            <w:vAlign w:val="top"/>
          </w:tcPr>
          <w:p>
            <w:pPr>
              <w:pStyle w:val="13"/>
              <w:spacing w:line="360" w:lineRule="auto"/>
              <w:jc w:val="center"/>
              <w:rPr>
                <w:rFonts w:ascii="宋体"/>
                <w:kern w:val="2"/>
                <w:sz w:val="24"/>
                <w:szCs w:val="24"/>
              </w:rPr>
            </w:pPr>
          </w:p>
        </w:tc>
        <w:tc>
          <w:tcPr>
            <w:tcW w:w="1104" w:type="dxa"/>
            <w:vAlign w:val="top"/>
          </w:tcPr>
          <w:p>
            <w:pPr>
              <w:pStyle w:val="20"/>
              <w:spacing w:line="360" w:lineRule="auto"/>
              <w:jc w:val="center"/>
              <w:rPr>
                <w:rFonts w:hint="eastAsia" w:eastAsia="宋体" w:asciiTheme="minorEastAsia" w:hAnsiTheme="minorEastAsia"/>
                <w:sz w:val="24"/>
                <w:lang w:eastAsia="zh-CN"/>
              </w:rPr>
            </w:pPr>
            <w:r>
              <w:rPr>
                <w:rFonts w:hint="eastAsia" w:ascii="宋体" w:hAnsi="宋体" w:cs="宋体"/>
                <w:szCs w:val="21"/>
              </w:rPr>
              <w:t>合同签订生效后</w:t>
            </w:r>
            <w:r>
              <w:rPr>
                <w:rFonts w:hint="eastAsia" w:ascii="宋体" w:hAnsi="宋体" w:cs="宋体"/>
                <w:color w:val="FF0000"/>
                <w:szCs w:val="21"/>
              </w:rPr>
              <w:t>25</w:t>
            </w:r>
            <w:r>
              <w:rPr>
                <w:rFonts w:hint="eastAsia" w:ascii="宋体" w:hAnsi="宋体" w:cs="宋体"/>
                <w:szCs w:val="21"/>
              </w:rPr>
              <w:t>天内货到需方</w:t>
            </w:r>
            <w:r>
              <w:rPr>
                <w:rFonts w:hint="eastAsia" w:ascii="宋体" w:hAnsi="宋体" w:cs="宋体"/>
                <w:szCs w:val="21"/>
                <w:lang w:eastAsia="zh-CN"/>
              </w:rPr>
              <w:t>指定地点</w:t>
            </w:r>
          </w:p>
        </w:tc>
        <w:tc>
          <w:tcPr>
            <w:tcW w:w="982" w:type="dxa"/>
            <w:vAlign w:val="top"/>
          </w:tcPr>
          <w:p>
            <w:pPr>
              <w:pStyle w:val="20"/>
              <w:spacing w:line="360" w:lineRule="auto"/>
              <w:jc w:val="center"/>
              <w:rPr>
                <w:rFonts w:hint="eastAsia" w:eastAsia="宋体" w:asciiTheme="minorEastAsia" w:hAnsiTheme="minorEastAsia"/>
                <w:sz w:val="24"/>
                <w:lang w:eastAsia="zh-CN"/>
              </w:rPr>
            </w:pPr>
            <w:r>
              <w:rPr>
                <w:rFonts w:hint="eastAsia" w:ascii="宋体" w:hAnsi="宋体" w:cs="宋体"/>
                <w:szCs w:val="21"/>
              </w:rPr>
              <w:t>包头第一热电厂物资站</w:t>
            </w:r>
            <w:r>
              <w:rPr>
                <w:rFonts w:hint="eastAsia" w:ascii="宋体" w:hAnsi="宋体" w:cs="宋体"/>
                <w:szCs w:val="21"/>
                <w:lang w:eastAsia="zh-CN"/>
              </w:rPr>
              <w:t>院内</w:t>
            </w:r>
          </w:p>
        </w:tc>
        <w:tc>
          <w:tcPr>
            <w:tcW w:w="696" w:type="dxa"/>
            <w:vAlign w:val="top"/>
          </w:tcPr>
          <w:p>
            <w:pPr>
              <w:pStyle w:val="13"/>
              <w:spacing w:line="360" w:lineRule="auto"/>
              <w:jc w:val="center"/>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510" w:type="dxa"/>
            <w:vAlign w:val="top"/>
          </w:tcPr>
          <w:p>
            <w:pPr>
              <w:pStyle w:val="13"/>
              <w:spacing w:line="360" w:lineRule="auto"/>
              <w:jc w:val="center"/>
              <w:rPr>
                <w:rFonts w:hint="eastAsia" w:ascii="宋体" w:hAnsi="宋体" w:eastAsia="宋体" w:cs="宋体"/>
                <w:color w:val="FF0000"/>
                <w:kern w:val="2"/>
                <w:sz w:val="24"/>
                <w:szCs w:val="24"/>
                <w:lang w:val="en-US" w:eastAsia="zh-CN"/>
              </w:rPr>
            </w:pPr>
            <w:r>
              <w:rPr>
                <w:rFonts w:hint="eastAsia" w:ascii="宋体" w:hAnsi="宋体" w:cs="宋体"/>
                <w:color w:val="FF0000"/>
                <w:kern w:val="2"/>
                <w:sz w:val="24"/>
                <w:szCs w:val="24"/>
                <w:lang w:val="en-US" w:eastAsia="zh-CN"/>
              </w:rPr>
              <w:t>2</w:t>
            </w:r>
          </w:p>
        </w:tc>
        <w:tc>
          <w:tcPr>
            <w:tcW w:w="1130" w:type="dxa"/>
            <w:vAlign w:val="top"/>
          </w:tcPr>
          <w:p>
            <w:pPr>
              <w:pStyle w:val="13"/>
              <w:spacing w:line="360" w:lineRule="auto"/>
              <w:jc w:val="center"/>
              <w:rPr>
                <w:rFonts w:ascii="ˎ̥" w:hAnsi="ˎ̥"/>
                <w:color w:val="FF0000"/>
                <w:sz w:val="18"/>
                <w:szCs w:val="18"/>
              </w:rPr>
            </w:pPr>
            <w:r>
              <w:rPr>
                <w:rFonts w:hint="eastAsia" w:ascii="ˎ̥" w:hAnsi="ˎ̥"/>
                <w:color w:val="FF0000"/>
                <w:sz w:val="18"/>
                <w:szCs w:val="18"/>
              </w:rPr>
              <w:t>2020301079</w:t>
            </w:r>
          </w:p>
        </w:tc>
        <w:tc>
          <w:tcPr>
            <w:tcW w:w="1148" w:type="dxa"/>
            <w:vAlign w:val="top"/>
          </w:tcPr>
          <w:p>
            <w:pPr>
              <w:pStyle w:val="13"/>
              <w:spacing w:line="360" w:lineRule="auto"/>
              <w:jc w:val="center"/>
              <w:rPr>
                <w:rFonts w:ascii="ˎ̥" w:hAnsi="ˎ̥"/>
                <w:color w:val="FF0000"/>
                <w:sz w:val="18"/>
                <w:szCs w:val="18"/>
              </w:rPr>
            </w:pPr>
            <w:r>
              <w:rPr>
                <w:rFonts w:hint="eastAsia" w:ascii="宋体" w:cs="Times New Roman"/>
                <w:color w:val="FF0000"/>
                <w:kern w:val="0"/>
                <w:sz w:val="22"/>
                <w:szCs w:val="22"/>
                <w:lang w:eastAsia="zh-CN"/>
              </w:rPr>
              <w:t>电力电缆VV22</w:t>
            </w:r>
            <w:r>
              <w:rPr>
                <w:rFonts w:hint="eastAsia" w:ascii="宋体" w:cs="Times New Roman"/>
                <w:color w:val="FF0000"/>
                <w:kern w:val="0"/>
                <w:sz w:val="22"/>
                <w:szCs w:val="22"/>
                <w:lang w:val="en-US" w:eastAsia="zh-CN"/>
              </w:rPr>
              <w:t xml:space="preserve"> </w:t>
            </w:r>
            <w:r>
              <w:rPr>
                <w:rFonts w:hint="eastAsia" w:ascii="宋体" w:cs="Times New Roman"/>
                <w:color w:val="FF0000"/>
                <w:kern w:val="0"/>
                <w:sz w:val="22"/>
                <w:szCs w:val="22"/>
              </w:rPr>
              <w:t>3×</w:t>
            </w:r>
            <w:r>
              <w:rPr>
                <w:rFonts w:hint="eastAsia" w:ascii="宋体" w:cs="Times New Roman"/>
                <w:color w:val="FF0000"/>
                <w:kern w:val="0"/>
                <w:sz w:val="22"/>
                <w:szCs w:val="22"/>
                <w:lang w:val="en-US" w:eastAsia="zh-CN"/>
              </w:rPr>
              <w:t>9</w:t>
            </w:r>
            <w:r>
              <w:rPr>
                <w:rFonts w:hint="eastAsia" w:ascii="宋体" w:cs="Times New Roman"/>
                <w:color w:val="FF0000"/>
                <w:kern w:val="0"/>
                <w:sz w:val="22"/>
                <w:szCs w:val="22"/>
              </w:rPr>
              <w:t>5+1×</w:t>
            </w:r>
            <w:r>
              <w:rPr>
                <w:rFonts w:hint="eastAsia" w:ascii="宋体" w:cs="Times New Roman"/>
                <w:color w:val="FF0000"/>
                <w:kern w:val="0"/>
                <w:sz w:val="22"/>
                <w:szCs w:val="22"/>
                <w:lang w:val="en-US" w:eastAsia="zh-CN"/>
              </w:rPr>
              <w:t>35</w:t>
            </w:r>
          </w:p>
        </w:tc>
        <w:tc>
          <w:tcPr>
            <w:tcW w:w="733" w:type="dxa"/>
            <w:vAlign w:val="top"/>
          </w:tcPr>
          <w:p>
            <w:pPr>
              <w:pStyle w:val="13"/>
              <w:jc w:val="center"/>
              <w:rPr>
                <w:rFonts w:hint="eastAsia" w:ascii="宋体" w:hAnsi="宋体" w:cs="宋体"/>
                <w:color w:val="FF0000"/>
                <w:kern w:val="2"/>
                <w:sz w:val="24"/>
                <w:szCs w:val="24"/>
              </w:rPr>
            </w:pPr>
            <w:r>
              <w:rPr>
                <w:rFonts w:hint="eastAsia" w:ascii="宋体" w:cs="Times New Roman"/>
                <w:color w:val="FF0000"/>
                <w:kern w:val="0"/>
                <w:sz w:val="22"/>
                <w:szCs w:val="22"/>
                <w:lang w:eastAsia="zh-CN"/>
              </w:rPr>
              <w:t>VV22</w:t>
            </w:r>
            <w:r>
              <w:rPr>
                <w:rFonts w:hint="eastAsia" w:ascii="宋体" w:cs="Times New Roman"/>
                <w:color w:val="FF0000"/>
                <w:kern w:val="0"/>
                <w:sz w:val="22"/>
                <w:szCs w:val="22"/>
                <w:lang w:val="en-US" w:eastAsia="zh-CN"/>
              </w:rPr>
              <w:t xml:space="preserve"> </w:t>
            </w:r>
            <w:r>
              <w:rPr>
                <w:rFonts w:hint="eastAsia" w:ascii="宋体" w:cs="Times New Roman"/>
                <w:color w:val="FF0000"/>
                <w:kern w:val="0"/>
                <w:sz w:val="22"/>
                <w:szCs w:val="22"/>
              </w:rPr>
              <w:t>3×</w:t>
            </w:r>
            <w:r>
              <w:rPr>
                <w:rFonts w:hint="eastAsia" w:ascii="宋体" w:cs="Times New Roman"/>
                <w:color w:val="FF0000"/>
                <w:kern w:val="0"/>
                <w:sz w:val="22"/>
                <w:szCs w:val="22"/>
                <w:lang w:val="en-US" w:eastAsia="zh-CN"/>
              </w:rPr>
              <w:t>9</w:t>
            </w:r>
            <w:r>
              <w:rPr>
                <w:rFonts w:hint="eastAsia" w:ascii="宋体" w:cs="Times New Roman"/>
                <w:color w:val="FF0000"/>
                <w:kern w:val="0"/>
                <w:sz w:val="22"/>
                <w:szCs w:val="22"/>
              </w:rPr>
              <w:t>5+1×</w:t>
            </w:r>
            <w:r>
              <w:rPr>
                <w:rFonts w:hint="eastAsia" w:ascii="宋体" w:cs="Times New Roman"/>
                <w:color w:val="FF0000"/>
                <w:kern w:val="0"/>
                <w:sz w:val="22"/>
                <w:szCs w:val="22"/>
                <w:lang w:val="en-US" w:eastAsia="zh-CN"/>
              </w:rPr>
              <w:t>35</w:t>
            </w:r>
            <w:r>
              <w:rPr>
                <w:rFonts w:hint="eastAsia" w:ascii="宋体"/>
                <w:color w:val="FF0000"/>
                <w:sz w:val="22"/>
                <w:szCs w:val="22"/>
                <w:lang w:eastAsia="zh-CN"/>
              </w:rPr>
              <w:t>其他</w:t>
            </w:r>
            <w:r>
              <w:rPr>
                <w:rFonts w:hint="eastAsia" w:ascii="宋体" w:hAnsi="宋体" w:cs="宋体"/>
                <w:color w:val="FF0000"/>
                <w:kern w:val="2"/>
                <w:sz w:val="24"/>
                <w:szCs w:val="24"/>
              </w:rPr>
              <w:t>详见</w:t>
            </w:r>
            <w:r>
              <w:rPr>
                <w:rFonts w:hint="eastAsia" w:ascii="宋体" w:hAnsi="宋体" w:cs="宋体"/>
                <w:color w:val="FF0000"/>
                <w:sz w:val="24"/>
                <w:szCs w:val="24"/>
              </w:rPr>
              <w:t>参数标准</w:t>
            </w:r>
          </w:p>
        </w:tc>
        <w:tc>
          <w:tcPr>
            <w:tcW w:w="604" w:type="dxa"/>
            <w:vAlign w:val="top"/>
          </w:tcPr>
          <w:p>
            <w:pPr>
              <w:pStyle w:val="13"/>
              <w:spacing w:line="360" w:lineRule="auto"/>
              <w:jc w:val="center"/>
              <w:rPr>
                <w:rFonts w:hint="eastAsia" w:ascii="宋体" w:eastAsia="宋体"/>
                <w:color w:val="FF0000"/>
                <w:kern w:val="2"/>
                <w:sz w:val="24"/>
                <w:szCs w:val="24"/>
                <w:lang w:val="en-US" w:eastAsia="zh-CN"/>
              </w:rPr>
            </w:pPr>
            <w:r>
              <w:rPr>
                <w:rFonts w:hint="eastAsia" w:ascii="宋体"/>
                <w:color w:val="FF0000"/>
                <w:kern w:val="2"/>
                <w:sz w:val="24"/>
                <w:szCs w:val="24"/>
                <w:lang w:val="en-US" w:eastAsia="zh-CN"/>
              </w:rPr>
              <w:t>60</w:t>
            </w:r>
          </w:p>
        </w:tc>
        <w:tc>
          <w:tcPr>
            <w:tcW w:w="511" w:type="dxa"/>
            <w:vAlign w:val="top"/>
          </w:tcPr>
          <w:p>
            <w:pPr>
              <w:pStyle w:val="13"/>
              <w:spacing w:line="360" w:lineRule="auto"/>
              <w:jc w:val="center"/>
              <w:rPr>
                <w:rFonts w:hint="eastAsia" w:ascii="宋体" w:eastAsia="宋体" w:cs="宋体"/>
                <w:color w:val="FF0000"/>
                <w:kern w:val="2"/>
                <w:sz w:val="24"/>
                <w:szCs w:val="24"/>
                <w:lang w:eastAsia="zh-CN"/>
              </w:rPr>
            </w:pPr>
            <w:r>
              <w:rPr>
                <w:rFonts w:hint="eastAsia" w:ascii="宋体" w:cs="宋体"/>
                <w:color w:val="FF0000"/>
                <w:kern w:val="2"/>
                <w:sz w:val="24"/>
                <w:szCs w:val="24"/>
                <w:lang w:eastAsia="zh-CN"/>
              </w:rPr>
              <w:t>米</w:t>
            </w:r>
          </w:p>
        </w:tc>
        <w:tc>
          <w:tcPr>
            <w:tcW w:w="680" w:type="dxa"/>
            <w:vAlign w:val="top"/>
          </w:tcPr>
          <w:p>
            <w:pPr>
              <w:pStyle w:val="13"/>
              <w:spacing w:line="360" w:lineRule="auto"/>
              <w:jc w:val="center"/>
              <w:rPr>
                <w:rFonts w:ascii="宋体"/>
                <w:kern w:val="2"/>
                <w:sz w:val="24"/>
                <w:szCs w:val="24"/>
              </w:rPr>
            </w:pPr>
          </w:p>
        </w:tc>
        <w:tc>
          <w:tcPr>
            <w:tcW w:w="680" w:type="dxa"/>
            <w:vAlign w:val="top"/>
          </w:tcPr>
          <w:p>
            <w:pPr>
              <w:pStyle w:val="13"/>
              <w:spacing w:line="360" w:lineRule="auto"/>
              <w:jc w:val="center"/>
              <w:rPr>
                <w:rFonts w:ascii="宋体"/>
                <w:kern w:val="2"/>
                <w:sz w:val="24"/>
                <w:szCs w:val="24"/>
              </w:rPr>
            </w:pPr>
          </w:p>
        </w:tc>
        <w:tc>
          <w:tcPr>
            <w:tcW w:w="1104" w:type="dxa"/>
            <w:vAlign w:val="top"/>
          </w:tcPr>
          <w:p>
            <w:pPr>
              <w:pStyle w:val="20"/>
              <w:spacing w:line="360" w:lineRule="auto"/>
              <w:jc w:val="center"/>
              <w:rPr>
                <w:rFonts w:hint="eastAsia" w:ascii="宋体" w:hAnsi="宋体" w:cs="宋体"/>
                <w:szCs w:val="21"/>
              </w:rPr>
            </w:pPr>
            <w:r>
              <w:rPr>
                <w:rFonts w:hint="eastAsia" w:ascii="宋体" w:hAnsi="宋体" w:cs="宋体"/>
                <w:szCs w:val="21"/>
              </w:rPr>
              <w:t>合同签订生效后</w:t>
            </w:r>
            <w:r>
              <w:rPr>
                <w:rFonts w:hint="eastAsia" w:ascii="宋体" w:hAnsi="宋体" w:cs="宋体"/>
                <w:color w:val="FF0000"/>
                <w:szCs w:val="21"/>
              </w:rPr>
              <w:t>25</w:t>
            </w:r>
            <w:r>
              <w:rPr>
                <w:rFonts w:hint="eastAsia" w:ascii="宋体" w:hAnsi="宋体" w:cs="宋体"/>
                <w:szCs w:val="21"/>
              </w:rPr>
              <w:t>天内货到需方</w:t>
            </w:r>
            <w:r>
              <w:rPr>
                <w:rFonts w:hint="eastAsia" w:ascii="宋体" w:hAnsi="宋体" w:cs="宋体"/>
                <w:szCs w:val="21"/>
                <w:lang w:eastAsia="zh-CN"/>
              </w:rPr>
              <w:t>指定地点</w:t>
            </w:r>
          </w:p>
        </w:tc>
        <w:tc>
          <w:tcPr>
            <w:tcW w:w="982" w:type="dxa"/>
            <w:vAlign w:val="top"/>
          </w:tcPr>
          <w:p>
            <w:pPr>
              <w:pStyle w:val="20"/>
              <w:spacing w:line="360" w:lineRule="auto"/>
              <w:jc w:val="center"/>
              <w:rPr>
                <w:rFonts w:hint="eastAsia" w:ascii="宋体" w:hAnsi="宋体" w:cs="宋体"/>
                <w:szCs w:val="21"/>
              </w:rPr>
            </w:pPr>
            <w:r>
              <w:rPr>
                <w:rFonts w:hint="eastAsia" w:ascii="宋体" w:hAnsi="宋体" w:cs="宋体"/>
                <w:szCs w:val="21"/>
              </w:rPr>
              <w:t>包头第一热电厂新厂物资站</w:t>
            </w:r>
            <w:r>
              <w:rPr>
                <w:rFonts w:hint="eastAsia" w:ascii="宋体" w:hAnsi="宋体" w:cs="宋体"/>
                <w:szCs w:val="21"/>
                <w:lang w:eastAsia="zh-CN"/>
              </w:rPr>
              <w:t>院内</w:t>
            </w:r>
          </w:p>
        </w:tc>
        <w:tc>
          <w:tcPr>
            <w:tcW w:w="696" w:type="dxa"/>
            <w:vAlign w:val="top"/>
          </w:tcPr>
          <w:p>
            <w:pPr>
              <w:pStyle w:val="13"/>
              <w:spacing w:line="360" w:lineRule="auto"/>
              <w:jc w:val="center"/>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316" w:type="dxa"/>
            <w:gridSpan w:val="7"/>
          </w:tcPr>
          <w:p>
            <w:pPr>
              <w:pStyle w:val="13"/>
              <w:spacing w:line="360" w:lineRule="auto"/>
              <w:jc w:val="center"/>
              <w:rPr>
                <w:rFonts w:ascii="宋体"/>
                <w:kern w:val="2"/>
                <w:sz w:val="24"/>
                <w:szCs w:val="24"/>
              </w:rPr>
            </w:pPr>
            <w:r>
              <w:rPr>
                <w:rFonts w:hint="eastAsia" w:ascii="宋体" w:hAnsi="宋体" w:cs="宋体"/>
                <w:kern w:val="2"/>
                <w:sz w:val="24"/>
                <w:szCs w:val="24"/>
              </w:rPr>
              <w:t>合计</w:t>
            </w:r>
          </w:p>
        </w:tc>
        <w:tc>
          <w:tcPr>
            <w:tcW w:w="3462" w:type="dxa"/>
            <w:gridSpan w:val="4"/>
          </w:tcPr>
          <w:p>
            <w:pPr>
              <w:pStyle w:val="13"/>
              <w:spacing w:line="360" w:lineRule="auto"/>
              <w:rPr>
                <w:rFonts w:ascii="宋体"/>
                <w:kern w:val="2"/>
                <w:sz w:val="24"/>
                <w:szCs w:val="24"/>
              </w:rPr>
            </w:pPr>
          </w:p>
        </w:tc>
      </w:tr>
    </w:tbl>
    <w:p>
      <w:pPr>
        <w:pStyle w:val="13"/>
        <w:spacing w:line="360" w:lineRule="auto"/>
        <w:ind w:firstLine="480" w:firstLineChars="200"/>
        <w:rPr>
          <w:rFonts w:ascii="宋体"/>
          <w:sz w:val="24"/>
          <w:szCs w:val="24"/>
        </w:rPr>
        <w:sectPr>
          <w:pgSz w:w="11906" w:h="16838"/>
          <w:pgMar w:top="1440" w:right="1803" w:bottom="1440" w:left="1803" w:header="851" w:footer="992" w:gutter="0"/>
          <w:cols w:space="0" w:num="1"/>
          <w:docGrid w:type="lines" w:linePitch="319" w:charSpace="0"/>
        </w:sectPr>
      </w:pPr>
    </w:p>
    <w:p>
      <w:pPr>
        <w:pStyle w:val="13"/>
        <w:spacing w:line="360" w:lineRule="auto"/>
        <w:ind w:firstLine="482" w:firstLineChars="200"/>
        <w:rPr>
          <w:rFonts w:ascii="宋体" w:cs="宋体"/>
          <w:b/>
          <w:bCs/>
          <w:color w:val="FF0000"/>
          <w:sz w:val="24"/>
          <w:szCs w:val="24"/>
        </w:rPr>
      </w:pPr>
      <w:r>
        <w:rPr>
          <w:rFonts w:hint="eastAsia" w:ascii="宋体" w:hAnsi="宋体" w:cs="宋体"/>
          <w:b/>
          <w:bCs/>
          <w:color w:val="FF0000"/>
          <w:sz w:val="24"/>
          <w:szCs w:val="24"/>
        </w:rPr>
        <w:t>二、参数标准</w:t>
      </w:r>
    </w:p>
    <w:p>
      <w:pPr>
        <w:pStyle w:val="13"/>
        <w:spacing w:line="360" w:lineRule="auto"/>
        <w:ind w:firstLine="480" w:firstLineChars="200"/>
        <w:rPr>
          <w:rFonts w:ascii="宋体" w:cs="宋体"/>
          <w:sz w:val="24"/>
          <w:szCs w:val="24"/>
        </w:rPr>
      </w:pPr>
      <w:r>
        <w:rPr>
          <w:rFonts w:hint="eastAsia" w:ascii="宋体" w:hAnsi="宋体" w:cs="宋体"/>
          <w:sz w:val="24"/>
          <w:szCs w:val="24"/>
        </w:rPr>
        <w:t>（一）电缆技术参数：</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绝缘种类：</w:t>
      </w:r>
      <w:r>
        <w:rPr>
          <w:rFonts w:ascii="Arial" w:hAnsi="Arial" w:cs="Arial"/>
          <w:color w:val="333333"/>
          <w:sz w:val="24"/>
          <w:szCs w:val="24"/>
        </w:rPr>
        <w:t>交联聚乙烯</w:t>
      </w:r>
    </w:p>
    <w:p>
      <w:pPr>
        <w:pStyle w:val="13"/>
        <w:spacing w:line="360" w:lineRule="auto"/>
        <w:ind w:firstLine="480" w:firstLineChars="200"/>
        <w:rPr>
          <w:rFonts w:ascii="宋体" w:cs="宋体"/>
          <w:sz w:val="24"/>
          <w:szCs w:val="24"/>
        </w:rPr>
      </w:pPr>
      <w:r>
        <w:rPr>
          <w:rFonts w:ascii="宋体" w:hAnsi="宋体" w:cs="宋体"/>
          <w:sz w:val="24"/>
          <w:szCs w:val="24"/>
        </w:rPr>
        <w:t>2.</w:t>
      </w:r>
      <w:r>
        <w:rPr>
          <w:rFonts w:asciiTheme="minorEastAsia" w:hAnsiTheme="minorEastAsia" w:eastAsiaTheme="minorEastAsia"/>
          <w:spacing w:val="2"/>
          <w:kern w:val="2"/>
          <w:sz w:val="24"/>
          <w:szCs w:val="24"/>
        </w:rPr>
        <w:t>额定电压</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0.6/1.0kV</w:t>
      </w:r>
    </w:p>
    <w:p>
      <w:pPr>
        <w:pStyle w:val="13"/>
        <w:spacing w:line="360" w:lineRule="auto"/>
        <w:ind w:firstLine="480" w:firstLineChars="200"/>
        <w:rPr>
          <w:rFonts w:ascii="宋体" w:cs="宋体"/>
          <w:sz w:val="24"/>
          <w:szCs w:val="24"/>
          <w:highlight w:val="yellow"/>
        </w:rPr>
      </w:pPr>
      <w:r>
        <w:rPr>
          <w:rFonts w:ascii="宋体" w:hAnsi="宋体" w:cs="宋体"/>
          <w:sz w:val="24"/>
          <w:szCs w:val="24"/>
        </w:rPr>
        <w:t>3.</w:t>
      </w:r>
      <w:r>
        <w:rPr>
          <w:rFonts w:asciiTheme="minorEastAsia" w:hAnsiTheme="minorEastAsia" w:eastAsiaTheme="minorEastAsia"/>
          <w:spacing w:val="2"/>
          <w:kern w:val="2"/>
          <w:sz w:val="24"/>
          <w:szCs w:val="24"/>
        </w:rPr>
        <w:t>额定频率</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50 Hz</w:t>
      </w:r>
    </w:p>
    <w:p>
      <w:pPr>
        <w:pStyle w:val="13"/>
        <w:spacing w:line="360" w:lineRule="auto"/>
        <w:ind w:left="4439" w:leftChars="228" w:hanging="3960" w:hangingChars="1650"/>
        <w:rPr>
          <w:rFonts w:cs="宋体" w:asciiTheme="minorEastAsia" w:hAnsiTheme="minorEastAsia" w:eastAsiaTheme="minorEastAsia"/>
          <w:sz w:val="24"/>
          <w:szCs w:val="24"/>
        </w:rPr>
      </w:pPr>
      <w:r>
        <w:rPr>
          <w:rFonts w:ascii="宋体" w:hAnsi="宋体" w:cs="宋体"/>
          <w:sz w:val="24"/>
          <w:szCs w:val="24"/>
        </w:rPr>
        <w:t>4.</w:t>
      </w:r>
      <w:r>
        <w:rPr>
          <w:spacing w:val="2"/>
          <w:kern w:val="2"/>
          <w:sz w:val="24"/>
          <w:szCs w:val="24"/>
        </w:rPr>
        <w:t>线芯导体长期允许工作温度</w:t>
      </w:r>
      <w:r>
        <w:rPr>
          <w:rFonts w:hint="eastAsia" w:ascii="宋体" w:hAnsi="宋体" w:cs="宋体"/>
          <w:sz w:val="24"/>
          <w:szCs w:val="24"/>
        </w:rPr>
        <w:t>：</w:t>
      </w:r>
      <w:r>
        <w:rPr>
          <w:rFonts w:asciiTheme="minorEastAsia" w:hAnsiTheme="minorEastAsia" w:eastAsiaTheme="minorEastAsia"/>
          <w:spacing w:val="2"/>
          <w:kern w:val="2"/>
          <w:sz w:val="24"/>
          <w:szCs w:val="24"/>
        </w:rPr>
        <w:t>90</w:t>
      </w:r>
      <w:r>
        <w:rPr>
          <w:rFonts w:hint="eastAsia" w:cs="宋体" w:asciiTheme="minorEastAsia" w:hAnsiTheme="minorEastAsia" w:eastAsiaTheme="minorEastAsia"/>
          <w:spacing w:val="2"/>
          <w:kern w:val="2"/>
          <w:sz w:val="24"/>
          <w:szCs w:val="24"/>
        </w:rPr>
        <w:t>℃</w:t>
      </w:r>
      <w:r>
        <w:rPr>
          <w:rFonts w:hint="eastAsia" w:cs="宋体" w:asciiTheme="minorEastAsia" w:hAnsiTheme="minorEastAsia" w:eastAsiaTheme="minorEastAsia"/>
          <w:sz w:val="24"/>
          <w:szCs w:val="24"/>
          <w:highlight w:val="yellow"/>
        </w:rPr>
        <w:t>（绝缘为</w:t>
      </w:r>
      <w:r>
        <w:rPr>
          <w:rFonts w:cs="Arial" w:asciiTheme="minorEastAsia" w:hAnsiTheme="minorEastAsia" w:eastAsiaTheme="minorEastAsia"/>
          <w:color w:val="333333"/>
          <w:sz w:val="24"/>
          <w:szCs w:val="24"/>
          <w:highlight w:val="yellow"/>
        </w:rPr>
        <w:t>交联聚乙烯</w:t>
      </w:r>
      <w:r>
        <w:rPr>
          <w:rFonts w:hint="eastAsia" w:cs="宋体" w:asciiTheme="minorEastAsia" w:hAnsiTheme="minorEastAsia" w:eastAsiaTheme="minorEastAsia"/>
          <w:sz w:val="24"/>
          <w:szCs w:val="24"/>
          <w:highlight w:val="yellow"/>
        </w:rPr>
        <w:t>电缆）</w:t>
      </w:r>
      <w:r>
        <w:rPr>
          <w:rFonts w:hint="eastAsia" w:cs="宋体" w:asciiTheme="minorEastAsia" w:hAnsiTheme="minorEastAsia" w:eastAsiaTheme="minorEastAsia"/>
          <w:sz w:val="24"/>
          <w:szCs w:val="24"/>
        </w:rPr>
        <w:t xml:space="preserve">              </w:t>
      </w:r>
    </w:p>
    <w:p>
      <w:pPr>
        <w:pStyle w:val="13"/>
        <w:spacing w:line="360" w:lineRule="auto"/>
        <w:ind w:left="4439" w:leftChars="228" w:hanging="3960" w:hangingChars="1650"/>
        <w:rPr>
          <w:rFonts w:ascii="宋体" w:cs="宋体"/>
          <w:sz w:val="24"/>
          <w:szCs w:val="24"/>
        </w:rPr>
      </w:pPr>
      <w:r>
        <w:rPr>
          <w:rFonts w:cs="宋体" w:asciiTheme="minorEastAsia" w:hAnsiTheme="minorEastAsia" w:eastAsiaTheme="minorEastAsia"/>
          <w:sz w:val="24"/>
          <w:szCs w:val="24"/>
        </w:rPr>
        <w:t>5.</w:t>
      </w:r>
      <w:r>
        <w:rPr>
          <w:rFonts w:asciiTheme="minorEastAsia" w:hAnsiTheme="minorEastAsia" w:eastAsiaTheme="minorEastAsia"/>
          <w:spacing w:val="2"/>
          <w:kern w:val="2"/>
          <w:sz w:val="24"/>
          <w:szCs w:val="24"/>
        </w:rPr>
        <w:t>短路时电缆导体的最高温度（≤5s）</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250</w:t>
      </w:r>
      <w:r>
        <w:rPr>
          <w:rFonts w:hint="eastAsia" w:cs="宋体" w:asciiTheme="minorEastAsia" w:hAnsiTheme="minorEastAsia" w:eastAsiaTheme="minorEastAsia"/>
          <w:spacing w:val="2"/>
          <w:kern w:val="2"/>
          <w:sz w:val="24"/>
          <w:szCs w:val="24"/>
        </w:rPr>
        <w:t>℃</w:t>
      </w:r>
      <w:r>
        <w:rPr>
          <w:rFonts w:hint="eastAsia" w:cs="宋体" w:asciiTheme="minorEastAsia" w:hAnsiTheme="minorEastAsia" w:eastAsiaTheme="minorEastAsia"/>
          <w:sz w:val="24"/>
          <w:szCs w:val="24"/>
          <w:highlight w:val="yellow"/>
        </w:rPr>
        <w:t>（绝缘为</w:t>
      </w:r>
      <w:r>
        <w:rPr>
          <w:rFonts w:cs="Arial" w:asciiTheme="minorEastAsia" w:hAnsiTheme="minorEastAsia" w:eastAsiaTheme="minorEastAsia"/>
          <w:color w:val="333333"/>
          <w:sz w:val="24"/>
          <w:szCs w:val="24"/>
          <w:highlight w:val="yellow"/>
        </w:rPr>
        <w:t>交联聚乙烯</w:t>
      </w:r>
      <w:r>
        <w:rPr>
          <w:rFonts w:hint="eastAsia" w:cs="宋体" w:asciiTheme="minorEastAsia" w:hAnsiTheme="minorEastAsia" w:eastAsiaTheme="minorEastAsia"/>
          <w:sz w:val="24"/>
          <w:szCs w:val="24"/>
          <w:highlight w:val="yellow"/>
        </w:rPr>
        <w:t>电缆）</w:t>
      </w:r>
      <w:r>
        <w:rPr>
          <w:rFonts w:cs="Arial" w:asciiTheme="minorEastAsia" w:hAnsiTheme="minorEastAsia" w:eastAsiaTheme="minorEastAsia"/>
          <w:color w:val="333333"/>
          <w:sz w:val="24"/>
          <w:szCs w:val="24"/>
        </w:rPr>
        <w:t xml:space="preserve"> </w:t>
      </w:r>
      <w:r>
        <w:rPr>
          <w:rFonts w:hint="eastAsia" w:cs="Arial" w:asciiTheme="minorEastAsia" w:hAnsiTheme="minorEastAsia" w:eastAsiaTheme="minorEastAsia"/>
          <w:color w:val="333333"/>
          <w:sz w:val="24"/>
          <w:szCs w:val="24"/>
        </w:rPr>
        <w:t xml:space="preserve">      </w:t>
      </w:r>
    </w:p>
    <w:p>
      <w:pPr>
        <w:pStyle w:val="13"/>
        <w:spacing w:line="360" w:lineRule="auto"/>
        <w:ind w:firstLine="480" w:firstLineChars="200"/>
        <w:rPr>
          <w:rFonts w:hint="eastAsia" w:ascii="宋体" w:hAnsi="宋体" w:cs="宋体"/>
          <w:sz w:val="24"/>
          <w:szCs w:val="24"/>
          <w:highlight w:val="yellow"/>
        </w:rPr>
      </w:pPr>
      <w:r>
        <w:rPr>
          <w:rFonts w:ascii="宋体" w:hAnsi="宋体" w:cs="宋体"/>
          <w:sz w:val="24"/>
          <w:szCs w:val="24"/>
        </w:rPr>
        <w:t>6</w:t>
      </w:r>
      <w:r>
        <w:rPr>
          <w:rFonts w:ascii="宋体" w:hAnsi="宋体" w:cs="宋体"/>
          <w:color w:val="FF0000"/>
          <w:sz w:val="24"/>
          <w:szCs w:val="24"/>
        </w:rPr>
        <w:t>.</w:t>
      </w:r>
      <w:r>
        <w:rPr>
          <w:rFonts w:hint="eastAsia"/>
          <w:spacing w:val="2"/>
          <w:kern w:val="2"/>
          <w:sz w:val="24"/>
          <w:szCs w:val="24"/>
        </w:rPr>
        <w:t>规格尺寸</w:t>
      </w:r>
      <w:r>
        <w:rPr>
          <w:rFonts w:hint="eastAsia" w:ascii="宋体" w:hAnsi="宋体" w:cs="宋体"/>
          <w:sz w:val="24"/>
          <w:szCs w:val="24"/>
        </w:rPr>
        <w:t>：芯数和截面尺寸</w:t>
      </w:r>
      <w:r>
        <w:rPr>
          <w:rFonts w:hint="eastAsia" w:ascii="宋体" w:hAnsi="宋体" w:cs="宋体"/>
          <w:sz w:val="24"/>
          <w:szCs w:val="24"/>
          <w:highlight w:val="yellow"/>
        </w:rPr>
        <w:t>（所有电缆通用）</w:t>
      </w:r>
    </w:p>
    <w:p>
      <w:pPr>
        <w:pStyle w:val="13"/>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电力电缆VV22 3×25+1×16</w:t>
      </w:r>
      <w:r>
        <w:rPr>
          <w:rFonts w:hint="eastAsia" w:ascii="宋体" w:hAnsi="宋体" w:cs="宋体"/>
          <w:sz w:val="24"/>
          <w:szCs w:val="24"/>
          <w:highlight w:val="none"/>
          <w:lang w:val="en-US" w:eastAsia="zh-CN"/>
        </w:rPr>
        <w:t xml:space="preserve"> 芯数：四芯（3+1）、截面尺寸：25mm2+16mm2</w:t>
      </w:r>
    </w:p>
    <w:p>
      <w:pPr>
        <w:pStyle w:val="13"/>
        <w:spacing w:line="360" w:lineRule="auto"/>
        <w:ind w:firstLine="480" w:firstLineChars="200"/>
        <w:rPr>
          <w:rFonts w:hint="eastAsia" w:ascii="宋体" w:hAnsi="宋体" w:eastAsia="宋体" w:cs="宋体"/>
          <w:sz w:val="24"/>
          <w:szCs w:val="24"/>
          <w:highlight w:val="yellow"/>
          <w:lang w:val="en-US" w:eastAsia="zh-CN"/>
        </w:rPr>
      </w:pPr>
      <w:r>
        <w:rPr>
          <w:rFonts w:hint="eastAsia" w:ascii="宋体" w:hAnsi="宋体" w:cs="宋体"/>
          <w:sz w:val="24"/>
          <w:szCs w:val="24"/>
          <w:highlight w:val="none"/>
        </w:rPr>
        <w:t>电力电缆VV22 3×95+1×35</w:t>
      </w:r>
      <w:r>
        <w:rPr>
          <w:rFonts w:hint="eastAsia" w:ascii="宋体" w:hAnsi="宋体" w:cs="宋体"/>
          <w:sz w:val="24"/>
          <w:szCs w:val="24"/>
          <w:highlight w:val="none"/>
          <w:lang w:val="en-US" w:eastAsia="zh-CN"/>
        </w:rPr>
        <w:t xml:space="preserve"> 芯数：四芯（3+1）、截面尺寸：95mm2+35mm2</w:t>
      </w:r>
    </w:p>
    <w:p>
      <w:pPr>
        <w:pStyle w:val="13"/>
        <w:spacing w:line="360" w:lineRule="auto"/>
        <w:ind w:firstLine="480" w:firstLineChars="200"/>
        <w:rPr>
          <w:rFonts w:ascii="宋体" w:cs="宋体"/>
          <w:sz w:val="24"/>
          <w:szCs w:val="24"/>
        </w:rPr>
      </w:pPr>
      <w:r>
        <w:rPr>
          <w:rFonts w:ascii="宋体" w:hAnsi="宋体" w:cs="宋体"/>
          <w:sz w:val="24"/>
          <w:szCs w:val="24"/>
        </w:rPr>
        <w:t>7.</w:t>
      </w:r>
      <w:r>
        <w:rPr>
          <w:rFonts w:hint="eastAsia"/>
          <w:spacing w:val="2"/>
          <w:kern w:val="2"/>
          <w:sz w:val="24"/>
          <w:szCs w:val="24"/>
        </w:rPr>
        <w:t>导线材料</w:t>
      </w:r>
      <w:r>
        <w:rPr>
          <w:rFonts w:hint="eastAsia" w:ascii="宋体" w:hAnsi="宋体" w:cs="宋体"/>
          <w:color w:val="FF0000"/>
          <w:sz w:val="24"/>
          <w:szCs w:val="24"/>
        </w:rPr>
        <w:t>：</w:t>
      </w:r>
      <w:r>
        <w:rPr>
          <w:rFonts w:hint="eastAsia" w:ascii="宋体" w:hAnsi="宋体" w:cs="宋体"/>
          <w:sz w:val="24"/>
          <w:szCs w:val="24"/>
        </w:rPr>
        <w:t>铜</w:t>
      </w:r>
    </w:p>
    <w:p>
      <w:pPr>
        <w:pStyle w:val="13"/>
        <w:spacing w:line="360" w:lineRule="auto"/>
        <w:ind w:firstLine="480" w:firstLineChars="200"/>
        <w:rPr>
          <w:rFonts w:ascii="宋体" w:cs="宋体"/>
          <w:sz w:val="24"/>
          <w:szCs w:val="24"/>
        </w:rPr>
      </w:pPr>
      <w:r>
        <w:rPr>
          <w:rFonts w:ascii="宋体" w:hAnsi="宋体" w:cs="宋体"/>
          <w:sz w:val="24"/>
          <w:szCs w:val="24"/>
        </w:rPr>
        <w:t>8.</w:t>
      </w:r>
      <w:r>
        <w:rPr>
          <w:spacing w:val="2"/>
          <w:kern w:val="2"/>
          <w:sz w:val="24"/>
          <w:szCs w:val="24"/>
        </w:rPr>
        <w:t>安装方式</w:t>
      </w:r>
      <w:r>
        <w:rPr>
          <w:rFonts w:hint="eastAsia" w:ascii="宋体" w:hAnsi="宋体" w:cs="宋体"/>
          <w:color w:val="FF0000"/>
          <w:sz w:val="24"/>
          <w:szCs w:val="24"/>
        </w:rPr>
        <w:t>：</w:t>
      </w:r>
      <w:r>
        <w:rPr>
          <w:rFonts w:ascii="宋体" w:hAnsi="宋体" w:cs="宋体"/>
          <w:sz w:val="24"/>
          <w:szCs w:val="24"/>
        </w:rPr>
        <w:t>埋地敷设</w:t>
      </w:r>
    </w:p>
    <w:p>
      <w:pPr>
        <w:pStyle w:val="13"/>
        <w:spacing w:line="360" w:lineRule="auto"/>
        <w:ind w:left="719" w:leftChars="228" w:hanging="240" w:hangingChars="100"/>
        <w:rPr>
          <w:rFonts w:ascii="宋体" w:cs="宋体"/>
          <w:sz w:val="24"/>
          <w:szCs w:val="24"/>
        </w:rPr>
      </w:pPr>
      <w:r>
        <w:rPr>
          <w:rFonts w:hint="eastAsia" w:ascii="宋体" w:hAnsi="宋体" w:cs="宋体"/>
          <w:sz w:val="24"/>
          <w:szCs w:val="24"/>
        </w:rPr>
        <w:t>9</w:t>
      </w:r>
      <w:r>
        <w:rPr>
          <w:rFonts w:ascii="宋体" w:hAnsi="宋体" w:cs="宋体"/>
          <w:sz w:val="24"/>
          <w:szCs w:val="24"/>
        </w:rPr>
        <w:t>.</w:t>
      </w:r>
      <w:r>
        <w:rPr>
          <w:rFonts w:ascii="Arial" w:hAnsi="Arial" w:cs="Arial"/>
          <w:color w:val="333333"/>
          <w:sz w:val="24"/>
          <w:szCs w:val="24"/>
        </w:rPr>
        <w:t>内护层</w:t>
      </w:r>
      <w:r>
        <w:rPr>
          <w:rFonts w:hint="eastAsia" w:ascii="宋体" w:hAnsi="宋体" w:cs="宋体"/>
          <w:sz w:val="24"/>
          <w:szCs w:val="24"/>
        </w:rPr>
        <w:t>：</w:t>
      </w:r>
      <w:r>
        <w:rPr>
          <w:rFonts w:ascii="宋体" w:hAnsi="宋体" w:cs="宋体"/>
          <w:sz w:val="24"/>
          <w:szCs w:val="24"/>
        </w:rPr>
        <w:t>聚氯乙烯护套</w:t>
      </w:r>
    </w:p>
    <w:p>
      <w:pPr>
        <w:pStyle w:val="13"/>
        <w:spacing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w:t>
      </w:r>
      <w:r>
        <w:rPr>
          <w:rFonts w:ascii="Arial" w:hAnsi="Arial" w:cs="Arial"/>
          <w:color w:val="333333"/>
          <w:sz w:val="24"/>
          <w:szCs w:val="24"/>
        </w:rPr>
        <w:t>特征</w:t>
      </w:r>
      <w:r>
        <w:rPr>
          <w:rFonts w:hint="eastAsia" w:ascii="宋体" w:hAnsi="宋体" w:cs="宋体"/>
          <w:sz w:val="24"/>
          <w:szCs w:val="24"/>
        </w:rPr>
        <w:t>：</w:t>
      </w:r>
      <w:r>
        <w:rPr>
          <w:rFonts w:ascii="宋体" w:hAnsi="宋体" w:cs="宋体"/>
          <w:sz w:val="24"/>
          <w:szCs w:val="24"/>
        </w:rPr>
        <w:t>分相</w:t>
      </w:r>
    </w:p>
    <w:p>
      <w:pPr>
        <w:pStyle w:val="13"/>
        <w:spacing w:line="360" w:lineRule="auto"/>
        <w:ind w:firstLine="480" w:firstLineChars="200"/>
        <w:rPr>
          <w:rFonts w:ascii="宋体" w:cs="宋体"/>
          <w:sz w:val="24"/>
          <w:szCs w:val="24"/>
        </w:rPr>
      </w:pPr>
      <w:r>
        <w:rPr>
          <w:rFonts w:hint="eastAsia" w:ascii="宋体" w:hAnsi="宋体" w:cs="宋体"/>
          <w:sz w:val="24"/>
          <w:szCs w:val="24"/>
        </w:rPr>
        <w:t>11</w:t>
      </w:r>
      <w:r>
        <w:rPr>
          <w:rFonts w:ascii="宋体" w:hAnsi="宋体" w:cs="宋体"/>
          <w:sz w:val="24"/>
          <w:szCs w:val="24"/>
        </w:rPr>
        <w:t>.</w:t>
      </w:r>
      <w:r>
        <w:rPr>
          <w:rFonts w:ascii="Arial" w:hAnsi="Arial" w:cs="Arial"/>
          <w:color w:val="333333"/>
          <w:sz w:val="24"/>
          <w:szCs w:val="24"/>
        </w:rPr>
        <w:t>铠装层</w:t>
      </w:r>
      <w:r>
        <w:rPr>
          <w:rFonts w:hint="eastAsia" w:ascii="宋体" w:hAnsi="宋体" w:cs="宋体"/>
          <w:sz w:val="24"/>
          <w:szCs w:val="24"/>
        </w:rPr>
        <w:t>：</w:t>
      </w:r>
      <w:r>
        <w:rPr>
          <w:rFonts w:ascii="宋体" w:hAnsi="宋体" w:cs="宋体"/>
          <w:sz w:val="24"/>
          <w:szCs w:val="24"/>
        </w:rPr>
        <w:t>双钢带</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w:t>
      </w:r>
      <w:r>
        <w:rPr>
          <w:rFonts w:ascii="Arial" w:hAnsi="Arial" w:cs="Arial"/>
          <w:color w:val="333333"/>
          <w:sz w:val="24"/>
          <w:szCs w:val="24"/>
        </w:rPr>
        <w:t>外被层</w:t>
      </w:r>
      <w:r>
        <w:rPr>
          <w:rFonts w:hint="eastAsia" w:ascii="宋体" w:hAnsi="宋体" w:cs="宋体"/>
          <w:sz w:val="24"/>
          <w:szCs w:val="24"/>
        </w:rPr>
        <w:t>：</w:t>
      </w:r>
      <w:r>
        <w:rPr>
          <w:rFonts w:ascii="宋体" w:hAnsi="宋体" w:cs="宋体"/>
          <w:sz w:val="24"/>
          <w:szCs w:val="24"/>
        </w:rPr>
        <w:t>聚乙烯护套</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w:t>
      </w:r>
      <w:r>
        <w:rPr>
          <w:rFonts w:asciiTheme="minorEastAsia" w:hAnsiTheme="minorEastAsia" w:eastAsiaTheme="minorEastAsia"/>
          <w:spacing w:val="4"/>
          <w:sz w:val="24"/>
          <w:szCs w:val="24"/>
        </w:rPr>
        <w:t>不圆度</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不圆度应不大于10%</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4</w:t>
      </w:r>
      <w:r>
        <w:rPr>
          <w:rFonts w:ascii="宋体" w:hAnsi="宋体" w:cs="宋体"/>
          <w:sz w:val="24"/>
          <w:szCs w:val="24"/>
        </w:rPr>
        <w:t>.</w:t>
      </w:r>
      <w:r>
        <w:rPr>
          <w:rFonts w:asciiTheme="minorEastAsia" w:hAnsiTheme="minorEastAsia" w:eastAsiaTheme="minorEastAsia"/>
          <w:spacing w:val="4"/>
          <w:sz w:val="24"/>
          <w:szCs w:val="24"/>
        </w:rPr>
        <w:t>阻燃要求</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需符合GB/T 19666的相关规定</w:t>
      </w:r>
    </w:p>
    <w:p>
      <w:pPr>
        <w:pStyle w:val="13"/>
        <w:spacing w:line="360" w:lineRule="auto"/>
        <w:ind w:left="2039" w:leftChars="228" w:hanging="1560" w:hangingChars="650"/>
        <w:rPr>
          <w:rFonts w:ascii="宋体" w:cs="宋体"/>
          <w:sz w:val="24"/>
          <w:szCs w:val="24"/>
        </w:rPr>
      </w:pPr>
      <w:r>
        <w:rPr>
          <w:rFonts w:ascii="宋体" w:hAnsi="宋体" w:cs="宋体"/>
          <w:sz w:val="24"/>
          <w:szCs w:val="24"/>
        </w:rPr>
        <w:t>1</w:t>
      </w: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质量标准：</w:t>
      </w:r>
      <w:r>
        <w:rPr>
          <w:rFonts w:hint="eastAsia" w:ascii="宋体" w:hAnsi="宋体" w:cs="宋体"/>
          <w:color w:val="FF0000"/>
          <w:sz w:val="24"/>
          <w:szCs w:val="24"/>
        </w:rPr>
        <w:t>必须符合</w:t>
      </w:r>
      <w:r>
        <w:rPr>
          <w:rFonts w:hint="eastAsia" w:ascii="宋体" w:hAnsi="宋体"/>
          <w:color w:val="FF0000"/>
          <w:kern w:val="2"/>
          <w:sz w:val="21"/>
          <w:szCs w:val="21"/>
        </w:rPr>
        <w:t>《</w:t>
      </w:r>
      <w:r>
        <w:rPr>
          <w:rFonts w:hint="eastAsia" w:ascii="宋体" w:hAnsi="宋体" w:cs="宋体"/>
          <w:color w:val="FF0000"/>
          <w:sz w:val="24"/>
          <w:szCs w:val="24"/>
        </w:rPr>
        <w:t>电线电缆国家标准汇编》标准</w:t>
      </w:r>
      <w:r>
        <w:rPr>
          <w:rFonts w:hint="eastAsia"/>
          <w:spacing w:val="2"/>
          <w:kern w:val="2"/>
          <w:sz w:val="24"/>
          <w:szCs w:val="24"/>
        </w:rPr>
        <w:t>导线材料为</w:t>
      </w:r>
      <w:r>
        <w:rPr>
          <w:rFonts w:hint="eastAsia" w:ascii="宋体" w:hAnsi="宋体" w:cs="宋体"/>
          <w:sz w:val="24"/>
          <w:szCs w:val="24"/>
        </w:rPr>
        <w:t>铝合金执行</w:t>
      </w:r>
      <w:r>
        <w:rPr>
          <w:rFonts w:asciiTheme="minorEastAsia" w:hAnsiTheme="minorEastAsia" w:eastAsiaTheme="minorEastAsia"/>
          <w:sz w:val="24"/>
          <w:szCs w:val="24"/>
        </w:rPr>
        <w:t xml:space="preserve">GB/T </w:t>
      </w:r>
      <w:r>
        <w:rPr>
          <w:rFonts w:hint="eastAsia" w:ascii="宋体" w:hAnsi="宋体" w:cs="宋体"/>
          <w:sz w:val="24"/>
          <w:szCs w:val="24"/>
        </w:rPr>
        <w:t>31840-2015标准</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导体直流电阻：执行</w:t>
      </w:r>
      <w:r>
        <w:rPr>
          <w:rFonts w:ascii="宋体" w:hAnsi="宋体" w:cs="宋体"/>
          <w:sz w:val="24"/>
          <w:szCs w:val="24"/>
        </w:rPr>
        <w:t xml:space="preserve">GB/T </w:t>
      </w:r>
      <w:r>
        <w:rPr>
          <w:rFonts w:hint="eastAsia" w:ascii="宋体" w:hAnsi="宋体" w:cs="宋体"/>
          <w:sz w:val="24"/>
          <w:szCs w:val="24"/>
        </w:rPr>
        <w:t>3956-2008标准</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材料特性：</w:t>
      </w:r>
      <w:r>
        <w:rPr>
          <w:rFonts w:ascii="宋体" w:hAnsi="宋体" w:cs="宋体"/>
          <w:sz w:val="24"/>
          <w:szCs w:val="24"/>
        </w:rPr>
        <w:t>阻燃</w:t>
      </w:r>
      <w:r>
        <w:rPr>
          <w:rFonts w:asciiTheme="minorEastAsia" w:hAnsiTheme="minorEastAsia" w:eastAsiaTheme="minorEastAsia"/>
          <w:spacing w:val="2"/>
          <w:kern w:val="2"/>
          <w:sz w:val="24"/>
          <w:szCs w:val="24"/>
        </w:rPr>
        <w:t>/耐火/防火</w:t>
      </w:r>
    </w:p>
    <w:p>
      <w:pPr>
        <w:pStyle w:val="13"/>
        <w:spacing w:line="360" w:lineRule="auto"/>
        <w:ind w:firstLine="480" w:firstLineChars="200"/>
        <w:rPr>
          <w:rFonts w:ascii="宋体" w:hAnsi="宋体" w:cs="宋体"/>
          <w:sz w:val="24"/>
          <w:szCs w:val="24"/>
          <w:highlight w:val="green"/>
        </w:rPr>
      </w:pPr>
    </w:p>
    <w:p>
      <w:pPr>
        <w:pStyle w:val="13"/>
        <w:spacing w:line="360" w:lineRule="auto"/>
        <w:rPr>
          <w:rFonts w:ascii="宋体"/>
          <w:b/>
          <w:bCs/>
          <w:color w:val="000000" w:themeColor="text1"/>
          <w:sz w:val="24"/>
          <w:szCs w:val="24"/>
        </w:rPr>
      </w:pPr>
      <w:r>
        <w:rPr>
          <w:rFonts w:hint="eastAsia" w:ascii="宋体" w:hAnsi="宋体" w:cs="宋体"/>
          <w:b/>
          <w:bCs/>
          <w:color w:val="000000" w:themeColor="text1"/>
          <w:sz w:val="24"/>
          <w:szCs w:val="24"/>
          <w:lang w:eastAsia="zh-CN"/>
        </w:rPr>
        <w:t>（二）</w:t>
      </w:r>
      <w:r>
        <w:rPr>
          <w:rFonts w:hint="eastAsia" w:ascii="宋体" w:hAnsi="宋体" w:cs="宋体"/>
          <w:b/>
          <w:bCs/>
          <w:color w:val="000000" w:themeColor="text1"/>
          <w:sz w:val="24"/>
          <w:szCs w:val="24"/>
        </w:rPr>
        <w:t>技术服务和质保期服务要求</w:t>
      </w:r>
    </w:p>
    <w:p>
      <w:pPr>
        <w:pStyle w:val="13"/>
        <w:spacing w:line="360" w:lineRule="auto"/>
        <w:rPr>
          <w:rFonts w:ascii="宋体" w:cs="宋体"/>
          <w:color w:val="FF0000"/>
          <w:sz w:val="24"/>
          <w:szCs w:val="24"/>
        </w:rPr>
      </w:pPr>
      <w:r>
        <w:rPr>
          <w:rFonts w:ascii="宋体" w:hAnsi="宋体" w:cs="宋体"/>
          <w:color w:val="FF0000"/>
          <w:sz w:val="24"/>
          <w:szCs w:val="24"/>
        </w:rPr>
        <w:t>1.</w:t>
      </w:r>
      <w:r>
        <w:rPr>
          <w:rFonts w:hint="eastAsia" w:ascii="宋体" w:hAnsi="宋体" w:cs="宋体"/>
          <w:color w:val="FF0000"/>
          <w:sz w:val="24"/>
          <w:szCs w:val="24"/>
        </w:rPr>
        <w:t>报价方服务响应必须满足</w:t>
      </w:r>
      <w:r>
        <w:rPr>
          <w:rFonts w:ascii="宋体" w:hAnsi="宋体" w:cs="宋体"/>
          <w:color w:val="FF0000"/>
          <w:sz w:val="24"/>
          <w:szCs w:val="24"/>
        </w:rPr>
        <w:t>24</w:t>
      </w:r>
      <w:r>
        <w:rPr>
          <w:rFonts w:hint="eastAsia" w:ascii="宋体" w:hAnsi="宋体" w:cs="宋体"/>
          <w:color w:val="FF0000"/>
          <w:sz w:val="24"/>
          <w:szCs w:val="24"/>
        </w:rPr>
        <w:t>小时内进行答复，</w:t>
      </w:r>
      <w:r>
        <w:rPr>
          <w:rFonts w:ascii="宋体" w:hAnsi="宋体" w:cs="宋体"/>
          <w:color w:val="FF0000"/>
          <w:sz w:val="24"/>
          <w:szCs w:val="24"/>
        </w:rPr>
        <w:t>48</w:t>
      </w:r>
      <w:r>
        <w:rPr>
          <w:rFonts w:hint="eastAsia" w:ascii="宋体" w:hAnsi="宋体" w:cs="宋体"/>
          <w:color w:val="FF0000"/>
          <w:sz w:val="24"/>
          <w:szCs w:val="24"/>
        </w:rPr>
        <w:t>小时内工程师到达现场；</w:t>
      </w:r>
    </w:p>
    <w:p>
      <w:pPr>
        <w:pStyle w:val="13"/>
        <w:spacing w:line="360" w:lineRule="auto"/>
        <w:rPr>
          <w:rFonts w:ascii="宋体" w:cs="宋体"/>
          <w:color w:val="FF0000"/>
          <w:sz w:val="24"/>
          <w:szCs w:val="24"/>
        </w:rPr>
      </w:pPr>
      <w:r>
        <w:rPr>
          <w:rFonts w:ascii="宋体" w:hAnsi="宋体" w:cs="宋体"/>
          <w:color w:val="FF0000"/>
          <w:sz w:val="24"/>
          <w:szCs w:val="24"/>
        </w:rPr>
        <w:t>2.</w:t>
      </w:r>
      <w:r>
        <w:rPr>
          <w:rFonts w:hint="eastAsia" w:ascii="宋体" w:hAnsi="宋体" w:cs="宋体"/>
          <w:color w:val="FF0000"/>
          <w:sz w:val="24"/>
          <w:szCs w:val="24"/>
        </w:rPr>
        <w:t>报价方出现质量问题必须在</w:t>
      </w:r>
      <w:r>
        <w:rPr>
          <w:rFonts w:ascii="宋体" w:hAnsi="宋体" w:cs="宋体"/>
          <w:color w:val="FF0000"/>
          <w:sz w:val="24"/>
          <w:szCs w:val="24"/>
        </w:rPr>
        <w:t>24</w:t>
      </w:r>
      <w:r>
        <w:rPr>
          <w:rFonts w:hint="eastAsia" w:ascii="宋体" w:hAnsi="宋体" w:cs="宋体"/>
          <w:color w:val="FF0000"/>
          <w:sz w:val="24"/>
          <w:szCs w:val="24"/>
        </w:rPr>
        <w:t>小时内提供书面解决方案，且质量延保时间必须额外增加</w:t>
      </w:r>
      <w:r>
        <w:rPr>
          <w:rFonts w:ascii="宋体" w:hAnsi="宋体" w:cs="宋体"/>
          <w:color w:val="FF0000"/>
          <w:sz w:val="24"/>
          <w:szCs w:val="24"/>
        </w:rPr>
        <w:t>6</w:t>
      </w:r>
      <w:r>
        <w:rPr>
          <w:rFonts w:hint="eastAsia" w:ascii="宋体" w:hAnsi="宋体" w:cs="宋体"/>
          <w:color w:val="FF0000"/>
          <w:sz w:val="24"/>
          <w:szCs w:val="24"/>
        </w:rPr>
        <w:t>个月；</w:t>
      </w:r>
    </w:p>
    <w:p>
      <w:pPr>
        <w:pStyle w:val="13"/>
        <w:spacing w:line="360" w:lineRule="auto"/>
        <w:rPr>
          <w:rFonts w:ascii="宋体" w:cs="宋体"/>
          <w:color w:val="FF0000"/>
          <w:sz w:val="24"/>
          <w:szCs w:val="24"/>
        </w:rPr>
      </w:pPr>
      <w:r>
        <w:rPr>
          <w:rFonts w:ascii="宋体" w:hAnsi="宋体" w:cs="宋体"/>
          <w:color w:val="FF0000"/>
          <w:sz w:val="24"/>
          <w:szCs w:val="24"/>
        </w:rPr>
        <w:t>3.</w:t>
      </w:r>
      <w:r>
        <w:rPr>
          <w:rFonts w:hint="eastAsia" w:ascii="宋体" w:hAnsi="宋体" w:cs="宋体"/>
          <w:color w:val="FF0000"/>
          <w:sz w:val="24"/>
          <w:szCs w:val="24"/>
        </w:rPr>
        <w:t>本次采购电缆的质保期、售后服务、技术支持及其他服务以华能集团年度资格预审通过后各厂家递交至北方公司承诺函为准</w:t>
      </w:r>
      <w:r>
        <w:rPr>
          <w:rFonts w:ascii="宋体" w:hAnsi="宋体" w:cs="宋体"/>
          <w:color w:val="FF0000"/>
          <w:sz w:val="24"/>
          <w:szCs w:val="24"/>
        </w:rPr>
        <w:t>(</w:t>
      </w:r>
      <w:r>
        <w:rPr>
          <w:rFonts w:hint="eastAsia" w:ascii="宋体" w:hAnsi="宋体" w:cs="宋体"/>
          <w:color w:val="FF0000"/>
          <w:sz w:val="24"/>
          <w:szCs w:val="24"/>
        </w:rPr>
        <w:t>质量寿命30年；免费保修至少不得低于1年</w:t>
      </w:r>
      <w:r>
        <w:rPr>
          <w:rFonts w:ascii="宋体" w:hAnsi="宋体" w:cs="宋体"/>
          <w:color w:val="FF0000"/>
          <w:sz w:val="24"/>
          <w:szCs w:val="24"/>
        </w:rPr>
        <w:t>)</w:t>
      </w:r>
      <w:r>
        <w:rPr>
          <w:rFonts w:hint="eastAsia" w:ascii="宋体" w:hAnsi="宋体" w:cs="宋体"/>
          <w:color w:val="FF0000"/>
          <w:sz w:val="24"/>
          <w:szCs w:val="24"/>
        </w:rPr>
        <w:t>。</w:t>
      </w:r>
    </w:p>
    <w:p>
      <w:pPr>
        <w:pStyle w:val="13"/>
        <w:numPr>
          <w:ilvl w:val="0"/>
          <w:numId w:val="4"/>
        </w:numPr>
        <w:spacing w:line="360" w:lineRule="auto"/>
        <w:ind w:firstLine="482" w:firstLineChars="200"/>
        <w:rPr>
          <w:rFonts w:ascii="宋体" w:cs="宋体"/>
          <w:b/>
          <w:bCs/>
          <w:color w:val="000000" w:themeColor="text1"/>
          <w:sz w:val="24"/>
          <w:szCs w:val="24"/>
        </w:rPr>
      </w:pPr>
      <w:r>
        <w:rPr>
          <w:rFonts w:hint="eastAsia" w:ascii="宋体" w:hAnsi="宋体" w:cs="宋体"/>
          <w:b/>
          <w:bCs/>
          <w:color w:val="000000" w:themeColor="text1"/>
          <w:sz w:val="24"/>
          <w:szCs w:val="24"/>
        </w:rPr>
        <w:t>技术协议及合同签订</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中标确认后，采购方和报价方必须通过微信视频、照片、现场确认等方式确认电缆型号及技术参数，确认无误后双方签订技术协议（协议中应明确电缆型号及技术参数），签订技术协议后方可签订合同。</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技术协议和合同签订必须是法人或法人授权代表，签字人员需提供本人身份证、中标单位的授权书和中标单位当年社保证明，缺一不可。</w:t>
      </w:r>
    </w:p>
    <w:p>
      <w:pPr>
        <w:pStyle w:val="13"/>
        <w:spacing w:line="360" w:lineRule="auto"/>
        <w:ind w:firstLine="482" w:firstLineChars="200"/>
        <w:rPr>
          <w:rFonts w:ascii="宋体" w:cs="宋体"/>
          <w:b/>
          <w:bCs/>
          <w:color w:val="000000" w:themeColor="text1"/>
          <w:sz w:val="24"/>
          <w:szCs w:val="24"/>
        </w:rPr>
      </w:pPr>
    </w:p>
    <w:p>
      <w:pPr>
        <w:pStyle w:val="13"/>
        <w:numPr>
          <w:ilvl w:val="0"/>
          <w:numId w:val="4"/>
        </w:numPr>
        <w:spacing w:line="360" w:lineRule="auto"/>
        <w:ind w:firstLine="482" w:firstLineChars="200"/>
        <w:rPr>
          <w:rFonts w:ascii="宋体" w:cs="宋体"/>
          <w:b/>
          <w:bCs/>
          <w:color w:val="000000" w:themeColor="text1"/>
          <w:sz w:val="24"/>
          <w:szCs w:val="24"/>
        </w:rPr>
      </w:pPr>
      <w:r>
        <w:rPr>
          <w:rFonts w:hint="eastAsia" w:ascii="宋体" w:hAnsi="宋体" w:cs="宋体"/>
          <w:b/>
          <w:bCs/>
          <w:color w:val="000000" w:themeColor="text1"/>
          <w:sz w:val="24"/>
          <w:szCs w:val="24"/>
        </w:rPr>
        <w:t>电缆质量验收及供应商考核</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w:t>
      </w:r>
      <w:r>
        <w:rPr>
          <w:rFonts w:hint="eastAsia" w:cs="宋体" w:asciiTheme="minorEastAsia" w:hAnsiTheme="minorEastAsia" w:eastAsiaTheme="minorEastAsia"/>
          <w:color w:val="FF0000"/>
          <w:sz w:val="24"/>
          <w:szCs w:val="24"/>
        </w:rPr>
        <w:t>电缆到达现场后，双方必须共同进行质量验收（可通过微信视频、照片、现场确认等方式），且验收内容至少包括：</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1.1.</w:t>
      </w:r>
      <w:r>
        <w:rPr>
          <w:rFonts w:hint="eastAsia" w:cs="宋体" w:asciiTheme="minorEastAsia" w:hAnsiTheme="minorEastAsia" w:eastAsiaTheme="minorEastAsia"/>
          <w:color w:val="FF0000"/>
          <w:sz w:val="24"/>
          <w:szCs w:val="24"/>
        </w:rPr>
        <w:t>外观检测：</w:t>
      </w:r>
      <w:r>
        <w:rPr>
          <w:rFonts w:asciiTheme="minorEastAsia" w:hAnsiTheme="minorEastAsia" w:eastAsiaTheme="minorEastAsia"/>
          <w:color w:val="FF0000"/>
          <w:sz w:val="24"/>
          <w:szCs w:val="24"/>
        </w:rPr>
        <w:t>成品电缆的护套表面上应有制造厂名、产品型号、额定电压、每米打字和制造年、月的连续标志，标志应字迹清楚，清晰耐磨。</w:t>
      </w:r>
      <w:r>
        <w:rPr>
          <w:rFonts w:asciiTheme="minorEastAsia" w:hAnsiTheme="minorEastAsia" w:eastAsiaTheme="minorEastAsia"/>
          <w:color w:val="FF0000"/>
          <w:spacing w:val="-2"/>
          <w:sz w:val="24"/>
          <w:szCs w:val="24"/>
        </w:rPr>
        <w:t>除非另有规定，电缆应卷绕在符合JB/T 8137的电缆盘上交货，每个电缆盘上只能卷绕一根电缆。</w:t>
      </w:r>
      <w:r>
        <w:rPr>
          <w:rFonts w:asciiTheme="minorEastAsia" w:hAnsiTheme="minorEastAsia" w:eastAsiaTheme="minorEastAsia"/>
          <w:color w:val="FF0000"/>
          <w:sz w:val="24"/>
          <w:szCs w:val="24"/>
        </w:rPr>
        <w:t>电缆的两端应采用防潮帽密封并牢靠地固定在电缆盘上。在每盘电缆的外侧端应装有经采购方认可的敷设电缆时牵引用的拉眼或牵引螺栓。拉眼或牵引螺栓与电缆导体的连接，应能满足敷设电缆时的牵引方式和牵引该长度的电缆所需的机械强度</w:t>
      </w:r>
      <w:r>
        <w:rPr>
          <w:rFonts w:hint="eastAsia" w:cs="宋体" w:asciiTheme="minorEastAsia" w:hAnsiTheme="minorEastAsia" w:eastAsiaTheme="minorEastAsia"/>
          <w:color w:val="FF0000"/>
          <w:sz w:val="24"/>
          <w:szCs w:val="24"/>
        </w:rPr>
        <w:t>；</w:t>
      </w:r>
    </w:p>
    <w:p>
      <w:pPr>
        <w:pStyle w:val="13"/>
        <w:spacing w:line="360" w:lineRule="auto"/>
        <w:ind w:firstLine="480" w:firstLineChars="200"/>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rPr>
        <w:t>1.2.</w:t>
      </w:r>
      <w:r>
        <w:rPr>
          <w:rFonts w:hint="eastAsia" w:asciiTheme="minorEastAsia" w:hAnsiTheme="minorEastAsia" w:eastAsiaTheme="minorEastAsia"/>
          <w:color w:val="FF0000"/>
          <w:sz w:val="24"/>
          <w:szCs w:val="24"/>
        </w:rPr>
        <w:t xml:space="preserve"> 安装前的抽检试验</w:t>
      </w:r>
      <w:r>
        <w:rPr>
          <w:rFonts w:hint="eastAsia" w:cs="宋体" w:asciiTheme="minorEastAsia" w:hAnsiTheme="minorEastAsia" w:eastAsiaTheme="minorEastAsia"/>
          <w:color w:val="FF0000"/>
          <w:sz w:val="24"/>
          <w:szCs w:val="24"/>
        </w:rPr>
        <w:t>：</w:t>
      </w:r>
      <w:r>
        <w:rPr>
          <w:rFonts w:hint="eastAsia" w:asciiTheme="minorEastAsia" w:hAnsiTheme="minorEastAsia" w:eastAsiaTheme="minorEastAsia"/>
          <w:bCs/>
          <w:color w:val="FF0000"/>
          <w:sz w:val="24"/>
          <w:szCs w:val="24"/>
        </w:rPr>
        <w:t>每种规格电缆运至现场后进行抽检，抽检方法及要求严格执行规程规范的相关要求。</w:t>
      </w:r>
      <w:r>
        <w:rPr>
          <w:rFonts w:asciiTheme="minorEastAsia" w:hAnsiTheme="minorEastAsia" w:eastAsiaTheme="minorEastAsia"/>
          <w:color w:val="FF0000"/>
          <w:kern w:val="2"/>
          <w:sz w:val="24"/>
          <w:szCs w:val="24"/>
        </w:rPr>
        <w:t>电缆的抽样试验应按GB/T 12706、GB/T 5023、GB/T 9330、GB/T 19666等标准或买方要求进行。</w:t>
      </w:r>
      <w:r>
        <w:rPr>
          <w:rFonts w:hint="eastAsia" w:cs="宋体" w:asciiTheme="minorEastAsia" w:hAnsiTheme="minorEastAsia" w:eastAsiaTheme="minorEastAsia"/>
          <w:color w:val="FF0000"/>
          <w:sz w:val="24"/>
          <w:szCs w:val="24"/>
        </w:rPr>
        <w:t>；</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1.3.厂家到货时必须提供</w:t>
      </w:r>
      <w:r>
        <w:rPr>
          <w:color w:val="FF0000"/>
          <w:kern w:val="2"/>
          <w:sz w:val="24"/>
          <w:szCs w:val="24"/>
        </w:rPr>
        <w:t>每盘电缆及每套电缆附件产品质量验收合格证和出厂试验报告</w:t>
      </w:r>
      <w:r>
        <w:rPr>
          <w:rFonts w:hint="eastAsia"/>
          <w:color w:val="FF0000"/>
          <w:kern w:val="2"/>
          <w:sz w:val="24"/>
          <w:szCs w:val="24"/>
        </w:rPr>
        <w:t>。</w:t>
      </w:r>
      <w:r>
        <w:rPr>
          <w:color w:val="FF0000"/>
          <w:kern w:val="2"/>
          <w:sz w:val="24"/>
          <w:szCs w:val="24"/>
        </w:rPr>
        <w:t>电缆合格证书应标示出生产该电缆的绝缘挤出机的开机顺序号和绝缘挤出顺序号</w:t>
      </w:r>
      <w:r>
        <w:rPr>
          <w:rFonts w:hint="eastAsia" w:ascii="宋体" w:hAnsi="宋体" w:cs="宋体"/>
          <w:color w:val="FF0000"/>
          <w:sz w:val="24"/>
          <w:szCs w:val="24"/>
        </w:rPr>
        <w:t>；</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2.违反如下要求将纳入公司考评并上报华能集团取消资格预审资格：</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2.1.供应商提供的电缆存在严重质量问题的；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2.2.供应商供货期严重超期影响到现场生产的；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2.3.供应商提供的电缆是外购第三方厂家贴牌的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93CD0"/>
    <w:multiLevelType w:val="singleLevel"/>
    <w:tmpl w:val="80B93CD0"/>
    <w:lvl w:ilvl="0" w:tentative="0">
      <w:start w:val="1"/>
      <w:numFmt w:val="decimal"/>
      <w:suff w:val="space"/>
      <w:lvlText w:val="(%1)"/>
      <w:lvlJc w:val="left"/>
    </w:lvl>
  </w:abstractNum>
  <w:abstractNum w:abstractNumId="1">
    <w:nsid w:val="91ADC14A"/>
    <w:multiLevelType w:val="singleLevel"/>
    <w:tmpl w:val="91ADC14A"/>
    <w:lvl w:ilvl="0" w:tentative="0">
      <w:start w:val="1"/>
      <w:numFmt w:val="decimal"/>
      <w:suff w:val="nothing"/>
      <w:lvlText w:val="%1、"/>
      <w:lvlJc w:val="left"/>
    </w:lvl>
  </w:abstractNum>
  <w:abstractNum w:abstractNumId="2">
    <w:nsid w:val="ADF5413E"/>
    <w:multiLevelType w:val="singleLevel"/>
    <w:tmpl w:val="ADF5413E"/>
    <w:lvl w:ilvl="0" w:tentative="0">
      <w:start w:val="1"/>
      <w:numFmt w:val="decimal"/>
      <w:lvlText w:val="%1."/>
      <w:lvlJc w:val="left"/>
      <w:pPr>
        <w:tabs>
          <w:tab w:val="left" w:pos="312"/>
        </w:tabs>
      </w:pPr>
    </w:lvl>
  </w:abstractNum>
  <w:abstractNum w:abstractNumId="3">
    <w:nsid w:val="442F6655"/>
    <w:multiLevelType w:val="singleLevel"/>
    <w:tmpl w:val="442F6655"/>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31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2AEB"/>
    <w:rsid w:val="00000983"/>
    <w:rsid w:val="00003DBB"/>
    <w:rsid w:val="00030B97"/>
    <w:rsid w:val="000328D2"/>
    <w:rsid w:val="00036905"/>
    <w:rsid w:val="00047231"/>
    <w:rsid w:val="00060230"/>
    <w:rsid w:val="00067652"/>
    <w:rsid w:val="00070391"/>
    <w:rsid w:val="00086226"/>
    <w:rsid w:val="00095258"/>
    <w:rsid w:val="0009682E"/>
    <w:rsid w:val="000B1C34"/>
    <w:rsid w:val="000C0AC1"/>
    <w:rsid w:val="000F118D"/>
    <w:rsid w:val="000F2AEB"/>
    <w:rsid w:val="00116FF6"/>
    <w:rsid w:val="00180CB7"/>
    <w:rsid w:val="00182D9B"/>
    <w:rsid w:val="00187B85"/>
    <w:rsid w:val="00192F6B"/>
    <w:rsid w:val="001B2009"/>
    <w:rsid w:val="001B2328"/>
    <w:rsid w:val="001B6414"/>
    <w:rsid w:val="001C234E"/>
    <w:rsid w:val="001E6721"/>
    <w:rsid w:val="001F715E"/>
    <w:rsid w:val="00214EBA"/>
    <w:rsid w:val="00217E78"/>
    <w:rsid w:val="00223749"/>
    <w:rsid w:val="00252B5E"/>
    <w:rsid w:val="00272783"/>
    <w:rsid w:val="00284C59"/>
    <w:rsid w:val="00314814"/>
    <w:rsid w:val="00336BE6"/>
    <w:rsid w:val="00340FDE"/>
    <w:rsid w:val="00341F30"/>
    <w:rsid w:val="00343F60"/>
    <w:rsid w:val="00344F78"/>
    <w:rsid w:val="003632CB"/>
    <w:rsid w:val="00363DAD"/>
    <w:rsid w:val="003674EE"/>
    <w:rsid w:val="003843A6"/>
    <w:rsid w:val="0038475F"/>
    <w:rsid w:val="003A14CD"/>
    <w:rsid w:val="003A320C"/>
    <w:rsid w:val="003A36BA"/>
    <w:rsid w:val="003B1CEE"/>
    <w:rsid w:val="003C37CB"/>
    <w:rsid w:val="003E7FD8"/>
    <w:rsid w:val="003F128E"/>
    <w:rsid w:val="00421C72"/>
    <w:rsid w:val="00443525"/>
    <w:rsid w:val="0044389F"/>
    <w:rsid w:val="00460892"/>
    <w:rsid w:val="00465279"/>
    <w:rsid w:val="004762AD"/>
    <w:rsid w:val="00494F76"/>
    <w:rsid w:val="004A063C"/>
    <w:rsid w:val="004A1BD2"/>
    <w:rsid w:val="004A30F0"/>
    <w:rsid w:val="004A7E88"/>
    <w:rsid w:val="004B0C2A"/>
    <w:rsid w:val="004D0BCE"/>
    <w:rsid w:val="004D36B3"/>
    <w:rsid w:val="004D5BD6"/>
    <w:rsid w:val="004E3C3F"/>
    <w:rsid w:val="005070A6"/>
    <w:rsid w:val="005123ED"/>
    <w:rsid w:val="005667FB"/>
    <w:rsid w:val="005966D2"/>
    <w:rsid w:val="005A2892"/>
    <w:rsid w:val="005B0E3C"/>
    <w:rsid w:val="005B6375"/>
    <w:rsid w:val="005B6688"/>
    <w:rsid w:val="005C5E99"/>
    <w:rsid w:val="005C6E1A"/>
    <w:rsid w:val="005E5A22"/>
    <w:rsid w:val="005F3DDC"/>
    <w:rsid w:val="005F4327"/>
    <w:rsid w:val="006242DA"/>
    <w:rsid w:val="00624775"/>
    <w:rsid w:val="00646EBD"/>
    <w:rsid w:val="006729B1"/>
    <w:rsid w:val="0067650D"/>
    <w:rsid w:val="00691978"/>
    <w:rsid w:val="006969CB"/>
    <w:rsid w:val="006A286B"/>
    <w:rsid w:val="006B0CBD"/>
    <w:rsid w:val="006B1AEC"/>
    <w:rsid w:val="006B5DD8"/>
    <w:rsid w:val="006B6688"/>
    <w:rsid w:val="006D28B0"/>
    <w:rsid w:val="006E5ADC"/>
    <w:rsid w:val="006F2C1B"/>
    <w:rsid w:val="00706D1C"/>
    <w:rsid w:val="00733294"/>
    <w:rsid w:val="007612E8"/>
    <w:rsid w:val="00775DC9"/>
    <w:rsid w:val="00783505"/>
    <w:rsid w:val="00786D04"/>
    <w:rsid w:val="0078798E"/>
    <w:rsid w:val="00790253"/>
    <w:rsid w:val="0079271D"/>
    <w:rsid w:val="00794EEA"/>
    <w:rsid w:val="00797F28"/>
    <w:rsid w:val="007B7BF6"/>
    <w:rsid w:val="007E7C3C"/>
    <w:rsid w:val="007F1E0A"/>
    <w:rsid w:val="00801DD6"/>
    <w:rsid w:val="00816C86"/>
    <w:rsid w:val="00822641"/>
    <w:rsid w:val="00845369"/>
    <w:rsid w:val="00874D26"/>
    <w:rsid w:val="008A2F54"/>
    <w:rsid w:val="008A31A4"/>
    <w:rsid w:val="008A3DD4"/>
    <w:rsid w:val="008D54A6"/>
    <w:rsid w:val="008F665F"/>
    <w:rsid w:val="008F7A9F"/>
    <w:rsid w:val="00902E85"/>
    <w:rsid w:val="00907F1C"/>
    <w:rsid w:val="009117E0"/>
    <w:rsid w:val="009148C3"/>
    <w:rsid w:val="00920AF7"/>
    <w:rsid w:val="009268FA"/>
    <w:rsid w:val="00930FC7"/>
    <w:rsid w:val="00937535"/>
    <w:rsid w:val="00942E09"/>
    <w:rsid w:val="00956F76"/>
    <w:rsid w:val="00966A77"/>
    <w:rsid w:val="00976BA8"/>
    <w:rsid w:val="0098371C"/>
    <w:rsid w:val="00987243"/>
    <w:rsid w:val="009B049E"/>
    <w:rsid w:val="009B45FA"/>
    <w:rsid w:val="009C1CD3"/>
    <w:rsid w:val="009E0A5C"/>
    <w:rsid w:val="00A31E36"/>
    <w:rsid w:val="00A31F2F"/>
    <w:rsid w:val="00A36122"/>
    <w:rsid w:val="00A4258D"/>
    <w:rsid w:val="00A5071F"/>
    <w:rsid w:val="00A70672"/>
    <w:rsid w:val="00A7585C"/>
    <w:rsid w:val="00A81D25"/>
    <w:rsid w:val="00A82314"/>
    <w:rsid w:val="00A952A3"/>
    <w:rsid w:val="00AB43B3"/>
    <w:rsid w:val="00AB56B9"/>
    <w:rsid w:val="00AE6773"/>
    <w:rsid w:val="00AE6839"/>
    <w:rsid w:val="00B23E15"/>
    <w:rsid w:val="00B34E56"/>
    <w:rsid w:val="00B35073"/>
    <w:rsid w:val="00B40D67"/>
    <w:rsid w:val="00B55C4F"/>
    <w:rsid w:val="00B61EDC"/>
    <w:rsid w:val="00B92B87"/>
    <w:rsid w:val="00BB05EE"/>
    <w:rsid w:val="00BC1280"/>
    <w:rsid w:val="00BD1AE1"/>
    <w:rsid w:val="00BD4E84"/>
    <w:rsid w:val="00BD5AA4"/>
    <w:rsid w:val="00BE6184"/>
    <w:rsid w:val="00C2331F"/>
    <w:rsid w:val="00C50ADD"/>
    <w:rsid w:val="00C65B39"/>
    <w:rsid w:val="00C700BA"/>
    <w:rsid w:val="00C727D6"/>
    <w:rsid w:val="00CA0123"/>
    <w:rsid w:val="00CA046D"/>
    <w:rsid w:val="00CB4F9B"/>
    <w:rsid w:val="00CC2814"/>
    <w:rsid w:val="00CD574F"/>
    <w:rsid w:val="00CF35C7"/>
    <w:rsid w:val="00CF5C80"/>
    <w:rsid w:val="00CF6D8D"/>
    <w:rsid w:val="00D0751D"/>
    <w:rsid w:val="00D2046B"/>
    <w:rsid w:val="00D2729A"/>
    <w:rsid w:val="00D32076"/>
    <w:rsid w:val="00D55961"/>
    <w:rsid w:val="00D65BA7"/>
    <w:rsid w:val="00D92415"/>
    <w:rsid w:val="00DB7BB8"/>
    <w:rsid w:val="00DC3A59"/>
    <w:rsid w:val="00DC5238"/>
    <w:rsid w:val="00DD2A45"/>
    <w:rsid w:val="00DD5683"/>
    <w:rsid w:val="00E00E09"/>
    <w:rsid w:val="00E01989"/>
    <w:rsid w:val="00E85510"/>
    <w:rsid w:val="00E95A1D"/>
    <w:rsid w:val="00EB38C1"/>
    <w:rsid w:val="00ED59F2"/>
    <w:rsid w:val="00ED7EEB"/>
    <w:rsid w:val="00EE0015"/>
    <w:rsid w:val="00F02E9B"/>
    <w:rsid w:val="00F053B3"/>
    <w:rsid w:val="00F1492A"/>
    <w:rsid w:val="00F16C9E"/>
    <w:rsid w:val="00F25DE5"/>
    <w:rsid w:val="00F335CD"/>
    <w:rsid w:val="00F5249F"/>
    <w:rsid w:val="00F62D9D"/>
    <w:rsid w:val="00F71389"/>
    <w:rsid w:val="00F95708"/>
    <w:rsid w:val="00FA185D"/>
    <w:rsid w:val="00FA7B36"/>
    <w:rsid w:val="00FB6E5B"/>
    <w:rsid w:val="00FD0A3E"/>
    <w:rsid w:val="00FD3B0B"/>
    <w:rsid w:val="00FD58A6"/>
    <w:rsid w:val="022A6196"/>
    <w:rsid w:val="02FC428A"/>
    <w:rsid w:val="05180745"/>
    <w:rsid w:val="056F7E53"/>
    <w:rsid w:val="0C76128C"/>
    <w:rsid w:val="0ED23B15"/>
    <w:rsid w:val="10784A05"/>
    <w:rsid w:val="143C1B9D"/>
    <w:rsid w:val="148616A3"/>
    <w:rsid w:val="183C0663"/>
    <w:rsid w:val="188C499C"/>
    <w:rsid w:val="1BC57680"/>
    <w:rsid w:val="21CF15FF"/>
    <w:rsid w:val="229D768F"/>
    <w:rsid w:val="23D5686F"/>
    <w:rsid w:val="249C1EAE"/>
    <w:rsid w:val="24F67B34"/>
    <w:rsid w:val="256455EB"/>
    <w:rsid w:val="264636FF"/>
    <w:rsid w:val="26D16359"/>
    <w:rsid w:val="27302E65"/>
    <w:rsid w:val="27900EBE"/>
    <w:rsid w:val="28A1403D"/>
    <w:rsid w:val="292C1631"/>
    <w:rsid w:val="2F1D5792"/>
    <w:rsid w:val="30F512EA"/>
    <w:rsid w:val="315F25E5"/>
    <w:rsid w:val="36653E14"/>
    <w:rsid w:val="3B121299"/>
    <w:rsid w:val="43422E0C"/>
    <w:rsid w:val="45A4414F"/>
    <w:rsid w:val="45D3533B"/>
    <w:rsid w:val="468E0CB9"/>
    <w:rsid w:val="46B531AD"/>
    <w:rsid w:val="476D7598"/>
    <w:rsid w:val="481A16B4"/>
    <w:rsid w:val="4AEC6DDE"/>
    <w:rsid w:val="4D7F6D19"/>
    <w:rsid w:val="4E450FF7"/>
    <w:rsid w:val="512E0EC2"/>
    <w:rsid w:val="52C76372"/>
    <w:rsid w:val="533C1157"/>
    <w:rsid w:val="54887F3B"/>
    <w:rsid w:val="57F03EE6"/>
    <w:rsid w:val="5B295261"/>
    <w:rsid w:val="5D010DB7"/>
    <w:rsid w:val="5E317FAA"/>
    <w:rsid w:val="628D4135"/>
    <w:rsid w:val="62F1099B"/>
    <w:rsid w:val="630D03C7"/>
    <w:rsid w:val="636B7F47"/>
    <w:rsid w:val="65F178EF"/>
    <w:rsid w:val="67052865"/>
    <w:rsid w:val="67EB672B"/>
    <w:rsid w:val="68046B80"/>
    <w:rsid w:val="6960493C"/>
    <w:rsid w:val="6E2425C6"/>
    <w:rsid w:val="6EEB3F93"/>
    <w:rsid w:val="708E19E6"/>
    <w:rsid w:val="70F73EBF"/>
    <w:rsid w:val="710C7A51"/>
    <w:rsid w:val="720515E7"/>
    <w:rsid w:val="72082C00"/>
    <w:rsid w:val="72CF00F2"/>
    <w:rsid w:val="74396C47"/>
    <w:rsid w:val="7491363D"/>
    <w:rsid w:val="7ADC2210"/>
    <w:rsid w:val="7BA47BCB"/>
    <w:rsid w:val="7D6D25A1"/>
    <w:rsid w:val="7DED24B6"/>
    <w:rsid w:val="7E6D7E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7"/>
    <w:qFormat/>
    <w:locked/>
    <w:uiPriority w:val="0"/>
    <w:pPr>
      <w:snapToGrid w:val="0"/>
      <w:spacing w:beforeLines="50" w:line="360" w:lineRule="auto"/>
      <w:jc w:val="left"/>
      <w:outlineLvl w:val="2"/>
    </w:pPr>
    <w:rPr>
      <w:rFonts w:ascii="宋体" w:hAnsi="宋体" w:eastAsia="黑体" w:cs="宋体"/>
      <w:kern w:val="0"/>
      <w:sz w:val="24"/>
      <w:szCs w:val="28"/>
      <w:lang w:eastAsia="en-US"/>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2"/>
    <w:qFormat/>
    <w:uiPriority w:val="99"/>
    <w:pPr>
      <w:adjustRightInd w:val="0"/>
      <w:spacing w:before="240" w:after="60" w:line="360" w:lineRule="atLeast"/>
      <w:jc w:val="center"/>
      <w:outlineLvl w:val="0"/>
    </w:pPr>
    <w:rPr>
      <w:rFonts w:ascii="Arial" w:hAnsi="Arial" w:cs="Arial"/>
      <w:b/>
      <w:bCs/>
      <w:kern w:val="0"/>
      <w:sz w:val="32"/>
      <w:szCs w:val="32"/>
      <w:lang w:val="zh-CN"/>
    </w:rPr>
  </w:style>
  <w:style w:type="table" w:styleId="9">
    <w:name w:val="Table Grid"/>
    <w:basedOn w:val="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7"/>
    <w:link w:val="3"/>
    <w:qFormat/>
    <w:locked/>
    <w:uiPriority w:val="99"/>
    <w:rPr>
      <w:rFonts w:ascii="Calibri" w:hAnsi="Calibri" w:eastAsia="宋体" w:cs="Calibri"/>
      <w:sz w:val="18"/>
      <w:szCs w:val="18"/>
    </w:rPr>
  </w:style>
  <w:style w:type="character" w:customStyle="1" w:styleId="11">
    <w:name w:val="页眉 Char"/>
    <w:basedOn w:val="7"/>
    <w:link w:val="4"/>
    <w:qFormat/>
    <w:locked/>
    <w:uiPriority w:val="99"/>
    <w:rPr>
      <w:rFonts w:ascii="Calibri" w:hAnsi="Calibri" w:eastAsia="宋体" w:cs="Calibri"/>
      <w:sz w:val="18"/>
      <w:szCs w:val="18"/>
    </w:rPr>
  </w:style>
  <w:style w:type="character" w:customStyle="1" w:styleId="12">
    <w:name w:val="标题 Char"/>
    <w:basedOn w:val="7"/>
    <w:link w:val="6"/>
    <w:qFormat/>
    <w:locked/>
    <w:uiPriority w:val="99"/>
    <w:rPr>
      <w:rFonts w:ascii="Arial" w:hAnsi="Arial" w:eastAsia="宋体" w:cs="Arial"/>
      <w:b/>
      <w:bCs/>
      <w:kern w:val="0"/>
      <w:sz w:val="20"/>
      <w:szCs w:val="20"/>
      <w:lang w:val="zh-CN" w:eastAsia="zh-CN"/>
    </w:rPr>
  </w:style>
  <w:style w:type="paragraph" w:customStyle="1" w:styleId="13">
    <w:name w:val="无间隔1"/>
    <w:link w:val="14"/>
    <w:qFormat/>
    <w:uiPriority w:val="99"/>
    <w:pPr>
      <w:widowControl w:val="0"/>
      <w:jc w:val="both"/>
    </w:pPr>
    <w:rPr>
      <w:rFonts w:ascii="Times New Roman" w:hAnsi="Times New Roman" w:eastAsia="宋体" w:cs="Times New Roman"/>
      <w:lang w:val="en-US" w:eastAsia="zh-CN" w:bidi="ar-SA"/>
    </w:rPr>
  </w:style>
  <w:style w:type="character" w:customStyle="1" w:styleId="14">
    <w:name w:val="无间隔 Char"/>
    <w:link w:val="13"/>
    <w:qFormat/>
    <w:locked/>
    <w:uiPriority w:val="1"/>
    <w:rPr>
      <w:rFonts w:ascii="Times New Roman" w:hAnsi="Times New Roman" w:eastAsia="宋体" w:cs="Times New Roman"/>
      <w:sz w:val="24"/>
      <w:szCs w:val="24"/>
    </w:rPr>
  </w:style>
  <w:style w:type="character" w:customStyle="1" w:styleId="15">
    <w:name w:val="c-gap-left-small c-gap-right-small"/>
    <w:basedOn w:val="7"/>
    <w:qFormat/>
    <w:uiPriority w:val="99"/>
  </w:style>
  <w:style w:type="character" w:customStyle="1" w:styleId="16">
    <w:name w:val="标题 3 Char"/>
    <w:basedOn w:val="7"/>
    <w:semiHidden/>
    <w:qFormat/>
    <w:uiPriority w:val="0"/>
    <w:rPr>
      <w:rFonts w:cs="Calibri"/>
      <w:b/>
      <w:bCs/>
      <w:kern w:val="2"/>
      <w:sz w:val="32"/>
      <w:szCs w:val="32"/>
    </w:rPr>
  </w:style>
  <w:style w:type="character" w:customStyle="1" w:styleId="17">
    <w:name w:val="标题 3 Char1"/>
    <w:basedOn w:val="7"/>
    <w:link w:val="2"/>
    <w:qFormat/>
    <w:uiPriority w:val="0"/>
    <w:rPr>
      <w:rFonts w:ascii="宋体" w:hAnsi="宋体" w:eastAsia="黑体" w:cs="宋体"/>
      <w:sz w:val="24"/>
      <w:szCs w:val="28"/>
      <w:lang w:eastAsia="en-US"/>
    </w:rPr>
  </w:style>
  <w:style w:type="paragraph" w:customStyle="1" w:styleId="18">
    <w:name w:val="wang正文"/>
    <w:basedOn w:val="1"/>
    <w:link w:val="19"/>
    <w:qFormat/>
    <w:uiPriority w:val="0"/>
    <w:pPr>
      <w:widowControl/>
      <w:tabs>
        <w:tab w:val="left" w:pos="6840"/>
      </w:tabs>
      <w:autoSpaceDE w:val="0"/>
      <w:autoSpaceDN w:val="0"/>
      <w:adjustRightInd w:val="0"/>
      <w:snapToGrid w:val="0"/>
      <w:spacing w:line="440" w:lineRule="exact"/>
      <w:ind w:firstLine="480" w:firstLineChars="200"/>
      <w:jc w:val="left"/>
      <w:textAlignment w:val="baseline"/>
    </w:pPr>
    <w:rPr>
      <w:rFonts w:ascii="宋体" w:cs="Times New Roman"/>
      <w:kern w:val="0"/>
      <w:sz w:val="24"/>
      <w:szCs w:val="22"/>
      <w:lang w:eastAsia="en-US" w:bidi="en-US"/>
    </w:rPr>
  </w:style>
  <w:style w:type="character" w:customStyle="1" w:styleId="19">
    <w:name w:val="wang正文 Char Char"/>
    <w:link w:val="18"/>
    <w:qFormat/>
    <w:uiPriority w:val="0"/>
    <w:rPr>
      <w:rFonts w:ascii="宋体"/>
      <w:sz w:val="24"/>
      <w:szCs w:val="22"/>
      <w:lang w:eastAsia="en-US" w:bidi="en-US"/>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5CD7E-BC61-4854-8CBB-138F2A75F1B5}">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11</Pages>
  <Words>459</Words>
  <Characters>2622</Characters>
  <Lines>21</Lines>
  <Paragraphs>6</Paragraphs>
  <TotalTime>2</TotalTime>
  <ScaleCrop>false</ScaleCrop>
  <LinksUpToDate>false</LinksUpToDate>
  <CharactersWithSpaces>3075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张承刚/BFGS/CHNG</cp:lastModifiedBy>
  <dcterms:modified xsi:type="dcterms:W3CDTF">2021-05-08T06:06:07Z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