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2D" w:rsidRDefault="00AB7225">
      <w:pPr>
        <w:pStyle w:val="a5"/>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玉环分公司</w:t>
      </w:r>
      <w:r w:rsidR="000D39F1">
        <w:rPr>
          <w:rFonts w:ascii="仿宋_GB2312" w:eastAsia="仿宋_GB2312" w:hAnsi="仿宋_GB2312" w:cs="仿宋_GB2312" w:hint="eastAsia"/>
          <w:sz w:val="32"/>
          <w:szCs w:val="32"/>
        </w:rPr>
        <w:t>采购项目报价须知</w:t>
      </w:r>
    </w:p>
    <w:p w:rsidR="008C5F2D" w:rsidRDefault="000D39F1">
      <w:pPr>
        <w:pStyle w:val="a5"/>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一、报价要求</w:t>
      </w:r>
    </w:p>
    <w:p w:rsidR="008C5F2D" w:rsidRDefault="000D39F1">
      <w:pPr>
        <w:pStyle w:val="a5"/>
        <w:spacing w:line="360" w:lineRule="auto"/>
        <w:ind w:firstLineChars="190" w:firstLine="456"/>
        <w:rPr>
          <w:rFonts w:ascii="宋体" w:hAnsi="宋体" w:cs="宋体"/>
          <w:sz w:val="24"/>
          <w:szCs w:val="24"/>
        </w:rPr>
      </w:pPr>
      <w:r>
        <w:rPr>
          <w:rFonts w:ascii="宋体" w:hAnsi="宋体" w:cs="宋体" w:hint="eastAsia"/>
          <w:sz w:val="24"/>
          <w:szCs w:val="24"/>
        </w:rPr>
        <w:t>1、参加本采购项目报价，请务必同时上传</w:t>
      </w:r>
      <w:bookmarkStart w:id="0" w:name="_GoBack"/>
      <w:r>
        <w:rPr>
          <w:rFonts w:ascii="宋体" w:hAnsi="宋体" w:cs="宋体" w:hint="eastAsia"/>
          <w:b/>
          <w:bCs/>
          <w:sz w:val="24"/>
          <w:szCs w:val="24"/>
        </w:rPr>
        <w:t>《参与</w:t>
      </w:r>
      <w:r w:rsidR="00AB7225">
        <w:rPr>
          <w:rFonts w:ascii="宋体" w:hAnsi="宋体" w:cs="宋体" w:hint="eastAsia"/>
          <w:b/>
          <w:bCs/>
          <w:sz w:val="24"/>
          <w:szCs w:val="24"/>
        </w:rPr>
        <w:t>玉环分公司</w:t>
      </w:r>
      <w:r>
        <w:rPr>
          <w:rFonts w:ascii="宋体" w:hAnsi="宋体" w:cs="宋体" w:hint="eastAsia"/>
          <w:b/>
          <w:bCs/>
          <w:sz w:val="24"/>
          <w:szCs w:val="24"/>
        </w:rPr>
        <w:t>采购业务的承诺函》</w:t>
      </w:r>
      <w:bookmarkEnd w:id="0"/>
      <w:r>
        <w:rPr>
          <w:rFonts w:ascii="宋体" w:hAnsi="宋体" w:cs="宋体" w:hint="eastAsia"/>
          <w:sz w:val="24"/>
          <w:szCs w:val="24"/>
        </w:rPr>
        <w:t>，</w:t>
      </w:r>
      <w:r>
        <w:rPr>
          <w:rFonts w:ascii="宋体" w:hAnsi="宋体" w:cs="宋体" w:hint="eastAsia"/>
          <w:b/>
          <w:bCs/>
          <w:sz w:val="24"/>
          <w:szCs w:val="24"/>
        </w:rPr>
        <w:t>内容详见附件。</w:t>
      </w:r>
    </w:p>
    <w:p w:rsidR="008C5F2D" w:rsidRDefault="000D39F1">
      <w:pPr>
        <w:pStyle w:val="a5"/>
        <w:spacing w:line="360" w:lineRule="auto"/>
        <w:ind w:firstLineChars="190" w:firstLine="456"/>
        <w:rPr>
          <w:rFonts w:ascii="宋体" w:hAnsi="宋体" w:cs="宋体"/>
          <w:b/>
          <w:sz w:val="24"/>
          <w:szCs w:val="24"/>
        </w:rPr>
      </w:pPr>
      <w:r>
        <w:rPr>
          <w:rFonts w:ascii="宋体" w:hAnsi="宋体" w:cs="宋体" w:hint="eastAsia"/>
          <w:sz w:val="24"/>
          <w:szCs w:val="24"/>
        </w:rPr>
        <w:t>2、所有采购项目原则上到厂一票制，供应商在华能电子商务平台所报价格须含包装费、运杂费和保险费用等到达我厂物资仓库或指定地点的所有费用。</w:t>
      </w:r>
      <w:r>
        <w:rPr>
          <w:rFonts w:ascii="宋体" w:hAnsi="宋体" w:cs="宋体" w:hint="eastAsia"/>
          <w:b/>
          <w:bCs/>
          <w:color w:val="FF0000"/>
          <w:sz w:val="24"/>
          <w:szCs w:val="24"/>
        </w:rPr>
        <w:t>所有运杂费须分摊到报价中，不要另行单列</w:t>
      </w:r>
      <w:r>
        <w:rPr>
          <w:rFonts w:ascii="宋体" w:hAnsi="宋体" w:cs="宋体" w:hint="eastAsia"/>
          <w:color w:val="FF0000"/>
          <w:sz w:val="24"/>
          <w:szCs w:val="24"/>
        </w:rPr>
        <w:t>。</w:t>
      </w:r>
      <w:r>
        <w:rPr>
          <w:rFonts w:ascii="宋体" w:hAnsi="宋体" w:cs="宋体" w:hint="eastAsia"/>
          <w:sz w:val="24"/>
          <w:szCs w:val="24"/>
        </w:rPr>
        <w:t>所有询价物料均要报价，选择性报价将被视为无效报价。</w:t>
      </w:r>
      <w:r>
        <w:rPr>
          <w:rFonts w:ascii="宋体" w:hAnsi="宋体" w:cs="宋体" w:hint="eastAsia"/>
          <w:b/>
          <w:sz w:val="24"/>
          <w:szCs w:val="24"/>
        </w:rPr>
        <w:t>报价时请务必关注备注、说明及附件。</w:t>
      </w:r>
    </w:p>
    <w:p w:rsidR="008C5F2D" w:rsidRDefault="000D39F1">
      <w:pPr>
        <w:pStyle w:val="a5"/>
        <w:spacing w:line="360" w:lineRule="auto"/>
        <w:ind w:firstLineChars="190" w:firstLine="456"/>
        <w:rPr>
          <w:rFonts w:ascii="宋体" w:hAnsi="宋体" w:cs="宋体"/>
          <w:sz w:val="24"/>
          <w:szCs w:val="24"/>
        </w:rPr>
      </w:pPr>
      <w:r>
        <w:rPr>
          <w:rFonts w:ascii="宋体" w:hAnsi="宋体" w:cs="宋体" w:hint="eastAsia"/>
          <w:sz w:val="24"/>
          <w:szCs w:val="24"/>
        </w:rPr>
        <w:t>3、一旦报价，则被视为完全响应商务、技术要求的报价</w:t>
      </w:r>
      <w:r w:rsidR="00995FBA">
        <w:rPr>
          <w:rFonts w:ascii="宋体" w:hAnsi="宋体" w:cs="宋体" w:hint="eastAsia"/>
          <w:sz w:val="24"/>
          <w:szCs w:val="24"/>
        </w:rPr>
        <w:t>,报价有效期90天。</w:t>
      </w:r>
      <w:r>
        <w:rPr>
          <w:rFonts w:ascii="宋体" w:hAnsi="宋体" w:cs="宋体" w:hint="eastAsia"/>
          <w:sz w:val="24"/>
          <w:szCs w:val="24"/>
        </w:rPr>
        <w:t>。</w:t>
      </w:r>
    </w:p>
    <w:p w:rsidR="008C5F2D" w:rsidRDefault="000D39F1">
      <w:pPr>
        <w:pStyle w:val="a5"/>
        <w:spacing w:line="360" w:lineRule="auto"/>
        <w:ind w:firstLineChars="190" w:firstLine="456"/>
        <w:rPr>
          <w:rFonts w:ascii="宋体" w:hAnsi="宋体" w:cs="宋体"/>
          <w:sz w:val="24"/>
          <w:szCs w:val="24"/>
        </w:rPr>
      </w:pPr>
      <w:r>
        <w:rPr>
          <w:rFonts w:ascii="宋体" w:hAnsi="宋体" w:cs="宋体" w:hint="eastAsia"/>
          <w:sz w:val="24"/>
          <w:szCs w:val="24"/>
        </w:rPr>
        <w:t>4、中标后与采购方签订合同或订单并按要求执行合同或订单，对不能履约、不按时交货或验收不合格者的供应商，采购方将按订单、合同及《中国华能集团有限公司供应商管理实施细则》相关条款进行处罚。</w:t>
      </w:r>
    </w:p>
    <w:p w:rsidR="008C5F2D" w:rsidRDefault="000D39F1">
      <w:pPr>
        <w:pStyle w:val="a5"/>
        <w:spacing w:line="360" w:lineRule="auto"/>
        <w:ind w:firstLineChars="190" w:firstLine="456"/>
        <w:rPr>
          <w:rFonts w:ascii="宋体" w:hAnsi="宋体" w:cs="宋体"/>
          <w:sz w:val="24"/>
          <w:szCs w:val="24"/>
        </w:rPr>
      </w:pPr>
      <w:r>
        <w:rPr>
          <w:rFonts w:ascii="宋体" w:hAnsi="宋体" w:cs="宋体" w:hint="eastAsia"/>
          <w:sz w:val="24"/>
          <w:szCs w:val="24"/>
        </w:rPr>
        <w:t>5、除特殊情况外，物资交货期为订单或合同生效后国产物资30天内、进口物资60天内完成交货：</w:t>
      </w:r>
    </w:p>
    <w:p w:rsidR="008C5F2D" w:rsidRDefault="000D39F1">
      <w:pPr>
        <w:pStyle w:val="a5"/>
        <w:spacing w:line="360" w:lineRule="auto"/>
        <w:ind w:firstLineChars="190" w:firstLine="458"/>
        <w:rPr>
          <w:rFonts w:ascii="宋体" w:hAnsi="宋体" w:cs="宋体"/>
          <w:b/>
          <w:bCs/>
          <w:sz w:val="24"/>
          <w:szCs w:val="24"/>
        </w:rPr>
      </w:pPr>
      <w:r>
        <w:rPr>
          <w:rFonts w:ascii="宋体" w:hAnsi="宋体" w:cs="宋体" w:hint="eastAsia"/>
          <w:b/>
          <w:bCs/>
          <w:sz w:val="24"/>
          <w:szCs w:val="24"/>
        </w:rPr>
        <w:t>5.1对不能满足交货期的采购项目请勿报价，尤其特别注明交货期的项目。</w:t>
      </w:r>
    </w:p>
    <w:p w:rsidR="008C5F2D" w:rsidRDefault="000D39F1">
      <w:pPr>
        <w:pStyle w:val="a5"/>
        <w:spacing w:line="360" w:lineRule="auto"/>
        <w:ind w:firstLineChars="190" w:firstLine="456"/>
        <w:rPr>
          <w:rFonts w:ascii="宋体" w:hAnsi="宋体" w:cs="宋体"/>
          <w:sz w:val="24"/>
          <w:szCs w:val="24"/>
        </w:rPr>
      </w:pPr>
      <w:r>
        <w:rPr>
          <w:rFonts w:ascii="宋体" w:hAnsi="宋体" w:cs="宋体" w:hint="eastAsia"/>
          <w:sz w:val="24"/>
          <w:szCs w:val="24"/>
        </w:rPr>
        <w:t>5.2如在合同约定的交货期内不能交货，延迟交货罚则：超过交货期5天内的扣2%货款；超过交货期10天内的扣5%货款；超过交货期10天以上30天以内的扣10%货款；超过交货期30天以上扣30%货款，同时给予供应商不良行为认定处罚。</w:t>
      </w:r>
    </w:p>
    <w:p w:rsidR="008C5F2D" w:rsidRDefault="000D39F1">
      <w:pPr>
        <w:pStyle w:val="a5"/>
        <w:spacing w:line="360" w:lineRule="auto"/>
        <w:ind w:firstLineChars="190" w:firstLine="458"/>
        <w:rPr>
          <w:rFonts w:ascii="宋体" w:hAnsi="宋体" w:cs="宋体"/>
          <w:b/>
          <w:bCs/>
          <w:sz w:val="24"/>
          <w:szCs w:val="24"/>
        </w:rPr>
      </w:pPr>
      <w:r>
        <w:rPr>
          <w:rFonts w:ascii="宋体" w:hAnsi="宋体" w:cs="宋体" w:hint="eastAsia"/>
          <w:b/>
          <w:bCs/>
          <w:sz w:val="24"/>
          <w:szCs w:val="24"/>
        </w:rPr>
        <w:t>6、交货要求：供货时随付到货清单，清单上详细注明供应商信息、合同号、采购订单号、到货物资明细。供货产品必须提供相关质量证明文件（国产物资：产品合格证、材质证明、质量证明等；进口产品：海关报关单、商检证明、原产地证明等）；如无质量证明文件，所供物资将验收不合格。同一订单或合同，因验收不合格造成退换货达到3次的，玉环电厂可终止订单或合同；对已发验收合格部分协商结算；退换货超过交货期，按超过交货期处罚执行。</w:t>
      </w:r>
    </w:p>
    <w:p w:rsidR="008C5F2D" w:rsidRDefault="000D39F1">
      <w:pPr>
        <w:pStyle w:val="a5"/>
        <w:spacing w:line="360" w:lineRule="auto"/>
        <w:ind w:firstLineChars="190" w:firstLine="456"/>
        <w:rPr>
          <w:rFonts w:ascii="宋体" w:hAnsi="宋体" w:cs="宋体"/>
          <w:sz w:val="24"/>
          <w:szCs w:val="24"/>
        </w:rPr>
      </w:pPr>
      <w:r>
        <w:rPr>
          <w:rFonts w:ascii="宋体" w:hAnsi="宋体" w:cs="宋体" w:hint="eastAsia"/>
          <w:sz w:val="24"/>
          <w:szCs w:val="24"/>
        </w:rPr>
        <w:t>7、对于一个询价号含有多项物料的报价，采购方可总价决标或分项决标，请报价人注意并合理报价。</w:t>
      </w:r>
    </w:p>
    <w:p w:rsidR="008C5F2D" w:rsidRDefault="000D39F1">
      <w:pPr>
        <w:pStyle w:val="a5"/>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二、特别说明</w:t>
      </w:r>
    </w:p>
    <w:p w:rsidR="008C5F2D" w:rsidRDefault="000D39F1">
      <w:pPr>
        <w:pStyle w:val="a5"/>
        <w:spacing w:line="360" w:lineRule="auto"/>
        <w:ind w:firstLineChars="190" w:firstLine="456"/>
        <w:rPr>
          <w:rFonts w:ascii="宋体" w:hAnsi="宋体" w:cs="宋体"/>
          <w:sz w:val="24"/>
          <w:szCs w:val="24"/>
        </w:rPr>
      </w:pPr>
      <w:r>
        <w:rPr>
          <w:rFonts w:ascii="宋体" w:hAnsi="宋体" w:cs="宋体" w:hint="eastAsia"/>
          <w:sz w:val="24"/>
          <w:szCs w:val="24"/>
        </w:rPr>
        <w:t>1、供应商必须全面响应本询价要求内容，本次采购解释权归采购方。采购方对未中标原因不作说明。</w:t>
      </w:r>
    </w:p>
    <w:p w:rsidR="008C5F2D" w:rsidRDefault="000D39F1">
      <w:pPr>
        <w:pStyle w:val="a5"/>
        <w:spacing w:line="360" w:lineRule="auto"/>
        <w:ind w:firstLineChars="190" w:firstLine="458"/>
        <w:rPr>
          <w:rFonts w:ascii="宋体" w:hAnsi="宋体" w:cs="宋体"/>
          <w:b/>
          <w:bCs/>
          <w:sz w:val="24"/>
          <w:szCs w:val="24"/>
        </w:rPr>
      </w:pPr>
      <w:r>
        <w:rPr>
          <w:rFonts w:ascii="宋体" w:hAnsi="宋体" w:cs="宋体" w:hint="eastAsia"/>
          <w:b/>
          <w:bCs/>
          <w:sz w:val="24"/>
          <w:szCs w:val="24"/>
        </w:rPr>
        <w:t>2、对供应商报价时不仔细阅读询价采购文件、报价须知、技术文件等出现响应文件编制缺漏、未提交响应文件、报价错误等情况，导致询价失败的供应商，请承诺风险提示期内不参与玉环电厂非招标采购活动。具体如下：</w:t>
      </w:r>
    </w:p>
    <w:p w:rsidR="008C5F2D" w:rsidRDefault="000D39F1">
      <w:pPr>
        <w:pStyle w:val="a5"/>
        <w:spacing w:line="360" w:lineRule="auto"/>
        <w:ind w:firstLineChars="190" w:firstLine="458"/>
        <w:rPr>
          <w:rFonts w:ascii="宋体" w:hAnsi="宋体" w:cs="宋体"/>
          <w:b/>
          <w:bCs/>
          <w:color w:val="FF0000"/>
          <w:sz w:val="24"/>
          <w:szCs w:val="24"/>
        </w:rPr>
      </w:pPr>
      <w:r>
        <w:rPr>
          <w:rFonts w:ascii="宋体" w:hAnsi="宋体" w:cs="宋体" w:hint="eastAsia"/>
          <w:b/>
          <w:bCs/>
          <w:color w:val="FF0000"/>
          <w:sz w:val="24"/>
          <w:szCs w:val="24"/>
        </w:rPr>
        <w:lastRenderedPageBreak/>
        <w:t>2.1供应商发生以下情况之一的处以风险提示，风险提示期为6个月，该期间为供应商风险自查自纠，请承诺6个月内不参与采购方的非招标采购活动：</w:t>
      </w:r>
    </w:p>
    <w:p w:rsidR="008C5F2D" w:rsidRDefault="000D39F1">
      <w:pPr>
        <w:pStyle w:val="a5"/>
        <w:numPr>
          <w:ilvl w:val="0"/>
          <w:numId w:val="1"/>
        </w:numPr>
        <w:spacing w:line="360" w:lineRule="auto"/>
        <w:ind w:firstLineChars="190" w:firstLine="458"/>
        <w:rPr>
          <w:rFonts w:ascii="宋体" w:hAnsi="宋体" w:cs="宋体"/>
          <w:b/>
          <w:bCs/>
          <w:color w:val="FF0000"/>
          <w:sz w:val="24"/>
          <w:szCs w:val="24"/>
        </w:rPr>
      </w:pPr>
      <w:r>
        <w:rPr>
          <w:rFonts w:ascii="宋体" w:hAnsi="宋体" w:cs="宋体" w:hint="eastAsia"/>
          <w:b/>
          <w:bCs/>
          <w:color w:val="FF0000"/>
          <w:sz w:val="24"/>
          <w:szCs w:val="24"/>
        </w:rPr>
        <w:t>供应商未按询价文件要求上传响应文件的；</w:t>
      </w:r>
    </w:p>
    <w:p w:rsidR="008C5F2D" w:rsidRDefault="000D39F1">
      <w:pPr>
        <w:pStyle w:val="a5"/>
        <w:numPr>
          <w:ilvl w:val="0"/>
          <w:numId w:val="1"/>
        </w:numPr>
        <w:spacing w:line="360" w:lineRule="auto"/>
        <w:ind w:firstLineChars="190" w:firstLine="458"/>
        <w:rPr>
          <w:rFonts w:ascii="宋体" w:hAnsi="宋体" w:cs="宋体"/>
          <w:b/>
          <w:bCs/>
          <w:color w:val="FF0000"/>
          <w:sz w:val="24"/>
          <w:szCs w:val="24"/>
        </w:rPr>
      </w:pPr>
      <w:r>
        <w:rPr>
          <w:rFonts w:ascii="宋体" w:hAnsi="宋体" w:cs="宋体" w:hint="eastAsia"/>
          <w:b/>
          <w:bCs/>
          <w:color w:val="FF0000"/>
          <w:sz w:val="24"/>
          <w:szCs w:val="24"/>
        </w:rPr>
        <w:t>供应商在报价截止后书面提出因报价错误、失误、对技术文件审视不清，放弃本次报价的。</w:t>
      </w:r>
    </w:p>
    <w:p w:rsidR="008C5F2D" w:rsidRDefault="000D39F1">
      <w:pPr>
        <w:pStyle w:val="a5"/>
        <w:spacing w:line="360" w:lineRule="auto"/>
        <w:ind w:firstLineChars="190" w:firstLine="458"/>
        <w:rPr>
          <w:rFonts w:ascii="宋体" w:hAnsi="宋体" w:cs="宋体"/>
          <w:b/>
          <w:bCs/>
          <w:color w:val="FF0000"/>
          <w:sz w:val="24"/>
          <w:szCs w:val="24"/>
        </w:rPr>
      </w:pPr>
      <w:r>
        <w:rPr>
          <w:rFonts w:ascii="宋体" w:hAnsi="宋体" w:cs="宋体" w:hint="eastAsia"/>
          <w:b/>
          <w:bCs/>
          <w:color w:val="FF0000"/>
          <w:sz w:val="24"/>
          <w:szCs w:val="24"/>
        </w:rPr>
        <w:t>2.2供应商在玉环电厂业务合同中，超过约定交货期30天以上且仍未交货的，请承诺在完成本合同物资交货前不再参与玉环电厂其他非招标采购活动。</w:t>
      </w:r>
    </w:p>
    <w:p w:rsidR="008C5F2D" w:rsidRDefault="000D39F1">
      <w:pPr>
        <w:pStyle w:val="a5"/>
        <w:numPr>
          <w:ilvl w:val="0"/>
          <w:numId w:val="2"/>
        </w:numPr>
        <w:spacing w:line="360" w:lineRule="auto"/>
        <w:ind w:firstLineChars="190" w:firstLine="458"/>
        <w:rPr>
          <w:rFonts w:ascii="宋体" w:hAnsi="宋体" w:cs="宋体"/>
          <w:b/>
          <w:bCs/>
          <w:sz w:val="24"/>
          <w:szCs w:val="24"/>
        </w:rPr>
      </w:pPr>
      <w:r>
        <w:rPr>
          <w:rFonts w:ascii="宋体" w:hAnsi="宋体" w:cs="宋体" w:hint="eastAsia"/>
          <w:b/>
          <w:bCs/>
          <w:sz w:val="24"/>
          <w:szCs w:val="24"/>
        </w:rPr>
        <w:t>供应商发生以下情况符合《中国华能集团有限公司供应商管理办法》和《中国华能集团有限公司供应商管理实施细则》所列供应商不良行为的，将根据不良行为的性质和影响程度，停止合作3个月至五年：</w:t>
      </w:r>
    </w:p>
    <w:p w:rsidR="008C5F2D" w:rsidRDefault="000D39F1">
      <w:pPr>
        <w:pStyle w:val="a5"/>
        <w:spacing w:line="360" w:lineRule="auto"/>
        <w:ind w:firstLineChars="200" w:firstLine="482"/>
        <w:rPr>
          <w:rFonts w:ascii="宋体" w:hAnsi="宋体" w:cs="宋体"/>
          <w:b/>
          <w:bCs/>
          <w:sz w:val="24"/>
          <w:szCs w:val="24"/>
        </w:rPr>
      </w:pPr>
      <w:r>
        <w:rPr>
          <w:rFonts w:ascii="宋体" w:hAnsi="宋体" w:cs="宋体" w:hint="eastAsia"/>
          <w:b/>
          <w:bCs/>
          <w:sz w:val="24"/>
          <w:szCs w:val="24"/>
        </w:rPr>
        <w:t>3.1诚信方面</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供应商准入时或采购业务中提供虚假信息或证明文件等</w:t>
      </w:r>
      <w:r>
        <w:rPr>
          <w:rFonts w:ascii="宋体" w:hAnsi="宋体" w:cs="宋体" w:hint="eastAsia"/>
          <w:b/>
          <w:sz w:val="24"/>
          <w:szCs w:val="24"/>
        </w:rPr>
        <w:t>弄虚作假</w:t>
      </w:r>
      <w:r>
        <w:rPr>
          <w:rFonts w:ascii="宋体" w:hAnsi="宋体" w:cs="宋体" w:hint="eastAsia"/>
          <w:sz w:val="24"/>
          <w:szCs w:val="24"/>
        </w:rPr>
        <w:t>行为的；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供应商故意修改采购文件明确列明的技术参数并进行响应的；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供应商资质业绩信息发生实质性变化未及时做出说明，对中标结果公平性造成影响的；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供应商在投标时，修改招标文件明确列明的技术经济参数未在差异表中明确的；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供应商非招标或招标采购中标后，</w:t>
      </w:r>
      <w:r>
        <w:rPr>
          <w:rFonts w:ascii="宋体" w:hAnsi="宋体" w:cs="宋体" w:hint="eastAsia"/>
          <w:b/>
          <w:sz w:val="24"/>
          <w:szCs w:val="24"/>
        </w:rPr>
        <w:t>因自身原因弃标</w:t>
      </w:r>
      <w:r>
        <w:rPr>
          <w:rFonts w:ascii="宋体" w:hAnsi="宋体" w:cs="宋体" w:hint="eastAsia"/>
          <w:sz w:val="24"/>
          <w:szCs w:val="24"/>
        </w:rPr>
        <w:t>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供应商未按合同约定或违反投标文件承诺，擅自更换原材料、组部件的；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违规转包、分包合同的；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在经营活动中发生重大违法行为的；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在投标过程中相互串通投标或者与招标人串通投标的；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向招标人或评标委员会成员行贿，或通过非法中介机构或人员采取不正当手段谋取中标的；或向有关工作人员行贿的；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捏造事实或者提供虚假投诉材料，诋毁、排挤其他供应商进行恶意投诉的；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不按招投标文件签订合同；拒绝履行合同义务或不按合同约定履行,擅自变更或者终止合同；</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拒绝业主或业主指定的有关部门（单位）监督检查，或者提供虚假情况逃避监督的。</w:t>
      </w:r>
    </w:p>
    <w:p w:rsidR="008C5F2D" w:rsidRDefault="000D39F1">
      <w:pPr>
        <w:pStyle w:val="a5"/>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除上述行为之外发现供应商其他弄虚作假行为。</w:t>
      </w:r>
    </w:p>
    <w:p w:rsidR="008C5F2D" w:rsidRDefault="000D39F1">
      <w:pPr>
        <w:pStyle w:val="a5"/>
        <w:spacing w:line="360" w:lineRule="auto"/>
        <w:ind w:firstLineChars="200" w:firstLine="482"/>
        <w:rPr>
          <w:rFonts w:ascii="宋体" w:hAnsi="宋体" w:cs="宋体"/>
          <w:b/>
          <w:bCs/>
          <w:sz w:val="24"/>
          <w:szCs w:val="24"/>
        </w:rPr>
      </w:pPr>
      <w:r>
        <w:rPr>
          <w:rFonts w:ascii="宋体" w:hAnsi="宋体" w:cs="宋体" w:hint="eastAsia"/>
          <w:b/>
          <w:bCs/>
          <w:sz w:val="24"/>
          <w:szCs w:val="24"/>
        </w:rPr>
        <w:t>3.2质量方面</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不能按合同规定及时提供完整的检验、试验等材质证明文件资料（包括分包商、主要外购/部套件供应商应该提供的文件资料）；</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产品质量抽检中主要技术参数不合格的；</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在设备仓储、运输等过程中，因供应商原因造成设备损伤或给设备质量带来隐患的，甚至拒绝调换；</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lastRenderedPageBreak/>
        <w:t>因产品质量或服务质量问题给基本建设、生产运营或企业形象造成影响的；</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在设计上降低设计标准，或使用劣质原材料、组部件或偷工减料、以次充好；</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因供应商责任，其产品被华能集团认定为家族性缺陷的；</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未经业主同意擅自更换合同约定或投标文件承诺的原材料、组部件的；</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被国家质检单位通报产品质量不合格的；</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存在质量、履约等问题拒不整改的或召回的；</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使用国家明令淘汰、禁止使用的危及施工安全的工艺、设备、材料的；</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不配合业主单位质量监督工作，或对质量问题整改不积极；</w:t>
      </w:r>
    </w:p>
    <w:p w:rsidR="008C5F2D" w:rsidRDefault="000D39F1">
      <w:pPr>
        <w:pStyle w:val="a5"/>
        <w:numPr>
          <w:ilvl w:val="0"/>
          <w:numId w:val="4"/>
        </w:numPr>
        <w:spacing w:line="360" w:lineRule="auto"/>
        <w:ind w:firstLineChars="200" w:firstLine="480"/>
        <w:rPr>
          <w:rFonts w:ascii="宋体" w:hAnsi="宋体" w:cs="宋体"/>
          <w:sz w:val="24"/>
          <w:szCs w:val="24"/>
        </w:rPr>
      </w:pPr>
      <w:r>
        <w:rPr>
          <w:rFonts w:ascii="宋体" w:hAnsi="宋体" w:cs="宋体" w:hint="eastAsia"/>
          <w:sz w:val="24"/>
          <w:szCs w:val="24"/>
        </w:rPr>
        <w:t>在安装、调试或运行过程中，因供应商原因造成安全事故的（根据国家安全事故等级）。</w:t>
      </w:r>
    </w:p>
    <w:p w:rsidR="008C5F2D" w:rsidRDefault="000D39F1">
      <w:pPr>
        <w:pStyle w:val="a5"/>
        <w:spacing w:line="360" w:lineRule="auto"/>
        <w:ind w:firstLineChars="200" w:firstLine="482"/>
        <w:rPr>
          <w:rFonts w:ascii="宋体" w:hAnsi="宋体" w:cs="宋体"/>
          <w:b/>
          <w:bCs/>
          <w:sz w:val="24"/>
          <w:szCs w:val="24"/>
        </w:rPr>
      </w:pPr>
      <w:r>
        <w:rPr>
          <w:rFonts w:ascii="宋体" w:hAnsi="宋体" w:cs="宋体" w:hint="eastAsia"/>
          <w:b/>
          <w:bCs/>
          <w:sz w:val="24"/>
          <w:szCs w:val="24"/>
        </w:rPr>
        <w:t>3.3交货方面</w:t>
      </w:r>
    </w:p>
    <w:p w:rsidR="008C5F2D" w:rsidRDefault="000D39F1">
      <w:pPr>
        <w:pStyle w:val="a5"/>
        <w:numPr>
          <w:ilvl w:val="0"/>
          <w:numId w:val="5"/>
        </w:numPr>
        <w:spacing w:line="360" w:lineRule="auto"/>
        <w:ind w:firstLineChars="200" w:firstLine="480"/>
        <w:rPr>
          <w:rFonts w:ascii="宋体" w:hAnsi="宋体" w:cs="宋体"/>
          <w:sz w:val="24"/>
          <w:szCs w:val="24"/>
        </w:rPr>
      </w:pPr>
      <w:r>
        <w:rPr>
          <w:rFonts w:ascii="宋体" w:hAnsi="宋体" w:cs="宋体" w:hint="eastAsia"/>
          <w:sz w:val="24"/>
          <w:szCs w:val="24"/>
        </w:rPr>
        <w:t>因供应商原因延期交货或项目里程碑延期，对工程建设/生产运行或其他经营活动造成影响的。</w:t>
      </w:r>
    </w:p>
    <w:p w:rsidR="008C5F2D" w:rsidRDefault="000D39F1">
      <w:pPr>
        <w:pStyle w:val="a5"/>
        <w:spacing w:line="360" w:lineRule="auto"/>
        <w:ind w:firstLineChars="200" w:firstLine="482"/>
        <w:rPr>
          <w:rFonts w:ascii="宋体" w:hAnsi="宋体" w:cs="宋体"/>
          <w:b/>
          <w:bCs/>
          <w:sz w:val="24"/>
          <w:szCs w:val="24"/>
        </w:rPr>
      </w:pPr>
      <w:r>
        <w:rPr>
          <w:rFonts w:ascii="宋体" w:hAnsi="宋体" w:cs="宋体" w:hint="eastAsia"/>
          <w:b/>
          <w:bCs/>
          <w:sz w:val="24"/>
          <w:szCs w:val="24"/>
        </w:rPr>
        <w:t>3.4服务方面</w:t>
      </w:r>
    </w:p>
    <w:p w:rsidR="008C5F2D" w:rsidRDefault="000D39F1">
      <w:pPr>
        <w:pStyle w:val="a5"/>
        <w:numPr>
          <w:ilvl w:val="0"/>
          <w:numId w:val="6"/>
        </w:numPr>
        <w:spacing w:line="360" w:lineRule="auto"/>
        <w:ind w:firstLineChars="200" w:firstLine="480"/>
        <w:rPr>
          <w:rFonts w:ascii="宋体" w:hAnsi="宋体" w:cs="宋体"/>
          <w:sz w:val="24"/>
          <w:szCs w:val="24"/>
        </w:rPr>
      </w:pPr>
      <w:r>
        <w:rPr>
          <w:rFonts w:ascii="宋体" w:hAnsi="宋体" w:cs="宋体" w:hint="eastAsia"/>
          <w:sz w:val="24"/>
          <w:szCs w:val="24"/>
        </w:rPr>
        <w:t>未按合同约定标准提供全部服务项目，供应商服务人员到位不及时、技术指导不到位，或售后服务不到位、服务质量不良。</w:t>
      </w:r>
    </w:p>
    <w:p w:rsidR="008C5F2D" w:rsidRDefault="000D39F1">
      <w:pPr>
        <w:pStyle w:val="a5"/>
        <w:spacing w:line="360" w:lineRule="auto"/>
        <w:ind w:firstLineChars="200" w:firstLine="480"/>
        <w:rPr>
          <w:rFonts w:ascii="宋体" w:hAnsi="宋体" w:cs="宋体"/>
          <w:sz w:val="24"/>
          <w:szCs w:val="24"/>
        </w:rPr>
      </w:pPr>
      <w:r>
        <w:rPr>
          <w:rFonts w:ascii="宋体" w:hAnsi="宋体" w:cs="宋体" w:hint="eastAsia"/>
          <w:sz w:val="24"/>
          <w:szCs w:val="24"/>
        </w:rPr>
        <w:t>4、供应商在报价过程中，如对技术要求不清楚的，请在华能电子商务平台提出</w:t>
      </w:r>
      <w:r>
        <w:rPr>
          <w:rFonts w:ascii="宋体" w:hAnsi="宋体" w:cs="宋体" w:hint="eastAsia"/>
          <w:b/>
          <w:bCs/>
          <w:sz w:val="24"/>
          <w:szCs w:val="24"/>
        </w:rPr>
        <w:t>书面澄清</w:t>
      </w:r>
      <w:r>
        <w:rPr>
          <w:rFonts w:ascii="宋体" w:hAnsi="宋体" w:cs="宋体" w:hint="eastAsia"/>
          <w:sz w:val="24"/>
          <w:szCs w:val="24"/>
        </w:rPr>
        <w:t>，经采购方确认如确实属于澄清事项的，将适当延期。如不属于澄清项的则不予延期。</w:t>
      </w:r>
    </w:p>
    <w:p w:rsidR="008C5F2D" w:rsidRDefault="008C5F2D">
      <w:pPr>
        <w:pStyle w:val="a5"/>
        <w:spacing w:line="360" w:lineRule="auto"/>
        <w:ind w:firstLineChars="190" w:firstLine="456"/>
        <w:rPr>
          <w:rFonts w:ascii="宋体" w:hAnsi="宋体" w:cs="宋体"/>
          <w:sz w:val="24"/>
          <w:szCs w:val="24"/>
        </w:rPr>
      </w:pPr>
    </w:p>
    <w:p w:rsidR="008C5F2D" w:rsidRDefault="008C5F2D">
      <w:pPr>
        <w:spacing w:line="360" w:lineRule="auto"/>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8C5F2D">
      <w:pPr>
        <w:spacing w:line="360" w:lineRule="auto"/>
        <w:ind w:firstLineChars="200" w:firstLine="482"/>
        <w:rPr>
          <w:rFonts w:ascii="宋体" w:eastAsia="宋体" w:hAnsi="宋体" w:cs="宋体"/>
          <w:b/>
          <w:bCs/>
          <w:sz w:val="24"/>
        </w:rPr>
      </w:pPr>
    </w:p>
    <w:p w:rsidR="008C5F2D" w:rsidRDefault="000D39F1">
      <w:pPr>
        <w:spacing w:line="360" w:lineRule="auto"/>
        <w:ind w:firstLineChars="200" w:firstLine="482"/>
        <w:rPr>
          <w:rFonts w:ascii="宋体" w:eastAsia="宋体" w:hAnsi="宋体" w:cs="宋体"/>
          <w:b/>
          <w:bCs/>
          <w:sz w:val="24"/>
        </w:rPr>
      </w:pPr>
      <w:r>
        <w:rPr>
          <w:rFonts w:ascii="宋体" w:eastAsia="宋体" w:hAnsi="宋体" w:cs="宋体" w:hint="eastAsia"/>
          <w:b/>
          <w:bCs/>
          <w:sz w:val="24"/>
        </w:rPr>
        <w:lastRenderedPageBreak/>
        <w:t>附件：</w:t>
      </w:r>
    </w:p>
    <w:p w:rsidR="008C5F2D" w:rsidRDefault="000D39F1">
      <w:pPr>
        <w:spacing w:line="360" w:lineRule="auto"/>
        <w:ind w:firstLineChars="200" w:firstLine="482"/>
        <w:jc w:val="center"/>
        <w:rPr>
          <w:rFonts w:ascii="宋体" w:eastAsia="宋体" w:hAnsi="宋体" w:cs="宋体"/>
          <w:b/>
          <w:bCs/>
          <w:sz w:val="24"/>
        </w:rPr>
      </w:pPr>
      <w:r>
        <w:rPr>
          <w:rFonts w:ascii="宋体" w:eastAsia="宋体" w:hAnsi="宋体" w:cs="宋体" w:hint="eastAsia"/>
          <w:b/>
          <w:bCs/>
          <w:sz w:val="24"/>
        </w:rPr>
        <w:t>参与</w:t>
      </w:r>
      <w:r w:rsidR="00AB7225">
        <w:rPr>
          <w:rFonts w:ascii="宋体" w:eastAsia="宋体" w:hAnsi="宋体" w:cs="宋体" w:hint="eastAsia"/>
          <w:b/>
          <w:bCs/>
          <w:sz w:val="24"/>
        </w:rPr>
        <w:t>玉环分公司</w:t>
      </w:r>
      <w:r>
        <w:rPr>
          <w:rFonts w:ascii="宋体" w:eastAsia="宋体" w:hAnsi="宋体" w:cs="宋体" w:hint="eastAsia"/>
          <w:b/>
          <w:bCs/>
          <w:sz w:val="24"/>
        </w:rPr>
        <w:t>采购业务的承诺函</w:t>
      </w:r>
    </w:p>
    <w:p w:rsidR="008C5F2D" w:rsidRDefault="000D39F1">
      <w:pPr>
        <w:pStyle w:val="a5"/>
        <w:spacing w:line="360" w:lineRule="auto"/>
        <w:ind w:firstLineChars="190" w:firstLine="456"/>
        <w:rPr>
          <w:rFonts w:ascii="宋体" w:hAnsi="宋体" w:cs="宋体"/>
          <w:sz w:val="24"/>
          <w:szCs w:val="24"/>
        </w:rPr>
      </w:pPr>
      <w:r>
        <w:rPr>
          <w:rFonts w:ascii="宋体" w:hAnsi="宋体" w:cs="宋体" w:hint="eastAsia"/>
          <w:sz w:val="24"/>
          <w:szCs w:val="24"/>
        </w:rPr>
        <w:t>本公司已详细阅读并完全响应玉环电厂报价须知要求，并承诺：</w:t>
      </w:r>
    </w:p>
    <w:p w:rsidR="008C5F2D" w:rsidRDefault="000D39F1">
      <w:pPr>
        <w:pStyle w:val="a5"/>
        <w:spacing w:line="360" w:lineRule="auto"/>
        <w:ind w:firstLineChars="190" w:firstLine="458"/>
        <w:rPr>
          <w:rFonts w:ascii="宋体" w:hAnsi="宋体" w:cs="宋体"/>
          <w:b/>
          <w:bCs/>
          <w:sz w:val="24"/>
          <w:szCs w:val="24"/>
        </w:rPr>
      </w:pPr>
      <w:r>
        <w:rPr>
          <w:rFonts w:ascii="宋体" w:hAnsi="宋体" w:cs="宋体" w:hint="eastAsia"/>
          <w:b/>
          <w:bCs/>
          <w:sz w:val="24"/>
          <w:szCs w:val="24"/>
        </w:rPr>
        <w:t>1、在参加玉环电厂采购业务中，如发生以下情况之一，6个月内不再参与玉环电厂的非招标采购业务：</w:t>
      </w:r>
    </w:p>
    <w:p w:rsidR="008C5F2D" w:rsidRDefault="000D39F1">
      <w:pPr>
        <w:pStyle w:val="a5"/>
        <w:numPr>
          <w:ilvl w:val="0"/>
          <w:numId w:val="7"/>
        </w:numPr>
        <w:spacing w:line="360" w:lineRule="auto"/>
        <w:ind w:firstLineChars="190" w:firstLine="458"/>
        <w:rPr>
          <w:rFonts w:ascii="宋体" w:hAnsi="宋体" w:cs="宋体"/>
          <w:b/>
          <w:bCs/>
          <w:sz w:val="24"/>
          <w:szCs w:val="24"/>
        </w:rPr>
      </w:pPr>
      <w:r>
        <w:rPr>
          <w:rFonts w:ascii="宋体" w:hAnsi="宋体" w:cs="宋体" w:hint="eastAsia"/>
          <w:b/>
          <w:bCs/>
          <w:sz w:val="24"/>
          <w:szCs w:val="24"/>
        </w:rPr>
        <w:t>未按询价文件要求上传完整响应文件的；</w:t>
      </w:r>
    </w:p>
    <w:p w:rsidR="008C5F2D" w:rsidRDefault="000D39F1">
      <w:pPr>
        <w:pStyle w:val="a5"/>
        <w:numPr>
          <w:ilvl w:val="0"/>
          <w:numId w:val="7"/>
        </w:numPr>
        <w:spacing w:line="360" w:lineRule="auto"/>
        <w:ind w:firstLineChars="190" w:firstLine="458"/>
        <w:rPr>
          <w:rFonts w:ascii="宋体" w:hAnsi="宋体" w:cs="宋体"/>
          <w:b/>
          <w:bCs/>
          <w:sz w:val="24"/>
          <w:szCs w:val="24"/>
        </w:rPr>
      </w:pPr>
      <w:r>
        <w:rPr>
          <w:rFonts w:ascii="宋体" w:hAnsi="宋体" w:cs="宋体" w:hint="eastAsia"/>
          <w:b/>
          <w:bCs/>
          <w:sz w:val="24"/>
          <w:szCs w:val="24"/>
        </w:rPr>
        <w:t>在报价揭示后且未确定中标前，因自身原因，供应商放弃本次报价的。</w:t>
      </w:r>
    </w:p>
    <w:p w:rsidR="008C5F2D" w:rsidRDefault="000D39F1">
      <w:pPr>
        <w:pStyle w:val="a5"/>
        <w:numPr>
          <w:ilvl w:val="0"/>
          <w:numId w:val="8"/>
        </w:numPr>
        <w:spacing w:line="360" w:lineRule="auto"/>
        <w:ind w:firstLineChars="190" w:firstLine="458"/>
        <w:rPr>
          <w:rFonts w:ascii="宋体" w:hAnsi="宋体" w:cs="宋体"/>
          <w:b/>
          <w:bCs/>
          <w:sz w:val="24"/>
          <w:szCs w:val="24"/>
        </w:rPr>
      </w:pPr>
      <w:r>
        <w:rPr>
          <w:rFonts w:ascii="宋体" w:hAnsi="宋体" w:cs="宋体" w:hint="eastAsia"/>
          <w:b/>
          <w:bCs/>
          <w:sz w:val="24"/>
          <w:szCs w:val="24"/>
        </w:rPr>
        <w:t>在玉环电厂业务合同中，超过约定交货期30天以上且仍未交货的，在完成本合同物资交货前不再参与</w:t>
      </w:r>
      <w:r w:rsidR="006F5E62">
        <w:rPr>
          <w:rFonts w:ascii="宋体" w:hAnsi="宋体" w:cs="宋体" w:hint="eastAsia"/>
          <w:b/>
          <w:bCs/>
          <w:sz w:val="24"/>
        </w:rPr>
        <w:t>玉环分公司</w:t>
      </w:r>
      <w:r>
        <w:rPr>
          <w:rFonts w:ascii="宋体" w:hAnsi="宋体" w:cs="宋体" w:hint="eastAsia"/>
          <w:b/>
          <w:bCs/>
          <w:sz w:val="24"/>
          <w:szCs w:val="24"/>
        </w:rPr>
        <w:t>其他非招标采购业务。</w:t>
      </w:r>
    </w:p>
    <w:p w:rsidR="008C5F2D" w:rsidRDefault="008C5F2D">
      <w:pPr>
        <w:pStyle w:val="a5"/>
        <w:spacing w:line="360" w:lineRule="auto"/>
        <w:rPr>
          <w:rFonts w:ascii="宋体" w:hAnsi="宋体" w:cs="宋体"/>
          <w:b/>
          <w:bCs/>
          <w:sz w:val="24"/>
          <w:szCs w:val="24"/>
        </w:rPr>
      </w:pPr>
    </w:p>
    <w:p w:rsidR="008C5F2D" w:rsidRDefault="008C5F2D" w:rsidP="000D39F1">
      <w:pPr>
        <w:ind w:firstLineChars="1282" w:firstLine="3077"/>
        <w:jc w:val="right"/>
        <w:rPr>
          <w:rFonts w:ascii="宋体" w:eastAsia="宋体" w:hAnsi="宋体" w:cs="宋体"/>
          <w:color w:val="000000"/>
          <w:sz w:val="24"/>
        </w:rPr>
      </w:pPr>
    </w:p>
    <w:p w:rsidR="008C5F2D" w:rsidRDefault="008C5F2D" w:rsidP="000D39F1">
      <w:pPr>
        <w:ind w:firstLineChars="1282" w:firstLine="3077"/>
        <w:jc w:val="right"/>
        <w:rPr>
          <w:rFonts w:ascii="宋体" w:eastAsia="宋体" w:hAnsi="宋体" w:cs="宋体"/>
          <w:color w:val="000000"/>
          <w:sz w:val="24"/>
        </w:rPr>
      </w:pPr>
    </w:p>
    <w:p w:rsidR="008C5F2D" w:rsidRDefault="000D39F1" w:rsidP="000D39F1">
      <w:pPr>
        <w:wordWrap w:val="0"/>
        <w:ind w:firstLineChars="1282" w:firstLine="3077"/>
        <w:jc w:val="right"/>
        <w:rPr>
          <w:rFonts w:ascii="宋体" w:eastAsia="宋体" w:hAnsi="宋体" w:cs="宋体"/>
          <w:color w:val="000000"/>
          <w:sz w:val="24"/>
          <w:u w:val="single"/>
        </w:rPr>
      </w:pPr>
      <w:r>
        <w:rPr>
          <w:rFonts w:ascii="宋体" w:eastAsia="宋体" w:hAnsi="宋体" w:cs="宋体" w:hint="eastAsia"/>
          <w:color w:val="000000"/>
          <w:sz w:val="24"/>
        </w:rPr>
        <w:t>供应商：</w:t>
      </w:r>
      <w:r>
        <w:rPr>
          <w:rFonts w:ascii="宋体" w:eastAsia="宋体" w:hAnsi="宋体" w:cs="宋体" w:hint="eastAsia"/>
          <w:color w:val="000000"/>
          <w:sz w:val="24"/>
          <w:u w:val="single"/>
        </w:rPr>
        <w:t xml:space="preserve">（单位名称）              </w:t>
      </w:r>
    </w:p>
    <w:p w:rsidR="008C5F2D" w:rsidRDefault="008C5F2D" w:rsidP="000D39F1">
      <w:pPr>
        <w:wordWrap w:val="0"/>
        <w:ind w:firstLineChars="1282" w:firstLine="3077"/>
        <w:jc w:val="right"/>
        <w:rPr>
          <w:rFonts w:ascii="宋体" w:eastAsia="宋体" w:hAnsi="宋体" w:cs="宋体"/>
          <w:color w:val="000000"/>
          <w:sz w:val="24"/>
        </w:rPr>
      </w:pPr>
    </w:p>
    <w:p w:rsidR="008C5F2D" w:rsidRDefault="000D39F1" w:rsidP="000D39F1">
      <w:pPr>
        <w:wordWrap w:val="0"/>
        <w:ind w:firstLineChars="1282" w:firstLine="3077"/>
        <w:jc w:val="right"/>
        <w:rPr>
          <w:rFonts w:ascii="宋体" w:eastAsia="宋体" w:hAnsi="宋体" w:cs="宋体"/>
          <w:color w:val="000000"/>
          <w:sz w:val="24"/>
          <w:u w:val="single"/>
        </w:rPr>
      </w:pPr>
      <w:r>
        <w:rPr>
          <w:rFonts w:ascii="宋体" w:eastAsia="宋体" w:hAnsi="宋体" w:cs="宋体" w:hint="eastAsia"/>
          <w:color w:val="000000"/>
          <w:sz w:val="24"/>
        </w:rPr>
        <w:t>日  期：</w:t>
      </w:r>
    </w:p>
    <w:p w:rsidR="008C5F2D" w:rsidRDefault="008C5F2D" w:rsidP="000D39F1">
      <w:pPr>
        <w:wordWrap w:val="0"/>
        <w:ind w:firstLineChars="1282" w:firstLine="3077"/>
        <w:jc w:val="right"/>
        <w:rPr>
          <w:rFonts w:ascii="宋体" w:eastAsia="宋体" w:hAnsi="宋体" w:cs="宋体"/>
          <w:color w:val="000000"/>
          <w:sz w:val="24"/>
        </w:rPr>
      </w:pPr>
    </w:p>
    <w:p w:rsidR="008C5F2D" w:rsidRDefault="000D39F1" w:rsidP="008C5F2D">
      <w:pPr>
        <w:wordWrap w:val="0"/>
        <w:ind w:firstLineChars="1282" w:firstLine="3077"/>
        <w:jc w:val="right"/>
        <w:rPr>
          <w:rFonts w:ascii="宋体" w:eastAsia="宋体" w:hAnsi="宋体" w:cs="宋体"/>
          <w:b/>
          <w:bCs/>
          <w:sz w:val="24"/>
          <w:u w:val="single"/>
        </w:rPr>
      </w:pPr>
      <w:r>
        <w:rPr>
          <w:rFonts w:ascii="宋体" w:eastAsia="宋体" w:hAnsi="宋体" w:cs="宋体" w:hint="eastAsia"/>
          <w:color w:val="000000"/>
          <w:sz w:val="24"/>
        </w:rPr>
        <w:t>盖  章：</w:t>
      </w:r>
    </w:p>
    <w:sectPr w:rsidR="008C5F2D" w:rsidSect="008C5F2D">
      <w:pgSz w:w="11906" w:h="16838"/>
      <w:pgMar w:top="680" w:right="850" w:bottom="567" w:left="85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328" w:rsidRDefault="00503328" w:rsidP="00995FBA">
      <w:r>
        <w:separator/>
      </w:r>
    </w:p>
  </w:endnote>
  <w:endnote w:type="continuationSeparator" w:id="1">
    <w:p w:rsidR="00503328" w:rsidRDefault="00503328" w:rsidP="00995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328" w:rsidRDefault="00503328" w:rsidP="00995FBA">
      <w:r>
        <w:separator/>
      </w:r>
    </w:p>
  </w:footnote>
  <w:footnote w:type="continuationSeparator" w:id="1">
    <w:p w:rsidR="00503328" w:rsidRDefault="00503328" w:rsidP="00995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A215BB"/>
    <w:multiLevelType w:val="singleLevel"/>
    <w:tmpl w:val="B6A215BB"/>
    <w:lvl w:ilvl="0">
      <w:start w:val="1"/>
      <w:numFmt w:val="decimal"/>
      <w:suff w:val="nothing"/>
      <w:lvlText w:val="（%1）"/>
      <w:lvlJc w:val="left"/>
    </w:lvl>
  </w:abstractNum>
  <w:abstractNum w:abstractNumId="1">
    <w:nsid w:val="DDA7E0AD"/>
    <w:multiLevelType w:val="singleLevel"/>
    <w:tmpl w:val="DDA7E0AD"/>
    <w:lvl w:ilvl="0">
      <w:start w:val="1"/>
      <w:numFmt w:val="decimal"/>
      <w:suff w:val="nothing"/>
      <w:lvlText w:val="（%1）"/>
      <w:lvlJc w:val="left"/>
    </w:lvl>
  </w:abstractNum>
  <w:abstractNum w:abstractNumId="2">
    <w:nsid w:val="DF930594"/>
    <w:multiLevelType w:val="singleLevel"/>
    <w:tmpl w:val="DF930594"/>
    <w:lvl w:ilvl="0">
      <w:start w:val="1"/>
      <w:numFmt w:val="decimal"/>
      <w:suff w:val="nothing"/>
      <w:lvlText w:val="（%1）"/>
      <w:lvlJc w:val="left"/>
    </w:lvl>
  </w:abstractNum>
  <w:abstractNum w:abstractNumId="3">
    <w:nsid w:val="20DC765D"/>
    <w:multiLevelType w:val="singleLevel"/>
    <w:tmpl w:val="20DC765D"/>
    <w:lvl w:ilvl="0">
      <w:start w:val="1"/>
      <w:numFmt w:val="decimal"/>
      <w:suff w:val="nothing"/>
      <w:lvlText w:val="（%1）"/>
      <w:lvlJc w:val="left"/>
    </w:lvl>
  </w:abstractNum>
  <w:abstractNum w:abstractNumId="4">
    <w:nsid w:val="406800A2"/>
    <w:multiLevelType w:val="singleLevel"/>
    <w:tmpl w:val="406800A2"/>
    <w:lvl w:ilvl="0">
      <w:start w:val="3"/>
      <w:numFmt w:val="decimal"/>
      <w:suff w:val="nothing"/>
      <w:lvlText w:val="%1、"/>
      <w:lvlJc w:val="left"/>
    </w:lvl>
  </w:abstractNum>
  <w:abstractNum w:abstractNumId="5">
    <w:nsid w:val="514552B6"/>
    <w:multiLevelType w:val="singleLevel"/>
    <w:tmpl w:val="514552B6"/>
    <w:lvl w:ilvl="0">
      <w:start w:val="2"/>
      <w:numFmt w:val="decimal"/>
      <w:suff w:val="nothing"/>
      <w:lvlText w:val="%1、"/>
      <w:lvlJc w:val="left"/>
    </w:lvl>
  </w:abstractNum>
  <w:abstractNum w:abstractNumId="6">
    <w:nsid w:val="5CE87D8E"/>
    <w:multiLevelType w:val="singleLevel"/>
    <w:tmpl w:val="5CE87D8E"/>
    <w:lvl w:ilvl="0">
      <w:start w:val="1"/>
      <w:numFmt w:val="decimal"/>
      <w:suff w:val="nothing"/>
      <w:lvlText w:val="（%1）"/>
      <w:lvlJc w:val="left"/>
    </w:lvl>
  </w:abstractNum>
  <w:abstractNum w:abstractNumId="7">
    <w:nsid w:val="73D46887"/>
    <w:multiLevelType w:val="singleLevel"/>
    <w:tmpl w:val="73D46887"/>
    <w:lvl w:ilvl="0">
      <w:start w:val="1"/>
      <w:numFmt w:val="decimal"/>
      <w:suff w:val="nothing"/>
      <w:lvlText w:val="（%1）"/>
      <w:lvlJc w:val="left"/>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0949EC"/>
    <w:rsid w:val="00005069"/>
    <w:rsid w:val="000C14B9"/>
    <w:rsid w:val="000D39F1"/>
    <w:rsid w:val="000F5455"/>
    <w:rsid w:val="00175095"/>
    <w:rsid w:val="001820B6"/>
    <w:rsid w:val="001D7467"/>
    <w:rsid w:val="002237C6"/>
    <w:rsid w:val="004A0742"/>
    <w:rsid w:val="004D33CA"/>
    <w:rsid w:val="00503328"/>
    <w:rsid w:val="00526D6F"/>
    <w:rsid w:val="00563ACF"/>
    <w:rsid w:val="0057495C"/>
    <w:rsid w:val="005A2CF7"/>
    <w:rsid w:val="005E1AB6"/>
    <w:rsid w:val="006149CF"/>
    <w:rsid w:val="006D683E"/>
    <w:rsid w:val="006F5E62"/>
    <w:rsid w:val="008354E5"/>
    <w:rsid w:val="008C5F2D"/>
    <w:rsid w:val="00921394"/>
    <w:rsid w:val="00946954"/>
    <w:rsid w:val="00995FBA"/>
    <w:rsid w:val="009A29C7"/>
    <w:rsid w:val="00A413F2"/>
    <w:rsid w:val="00A60E9A"/>
    <w:rsid w:val="00AB7225"/>
    <w:rsid w:val="00AD3323"/>
    <w:rsid w:val="00AE36B8"/>
    <w:rsid w:val="00B51E28"/>
    <w:rsid w:val="00C57FBD"/>
    <w:rsid w:val="00CF54C4"/>
    <w:rsid w:val="00F32154"/>
    <w:rsid w:val="01513285"/>
    <w:rsid w:val="05532E9E"/>
    <w:rsid w:val="08A36975"/>
    <w:rsid w:val="116D4DB6"/>
    <w:rsid w:val="13021BE0"/>
    <w:rsid w:val="14690CDC"/>
    <w:rsid w:val="14A13C52"/>
    <w:rsid w:val="17C40D1C"/>
    <w:rsid w:val="180949EC"/>
    <w:rsid w:val="19452761"/>
    <w:rsid w:val="21496F97"/>
    <w:rsid w:val="232151EE"/>
    <w:rsid w:val="264162CA"/>
    <w:rsid w:val="2723456F"/>
    <w:rsid w:val="287A1BD6"/>
    <w:rsid w:val="2CA02C6A"/>
    <w:rsid w:val="2DD007E5"/>
    <w:rsid w:val="2E332AED"/>
    <w:rsid w:val="33100EE4"/>
    <w:rsid w:val="33E96A42"/>
    <w:rsid w:val="34574618"/>
    <w:rsid w:val="3A852C9F"/>
    <w:rsid w:val="3AE4169A"/>
    <w:rsid w:val="3C6C1B08"/>
    <w:rsid w:val="3CC25F69"/>
    <w:rsid w:val="3D71664B"/>
    <w:rsid w:val="3F3C2365"/>
    <w:rsid w:val="428A3971"/>
    <w:rsid w:val="46291F06"/>
    <w:rsid w:val="4A0C3C70"/>
    <w:rsid w:val="4D54439B"/>
    <w:rsid w:val="4F4B1094"/>
    <w:rsid w:val="59753CA6"/>
    <w:rsid w:val="5A6F12C0"/>
    <w:rsid w:val="5BCC2C47"/>
    <w:rsid w:val="5D823BCE"/>
    <w:rsid w:val="5D8D52FE"/>
    <w:rsid w:val="60655F5A"/>
    <w:rsid w:val="63B70861"/>
    <w:rsid w:val="673553E1"/>
    <w:rsid w:val="6AA935AB"/>
    <w:rsid w:val="6B391EAE"/>
    <w:rsid w:val="71860E8A"/>
    <w:rsid w:val="7320361D"/>
    <w:rsid w:val="73283DF4"/>
    <w:rsid w:val="73DF3EB7"/>
    <w:rsid w:val="7BF41AF0"/>
    <w:rsid w:val="7D4E164A"/>
    <w:rsid w:val="7E6D5B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C5F2D"/>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8C5F2D"/>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8C5F2D"/>
    <w:pPr>
      <w:spacing w:before="120"/>
    </w:pPr>
    <w:rPr>
      <w:rFonts w:ascii="Cambria" w:hAnsi="Cambria" w:cs="Times New Roman"/>
      <w:sz w:val="24"/>
    </w:rPr>
  </w:style>
  <w:style w:type="paragraph" w:styleId="a4">
    <w:name w:val="Normal (Web)"/>
    <w:basedOn w:val="a"/>
    <w:qFormat/>
    <w:rsid w:val="008C5F2D"/>
    <w:pPr>
      <w:spacing w:beforeAutospacing="1" w:afterAutospacing="1"/>
      <w:jc w:val="left"/>
    </w:pPr>
    <w:rPr>
      <w:rFonts w:cs="Times New Roman"/>
      <w:kern w:val="0"/>
      <w:sz w:val="24"/>
    </w:rPr>
  </w:style>
  <w:style w:type="paragraph" w:styleId="a5">
    <w:name w:val="No Spacing"/>
    <w:uiPriority w:val="1"/>
    <w:qFormat/>
    <w:rsid w:val="008C5F2D"/>
    <w:rPr>
      <w:sz w:val="22"/>
      <w:szCs w:val="22"/>
    </w:rPr>
  </w:style>
  <w:style w:type="paragraph" w:styleId="a6">
    <w:name w:val="header"/>
    <w:basedOn w:val="a"/>
    <w:link w:val="Char"/>
    <w:rsid w:val="00995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995FBA"/>
    <w:rPr>
      <w:rFonts w:asciiTheme="minorHAnsi" w:eastAsiaTheme="minorEastAsia" w:hAnsiTheme="minorHAnsi" w:cstheme="minorBidi"/>
      <w:kern w:val="2"/>
      <w:sz w:val="18"/>
      <w:szCs w:val="18"/>
    </w:rPr>
  </w:style>
  <w:style w:type="paragraph" w:styleId="a7">
    <w:name w:val="footer"/>
    <w:basedOn w:val="a"/>
    <w:link w:val="Char0"/>
    <w:rsid w:val="00995FBA"/>
    <w:pPr>
      <w:tabs>
        <w:tab w:val="center" w:pos="4153"/>
        <w:tab w:val="right" w:pos="8306"/>
      </w:tabs>
      <w:snapToGrid w:val="0"/>
      <w:jc w:val="left"/>
    </w:pPr>
    <w:rPr>
      <w:sz w:val="18"/>
      <w:szCs w:val="18"/>
    </w:rPr>
  </w:style>
  <w:style w:type="character" w:customStyle="1" w:styleId="Char0">
    <w:name w:val="页脚 Char"/>
    <w:basedOn w:val="a1"/>
    <w:link w:val="a7"/>
    <w:rsid w:val="00995F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陈浩661/JSFGS/CHNG</dc:creator>
  <cp:lastModifiedBy>何有芾/ZJFGS/CHNG</cp:lastModifiedBy>
  <cp:revision>6</cp:revision>
  <cp:lastPrinted>2020-10-30T06:11:00Z</cp:lastPrinted>
  <dcterms:created xsi:type="dcterms:W3CDTF">2020-11-04T00:34:00Z</dcterms:created>
  <dcterms:modified xsi:type="dcterms:W3CDTF">2021-01-19T06:04:00Z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