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ind w:firstLine="880"/>
        <w:jc w:val="left"/>
        <w:rPr>
          <w:rFonts w:ascii="Arial" w:hAnsi="Arial" w:cs="Arial"/>
          <w:bCs/>
          <w:sz w:val="28"/>
          <w:szCs w:val="28"/>
        </w:rPr>
      </w:pPr>
      <w:r>
        <w:rPr>
          <w:color w:val="000000"/>
          <w:sz w:val="44"/>
        </w:rPr>
        <w:drawing>
          <wp:anchor distT="0" distB="0" distL="114300" distR="114300" simplePos="0" relativeHeight="251659264" behindDoc="0" locked="0" layoutInCell="1" allowOverlap="1">
            <wp:simplePos x="0" y="0"/>
            <wp:positionH relativeFrom="column">
              <wp:posOffset>3916680</wp:posOffset>
            </wp:positionH>
            <wp:positionV relativeFrom="paragraph">
              <wp:posOffset>-3175</wp:posOffset>
            </wp:positionV>
            <wp:extent cx="1840230" cy="396875"/>
            <wp:effectExtent l="0" t="0" r="7620" b="3175"/>
            <wp:wrapSquare wrapText="bothSides"/>
            <wp:docPr id="1"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未标题-1副本"/>
                    <pic:cNvPicPr>
                      <a:picLocks noChangeAspect="1"/>
                    </pic:cNvPicPr>
                  </pic:nvPicPr>
                  <pic:blipFill>
                    <a:blip r:embed="rId11" cstate="print"/>
                    <a:stretch>
                      <a:fillRect/>
                    </a:stretch>
                  </pic:blipFill>
                  <pic:spPr>
                    <a:xfrm>
                      <a:off x="0" y="0"/>
                      <a:ext cx="1840230" cy="396875"/>
                    </a:xfrm>
                    <a:prstGeom prst="rect">
                      <a:avLst/>
                    </a:prstGeom>
                    <a:noFill/>
                    <a:ln>
                      <a:noFill/>
                    </a:ln>
                  </pic:spPr>
                </pic:pic>
              </a:graphicData>
            </a:graphic>
          </wp:anchor>
        </w:drawing>
      </w:r>
    </w:p>
    <w:p>
      <w:pPr>
        <w:spacing w:line="760" w:lineRule="exact"/>
        <w:ind w:firstLine="880"/>
        <w:rPr>
          <w:color w:val="000000"/>
          <w:sz w:val="44"/>
        </w:rPr>
      </w:pPr>
    </w:p>
    <w:p>
      <w:pPr>
        <w:adjustRightInd/>
        <w:snapToGrid/>
        <w:spacing w:line="240" w:lineRule="auto"/>
        <w:ind w:firstLine="0" w:firstLineChars="0"/>
        <w:jc w:val="center"/>
        <w:rPr>
          <w:rFonts w:ascii="黑体" w:hAnsi="黑体" w:eastAsia="黑体"/>
          <w:sz w:val="44"/>
          <w:szCs w:val="22"/>
        </w:rPr>
      </w:pPr>
      <w:r>
        <w:rPr>
          <w:rFonts w:hint="eastAsia" w:ascii="黑体" w:hAnsi="黑体" w:eastAsia="黑体"/>
          <w:sz w:val="44"/>
          <w:szCs w:val="22"/>
        </w:rPr>
        <w:t>华能海南发电股份有限公司海口电厂</w:t>
      </w:r>
    </w:p>
    <w:p>
      <w:pPr>
        <w:adjustRightInd/>
        <w:snapToGrid/>
        <w:spacing w:line="240" w:lineRule="auto"/>
        <w:ind w:firstLine="0" w:firstLineChars="0"/>
        <w:jc w:val="center"/>
        <w:rPr>
          <w:rFonts w:hint="eastAsia" w:ascii="黑体" w:hAnsi="黑体" w:eastAsia="黑体"/>
          <w:sz w:val="36"/>
          <w:szCs w:val="36"/>
          <w:lang w:val="en-US" w:eastAsia="zh-CN"/>
        </w:rPr>
      </w:pPr>
    </w:p>
    <w:p>
      <w:pPr>
        <w:adjustRightInd/>
        <w:snapToGrid/>
        <w:spacing w:line="240" w:lineRule="auto"/>
        <w:ind w:firstLine="0" w:firstLineChars="0"/>
        <w:jc w:val="center"/>
        <w:rPr>
          <w:rFonts w:ascii="黑体" w:hAnsi="黑体" w:eastAsia="黑体"/>
          <w:sz w:val="36"/>
          <w:szCs w:val="36"/>
        </w:rPr>
      </w:pPr>
      <w:r>
        <w:rPr>
          <w:rFonts w:hint="eastAsia" w:ascii="黑体" w:hAnsi="黑体" w:eastAsia="黑体"/>
          <w:sz w:val="36"/>
          <w:szCs w:val="36"/>
          <w:lang w:val="en-US" w:eastAsia="zh-CN"/>
        </w:rPr>
        <w:t>电力电缆、气体继电器等物资询价采购</w:t>
      </w:r>
      <w:r>
        <w:rPr>
          <w:rFonts w:hint="eastAsia" w:ascii="黑体" w:hAnsi="黑体" w:eastAsia="黑体"/>
          <w:sz w:val="36"/>
          <w:szCs w:val="36"/>
        </w:rPr>
        <w:t>文件</w:t>
      </w:r>
    </w:p>
    <w:p>
      <w:pPr>
        <w:spacing w:line="240" w:lineRule="auto"/>
        <w:ind w:firstLine="0" w:firstLineChars="0"/>
        <w:jc w:val="center"/>
        <w:rPr>
          <w:rFonts w:ascii="黑体" w:eastAsia="黑体"/>
          <w:sz w:val="28"/>
          <w:szCs w:val="28"/>
        </w:rPr>
      </w:pPr>
    </w:p>
    <w:p>
      <w:pPr>
        <w:ind w:firstLine="2660" w:firstLineChars="950"/>
        <w:rPr>
          <w:rFonts w:hint="default" w:ascii="Arial" w:hAnsi="Arial" w:eastAsia="宋体" w:cs="Arial"/>
          <w:color w:val="000000"/>
          <w:sz w:val="20"/>
          <w:u w:val="single"/>
          <w:lang w:val="en-US" w:eastAsia="zh-CN"/>
        </w:rPr>
      </w:pPr>
      <w:r>
        <w:rPr>
          <w:rFonts w:hint="eastAsia" w:ascii="黑体" w:eastAsia="黑体"/>
          <w:sz w:val="28"/>
          <w:szCs w:val="28"/>
        </w:rPr>
        <w:t>采</w:t>
      </w:r>
      <w:r>
        <w:rPr>
          <w:rFonts w:hint="eastAsia"/>
          <w:color w:val="000000"/>
          <w:sz w:val="28"/>
          <w:szCs w:val="28"/>
        </w:rPr>
        <w:t>购编号：</w:t>
      </w:r>
      <w:r>
        <w:rPr>
          <w:rFonts w:hint="eastAsia" w:ascii="Arial" w:hAnsi="Arial" w:cs="Arial"/>
          <w:sz w:val="20"/>
          <w:u w:val="single"/>
        </w:rPr>
        <w:t>X428220700</w:t>
      </w:r>
      <w:r>
        <w:rPr>
          <w:rFonts w:hint="eastAsia" w:ascii="Arial" w:hAnsi="Arial" w:cs="Arial"/>
          <w:sz w:val="20"/>
          <w:u w:val="single"/>
          <w:lang w:val="en-US" w:eastAsia="zh-CN"/>
        </w:rPr>
        <w:t>22</w:t>
      </w: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tbl>
      <w:tblPr>
        <w:tblStyle w:val="51"/>
        <w:tblW w:w="7303" w:type="dxa"/>
        <w:tblInd w:w="460" w:type="dxa"/>
        <w:tblLayout w:type="fixed"/>
        <w:tblCellMar>
          <w:top w:w="0" w:type="dxa"/>
          <w:left w:w="108" w:type="dxa"/>
          <w:bottom w:w="0" w:type="dxa"/>
          <w:right w:w="108" w:type="dxa"/>
        </w:tblCellMar>
      </w:tblPr>
      <w:tblGrid>
        <w:gridCol w:w="1995"/>
        <w:gridCol w:w="236"/>
        <w:gridCol w:w="5072"/>
      </w:tblGrid>
      <w:tr>
        <w:tblPrEx>
          <w:tblCellMar>
            <w:top w:w="0" w:type="dxa"/>
            <w:left w:w="108" w:type="dxa"/>
            <w:bottom w:w="0" w:type="dxa"/>
            <w:right w:w="108" w:type="dxa"/>
          </w:tblCellMar>
        </w:tblPrEx>
        <w:trPr>
          <w:trHeight w:val="603" w:hRule="atLeast"/>
        </w:trPr>
        <w:tc>
          <w:tcPr>
            <w:tcW w:w="1995" w:type="dxa"/>
            <w:noWrap/>
            <w:vAlign w:val="center"/>
          </w:tcPr>
          <w:p>
            <w:pPr>
              <w:spacing w:line="0" w:lineRule="atLeast"/>
              <w:ind w:firstLine="0" w:firstLineChars="0"/>
              <w:jc w:val="distribute"/>
              <w:rPr>
                <w:rFonts w:ascii="黑体" w:hAnsi="黑体" w:eastAsia="黑体" w:cs="楷体_GB2312"/>
                <w:sz w:val="28"/>
                <w:szCs w:val="28"/>
              </w:rPr>
            </w:pPr>
            <w:r>
              <w:rPr>
                <w:rFonts w:hint="eastAsia" w:ascii="黑体" w:hAnsi="黑体" w:eastAsia="黑体" w:cs="楷体_GB2312"/>
                <w:sz w:val="28"/>
                <w:szCs w:val="28"/>
              </w:rPr>
              <w:t>采购人</w:t>
            </w:r>
          </w:p>
        </w:tc>
        <w:tc>
          <w:tcPr>
            <w:tcW w:w="236" w:type="dxa"/>
            <w:noWrap/>
            <w:vAlign w:val="center"/>
          </w:tcPr>
          <w:p>
            <w:pPr>
              <w:spacing w:line="0" w:lineRule="atLeast"/>
              <w:ind w:firstLine="0" w:firstLineChars="0"/>
              <w:jc w:val="distribute"/>
              <w:rPr>
                <w:rFonts w:ascii="黑体" w:hAnsi="黑体" w:eastAsia="黑体" w:cs="楷体_GB2312"/>
                <w:sz w:val="28"/>
                <w:szCs w:val="28"/>
              </w:rPr>
            </w:pPr>
            <w:r>
              <w:rPr>
                <w:rFonts w:hint="eastAsia" w:ascii="黑体" w:hAnsi="黑体" w:eastAsia="黑体" w:cs="楷体_GB2312"/>
                <w:sz w:val="28"/>
                <w:szCs w:val="28"/>
              </w:rPr>
              <w:t>：</w:t>
            </w:r>
          </w:p>
        </w:tc>
        <w:tc>
          <w:tcPr>
            <w:tcW w:w="5072" w:type="dxa"/>
            <w:noWrap/>
            <w:vAlign w:val="center"/>
          </w:tcPr>
          <w:p>
            <w:pPr>
              <w:spacing w:line="0" w:lineRule="atLeast"/>
              <w:ind w:firstLine="0" w:firstLineChars="0"/>
              <w:jc w:val="left"/>
              <w:rPr>
                <w:rFonts w:ascii="黑体" w:hAnsi="黑体" w:eastAsia="黑体" w:cs="楷体_GB2312"/>
                <w:sz w:val="28"/>
                <w:szCs w:val="28"/>
                <w:u w:val="single"/>
              </w:rPr>
            </w:pPr>
            <w:r>
              <w:rPr>
                <w:rFonts w:hint="eastAsia" w:ascii="宋体" w:hAnsi="宋体" w:cs="宋体"/>
                <w:bCs/>
                <w:sz w:val="28"/>
                <w:u w:val="single"/>
              </w:rPr>
              <w:t>华能海南发电股份有限公司海口电厂</w:t>
            </w:r>
          </w:p>
        </w:tc>
      </w:tr>
      <w:tr>
        <w:tblPrEx>
          <w:tblCellMar>
            <w:top w:w="0" w:type="dxa"/>
            <w:left w:w="108" w:type="dxa"/>
            <w:bottom w:w="0" w:type="dxa"/>
            <w:right w:w="108" w:type="dxa"/>
          </w:tblCellMar>
        </w:tblPrEx>
        <w:trPr>
          <w:trHeight w:val="603" w:hRule="atLeast"/>
        </w:trPr>
        <w:tc>
          <w:tcPr>
            <w:tcW w:w="1995" w:type="dxa"/>
            <w:noWrap/>
            <w:vAlign w:val="center"/>
          </w:tcPr>
          <w:p>
            <w:pPr>
              <w:ind w:firstLine="0" w:firstLineChars="0"/>
              <w:jc w:val="distribute"/>
              <w:rPr>
                <w:rFonts w:ascii="黑体" w:hAnsi="黑体" w:eastAsia="黑体"/>
                <w:spacing w:val="-20"/>
                <w:sz w:val="28"/>
                <w:szCs w:val="28"/>
              </w:rPr>
            </w:pPr>
            <w:r>
              <w:rPr>
                <w:rFonts w:hint="eastAsia" w:ascii="黑体" w:hAnsi="黑体" w:eastAsia="黑体"/>
                <w:spacing w:val="-20"/>
                <w:sz w:val="28"/>
                <w:szCs w:val="28"/>
              </w:rPr>
              <w:t>采购代理机构</w:t>
            </w:r>
          </w:p>
        </w:tc>
        <w:tc>
          <w:tcPr>
            <w:tcW w:w="236" w:type="dxa"/>
            <w:noWrap/>
            <w:vAlign w:val="center"/>
          </w:tcPr>
          <w:p>
            <w:pPr>
              <w:ind w:firstLine="0" w:firstLineChars="0"/>
              <w:jc w:val="distribute"/>
              <w:rPr>
                <w:rFonts w:ascii="黑体" w:hAnsi="黑体" w:eastAsia="黑体"/>
                <w:sz w:val="28"/>
                <w:szCs w:val="28"/>
              </w:rPr>
            </w:pPr>
            <w:r>
              <w:rPr>
                <w:rFonts w:hint="eastAsia" w:ascii="黑体" w:hAnsi="黑体" w:eastAsia="黑体"/>
                <w:sz w:val="28"/>
                <w:szCs w:val="28"/>
              </w:rPr>
              <w:t>：</w:t>
            </w:r>
          </w:p>
        </w:tc>
        <w:tc>
          <w:tcPr>
            <w:tcW w:w="5072" w:type="dxa"/>
            <w:noWrap/>
            <w:vAlign w:val="center"/>
          </w:tcPr>
          <w:p>
            <w:pPr>
              <w:spacing w:line="0" w:lineRule="atLeast"/>
              <w:ind w:firstLine="0" w:firstLineChars="0"/>
              <w:jc w:val="left"/>
              <w:rPr>
                <w:rFonts w:ascii="黑体" w:hAnsi="黑体" w:eastAsia="黑体"/>
                <w:sz w:val="28"/>
                <w:szCs w:val="28"/>
                <w:u w:val="single"/>
              </w:rPr>
            </w:pPr>
            <w:r>
              <w:rPr>
                <w:rFonts w:hint="eastAsia" w:ascii="黑体" w:hAnsi="黑体" w:eastAsia="黑体"/>
                <w:sz w:val="28"/>
                <w:szCs w:val="28"/>
                <w:u w:val="single"/>
              </w:rPr>
              <w:t>/</w:t>
            </w:r>
          </w:p>
        </w:tc>
      </w:tr>
      <w:tr>
        <w:tblPrEx>
          <w:tblCellMar>
            <w:top w:w="0" w:type="dxa"/>
            <w:left w:w="108" w:type="dxa"/>
            <w:bottom w:w="0" w:type="dxa"/>
            <w:right w:w="108" w:type="dxa"/>
          </w:tblCellMar>
        </w:tblPrEx>
        <w:trPr>
          <w:trHeight w:val="603" w:hRule="atLeast"/>
        </w:trPr>
        <w:tc>
          <w:tcPr>
            <w:tcW w:w="1995" w:type="dxa"/>
            <w:noWrap/>
            <w:vAlign w:val="center"/>
          </w:tcPr>
          <w:p>
            <w:pPr>
              <w:ind w:firstLine="0" w:firstLineChars="0"/>
              <w:jc w:val="distribute"/>
              <w:rPr>
                <w:rFonts w:ascii="黑体" w:hAnsi="黑体" w:eastAsia="黑体"/>
                <w:spacing w:val="-20"/>
                <w:sz w:val="28"/>
                <w:szCs w:val="28"/>
              </w:rPr>
            </w:pPr>
            <w:r>
              <w:rPr>
                <w:rFonts w:hint="eastAsia" w:ascii="黑体" w:hAnsi="黑体" w:eastAsia="黑体"/>
                <w:sz w:val="28"/>
                <w:szCs w:val="28"/>
              </w:rPr>
              <w:t>日      期</w:t>
            </w:r>
          </w:p>
        </w:tc>
        <w:tc>
          <w:tcPr>
            <w:tcW w:w="236" w:type="dxa"/>
            <w:noWrap/>
            <w:vAlign w:val="center"/>
          </w:tcPr>
          <w:p>
            <w:pPr>
              <w:ind w:firstLine="0" w:firstLineChars="0"/>
              <w:jc w:val="distribute"/>
              <w:rPr>
                <w:rFonts w:ascii="黑体" w:hAnsi="黑体" w:eastAsia="黑体"/>
                <w:sz w:val="28"/>
                <w:szCs w:val="28"/>
              </w:rPr>
            </w:pPr>
            <w:r>
              <w:rPr>
                <w:rFonts w:hint="eastAsia" w:ascii="黑体" w:hAnsi="黑体" w:eastAsia="黑体"/>
                <w:sz w:val="28"/>
                <w:szCs w:val="28"/>
              </w:rPr>
              <w:t>：</w:t>
            </w:r>
          </w:p>
        </w:tc>
        <w:tc>
          <w:tcPr>
            <w:tcW w:w="5072" w:type="dxa"/>
            <w:noWrap/>
            <w:vAlign w:val="center"/>
          </w:tcPr>
          <w:p>
            <w:pPr>
              <w:spacing w:line="0" w:lineRule="atLeast"/>
              <w:ind w:firstLine="0" w:firstLineChars="0"/>
              <w:jc w:val="left"/>
              <w:rPr>
                <w:rFonts w:ascii="楷体" w:hAnsi="楷体" w:eastAsia="楷体"/>
                <w:sz w:val="28"/>
                <w:szCs w:val="28"/>
                <w:u w:val="single"/>
              </w:rPr>
            </w:pPr>
            <w:r>
              <w:rPr>
                <w:rFonts w:hint="eastAsia" w:ascii="楷体" w:hAnsi="楷体" w:eastAsia="楷体"/>
                <w:sz w:val="28"/>
                <w:szCs w:val="28"/>
                <w:u w:val="single"/>
              </w:rPr>
              <w:t xml:space="preserve">          2022年</w:t>
            </w:r>
            <w:r>
              <w:rPr>
                <w:rFonts w:hint="eastAsia" w:ascii="楷体" w:hAnsi="楷体" w:eastAsia="楷体"/>
                <w:sz w:val="28"/>
                <w:szCs w:val="28"/>
                <w:u w:val="single"/>
                <w:lang w:val="en-US" w:eastAsia="zh-CN"/>
              </w:rPr>
              <w:t>7</w:t>
            </w:r>
            <w:r>
              <w:rPr>
                <w:rFonts w:hint="eastAsia" w:ascii="楷体" w:hAnsi="楷体" w:eastAsia="楷体"/>
                <w:sz w:val="28"/>
                <w:szCs w:val="28"/>
                <w:u w:val="single"/>
              </w:rPr>
              <w:t xml:space="preserve">月           </w:t>
            </w:r>
          </w:p>
        </w:tc>
      </w:tr>
    </w:tbl>
    <w:p>
      <w:pPr>
        <w:pStyle w:val="2"/>
        <w:ind w:firstLine="880"/>
        <w:rPr>
          <w:rFonts w:ascii="黑体" w:eastAsia="黑体"/>
          <w:b w:val="0"/>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97" w:right="1440" w:bottom="1797" w:left="1440" w:header="851" w:footer="992" w:gutter="0"/>
          <w:pgBorders>
            <w:top w:val="none" w:sz="0" w:space="0"/>
            <w:left w:val="none" w:sz="0" w:space="0"/>
            <w:bottom w:val="none" w:sz="0" w:space="0"/>
            <w:right w:val="none" w:sz="0" w:space="0"/>
          </w:pgBorders>
          <w:pgNumType w:start="0"/>
          <w:cols w:space="720" w:num="1"/>
          <w:titlePg/>
          <w:docGrid w:linePitch="326" w:charSpace="0"/>
        </w:sectPr>
      </w:pPr>
      <w:bookmarkStart w:id="0" w:name="_Toc525134786"/>
    </w:p>
    <w:bookmarkEnd w:id="0"/>
    <w:p>
      <w:pPr>
        <w:spacing w:line="360" w:lineRule="auto"/>
        <w:ind w:firstLine="0" w:firstLineChars="0"/>
        <w:rPr>
          <w:rFonts w:ascii="黑体" w:eastAsia="黑体"/>
          <w:sz w:val="36"/>
          <w:szCs w:val="32"/>
        </w:rPr>
      </w:pPr>
    </w:p>
    <w:p>
      <w:pPr>
        <w:spacing w:line="360" w:lineRule="auto"/>
        <w:ind w:firstLine="0" w:firstLineChars="0"/>
        <w:jc w:val="center"/>
        <w:rPr>
          <w:lang w:val="zh-CN"/>
        </w:rPr>
      </w:pPr>
      <w:r>
        <w:rPr>
          <w:rFonts w:ascii="黑体" w:eastAsia="黑体"/>
          <w:sz w:val="36"/>
          <w:szCs w:val="32"/>
        </w:rPr>
        <w:t>目 录</w:t>
      </w:r>
    </w:p>
    <w:p>
      <w:pPr>
        <w:pStyle w:val="38"/>
        <w:tabs>
          <w:tab w:val="right" w:leader="dot" w:pos="9017"/>
        </w:tabs>
        <w:ind w:firstLine="442"/>
        <w:rPr>
          <w:rFonts w:asciiTheme="minorHAnsi" w:hAnsiTheme="minorHAnsi" w:eastAsiaTheme="minorEastAsia" w:cstheme="minorBidi"/>
          <w:sz w:val="21"/>
          <w:szCs w:val="22"/>
        </w:rPr>
      </w:pPr>
      <w:r>
        <w:rPr>
          <w:rFonts w:ascii="宋体" w:hAnsi="宋体" w:cs="Arial"/>
          <w:b/>
          <w:sz w:val="22"/>
          <w:szCs w:val="22"/>
        </w:rPr>
        <w:fldChar w:fldCharType="begin"/>
      </w:r>
      <w:r>
        <w:rPr>
          <w:rFonts w:ascii="宋体" w:hAnsi="宋体" w:cs="Arial"/>
          <w:sz w:val="22"/>
          <w:szCs w:val="22"/>
        </w:rPr>
        <w:instrText xml:space="preserve"> TOC \o "1-3" \h \z </w:instrText>
      </w:r>
      <w:r>
        <w:rPr>
          <w:rFonts w:ascii="宋体" w:hAnsi="宋体" w:cs="Arial"/>
          <w:b/>
          <w:sz w:val="22"/>
          <w:szCs w:val="22"/>
        </w:rPr>
        <w:fldChar w:fldCharType="separate"/>
      </w:r>
      <w:r>
        <w:fldChar w:fldCharType="begin"/>
      </w:r>
      <w:r>
        <w:instrText xml:space="preserve"> HYPERLINK \l "_Toc81472795" </w:instrText>
      </w:r>
      <w:r>
        <w:fldChar w:fldCharType="separate"/>
      </w:r>
      <w:r>
        <w:rPr>
          <w:rStyle w:val="57"/>
          <w:rFonts w:hint="eastAsia"/>
        </w:rPr>
        <w:t>第一章采购公告（合格供应商公开）</w:t>
      </w:r>
      <w:r>
        <w:tab/>
      </w:r>
      <w:r>
        <w:fldChar w:fldCharType="begin"/>
      </w:r>
      <w:r>
        <w:instrText xml:space="preserve"> PAGEREF _Toc81472795 \h </w:instrText>
      </w:r>
      <w:r>
        <w:fldChar w:fldCharType="separate"/>
      </w:r>
      <w:r>
        <w:t>4</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"_Toc81472796" </w:instrText>
      </w:r>
      <w:r>
        <w:fldChar w:fldCharType="separate"/>
      </w:r>
      <w:r>
        <w:rPr>
          <w:rStyle w:val="57"/>
        </w:rPr>
        <w:t xml:space="preserve">4. </w:t>
      </w:r>
      <w:r>
        <w:rPr>
          <w:rStyle w:val="57"/>
          <w:rFonts w:hint="eastAsia"/>
        </w:rPr>
        <w:t>采购文件的获取</w:t>
      </w:r>
      <w:r>
        <w:tab/>
      </w:r>
      <w:r>
        <w:fldChar w:fldCharType="begin"/>
      </w:r>
      <w:r>
        <w:instrText xml:space="preserve"> PAGEREF _Toc81472796 \h </w:instrText>
      </w:r>
      <w:r>
        <w:fldChar w:fldCharType="separate"/>
      </w:r>
      <w:r>
        <w:t>6</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"_Toc81472797" </w:instrText>
      </w:r>
      <w:r>
        <w:fldChar w:fldCharType="separate"/>
      </w:r>
      <w:r>
        <w:rPr>
          <w:rStyle w:val="57"/>
        </w:rPr>
        <w:t xml:space="preserve">5. </w:t>
      </w:r>
      <w:r>
        <w:rPr>
          <w:rStyle w:val="57"/>
          <w:rFonts w:hint="eastAsia"/>
        </w:rPr>
        <w:t>响应文件的递交</w:t>
      </w:r>
      <w:r>
        <w:tab/>
      </w:r>
      <w:r>
        <w:fldChar w:fldCharType="begin"/>
      </w:r>
      <w:r>
        <w:instrText xml:space="preserve"> PAGEREF _Toc81472797 \h </w:instrText>
      </w:r>
      <w:r>
        <w:fldChar w:fldCharType="separate"/>
      </w:r>
      <w:r>
        <w:t>6</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"_Toc81472798" </w:instrText>
      </w:r>
      <w:r>
        <w:fldChar w:fldCharType="separate"/>
      </w:r>
      <w:r>
        <w:rPr>
          <w:rStyle w:val="57"/>
        </w:rPr>
        <w:t xml:space="preserve">6. </w:t>
      </w:r>
      <w:r>
        <w:rPr>
          <w:rStyle w:val="57"/>
          <w:rFonts w:hint="eastAsia"/>
        </w:rPr>
        <w:t>发布公告的媒介</w:t>
      </w:r>
      <w:r>
        <w:tab/>
      </w:r>
      <w:r>
        <w:fldChar w:fldCharType="begin"/>
      </w:r>
      <w:r>
        <w:instrText xml:space="preserve"> PAGEREF _Toc81472798 \h </w:instrText>
      </w:r>
      <w:r>
        <w:fldChar w:fldCharType="separate"/>
      </w:r>
      <w:r>
        <w:t>6</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"_Toc81472799" </w:instrText>
      </w:r>
      <w:r>
        <w:fldChar w:fldCharType="separate"/>
      </w:r>
      <w:r>
        <w:rPr>
          <w:rStyle w:val="57"/>
        </w:rPr>
        <w:t xml:space="preserve">7. </w:t>
      </w:r>
      <w:r>
        <w:rPr>
          <w:rStyle w:val="57"/>
          <w:rFonts w:hint="eastAsia"/>
        </w:rPr>
        <w:t>联系方式</w:t>
      </w:r>
      <w:r>
        <w:tab/>
      </w:r>
      <w:r>
        <w:fldChar w:fldCharType="begin"/>
      </w:r>
      <w:r>
        <w:instrText xml:space="preserve"> PAGEREF _Toc81472799 \h </w:instrText>
      </w:r>
      <w:r>
        <w:fldChar w:fldCharType="separate"/>
      </w:r>
      <w:r>
        <w:t>6</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"_Toc81472800" </w:instrText>
      </w:r>
      <w:r>
        <w:fldChar w:fldCharType="separate"/>
      </w:r>
      <w:r>
        <w:rPr>
          <w:rStyle w:val="57"/>
        </w:rPr>
        <w:t>1.</w:t>
      </w:r>
      <w:r>
        <w:rPr>
          <w:rStyle w:val="57"/>
          <w:rFonts w:hint="eastAsia"/>
        </w:rPr>
        <w:t>适用范围</w:t>
      </w:r>
      <w:r>
        <w:tab/>
      </w:r>
      <w:r>
        <w:fldChar w:fldCharType="begin"/>
      </w:r>
      <w:r>
        <w:instrText xml:space="preserve"> PAGEREF _Toc81472800 \h </w:instrText>
      </w:r>
      <w:r>
        <w:fldChar w:fldCharType="separate"/>
      </w:r>
      <w:r>
        <w:t>8</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"_Toc81472801" </w:instrText>
      </w:r>
      <w:r>
        <w:fldChar w:fldCharType="separate"/>
      </w:r>
      <w:r>
        <w:rPr>
          <w:rStyle w:val="57"/>
        </w:rPr>
        <w:t>2.</w:t>
      </w:r>
      <w:r>
        <w:rPr>
          <w:rStyle w:val="57"/>
          <w:rFonts w:hint="eastAsia"/>
        </w:rPr>
        <w:t>定义</w:t>
      </w:r>
      <w:r>
        <w:tab/>
      </w:r>
      <w:r>
        <w:fldChar w:fldCharType="begin"/>
      </w:r>
      <w:r>
        <w:instrText xml:space="preserve"> PAGEREF _Toc81472801 \h </w:instrText>
      </w:r>
      <w:r>
        <w:fldChar w:fldCharType="separate"/>
      </w:r>
      <w:r>
        <w:t>8</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"_Toc81472802" </w:instrText>
      </w:r>
      <w:r>
        <w:fldChar w:fldCharType="separate"/>
      </w:r>
      <w:r>
        <w:rPr>
          <w:rStyle w:val="57"/>
        </w:rPr>
        <w:t>3.</w:t>
      </w:r>
      <w:r>
        <w:rPr>
          <w:rStyle w:val="57"/>
          <w:rFonts w:hint="eastAsia"/>
        </w:rPr>
        <w:t>询价费用</w:t>
      </w:r>
      <w:r>
        <w:tab/>
      </w:r>
      <w:r>
        <w:fldChar w:fldCharType="begin"/>
      </w:r>
      <w:r>
        <w:instrText xml:space="preserve"> PAGEREF _Toc81472802 \h </w:instrText>
      </w:r>
      <w:r>
        <w:fldChar w:fldCharType="separate"/>
      </w:r>
      <w:r>
        <w:t>8</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"_Toc81472803" </w:instrText>
      </w:r>
      <w:r>
        <w:fldChar w:fldCharType="separate"/>
      </w:r>
      <w:r>
        <w:rPr>
          <w:rStyle w:val="57"/>
        </w:rPr>
        <w:t xml:space="preserve">4. </w:t>
      </w:r>
      <w:r>
        <w:rPr>
          <w:rStyle w:val="57"/>
          <w:rFonts w:hint="eastAsia"/>
        </w:rPr>
        <w:t>现场踏勘</w:t>
      </w:r>
      <w:r>
        <w:tab/>
      </w:r>
      <w:r>
        <w:fldChar w:fldCharType="begin"/>
      </w:r>
      <w:r>
        <w:instrText xml:space="preserve"> PAGEREF _Toc81472803 \h </w:instrText>
      </w:r>
      <w:r>
        <w:fldChar w:fldCharType="separate"/>
      </w:r>
      <w:r>
        <w:t>8</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"_Toc81472804" </w:instrText>
      </w:r>
      <w:r>
        <w:fldChar w:fldCharType="separate"/>
      </w:r>
      <w:r>
        <w:rPr>
          <w:rStyle w:val="57"/>
        </w:rPr>
        <w:t>5.</w:t>
      </w:r>
      <w:r>
        <w:rPr>
          <w:rStyle w:val="57"/>
          <w:rFonts w:hint="eastAsia"/>
        </w:rPr>
        <w:t>采购文件的构成</w:t>
      </w:r>
      <w:r>
        <w:tab/>
      </w:r>
      <w:r>
        <w:fldChar w:fldCharType="begin"/>
      </w:r>
      <w:r>
        <w:instrText xml:space="preserve"> PAGEREF _Toc81472804 \h </w:instrText>
      </w:r>
      <w:r>
        <w:fldChar w:fldCharType="separate"/>
      </w:r>
      <w:r>
        <w:t>8</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"_Toc81472805" </w:instrText>
      </w:r>
      <w:r>
        <w:fldChar w:fldCharType="separate"/>
      </w:r>
      <w:r>
        <w:rPr>
          <w:rStyle w:val="57"/>
        </w:rPr>
        <w:t xml:space="preserve">6. </w:t>
      </w:r>
      <w:r>
        <w:rPr>
          <w:rStyle w:val="57"/>
          <w:rFonts w:hint="eastAsia"/>
        </w:rPr>
        <w:t>采购文件的澄清、修改、补充</w:t>
      </w:r>
      <w:r>
        <w:tab/>
      </w:r>
      <w:r>
        <w:fldChar w:fldCharType="begin"/>
      </w:r>
      <w:r>
        <w:instrText xml:space="preserve"> PAGEREF _Toc81472805 \h </w:instrText>
      </w:r>
      <w:r>
        <w:fldChar w:fldCharType="separate"/>
      </w:r>
      <w:r>
        <w:t>9</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"_Toc81472806" </w:instrText>
      </w:r>
      <w:r>
        <w:fldChar w:fldCharType="separate"/>
      </w:r>
      <w:r>
        <w:rPr>
          <w:rStyle w:val="57"/>
        </w:rPr>
        <w:t>7.</w:t>
      </w:r>
      <w:r>
        <w:rPr>
          <w:rStyle w:val="57"/>
          <w:rFonts w:hint="eastAsia"/>
        </w:rPr>
        <w:t>编制基本要求</w:t>
      </w:r>
      <w:r>
        <w:tab/>
      </w:r>
      <w:r>
        <w:fldChar w:fldCharType="begin"/>
      </w:r>
      <w:r>
        <w:instrText xml:space="preserve"> PAGEREF _Toc81472806 \h </w:instrText>
      </w:r>
      <w:r>
        <w:fldChar w:fldCharType="separate"/>
      </w:r>
      <w:r>
        <w:t>9</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"_Toc81472807" </w:instrText>
      </w:r>
      <w:r>
        <w:fldChar w:fldCharType="separate"/>
      </w:r>
      <w:r>
        <w:rPr>
          <w:rStyle w:val="57"/>
        </w:rPr>
        <w:t>8.</w:t>
      </w:r>
      <w:r>
        <w:rPr>
          <w:rStyle w:val="57"/>
          <w:rFonts w:hint="eastAsia"/>
        </w:rPr>
        <w:t>语言和计量单位</w:t>
      </w:r>
      <w:r>
        <w:tab/>
      </w:r>
      <w:r>
        <w:fldChar w:fldCharType="begin"/>
      </w:r>
      <w:r>
        <w:instrText xml:space="preserve"> PAGEREF _Toc81472807 \h </w:instrText>
      </w:r>
      <w:r>
        <w:fldChar w:fldCharType="separate"/>
      </w:r>
      <w:r>
        <w:t>10</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"_Toc81472808" </w:instrText>
      </w:r>
      <w:r>
        <w:fldChar w:fldCharType="separate"/>
      </w:r>
      <w:r>
        <w:rPr>
          <w:rStyle w:val="57"/>
        </w:rPr>
        <w:t xml:space="preserve">9. </w:t>
      </w:r>
      <w:r>
        <w:rPr>
          <w:rStyle w:val="57"/>
          <w:rFonts w:hint="eastAsia"/>
        </w:rPr>
        <w:t>报价</w:t>
      </w:r>
      <w:r>
        <w:tab/>
      </w:r>
      <w:r>
        <w:fldChar w:fldCharType="begin"/>
      </w:r>
      <w:r>
        <w:instrText xml:space="preserve"> PAGEREF _Toc81472808 \h </w:instrText>
      </w:r>
      <w:r>
        <w:fldChar w:fldCharType="separate"/>
      </w:r>
      <w:r>
        <w:t>10</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"_Toc81472809" </w:instrText>
      </w:r>
      <w:r>
        <w:fldChar w:fldCharType="separate"/>
      </w:r>
      <w:r>
        <w:rPr>
          <w:rStyle w:val="57"/>
        </w:rPr>
        <w:t>10.</w:t>
      </w:r>
      <w:r>
        <w:rPr>
          <w:rStyle w:val="57"/>
          <w:rFonts w:hint="eastAsia"/>
        </w:rPr>
        <w:t>报价货币</w:t>
      </w:r>
      <w:r>
        <w:tab/>
      </w:r>
      <w:r>
        <w:fldChar w:fldCharType="begin"/>
      </w:r>
      <w:r>
        <w:instrText xml:space="preserve"> PAGEREF _Toc81472809 \h </w:instrText>
      </w:r>
      <w:r>
        <w:fldChar w:fldCharType="separate"/>
      </w:r>
      <w:r>
        <w:t>10</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"_Toc81472810" </w:instrText>
      </w:r>
      <w:r>
        <w:fldChar w:fldCharType="separate"/>
      </w:r>
      <w:r>
        <w:rPr>
          <w:rStyle w:val="57"/>
        </w:rPr>
        <w:t>11.</w:t>
      </w:r>
      <w:r>
        <w:rPr>
          <w:rStyle w:val="57"/>
          <w:rFonts w:hint="eastAsia"/>
        </w:rPr>
        <w:t>响应保证金</w:t>
      </w:r>
      <w:r>
        <w:tab/>
      </w:r>
      <w:r>
        <w:fldChar w:fldCharType="begin"/>
      </w:r>
      <w:r>
        <w:instrText xml:space="preserve"> PAGEREF _Toc81472810 \h </w:instrText>
      </w:r>
      <w:r>
        <w:fldChar w:fldCharType="separate"/>
      </w:r>
      <w:r>
        <w:t>10</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"_Toc81472811" </w:instrText>
      </w:r>
      <w:r>
        <w:fldChar w:fldCharType="separate"/>
      </w:r>
      <w:r>
        <w:rPr>
          <w:rStyle w:val="57"/>
        </w:rPr>
        <w:t>12.</w:t>
      </w:r>
      <w:r>
        <w:rPr>
          <w:rStyle w:val="57"/>
          <w:rFonts w:hint="eastAsia"/>
        </w:rPr>
        <w:t>采购有效期</w:t>
      </w:r>
      <w:r>
        <w:tab/>
      </w:r>
      <w:r>
        <w:fldChar w:fldCharType="begin"/>
      </w:r>
      <w:r>
        <w:instrText xml:space="preserve"> PAGEREF _Toc81472811 \h </w:instrText>
      </w:r>
      <w:r>
        <w:fldChar w:fldCharType="separate"/>
      </w:r>
      <w:r>
        <w:t>11</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"_Toc81472812" </w:instrText>
      </w:r>
      <w:r>
        <w:fldChar w:fldCharType="separate"/>
      </w:r>
      <w:r>
        <w:rPr>
          <w:rStyle w:val="57"/>
        </w:rPr>
        <w:t>13.</w:t>
      </w:r>
      <w:r>
        <w:rPr>
          <w:rStyle w:val="57"/>
          <w:rFonts w:hint="eastAsia"/>
        </w:rPr>
        <w:t>响应文件递交截止时间及地点</w:t>
      </w:r>
      <w:r>
        <w:tab/>
      </w:r>
      <w:r>
        <w:fldChar w:fldCharType="begin"/>
      </w:r>
      <w:r>
        <w:instrText xml:space="preserve"> PAGEREF _Toc81472812 \h </w:instrText>
      </w:r>
      <w:r>
        <w:fldChar w:fldCharType="separate"/>
      </w:r>
      <w:r>
        <w:t>11</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"_Toc81472813" </w:instrText>
      </w:r>
      <w:r>
        <w:fldChar w:fldCharType="separate"/>
      </w:r>
      <w:r>
        <w:rPr>
          <w:rStyle w:val="57"/>
        </w:rPr>
        <w:t>14.</w:t>
      </w:r>
      <w:r>
        <w:rPr>
          <w:rStyle w:val="57"/>
          <w:rFonts w:hint="eastAsia"/>
        </w:rPr>
        <w:t>响应文件的修改和撤销</w:t>
      </w:r>
      <w:r>
        <w:tab/>
      </w:r>
      <w:r>
        <w:fldChar w:fldCharType="begin"/>
      </w:r>
      <w:r>
        <w:instrText xml:space="preserve"> PAGEREF _Toc81472813 \h </w:instrText>
      </w:r>
      <w:r>
        <w:fldChar w:fldCharType="separate"/>
      </w:r>
      <w:r>
        <w:t>11</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"_Toc81472814" </w:instrText>
      </w:r>
      <w:r>
        <w:fldChar w:fldCharType="separate"/>
      </w:r>
      <w:r>
        <w:rPr>
          <w:rStyle w:val="57"/>
        </w:rPr>
        <w:t xml:space="preserve">15. </w:t>
      </w:r>
      <w:r>
        <w:rPr>
          <w:rStyle w:val="57"/>
          <w:rFonts w:hint="eastAsia"/>
        </w:rPr>
        <w:t>询价小组</w:t>
      </w:r>
      <w:r>
        <w:tab/>
      </w:r>
      <w:r>
        <w:fldChar w:fldCharType="begin"/>
      </w:r>
      <w:r>
        <w:instrText xml:space="preserve"> PAGEREF _Toc81472814 \h </w:instrText>
      </w:r>
      <w:r>
        <w:fldChar w:fldCharType="separate"/>
      </w:r>
      <w:r>
        <w:t>11</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"_Toc81472815" </w:instrText>
      </w:r>
      <w:r>
        <w:fldChar w:fldCharType="separate"/>
      </w:r>
      <w:r>
        <w:rPr>
          <w:rStyle w:val="57"/>
        </w:rPr>
        <w:t>16.</w:t>
      </w:r>
      <w:r>
        <w:rPr>
          <w:rStyle w:val="57"/>
          <w:rFonts w:hint="eastAsia"/>
        </w:rPr>
        <w:t>开启响应文件</w:t>
      </w:r>
      <w:r>
        <w:tab/>
      </w:r>
      <w:r>
        <w:fldChar w:fldCharType="begin"/>
      </w:r>
      <w:r>
        <w:instrText xml:space="preserve"> PAGEREF _Toc81472815 \h </w:instrText>
      </w:r>
      <w:r>
        <w:fldChar w:fldCharType="separate"/>
      </w:r>
      <w:r>
        <w:t>11</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"_Toc81472816" </w:instrText>
      </w:r>
      <w:r>
        <w:fldChar w:fldCharType="separate"/>
      </w:r>
      <w:r>
        <w:rPr>
          <w:rStyle w:val="57"/>
        </w:rPr>
        <w:t>17.</w:t>
      </w:r>
      <w:r>
        <w:rPr>
          <w:rStyle w:val="57"/>
          <w:rFonts w:hint="eastAsia"/>
        </w:rPr>
        <w:t>评审方法</w:t>
      </w:r>
      <w:r>
        <w:tab/>
      </w:r>
      <w:r>
        <w:fldChar w:fldCharType="begin"/>
      </w:r>
      <w:r>
        <w:instrText xml:space="preserve"> PAGEREF _Toc81472816 \h </w:instrText>
      </w:r>
      <w:r>
        <w:fldChar w:fldCharType="separate"/>
      </w:r>
      <w:r>
        <w:t>12</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"_Toc81472817" </w:instrText>
      </w:r>
      <w:r>
        <w:fldChar w:fldCharType="separate"/>
      </w:r>
      <w:r>
        <w:rPr>
          <w:rStyle w:val="57"/>
        </w:rPr>
        <w:t>18.</w:t>
      </w:r>
      <w:r>
        <w:rPr>
          <w:rStyle w:val="57"/>
          <w:rFonts w:hint="eastAsia"/>
        </w:rPr>
        <w:t>确定成交供应商</w:t>
      </w:r>
      <w:r>
        <w:tab/>
      </w:r>
      <w:r>
        <w:fldChar w:fldCharType="begin"/>
      </w:r>
      <w:r>
        <w:instrText xml:space="preserve"> PAGEREF _Toc81472817 \h </w:instrText>
      </w:r>
      <w:r>
        <w:fldChar w:fldCharType="separate"/>
      </w:r>
      <w:r>
        <w:t>12</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"_Toc81472818" </w:instrText>
      </w:r>
      <w:r>
        <w:fldChar w:fldCharType="separate"/>
      </w:r>
      <w:r>
        <w:rPr>
          <w:rStyle w:val="57"/>
        </w:rPr>
        <w:t>19.</w:t>
      </w:r>
      <w:r>
        <w:rPr>
          <w:rStyle w:val="57"/>
          <w:rFonts w:hint="eastAsia"/>
        </w:rPr>
        <w:t>采购结果公告</w:t>
      </w:r>
      <w:r>
        <w:tab/>
      </w:r>
      <w:r>
        <w:fldChar w:fldCharType="begin"/>
      </w:r>
      <w:r>
        <w:instrText xml:space="preserve"> PAGEREF _Toc81472818 \h </w:instrText>
      </w:r>
      <w:r>
        <w:fldChar w:fldCharType="separate"/>
      </w:r>
      <w:r>
        <w:t>12</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"_Toc81472819" </w:instrText>
      </w:r>
      <w:r>
        <w:fldChar w:fldCharType="separate"/>
      </w:r>
      <w:r>
        <w:rPr>
          <w:rStyle w:val="57"/>
        </w:rPr>
        <w:t xml:space="preserve">20. </w:t>
      </w:r>
      <w:r>
        <w:rPr>
          <w:rStyle w:val="57"/>
          <w:rFonts w:hint="eastAsia"/>
        </w:rPr>
        <w:t>成交通知</w:t>
      </w:r>
      <w:r>
        <w:tab/>
      </w:r>
      <w:r>
        <w:fldChar w:fldCharType="begin"/>
      </w:r>
      <w:r>
        <w:instrText xml:space="preserve"> PAGEREF _Toc81472819 \h </w:instrText>
      </w:r>
      <w:r>
        <w:fldChar w:fldCharType="separate"/>
      </w:r>
      <w:r>
        <w:t>12</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"_Toc81472820" </w:instrText>
      </w:r>
      <w:r>
        <w:fldChar w:fldCharType="separate"/>
      </w:r>
      <w:r>
        <w:rPr>
          <w:rStyle w:val="57"/>
        </w:rPr>
        <w:t xml:space="preserve">21. </w:t>
      </w:r>
      <w:r>
        <w:rPr>
          <w:rStyle w:val="57"/>
          <w:rFonts w:hint="eastAsia"/>
        </w:rPr>
        <w:t>签订合同</w:t>
      </w:r>
      <w:r>
        <w:tab/>
      </w:r>
      <w:r>
        <w:fldChar w:fldCharType="begin"/>
      </w:r>
      <w:r>
        <w:instrText xml:space="preserve"> PAGEREF _Toc81472820 \h </w:instrText>
      </w:r>
      <w:r>
        <w:fldChar w:fldCharType="separate"/>
      </w:r>
      <w:r>
        <w:t>12</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"_Toc81472821" </w:instrText>
      </w:r>
      <w:r>
        <w:fldChar w:fldCharType="separate"/>
      </w:r>
      <w:r>
        <w:rPr>
          <w:rStyle w:val="57"/>
        </w:rPr>
        <w:t xml:space="preserve">22. </w:t>
      </w:r>
      <w:r>
        <w:rPr>
          <w:rStyle w:val="57"/>
          <w:rFonts w:hint="eastAsia"/>
        </w:rPr>
        <w:t>其他需要补充的内容</w:t>
      </w:r>
      <w:r>
        <w:tab/>
      </w:r>
      <w:r>
        <w:fldChar w:fldCharType="begin"/>
      </w:r>
      <w:r>
        <w:instrText xml:space="preserve"> PAGEREF _Toc81472821 \h </w:instrText>
      </w:r>
      <w:r>
        <w:fldChar w:fldCharType="separate"/>
      </w:r>
      <w:r>
        <w:t>12</w:t>
      </w:r>
      <w:r>
        <w:fldChar w:fldCharType="end"/>
      </w:r>
      <w:r>
        <w:fldChar w:fldCharType="end"/>
      </w:r>
    </w:p>
    <w:p>
      <w:pPr>
        <w:pStyle w:val="38"/>
        <w:tabs>
          <w:tab w:val="right" w:leader="dot" w:pos="9017"/>
        </w:tabs>
        <w:ind w:firstLine="480"/>
        <w:rPr>
          <w:rFonts w:asciiTheme="minorHAnsi" w:hAnsiTheme="minorHAnsi" w:eastAsiaTheme="minorEastAsia" w:cstheme="minorBidi"/>
          <w:sz w:val="21"/>
          <w:szCs w:val="22"/>
        </w:rPr>
      </w:pPr>
      <w:r>
        <w:fldChar w:fldCharType="begin"/>
      </w:r>
      <w:r>
        <w:instrText xml:space="preserve"> HYPERLINK \l "_Toc81472822" </w:instrText>
      </w:r>
      <w:r>
        <w:fldChar w:fldCharType="separate"/>
      </w:r>
      <w:r>
        <w:rPr>
          <w:rStyle w:val="57"/>
          <w:rFonts w:hint="eastAsia"/>
        </w:rPr>
        <w:t>第三章</w:t>
      </w:r>
      <w:r>
        <w:rPr>
          <w:rStyle w:val="57"/>
        </w:rPr>
        <w:t xml:space="preserve"> </w:t>
      </w:r>
      <w:r>
        <w:rPr>
          <w:rStyle w:val="57"/>
          <w:rFonts w:hint="eastAsia"/>
        </w:rPr>
        <w:t>评审办法</w:t>
      </w:r>
      <w:r>
        <w:tab/>
      </w:r>
      <w:r>
        <w:fldChar w:fldCharType="begin"/>
      </w:r>
      <w:r>
        <w:instrText xml:space="preserve"> PAGEREF _Toc81472822 \h </w:instrText>
      </w:r>
      <w:r>
        <w:fldChar w:fldCharType="separate"/>
      </w:r>
      <w:r>
        <w:t>14</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"_Toc81472823" </w:instrText>
      </w:r>
      <w:r>
        <w:fldChar w:fldCharType="separate"/>
      </w:r>
      <w:r>
        <w:rPr>
          <w:rStyle w:val="57"/>
          <w:rFonts w:hint="eastAsia"/>
        </w:rPr>
        <w:t>一、总则</w:t>
      </w:r>
      <w:r>
        <w:tab/>
      </w:r>
      <w:r>
        <w:fldChar w:fldCharType="begin"/>
      </w:r>
      <w:r>
        <w:instrText xml:space="preserve"> PAGEREF _Toc81472823 \h </w:instrText>
      </w:r>
      <w:r>
        <w:fldChar w:fldCharType="separate"/>
      </w:r>
      <w:r>
        <w:t>14</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"_Toc81472824" </w:instrText>
      </w:r>
      <w:r>
        <w:fldChar w:fldCharType="separate"/>
      </w:r>
      <w:r>
        <w:rPr>
          <w:rStyle w:val="57"/>
          <w:rFonts w:hint="eastAsia"/>
        </w:rPr>
        <w:t>二、评审方法</w:t>
      </w:r>
      <w:r>
        <w:tab/>
      </w:r>
      <w:r>
        <w:fldChar w:fldCharType="begin"/>
      </w:r>
      <w:r>
        <w:instrText xml:space="preserve"> PAGEREF _Toc81472824 \h </w:instrText>
      </w:r>
      <w:r>
        <w:fldChar w:fldCharType="separate"/>
      </w:r>
      <w:r>
        <w:t>14</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"_Toc81472825" </w:instrText>
      </w:r>
      <w:r>
        <w:fldChar w:fldCharType="separate"/>
      </w:r>
      <w:r>
        <w:rPr>
          <w:rStyle w:val="57"/>
          <w:rFonts w:hint="eastAsia"/>
        </w:rPr>
        <w:t>三、评审说明</w:t>
      </w:r>
      <w:r>
        <w:tab/>
      </w:r>
      <w:r>
        <w:fldChar w:fldCharType="begin"/>
      </w:r>
      <w:r>
        <w:instrText xml:space="preserve"> PAGEREF _Toc81472825 \h </w:instrText>
      </w:r>
      <w:r>
        <w:fldChar w:fldCharType="separate"/>
      </w:r>
      <w:r>
        <w:t>14</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"_Toc81472826" </w:instrText>
      </w:r>
      <w:r>
        <w:fldChar w:fldCharType="separate"/>
      </w:r>
      <w:r>
        <w:rPr>
          <w:rStyle w:val="57"/>
          <w:rFonts w:hint="eastAsia"/>
        </w:rPr>
        <w:t>四、推荐成交供应商</w:t>
      </w:r>
      <w:r>
        <w:tab/>
      </w:r>
      <w:r>
        <w:fldChar w:fldCharType="begin"/>
      </w:r>
      <w:r>
        <w:instrText xml:space="preserve"> PAGEREF _Toc81472826 \h </w:instrText>
      </w:r>
      <w:r>
        <w:fldChar w:fldCharType="separate"/>
      </w:r>
      <w:r>
        <w:t>15</w:t>
      </w:r>
      <w:r>
        <w:fldChar w:fldCharType="end"/>
      </w:r>
      <w:r>
        <w:fldChar w:fldCharType="end"/>
      </w:r>
    </w:p>
    <w:p>
      <w:pPr>
        <w:pStyle w:val="38"/>
        <w:tabs>
          <w:tab w:val="right" w:leader="dot" w:pos="9017"/>
        </w:tabs>
        <w:ind w:firstLine="480"/>
        <w:rPr>
          <w:rFonts w:asciiTheme="minorHAnsi" w:hAnsiTheme="minorHAnsi" w:eastAsiaTheme="minorEastAsia" w:cstheme="minorBidi"/>
          <w:sz w:val="21"/>
          <w:szCs w:val="22"/>
        </w:rPr>
      </w:pPr>
      <w:r>
        <w:fldChar w:fldCharType="begin"/>
      </w:r>
      <w:r>
        <w:instrText xml:space="preserve"> HYPERLINK \l "_Toc81472827" </w:instrText>
      </w:r>
      <w:r>
        <w:fldChar w:fldCharType="separate"/>
      </w:r>
      <w:r>
        <w:rPr>
          <w:rStyle w:val="57"/>
          <w:rFonts w:hint="eastAsia"/>
        </w:rPr>
        <w:t>第四章</w:t>
      </w:r>
      <w:r>
        <w:rPr>
          <w:rStyle w:val="57"/>
        </w:rPr>
        <w:t xml:space="preserve"> </w:t>
      </w:r>
      <w:r>
        <w:rPr>
          <w:rStyle w:val="57"/>
          <w:rFonts w:hint="eastAsia"/>
        </w:rPr>
        <w:t>订单条款及格式</w:t>
      </w:r>
      <w:r>
        <w:tab/>
      </w:r>
      <w:r>
        <w:fldChar w:fldCharType="begin"/>
      </w:r>
      <w:r>
        <w:instrText xml:space="preserve"> PAGEREF _Toc81472827 \h </w:instrText>
      </w:r>
      <w:r>
        <w:fldChar w:fldCharType="separate"/>
      </w:r>
      <w:r>
        <w:t>16</w:t>
      </w:r>
      <w:r>
        <w:fldChar w:fldCharType="end"/>
      </w:r>
      <w:r>
        <w:fldChar w:fldCharType="end"/>
      </w:r>
    </w:p>
    <w:p>
      <w:pPr>
        <w:pStyle w:val="38"/>
        <w:tabs>
          <w:tab w:val="right" w:leader="dot" w:pos="9017"/>
        </w:tabs>
        <w:ind w:firstLine="480"/>
        <w:rPr>
          <w:rFonts w:asciiTheme="minorHAnsi" w:hAnsiTheme="minorHAnsi" w:eastAsiaTheme="minorEastAsia" w:cstheme="minorBidi"/>
          <w:sz w:val="21"/>
          <w:szCs w:val="22"/>
        </w:rPr>
      </w:pPr>
      <w:r>
        <w:fldChar w:fldCharType="begin"/>
      </w:r>
      <w:r>
        <w:instrText xml:space="preserve"> HYPERLINK \l "_Toc81472828" </w:instrText>
      </w:r>
      <w:r>
        <w:fldChar w:fldCharType="separate"/>
      </w:r>
      <w:r>
        <w:rPr>
          <w:rStyle w:val="57"/>
          <w:rFonts w:hint="eastAsia"/>
        </w:rPr>
        <w:t>第五章</w:t>
      </w:r>
      <w:r>
        <w:rPr>
          <w:rStyle w:val="57"/>
        </w:rPr>
        <w:t xml:space="preserve"> </w:t>
      </w:r>
      <w:r>
        <w:rPr>
          <w:rStyle w:val="57"/>
          <w:rFonts w:hint="eastAsia"/>
        </w:rPr>
        <w:t>采购需求</w:t>
      </w:r>
      <w:r>
        <w:tab/>
      </w:r>
      <w:r>
        <w:fldChar w:fldCharType="begin"/>
      </w:r>
      <w:r>
        <w:instrText xml:space="preserve"> PAGEREF _Toc81472828 \h </w:instrText>
      </w:r>
      <w:r>
        <w:fldChar w:fldCharType="separate"/>
      </w:r>
      <w:r>
        <w:t>17</w:t>
      </w:r>
      <w:r>
        <w:fldChar w:fldCharType="end"/>
      </w:r>
      <w:r>
        <w:fldChar w:fldCharType="end"/>
      </w:r>
    </w:p>
    <w:p>
      <w:pPr>
        <w:pStyle w:val="38"/>
        <w:tabs>
          <w:tab w:val="right" w:leader="dot" w:pos="9017"/>
        </w:tabs>
        <w:ind w:firstLine="480"/>
        <w:rPr>
          <w:rFonts w:asciiTheme="minorHAnsi" w:hAnsiTheme="minorHAnsi" w:eastAsiaTheme="minorEastAsia" w:cstheme="minorBidi"/>
          <w:sz w:val="21"/>
          <w:szCs w:val="22"/>
        </w:rPr>
      </w:pPr>
      <w:r>
        <w:fldChar w:fldCharType="begin"/>
      </w:r>
      <w:r>
        <w:instrText xml:space="preserve"> HYPERLINK \l "_Toc81472829" </w:instrText>
      </w:r>
      <w:r>
        <w:fldChar w:fldCharType="separate"/>
      </w:r>
      <w:r>
        <w:rPr>
          <w:rStyle w:val="57"/>
          <w:rFonts w:hint="eastAsia"/>
        </w:rPr>
        <w:t>第六章</w:t>
      </w:r>
      <w:r>
        <w:rPr>
          <w:rStyle w:val="57"/>
        </w:rPr>
        <w:t xml:space="preserve"> </w:t>
      </w:r>
      <w:r>
        <w:rPr>
          <w:rStyle w:val="57"/>
          <w:rFonts w:hint="eastAsia"/>
        </w:rPr>
        <w:t>响应文件格式</w:t>
      </w:r>
      <w:r>
        <w:tab/>
      </w:r>
      <w:r>
        <w:fldChar w:fldCharType="begin"/>
      </w:r>
      <w:r>
        <w:instrText xml:space="preserve"> PAGEREF _Toc81472829 \h </w:instrText>
      </w:r>
      <w:r>
        <w:fldChar w:fldCharType="separate"/>
      </w:r>
      <w:r>
        <w:t>18</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"_Toc81472830" </w:instrText>
      </w:r>
      <w:r>
        <w:fldChar w:fldCharType="separate"/>
      </w:r>
      <w:r>
        <w:rPr>
          <w:rStyle w:val="57"/>
          <w:rFonts w:hint="eastAsia"/>
        </w:rPr>
        <w:t>一、授权委托书</w:t>
      </w:r>
      <w:r>
        <w:tab/>
      </w:r>
      <w:r>
        <w:fldChar w:fldCharType="begin"/>
      </w:r>
      <w:r>
        <w:instrText xml:space="preserve"> PAGEREF _Toc81472830 \h </w:instrText>
      </w:r>
      <w:r>
        <w:fldChar w:fldCharType="separate"/>
      </w:r>
      <w:r>
        <w:t>20</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"_Toc81472831" </w:instrText>
      </w:r>
      <w:r>
        <w:fldChar w:fldCharType="separate"/>
      </w:r>
      <w:r>
        <w:rPr>
          <w:rStyle w:val="57"/>
          <w:rFonts w:hint="eastAsia"/>
        </w:rPr>
        <w:t>二、报价部分</w:t>
      </w:r>
      <w:r>
        <w:tab/>
      </w:r>
      <w:r>
        <w:fldChar w:fldCharType="begin"/>
      </w:r>
      <w:r>
        <w:instrText xml:space="preserve"> PAGEREF _Toc81472831 \h </w:instrText>
      </w:r>
      <w:r>
        <w:fldChar w:fldCharType="separate"/>
      </w:r>
      <w:r>
        <w:t>21</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"_Toc81472832" </w:instrText>
      </w:r>
      <w:r>
        <w:fldChar w:fldCharType="separate"/>
      </w:r>
      <w:r>
        <w:rPr>
          <w:rStyle w:val="57"/>
          <w:rFonts w:hint="eastAsia"/>
        </w:rPr>
        <w:t>三、偏差表</w:t>
      </w:r>
      <w:r>
        <w:tab/>
      </w:r>
      <w:r>
        <w:fldChar w:fldCharType="begin"/>
      </w:r>
      <w:r>
        <w:instrText xml:space="preserve"> PAGEREF _Toc81472832 \h </w:instrText>
      </w:r>
      <w:r>
        <w:fldChar w:fldCharType="separate"/>
      </w:r>
      <w:r>
        <w:t>23</w:t>
      </w:r>
      <w:r>
        <w:fldChar w:fldCharType="end"/>
      </w:r>
      <w:r>
        <w:fldChar w:fldCharType="end"/>
      </w:r>
    </w:p>
    <w:p>
      <w:pPr>
        <w:spacing w:line="276" w:lineRule="auto"/>
        <w:ind w:firstLine="0" w:firstLineChars="0"/>
        <w:jc w:val="center"/>
      </w:pPr>
      <w:r>
        <w:rPr>
          <w:rFonts w:ascii="宋体" w:hAnsi="宋体" w:cs="Arial"/>
          <w:bCs/>
          <w:caps/>
          <w:sz w:val="22"/>
          <w:szCs w:val="22"/>
        </w:rPr>
        <w:fldChar w:fldCharType="end"/>
      </w:r>
      <w:bookmarkStart w:id="1" w:name="_Toc233104896"/>
      <w:bookmarkStart w:id="2" w:name="_Toc527045600"/>
      <w:bookmarkStart w:id="3" w:name="_Toc527120203"/>
      <w:r>
        <w:br w:type="page"/>
      </w:r>
    </w:p>
    <w:p>
      <w:pPr>
        <w:spacing w:line="276" w:lineRule="auto"/>
        <w:ind w:firstLine="0" w:firstLineChars="0"/>
        <w:jc w:val="center"/>
      </w:pPr>
    </w:p>
    <w:p>
      <w:pPr>
        <w:keepLines/>
        <w:spacing w:line="276" w:lineRule="auto"/>
        <w:ind w:firstLine="0" w:firstLineChars="0"/>
        <w:jc w:val="center"/>
        <w:rPr>
          <w:rFonts w:ascii="黑体" w:hAnsi="黑体" w:eastAsia="黑体" w:cs="Arial"/>
          <w:b/>
          <w:sz w:val="36"/>
          <w:szCs w:val="36"/>
        </w:rPr>
      </w:pPr>
      <w:r>
        <w:rPr>
          <w:rFonts w:hint="eastAsia" w:ascii="黑体" w:hAnsi="黑体" w:eastAsia="黑体"/>
          <w:sz w:val="36"/>
          <w:szCs w:val="36"/>
        </w:rPr>
        <w:t>第一章采购公告</w:t>
      </w:r>
      <w:bookmarkEnd w:id="1"/>
      <w:bookmarkEnd w:id="2"/>
      <w:bookmarkEnd w:id="3"/>
      <w:r>
        <w:rPr>
          <w:rFonts w:hint="eastAsia" w:ascii="黑体" w:hAnsi="黑体" w:eastAsia="黑体"/>
          <w:sz w:val="36"/>
          <w:szCs w:val="36"/>
        </w:rPr>
        <w:t>/采购邀请函</w:t>
      </w:r>
    </w:p>
    <w:p>
      <w:pPr>
        <w:pStyle w:val="48"/>
        <w:keepNext w:val="0"/>
        <w:keepLines w:val="0"/>
        <w:spacing w:before="120"/>
      </w:pPr>
      <w:bookmarkStart w:id="4" w:name="_Toc47261864"/>
      <w:bookmarkStart w:id="5" w:name="_Toc48995830"/>
      <w:bookmarkStart w:id="6" w:name="_Toc47261669"/>
      <w:bookmarkStart w:id="7" w:name="_Toc49019215"/>
      <w:bookmarkStart w:id="8" w:name="_Toc47261049"/>
      <w:bookmarkStart w:id="9" w:name="_Toc47418710"/>
      <w:bookmarkStart w:id="10" w:name="_Toc47418234"/>
      <w:bookmarkStart w:id="11" w:name="_Toc48791214"/>
      <w:bookmarkStart w:id="12" w:name="_Toc47262048"/>
      <w:bookmarkStart w:id="13" w:name="_Toc47418917"/>
      <w:bookmarkStart w:id="14" w:name="_Toc81472795"/>
      <w:r>
        <w:t>第一章</w:t>
      </w:r>
      <w:bookmarkEnd w:id="4"/>
      <w:bookmarkEnd w:id="5"/>
      <w:bookmarkEnd w:id="6"/>
      <w:bookmarkEnd w:id="7"/>
      <w:bookmarkEnd w:id="8"/>
      <w:bookmarkEnd w:id="9"/>
      <w:bookmarkEnd w:id="10"/>
      <w:bookmarkEnd w:id="11"/>
      <w:bookmarkEnd w:id="12"/>
      <w:bookmarkEnd w:id="13"/>
      <w:r>
        <w:rPr>
          <w:rFonts w:hint="eastAsia"/>
        </w:rPr>
        <w:t>采购公告（合格供应商公开）</w:t>
      </w:r>
      <w:bookmarkEnd w:id="14"/>
    </w:p>
    <w:p>
      <w:pPr>
        <w:spacing w:line="360" w:lineRule="auto"/>
        <w:ind w:firstLine="560"/>
        <w:jc w:val="center"/>
        <w:rPr>
          <w:rFonts w:eastAsia="黑体"/>
          <w:sz w:val="28"/>
        </w:rPr>
      </w:pPr>
      <w:bookmarkStart w:id="15" w:name="_Toc384308199"/>
      <w:bookmarkEnd w:id="15"/>
      <w:bookmarkStart w:id="16" w:name="_Toc369531507"/>
      <w:bookmarkEnd w:id="16"/>
      <w:bookmarkStart w:id="17" w:name="_Toc18885"/>
      <w:bookmarkEnd w:id="17"/>
      <w:bookmarkStart w:id="18" w:name="_Toc361508574"/>
      <w:bookmarkEnd w:id="18"/>
      <w:bookmarkStart w:id="19" w:name="_Toc352691465"/>
      <w:bookmarkEnd w:id="19"/>
      <w:bookmarkStart w:id="20" w:name="_Toc361508575"/>
      <w:bookmarkStart w:id="21" w:name="_Toc384308200"/>
      <w:r>
        <w:rPr>
          <w:rFonts w:hint="eastAsia" w:eastAsia="黑体"/>
          <w:sz w:val="28"/>
          <w:lang w:val="en-US" w:eastAsia="zh-CN"/>
        </w:rPr>
        <w:t>华能海口电厂电力电缆、气体继电器等物资询价</w:t>
      </w:r>
      <w:r>
        <w:rPr>
          <w:rFonts w:hint="eastAsia" w:eastAsia="黑体"/>
          <w:sz w:val="28"/>
        </w:rPr>
        <w:t>采购</w:t>
      </w:r>
      <w:r>
        <w:rPr>
          <w:rFonts w:eastAsia="黑体"/>
          <w:sz w:val="28"/>
        </w:rPr>
        <w:t>公告</w:t>
      </w:r>
    </w:p>
    <w:p>
      <w:pPr>
        <w:ind w:firstLine="2660" w:firstLineChars="950"/>
        <w:rPr>
          <w:rFonts w:hint="default" w:ascii="Arial" w:hAnsi="Arial" w:eastAsia="宋体" w:cs="Arial"/>
          <w:b/>
          <w:u w:val="single"/>
          <w:lang w:val="en-US" w:eastAsia="zh-CN"/>
        </w:rPr>
      </w:pPr>
      <w:r>
        <w:rPr>
          <w:rFonts w:hint="eastAsia" w:ascii="黑体" w:eastAsia="黑体"/>
          <w:sz w:val="28"/>
          <w:szCs w:val="28"/>
        </w:rPr>
        <w:t>采</w:t>
      </w:r>
      <w:r>
        <w:rPr>
          <w:rFonts w:hint="eastAsia" w:ascii="黑体" w:hAnsi="黑体" w:eastAsia="黑体" w:cs="Arial"/>
          <w:b/>
          <w:sz w:val="28"/>
          <w:szCs w:val="28"/>
        </w:rPr>
        <w:t>购编号：</w:t>
      </w:r>
      <w:bookmarkStart w:id="22" w:name="_Toc504312942"/>
      <w:r>
        <w:rPr>
          <w:rFonts w:hint="eastAsia" w:ascii="Arial" w:hAnsi="Arial" w:cs="Arial"/>
          <w:u w:val="single"/>
        </w:rPr>
        <w:t>X428220700</w:t>
      </w:r>
      <w:r>
        <w:rPr>
          <w:rFonts w:hint="eastAsia" w:ascii="Arial" w:hAnsi="Arial" w:cs="Arial"/>
          <w:u w:val="single"/>
          <w:lang w:val="en-US" w:eastAsia="zh-CN"/>
        </w:rPr>
        <w:t>22</w:t>
      </w:r>
    </w:p>
    <w:p>
      <w:pPr>
        <w:spacing w:line="360" w:lineRule="auto"/>
        <w:ind w:firstLine="2520" w:firstLineChars="1050"/>
        <w:rPr>
          <w:rFonts w:ascii="Arial" w:hAnsi="Arial" w:cs="Arial"/>
          <w:color w:val="FF0000"/>
          <w:u w:val="single"/>
        </w:rPr>
      </w:pPr>
    </w:p>
    <w:p>
      <w:pPr>
        <w:keepLines/>
        <w:spacing w:line="360" w:lineRule="auto"/>
        <w:ind w:firstLine="476" w:firstLineChars="170"/>
        <w:rPr>
          <w:rFonts w:ascii="黑体" w:hAnsi="黑体" w:eastAsia="黑体"/>
          <w:sz w:val="28"/>
          <w:szCs w:val="28"/>
        </w:rPr>
      </w:pPr>
      <w:r>
        <w:rPr>
          <w:rFonts w:ascii="黑体" w:hAnsi="黑体" w:eastAsia="黑体"/>
          <w:sz w:val="28"/>
          <w:szCs w:val="28"/>
        </w:rPr>
        <w:t xml:space="preserve">1. </w:t>
      </w:r>
      <w:r>
        <w:rPr>
          <w:rFonts w:hint="eastAsia" w:ascii="黑体" w:hAnsi="黑体" w:eastAsia="黑体"/>
          <w:sz w:val="28"/>
          <w:szCs w:val="28"/>
        </w:rPr>
        <w:t>采购</w:t>
      </w:r>
      <w:r>
        <w:rPr>
          <w:rFonts w:ascii="黑体" w:hAnsi="黑体" w:eastAsia="黑体"/>
          <w:sz w:val="28"/>
          <w:szCs w:val="28"/>
        </w:rPr>
        <w:t>条件</w:t>
      </w:r>
      <w:bookmarkEnd w:id="22"/>
    </w:p>
    <w:p>
      <w:pPr>
        <w:ind w:firstLine="480"/>
      </w:pPr>
      <w:r>
        <w:t>本项目</w:t>
      </w:r>
      <w:r>
        <w:rPr>
          <w:rFonts w:hint="eastAsia"/>
        </w:rPr>
        <w:t>采购人</w:t>
      </w:r>
      <w:r>
        <w:t>为</w:t>
      </w:r>
      <w:r>
        <w:rPr>
          <w:rFonts w:hint="eastAsia" w:ascii="楷体" w:hAnsi="楷体" w:eastAsia="楷体"/>
          <w:u w:val="single"/>
        </w:rPr>
        <w:t>华能海南发电股份有限公司海口电厂</w:t>
      </w:r>
      <w:r>
        <w:rPr>
          <w:rFonts w:hint="eastAsia"/>
        </w:rPr>
        <w:t>，资金来源</w:t>
      </w:r>
      <w:r>
        <w:t>为</w:t>
      </w:r>
      <w:r>
        <w:rPr>
          <w:rFonts w:hint="eastAsia" w:ascii="楷体" w:hAnsi="楷体" w:eastAsia="楷体"/>
          <w:u w:val="single"/>
        </w:rPr>
        <w:t xml:space="preserve"> 企业自筹 </w:t>
      </w:r>
      <w:r>
        <w:t>，</w:t>
      </w:r>
      <w:r>
        <w:rPr>
          <w:rFonts w:hint="eastAsia"/>
        </w:rPr>
        <w:t>该</w:t>
      </w:r>
      <w:r>
        <w:t>项目已具备</w:t>
      </w:r>
      <w:r>
        <w:rPr>
          <w:rFonts w:hint="eastAsia"/>
        </w:rPr>
        <w:t>采购</w:t>
      </w:r>
      <w:r>
        <w:t>条件，现对</w:t>
      </w:r>
      <w:r>
        <w:rPr>
          <w:rFonts w:ascii="楷体" w:hAnsi="楷体" w:eastAsia="楷体"/>
          <w:u w:val="single"/>
        </w:rPr>
        <w:t>本项目</w:t>
      </w:r>
      <w:r>
        <w:t>进行</w:t>
      </w:r>
      <w:r>
        <w:rPr>
          <w:rFonts w:hint="eastAsia"/>
        </w:rPr>
        <w:t>合格供应商公开询价</w:t>
      </w:r>
      <w:r>
        <w:t>。</w:t>
      </w:r>
    </w:p>
    <w:p>
      <w:pPr>
        <w:keepLines/>
        <w:spacing w:line="360" w:lineRule="auto"/>
        <w:ind w:firstLine="560"/>
        <w:rPr>
          <w:rFonts w:ascii="黑体" w:hAnsi="黑体" w:eastAsia="黑体"/>
          <w:sz w:val="28"/>
          <w:szCs w:val="28"/>
        </w:rPr>
      </w:pPr>
      <w:bookmarkStart w:id="23" w:name="_Toc504312943"/>
      <w:r>
        <w:rPr>
          <w:rFonts w:ascii="黑体" w:hAnsi="黑体" w:eastAsia="黑体"/>
          <w:sz w:val="28"/>
          <w:szCs w:val="28"/>
        </w:rPr>
        <w:t xml:space="preserve">2. </w:t>
      </w:r>
      <w:r>
        <w:rPr>
          <w:rFonts w:hint="eastAsia" w:ascii="黑体" w:hAnsi="黑体" w:eastAsia="黑体"/>
          <w:sz w:val="28"/>
          <w:szCs w:val="28"/>
        </w:rPr>
        <w:t>项目概况与采购范围</w:t>
      </w:r>
      <w:bookmarkEnd w:id="23"/>
    </w:p>
    <w:p>
      <w:pPr>
        <w:spacing w:line="360" w:lineRule="auto"/>
        <w:ind w:firstLine="480"/>
      </w:pPr>
      <w:r>
        <w:rPr>
          <w:rFonts w:hint="eastAsia"/>
        </w:rPr>
        <w:t>2.1项目概况：</w:t>
      </w:r>
    </w:p>
    <w:p>
      <w:pPr>
        <w:spacing w:line="360" w:lineRule="auto"/>
        <w:ind w:left="480" w:leftChars="200" w:firstLine="0" w:firstLineChars="0"/>
        <w:rPr>
          <w:rFonts w:ascii="宋体" w:hAnsi="宋体"/>
          <w:szCs w:val="24"/>
        </w:rPr>
      </w:pPr>
      <w:r>
        <w:rPr>
          <w:rFonts w:hint="eastAsia" w:ascii="宋体" w:hAnsi="宋体"/>
          <w:szCs w:val="24"/>
        </w:rPr>
        <w:t>该设备是华能海口电厂机组</w:t>
      </w:r>
      <w:r>
        <w:rPr>
          <w:rFonts w:hint="eastAsia" w:ascii="宋体" w:hAnsi="宋体"/>
          <w:szCs w:val="24"/>
          <w:lang w:val="en-US" w:eastAsia="zh-CN"/>
        </w:rPr>
        <w:t>日常维护设备</w:t>
      </w:r>
      <w:r>
        <w:rPr>
          <w:rFonts w:hint="eastAsia" w:ascii="宋体" w:hAnsi="宋体"/>
          <w:szCs w:val="24"/>
        </w:rPr>
        <w:t>材料。</w:t>
      </w:r>
    </w:p>
    <w:p>
      <w:pPr>
        <w:spacing w:line="360" w:lineRule="auto"/>
        <w:ind w:left="480" w:leftChars="200" w:firstLine="0" w:firstLineChars="0"/>
      </w:pPr>
      <w:r>
        <w:rPr>
          <w:rFonts w:hint="eastAsia"/>
        </w:rPr>
        <w:t>2.2采购范围：</w:t>
      </w:r>
    </w:p>
    <w:p>
      <w:pPr>
        <w:numPr>
          <w:ilvl w:val="0"/>
          <w:numId w:val="1"/>
        </w:numPr>
        <w:ind w:firstLine="480"/>
        <w:rPr>
          <w:rFonts w:hint="eastAsia"/>
        </w:rPr>
      </w:pPr>
      <w:r>
        <w:rPr>
          <w:rFonts w:hint="eastAsia"/>
        </w:rPr>
        <w:t>设备需求一览表</w:t>
      </w:r>
    </w:p>
    <w:tbl>
      <w:tblPr>
        <w:tblW w:w="95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40"/>
        <w:gridCol w:w="1211"/>
        <w:gridCol w:w="1327"/>
        <w:gridCol w:w="2281"/>
        <w:gridCol w:w="1042"/>
        <w:gridCol w:w="739"/>
        <w:gridCol w:w="23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5"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DDDDDD"/>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序号</w:t>
            </w:r>
          </w:p>
        </w:tc>
        <w:tc>
          <w:tcPr>
            <w:tcW w:w="1211" w:type="dxa"/>
            <w:tcBorders>
              <w:top w:val="single" w:color="000000" w:sz="4" w:space="0"/>
              <w:left w:val="single" w:color="000000" w:sz="4" w:space="0"/>
              <w:bottom w:val="single" w:color="000000" w:sz="4" w:space="0"/>
              <w:right w:val="single" w:color="000000" w:sz="4" w:space="0"/>
            </w:tcBorders>
            <w:shd w:val="clear" w:color="auto" w:fill="DDDDDD"/>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物料号</w:t>
            </w:r>
          </w:p>
        </w:tc>
        <w:tc>
          <w:tcPr>
            <w:tcW w:w="1327" w:type="dxa"/>
            <w:tcBorders>
              <w:top w:val="single" w:color="000000" w:sz="4" w:space="0"/>
              <w:left w:val="single" w:color="000000" w:sz="4" w:space="0"/>
              <w:bottom w:val="single" w:color="000000" w:sz="4" w:space="0"/>
              <w:right w:val="single" w:color="000000" w:sz="4" w:space="0"/>
            </w:tcBorders>
            <w:shd w:val="clear" w:color="auto" w:fill="DDDDDD"/>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物料组描述</w:t>
            </w:r>
          </w:p>
        </w:tc>
        <w:tc>
          <w:tcPr>
            <w:tcW w:w="2281" w:type="dxa"/>
            <w:tcBorders>
              <w:top w:val="single" w:color="000000" w:sz="4" w:space="0"/>
              <w:left w:val="single" w:color="000000" w:sz="4" w:space="0"/>
              <w:bottom w:val="single" w:color="000000" w:sz="4" w:space="0"/>
              <w:right w:val="single" w:color="000000" w:sz="4" w:space="0"/>
            </w:tcBorders>
            <w:shd w:val="clear" w:color="auto" w:fill="DDDDDD"/>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物料描述</w:t>
            </w:r>
          </w:p>
        </w:tc>
        <w:tc>
          <w:tcPr>
            <w:tcW w:w="1042" w:type="dxa"/>
            <w:tcBorders>
              <w:top w:val="single" w:color="000000" w:sz="4" w:space="0"/>
              <w:left w:val="single" w:color="000000" w:sz="4" w:space="0"/>
              <w:bottom w:val="single" w:color="000000" w:sz="4" w:space="0"/>
              <w:right w:val="single" w:color="000000" w:sz="4" w:space="0"/>
            </w:tcBorders>
            <w:shd w:val="clear" w:color="auto" w:fill="DDDDDD"/>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采购数量</w:t>
            </w:r>
          </w:p>
        </w:tc>
        <w:tc>
          <w:tcPr>
            <w:tcW w:w="739" w:type="dxa"/>
            <w:tcBorders>
              <w:top w:val="single" w:color="000000" w:sz="4" w:space="0"/>
              <w:left w:val="single" w:color="000000" w:sz="4" w:space="0"/>
              <w:bottom w:val="single" w:color="000000" w:sz="4" w:space="0"/>
              <w:right w:val="single" w:color="000000" w:sz="4" w:space="0"/>
            </w:tcBorders>
            <w:shd w:val="clear" w:color="auto" w:fill="DDDDDD"/>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计量单位</w:t>
            </w:r>
          </w:p>
        </w:tc>
        <w:tc>
          <w:tcPr>
            <w:tcW w:w="2384" w:type="dxa"/>
            <w:tcBorders>
              <w:top w:val="single" w:color="000000" w:sz="4" w:space="0"/>
              <w:left w:val="single" w:color="000000" w:sz="4" w:space="0"/>
              <w:bottom w:val="single" w:color="000000" w:sz="4" w:space="0"/>
              <w:right w:val="single" w:color="000000" w:sz="4" w:space="0"/>
            </w:tcBorders>
            <w:shd w:val="clear" w:color="auto" w:fill="DDDDDD"/>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w:t>
            </w:r>
          </w:p>
        </w:tc>
        <w:tc>
          <w:tcPr>
            <w:tcW w:w="121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101715517</w:t>
            </w:r>
          </w:p>
        </w:tc>
        <w:tc>
          <w:tcPr>
            <w:tcW w:w="13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其他胶粘剂</w:t>
            </w:r>
          </w:p>
        </w:tc>
        <w:tc>
          <w:tcPr>
            <w:tcW w:w="2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耐磨防护剂\PC7218\10KG</w:t>
            </w:r>
          </w:p>
        </w:tc>
        <w:tc>
          <w:tcPr>
            <w:tcW w:w="10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w:t>
            </w:r>
            <w:r>
              <w:rPr>
                <w:rFonts w:hint="eastAsia" w:ascii="Arial" w:hAnsi="Arial" w:cs="Arial"/>
                <w:i w:val="0"/>
                <w:color w:val="000000"/>
                <w:kern w:val="0"/>
                <w:sz w:val="16"/>
                <w:szCs w:val="16"/>
                <w:u w:val="none"/>
                <w:bdr w:val="none" w:color="auto" w:sz="0" w:space="0"/>
                <w:lang w:val="en-US" w:eastAsia="zh-CN" w:bidi="ar"/>
              </w:rPr>
              <w:t xml:space="preserve"> </w:t>
            </w:r>
          </w:p>
        </w:tc>
        <w:tc>
          <w:tcPr>
            <w:tcW w:w="7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桶</w:t>
            </w:r>
          </w:p>
        </w:tc>
        <w:tc>
          <w:tcPr>
            <w:tcW w:w="23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日常维护消缺使用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5" w:hRule="atLeast"/>
          <w:jc w:val="center"/>
        </w:trPr>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w:t>
            </w:r>
          </w:p>
        </w:tc>
        <w:tc>
          <w:tcPr>
            <w:tcW w:w="121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100499340</w:t>
            </w:r>
          </w:p>
        </w:tc>
        <w:tc>
          <w:tcPr>
            <w:tcW w:w="13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电力电缆</w:t>
            </w:r>
          </w:p>
        </w:tc>
        <w:tc>
          <w:tcPr>
            <w:tcW w:w="2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\BVR\2.5MM2\450/750V</w:t>
            </w:r>
          </w:p>
        </w:tc>
        <w:tc>
          <w:tcPr>
            <w:tcW w:w="10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200</w:t>
            </w:r>
            <w:r>
              <w:rPr>
                <w:rFonts w:hint="eastAsia" w:ascii="Arial" w:hAnsi="Arial" w:cs="Arial"/>
                <w:i w:val="0"/>
                <w:color w:val="000000"/>
                <w:kern w:val="0"/>
                <w:sz w:val="16"/>
                <w:szCs w:val="16"/>
                <w:u w:val="none"/>
                <w:bdr w:val="none" w:color="auto" w:sz="0" w:space="0"/>
                <w:lang w:val="en-US" w:eastAsia="zh-CN" w:bidi="ar"/>
              </w:rPr>
              <w:t xml:space="preserve"> </w:t>
            </w:r>
          </w:p>
        </w:tc>
        <w:tc>
          <w:tcPr>
            <w:tcW w:w="7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米</w:t>
            </w:r>
          </w:p>
        </w:tc>
        <w:tc>
          <w:tcPr>
            <w:tcW w:w="23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红色、蓝色各100M（1捆）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5" w:hRule="atLeast"/>
          <w:jc w:val="center"/>
        </w:trPr>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3</w:t>
            </w:r>
          </w:p>
        </w:tc>
        <w:tc>
          <w:tcPr>
            <w:tcW w:w="121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101269538</w:t>
            </w:r>
          </w:p>
        </w:tc>
        <w:tc>
          <w:tcPr>
            <w:tcW w:w="13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家用风扇</w:t>
            </w:r>
          </w:p>
        </w:tc>
        <w:tc>
          <w:tcPr>
            <w:tcW w:w="2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换气扇\APB25-5-A\36W</w:t>
            </w:r>
          </w:p>
        </w:tc>
        <w:tc>
          <w:tcPr>
            <w:tcW w:w="10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5</w:t>
            </w:r>
            <w:r>
              <w:rPr>
                <w:rFonts w:hint="eastAsia" w:ascii="Arial" w:hAnsi="Arial" w:cs="Arial"/>
                <w:i w:val="0"/>
                <w:color w:val="000000"/>
                <w:kern w:val="0"/>
                <w:sz w:val="16"/>
                <w:szCs w:val="16"/>
                <w:u w:val="none"/>
                <w:bdr w:val="none" w:color="auto" w:sz="0" w:space="0"/>
                <w:lang w:val="en-US" w:eastAsia="zh-CN" w:bidi="ar"/>
              </w:rPr>
              <w:t xml:space="preserve"> </w:t>
            </w:r>
          </w:p>
        </w:tc>
        <w:tc>
          <w:tcPr>
            <w:tcW w:w="7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件</w:t>
            </w:r>
          </w:p>
        </w:tc>
        <w:tc>
          <w:tcPr>
            <w:tcW w:w="23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ind w:firstLine="0" w:firstLineChars="0"/>
              <w:jc w:val="center"/>
              <w:rPr>
                <w:rFonts w:hint="default" w:ascii="Arial" w:hAnsi="Arial" w:eastAsia="宋体" w:cs="Arial"/>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4</w:t>
            </w:r>
          </w:p>
        </w:tc>
        <w:tc>
          <w:tcPr>
            <w:tcW w:w="121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101378782</w:t>
            </w:r>
          </w:p>
        </w:tc>
        <w:tc>
          <w:tcPr>
            <w:tcW w:w="13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电力电缆</w:t>
            </w:r>
          </w:p>
        </w:tc>
        <w:tc>
          <w:tcPr>
            <w:tcW w:w="2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BVR\4MM2\450／750V</w:t>
            </w:r>
          </w:p>
        </w:tc>
        <w:tc>
          <w:tcPr>
            <w:tcW w:w="10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200</w:t>
            </w:r>
            <w:r>
              <w:rPr>
                <w:rFonts w:hint="eastAsia" w:ascii="Arial" w:hAnsi="Arial" w:cs="Arial"/>
                <w:i w:val="0"/>
                <w:color w:val="000000"/>
                <w:kern w:val="0"/>
                <w:sz w:val="16"/>
                <w:szCs w:val="16"/>
                <w:u w:val="none"/>
                <w:bdr w:val="none" w:color="auto" w:sz="0" w:space="0"/>
                <w:lang w:val="en-US" w:eastAsia="zh-CN" w:bidi="ar"/>
              </w:rPr>
              <w:t xml:space="preserve"> </w:t>
            </w:r>
          </w:p>
        </w:tc>
        <w:tc>
          <w:tcPr>
            <w:tcW w:w="7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米</w:t>
            </w:r>
          </w:p>
        </w:tc>
        <w:tc>
          <w:tcPr>
            <w:tcW w:w="23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红色、蓝色各100M（1捆）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5</w:t>
            </w:r>
          </w:p>
        </w:tc>
        <w:tc>
          <w:tcPr>
            <w:tcW w:w="121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101746759</w:t>
            </w:r>
          </w:p>
        </w:tc>
        <w:tc>
          <w:tcPr>
            <w:tcW w:w="13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电力电缆</w:t>
            </w:r>
          </w:p>
        </w:tc>
        <w:tc>
          <w:tcPr>
            <w:tcW w:w="2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BV\1*4MM2\450／750V</w:t>
            </w:r>
          </w:p>
        </w:tc>
        <w:tc>
          <w:tcPr>
            <w:tcW w:w="10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200</w:t>
            </w:r>
            <w:r>
              <w:rPr>
                <w:rFonts w:hint="eastAsia" w:ascii="Arial" w:hAnsi="Arial" w:cs="Arial"/>
                <w:i w:val="0"/>
                <w:color w:val="000000"/>
                <w:kern w:val="0"/>
                <w:sz w:val="16"/>
                <w:szCs w:val="16"/>
                <w:u w:val="none"/>
                <w:bdr w:val="none" w:color="auto" w:sz="0" w:space="0"/>
                <w:lang w:val="en-US" w:eastAsia="zh-CN" w:bidi="ar"/>
              </w:rPr>
              <w:t xml:space="preserve"> </w:t>
            </w:r>
          </w:p>
        </w:tc>
        <w:tc>
          <w:tcPr>
            <w:tcW w:w="7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米</w:t>
            </w:r>
          </w:p>
        </w:tc>
        <w:tc>
          <w:tcPr>
            <w:tcW w:w="23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红色、蓝色各100M（1捆）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6</w:t>
            </w:r>
          </w:p>
        </w:tc>
        <w:tc>
          <w:tcPr>
            <w:tcW w:w="121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101964579</w:t>
            </w:r>
          </w:p>
        </w:tc>
        <w:tc>
          <w:tcPr>
            <w:tcW w:w="13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电力电缆</w:t>
            </w:r>
          </w:p>
        </w:tc>
        <w:tc>
          <w:tcPr>
            <w:tcW w:w="2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BVR\1.5MM2\450／750V</w:t>
            </w:r>
          </w:p>
        </w:tc>
        <w:tc>
          <w:tcPr>
            <w:tcW w:w="10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200</w:t>
            </w:r>
            <w:r>
              <w:rPr>
                <w:rFonts w:hint="eastAsia" w:ascii="Arial" w:hAnsi="Arial" w:cs="Arial"/>
                <w:i w:val="0"/>
                <w:color w:val="000000"/>
                <w:kern w:val="0"/>
                <w:sz w:val="16"/>
                <w:szCs w:val="16"/>
                <w:u w:val="none"/>
                <w:bdr w:val="none" w:color="auto" w:sz="0" w:space="0"/>
                <w:lang w:val="en-US" w:eastAsia="zh-CN" w:bidi="ar"/>
              </w:rPr>
              <w:t xml:space="preserve"> </w:t>
            </w:r>
          </w:p>
        </w:tc>
        <w:tc>
          <w:tcPr>
            <w:tcW w:w="7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米</w:t>
            </w:r>
          </w:p>
        </w:tc>
        <w:tc>
          <w:tcPr>
            <w:tcW w:w="23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红色、蓝色各100M（1捆）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7</w:t>
            </w:r>
          </w:p>
        </w:tc>
        <w:tc>
          <w:tcPr>
            <w:tcW w:w="121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100679042</w:t>
            </w:r>
          </w:p>
        </w:tc>
        <w:tc>
          <w:tcPr>
            <w:tcW w:w="13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气体继电器</w:t>
            </w:r>
          </w:p>
        </w:tc>
        <w:tc>
          <w:tcPr>
            <w:tcW w:w="2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QJ3-80\220VDC</w:t>
            </w:r>
          </w:p>
        </w:tc>
        <w:tc>
          <w:tcPr>
            <w:tcW w:w="10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w:t>
            </w:r>
            <w:r>
              <w:rPr>
                <w:rFonts w:hint="eastAsia" w:ascii="Arial" w:hAnsi="Arial" w:cs="Arial"/>
                <w:i w:val="0"/>
                <w:color w:val="000000"/>
                <w:kern w:val="0"/>
                <w:sz w:val="16"/>
                <w:szCs w:val="16"/>
                <w:u w:val="none"/>
                <w:bdr w:val="none" w:color="auto" w:sz="0" w:space="0"/>
                <w:lang w:val="en-US" w:eastAsia="zh-CN" w:bidi="ar"/>
              </w:rPr>
              <w:t xml:space="preserve"> </w:t>
            </w:r>
          </w:p>
        </w:tc>
        <w:tc>
          <w:tcPr>
            <w:tcW w:w="7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件</w:t>
            </w:r>
          </w:p>
        </w:tc>
        <w:tc>
          <w:tcPr>
            <w:tcW w:w="23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该型号</w:t>
            </w:r>
            <w:r>
              <w:rPr>
                <w:rFonts w:hint="eastAsia" w:ascii="Arial" w:hAnsi="Arial" w:cs="Arial"/>
                <w:i w:val="0"/>
                <w:color w:val="000000"/>
                <w:kern w:val="0"/>
                <w:sz w:val="16"/>
                <w:szCs w:val="16"/>
                <w:u w:val="none"/>
                <w:bdr w:val="none" w:color="auto" w:sz="0" w:space="0"/>
                <w:lang w:val="en-US" w:eastAsia="zh-CN" w:bidi="ar"/>
              </w:rPr>
              <w:t>需</w:t>
            </w:r>
            <w:r>
              <w:rPr>
                <w:rFonts w:hint="default" w:ascii="Arial" w:hAnsi="Arial" w:eastAsia="宋体" w:cs="Arial"/>
                <w:i w:val="0"/>
                <w:color w:val="000000"/>
                <w:kern w:val="0"/>
                <w:sz w:val="16"/>
                <w:szCs w:val="16"/>
                <w:u w:val="none"/>
                <w:bdr w:val="none" w:color="auto" w:sz="0" w:space="0"/>
                <w:lang w:val="en-US" w:eastAsia="zh-CN" w:bidi="ar"/>
              </w:rPr>
              <w:t>配置引导气盒及全套垫圈</w:t>
            </w:r>
            <w:r>
              <w:rPr>
                <w:rFonts w:hint="eastAsia" w:ascii="Arial" w:hAnsi="Arial" w:cs="Arial"/>
                <w:i w:val="0"/>
                <w:color w:val="000000"/>
                <w:kern w:val="0"/>
                <w:sz w:val="16"/>
                <w:szCs w:val="16"/>
                <w:u w:val="none"/>
                <w:bdr w:val="none" w:color="auto" w:sz="0" w:space="0"/>
                <w:lang w:val="en-US" w:eastAsia="zh-CN" w:bidi="ar"/>
              </w:rPr>
              <w:t>，</w:t>
            </w:r>
            <w:r>
              <w:rPr>
                <w:rFonts w:hint="default" w:ascii="Arial" w:hAnsi="Arial" w:eastAsia="宋体" w:cs="Arial"/>
                <w:i w:val="0"/>
                <w:color w:val="000000"/>
                <w:kern w:val="0"/>
                <w:sz w:val="16"/>
                <w:szCs w:val="16"/>
                <w:u w:val="none"/>
                <w:bdr w:val="none" w:color="auto" w:sz="0" w:space="0"/>
                <w:lang w:val="en-US" w:eastAsia="zh-CN" w:bidi="ar"/>
              </w:rPr>
              <w:t>另外配置一套胶垫。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5" w:hRule="atLeast"/>
          <w:jc w:val="center"/>
        </w:trPr>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8</w:t>
            </w:r>
          </w:p>
        </w:tc>
        <w:tc>
          <w:tcPr>
            <w:tcW w:w="121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100922802</w:t>
            </w:r>
          </w:p>
        </w:tc>
        <w:tc>
          <w:tcPr>
            <w:tcW w:w="13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断路器操作装置</w:t>
            </w:r>
          </w:p>
        </w:tc>
        <w:tc>
          <w:tcPr>
            <w:tcW w:w="2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KWS-XS-5803\220V</w:t>
            </w:r>
          </w:p>
        </w:tc>
        <w:tc>
          <w:tcPr>
            <w:tcW w:w="10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w:t>
            </w:r>
            <w:r>
              <w:rPr>
                <w:rFonts w:hint="eastAsia" w:ascii="Arial" w:hAnsi="Arial" w:cs="Arial"/>
                <w:i w:val="0"/>
                <w:color w:val="000000"/>
                <w:kern w:val="0"/>
                <w:sz w:val="16"/>
                <w:szCs w:val="16"/>
                <w:u w:val="none"/>
                <w:bdr w:val="none" w:color="auto" w:sz="0" w:space="0"/>
                <w:lang w:val="en-US" w:eastAsia="zh-CN" w:bidi="ar"/>
              </w:rPr>
              <w:t xml:space="preserve"> </w:t>
            </w:r>
          </w:p>
        </w:tc>
        <w:tc>
          <w:tcPr>
            <w:tcW w:w="7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件</w:t>
            </w:r>
          </w:p>
        </w:tc>
        <w:tc>
          <w:tcPr>
            <w:tcW w:w="23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ind w:firstLine="0" w:firstLineChars="0"/>
              <w:jc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9</w:t>
            </w:r>
          </w:p>
        </w:tc>
        <w:tc>
          <w:tcPr>
            <w:tcW w:w="121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102457575</w:t>
            </w:r>
          </w:p>
        </w:tc>
        <w:tc>
          <w:tcPr>
            <w:tcW w:w="13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转换开关</w:t>
            </w:r>
          </w:p>
        </w:tc>
        <w:tc>
          <w:tcPr>
            <w:tcW w:w="2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LW-20-P.12.32\380VAC</w:t>
            </w:r>
          </w:p>
        </w:tc>
        <w:tc>
          <w:tcPr>
            <w:tcW w:w="10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4</w:t>
            </w:r>
            <w:r>
              <w:rPr>
                <w:rFonts w:hint="eastAsia" w:ascii="Arial" w:hAnsi="Arial" w:cs="Arial"/>
                <w:i w:val="0"/>
                <w:color w:val="000000"/>
                <w:kern w:val="0"/>
                <w:sz w:val="16"/>
                <w:szCs w:val="16"/>
                <w:u w:val="none"/>
                <w:bdr w:val="none" w:color="auto" w:sz="0" w:space="0"/>
                <w:lang w:val="en-US" w:eastAsia="zh-CN" w:bidi="ar"/>
              </w:rPr>
              <w:t xml:space="preserve"> </w:t>
            </w:r>
          </w:p>
        </w:tc>
        <w:tc>
          <w:tcPr>
            <w:tcW w:w="7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件</w:t>
            </w:r>
          </w:p>
        </w:tc>
        <w:tc>
          <w:tcPr>
            <w:tcW w:w="23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ind w:firstLine="0" w:firstLineChars="0"/>
              <w:jc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10</w:t>
            </w:r>
          </w:p>
        </w:tc>
        <w:tc>
          <w:tcPr>
            <w:tcW w:w="121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102459546</w:t>
            </w:r>
          </w:p>
        </w:tc>
        <w:tc>
          <w:tcPr>
            <w:tcW w:w="13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胶带</w:t>
            </w:r>
          </w:p>
        </w:tc>
        <w:tc>
          <w:tcPr>
            <w:tcW w:w="2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自粘胶带\100MM*12M／黑色</w:t>
            </w:r>
          </w:p>
        </w:tc>
        <w:tc>
          <w:tcPr>
            <w:tcW w:w="10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100</w:t>
            </w:r>
            <w:r>
              <w:rPr>
                <w:rFonts w:hint="eastAsia" w:ascii="Arial" w:hAnsi="Arial" w:cs="Arial"/>
                <w:i w:val="0"/>
                <w:color w:val="000000"/>
                <w:kern w:val="0"/>
                <w:sz w:val="16"/>
                <w:szCs w:val="16"/>
                <w:u w:val="none"/>
                <w:bdr w:val="none" w:color="auto" w:sz="0" w:space="0"/>
                <w:lang w:val="en-US" w:eastAsia="zh-CN" w:bidi="ar"/>
              </w:rPr>
              <w:t xml:space="preserve"> </w:t>
            </w:r>
          </w:p>
        </w:tc>
        <w:tc>
          <w:tcPr>
            <w:tcW w:w="7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卷</w:t>
            </w:r>
          </w:p>
        </w:tc>
        <w:tc>
          <w:tcPr>
            <w:tcW w:w="23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空调保温专用胶带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11</w:t>
            </w:r>
          </w:p>
        </w:tc>
        <w:tc>
          <w:tcPr>
            <w:tcW w:w="121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100939231</w:t>
            </w:r>
          </w:p>
        </w:tc>
        <w:tc>
          <w:tcPr>
            <w:tcW w:w="13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挂锁</w:t>
            </w:r>
          </w:p>
        </w:tc>
        <w:tc>
          <w:tcPr>
            <w:tcW w:w="2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挂锁\60MM\不锈钢\普通型</w:t>
            </w:r>
          </w:p>
        </w:tc>
        <w:tc>
          <w:tcPr>
            <w:tcW w:w="10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3</w:t>
            </w:r>
            <w:r>
              <w:rPr>
                <w:rFonts w:hint="eastAsia" w:ascii="Arial" w:hAnsi="Arial" w:cs="Arial"/>
                <w:i w:val="0"/>
                <w:color w:val="000000"/>
                <w:kern w:val="0"/>
                <w:sz w:val="16"/>
                <w:szCs w:val="16"/>
                <w:u w:val="none"/>
                <w:bdr w:val="none" w:color="auto" w:sz="0" w:space="0"/>
                <w:lang w:val="en-US" w:eastAsia="zh-CN" w:bidi="ar"/>
              </w:rPr>
              <w:t xml:space="preserve"> </w:t>
            </w:r>
          </w:p>
        </w:tc>
        <w:tc>
          <w:tcPr>
            <w:tcW w:w="7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件</w:t>
            </w:r>
          </w:p>
        </w:tc>
        <w:tc>
          <w:tcPr>
            <w:tcW w:w="23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5" w:hRule="atLeast"/>
          <w:jc w:val="center"/>
        </w:trPr>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12</w:t>
            </w:r>
          </w:p>
        </w:tc>
        <w:tc>
          <w:tcPr>
            <w:tcW w:w="121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101295328</w:t>
            </w:r>
          </w:p>
        </w:tc>
        <w:tc>
          <w:tcPr>
            <w:tcW w:w="13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冷却剂</w:t>
            </w:r>
          </w:p>
        </w:tc>
        <w:tc>
          <w:tcPr>
            <w:tcW w:w="2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R22\22KG</w:t>
            </w:r>
          </w:p>
        </w:tc>
        <w:tc>
          <w:tcPr>
            <w:tcW w:w="10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2</w:t>
            </w:r>
            <w:r>
              <w:rPr>
                <w:rFonts w:hint="eastAsia" w:ascii="Arial" w:hAnsi="Arial" w:cs="Arial"/>
                <w:i w:val="0"/>
                <w:color w:val="000000"/>
                <w:kern w:val="0"/>
                <w:sz w:val="16"/>
                <w:szCs w:val="16"/>
                <w:u w:val="none"/>
                <w:bdr w:val="none" w:color="auto" w:sz="0" w:space="0"/>
                <w:lang w:val="en-US" w:eastAsia="zh-CN" w:bidi="ar"/>
              </w:rPr>
              <w:t xml:space="preserve"> </w:t>
            </w:r>
          </w:p>
        </w:tc>
        <w:tc>
          <w:tcPr>
            <w:tcW w:w="7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桶</w:t>
            </w:r>
          </w:p>
        </w:tc>
        <w:tc>
          <w:tcPr>
            <w:tcW w:w="23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13</w:t>
            </w:r>
          </w:p>
        </w:tc>
        <w:tc>
          <w:tcPr>
            <w:tcW w:w="121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100181608</w:t>
            </w:r>
          </w:p>
        </w:tc>
        <w:tc>
          <w:tcPr>
            <w:tcW w:w="132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金属丝刷</w:t>
            </w:r>
          </w:p>
        </w:tc>
        <w:tc>
          <w:tcPr>
            <w:tcW w:w="228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金属丝刷\铜丝刷\25MM</w:t>
            </w:r>
          </w:p>
        </w:tc>
        <w:tc>
          <w:tcPr>
            <w:tcW w:w="10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10</w:t>
            </w:r>
            <w:r>
              <w:rPr>
                <w:rFonts w:hint="eastAsia" w:ascii="Arial" w:hAnsi="Arial" w:cs="Arial"/>
                <w:i w:val="0"/>
                <w:color w:val="000000"/>
                <w:kern w:val="0"/>
                <w:sz w:val="16"/>
                <w:szCs w:val="16"/>
                <w:u w:val="none"/>
                <w:bdr w:val="none" w:color="auto" w:sz="0" w:space="0"/>
                <w:lang w:val="en-US" w:eastAsia="zh-CN" w:bidi="ar"/>
              </w:rPr>
              <w:t xml:space="preserve"> </w:t>
            </w:r>
          </w:p>
        </w:tc>
        <w:tc>
          <w:tcPr>
            <w:tcW w:w="73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件</w:t>
            </w:r>
          </w:p>
        </w:tc>
        <w:tc>
          <w:tcPr>
            <w:tcW w:w="238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国标</w:t>
            </w:r>
          </w:p>
        </w:tc>
      </w:tr>
    </w:tbl>
    <w:p>
      <w:pPr>
        <w:numPr>
          <w:ilvl w:val="0"/>
          <w:numId w:val="0"/>
        </w:numPr>
        <w:rPr>
          <w:rFonts w:hint="eastAsia"/>
        </w:rPr>
      </w:pPr>
    </w:p>
    <w:p>
      <w:pPr>
        <w:pStyle w:val="87"/>
        <w:spacing w:line="360" w:lineRule="auto"/>
        <w:rPr>
          <w:b/>
        </w:rPr>
      </w:pPr>
    </w:p>
    <w:p>
      <w:pPr>
        <w:keepLines/>
        <w:spacing w:line="360" w:lineRule="auto"/>
        <w:ind w:firstLine="560"/>
        <w:rPr>
          <w:rFonts w:ascii="黑体" w:hAnsi="黑体" w:eastAsia="黑体"/>
          <w:sz w:val="28"/>
          <w:szCs w:val="28"/>
        </w:rPr>
      </w:pPr>
      <w:bookmarkStart w:id="24" w:name="_Toc504312944"/>
      <w:r>
        <w:rPr>
          <w:rFonts w:ascii="黑体" w:hAnsi="黑体" w:eastAsia="黑体"/>
          <w:sz w:val="28"/>
          <w:szCs w:val="28"/>
        </w:rPr>
        <w:t xml:space="preserve">3. </w:t>
      </w:r>
      <w:r>
        <w:rPr>
          <w:rFonts w:hint="eastAsia" w:ascii="黑体" w:hAnsi="黑体" w:eastAsia="黑体"/>
          <w:sz w:val="28"/>
          <w:szCs w:val="28"/>
        </w:rPr>
        <w:t>供应商</w:t>
      </w:r>
      <w:r>
        <w:rPr>
          <w:rFonts w:ascii="黑体" w:hAnsi="黑体" w:eastAsia="黑体"/>
          <w:sz w:val="28"/>
          <w:szCs w:val="28"/>
        </w:rPr>
        <w:t>资格要求</w:t>
      </w:r>
      <w:bookmarkEnd w:id="24"/>
    </w:p>
    <w:p>
      <w:pPr>
        <w:ind w:firstLine="480"/>
      </w:pPr>
      <w:r>
        <w:rPr>
          <w:rFonts w:hint="eastAsia"/>
        </w:rPr>
        <w:t>3.1通用条件：</w:t>
      </w:r>
    </w:p>
    <w:p>
      <w:pPr>
        <w:ind w:firstLine="480"/>
      </w:pPr>
      <w:r>
        <w:rPr>
          <w:rFonts w:hint="eastAsia"/>
        </w:rPr>
        <w:t>3.1.1供应商须为集团公司级、采购人所属的二级单位或采购人供应商库内的合格供应商，且不处于供应商暂停采购活动的期限内。</w:t>
      </w:r>
    </w:p>
    <w:p>
      <w:pPr>
        <w:ind w:firstLine="480"/>
      </w:pPr>
      <w:r>
        <w:rPr>
          <w:rFonts w:hint="eastAsia"/>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pPr>
        <w:ind w:firstLine="480"/>
      </w:pPr>
      <w:r>
        <w:rPr>
          <w:rFonts w:hint="eastAsia"/>
        </w:rPr>
        <w:t>3.1.2</w:t>
      </w:r>
      <w:r>
        <w:rPr>
          <w:rFonts w:hint="eastAsia"/>
          <w:highlight w:val="yellow"/>
        </w:rPr>
        <w:t>不存在上传数据或响应文件的互联网协议地址（IP地址）信息检查一致的情况，否则将视为串通投标并否决其投标”的约定。</w:t>
      </w:r>
    </w:p>
    <w:p>
      <w:pPr>
        <w:ind w:firstLine="480"/>
      </w:pPr>
      <w:r>
        <w:rPr>
          <w:rFonts w:hint="eastAsia"/>
        </w:rPr>
        <w:t>3.1.3</w:t>
      </w:r>
      <w:r>
        <w:rPr>
          <w:rFonts w:hint="eastAsia"/>
          <w:highlight w:val="yellow"/>
        </w:rPr>
        <w:t>禁止失信被执行人、行贿受贿行为人、法律所禁止的存在关联关系生产商，及生产制造商直接授权的代理商参与本项目采购的报价。</w:t>
      </w:r>
    </w:p>
    <w:p>
      <w:pPr>
        <w:ind w:firstLine="436" w:firstLineChars="182"/>
      </w:pPr>
      <w:r>
        <w:rPr>
          <w:rFonts w:hint="eastAsia"/>
        </w:rPr>
        <w:t>3.2专项条件：</w:t>
      </w:r>
    </w:p>
    <w:p>
      <w:pPr>
        <w:ind w:firstLine="480"/>
      </w:pPr>
      <w:r>
        <w:rPr>
          <w:rFonts w:hint="eastAsia"/>
        </w:rPr>
        <w:t>3.2.1资质要求：</w:t>
      </w:r>
      <w:r>
        <w:rPr>
          <w:rFonts w:hint="eastAsia" w:ascii="宋体" w:hAnsi="宋体"/>
          <w:u w:val="single"/>
        </w:rPr>
        <w:t>无</w:t>
      </w:r>
      <w:r>
        <w:rPr>
          <w:rFonts w:hint="eastAsia" w:ascii="宋体" w:hAnsi="宋体"/>
        </w:rPr>
        <w:t>。</w:t>
      </w:r>
    </w:p>
    <w:p>
      <w:pPr>
        <w:ind w:firstLine="480"/>
      </w:pPr>
      <w:r>
        <w:t>3.</w:t>
      </w:r>
      <w:r>
        <w:rPr>
          <w:rFonts w:hint="eastAsia"/>
        </w:rPr>
        <w:t>2.2</w:t>
      </w:r>
      <w:r>
        <w:t xml:space="preserve"> 业绩</w:t>
      </w:r>
      <w:r>
        <w:rPr>
          <w:rFonts w:hint="eastAsia"/>
        </w:rPr>
        <w:t>要求：</w:t>
      </w:r>
      <w:r>
        <w:rPr>
          <w:rFonts w:hint="eastAsia" w:ascii="宋体" w:hAnsi="宋体"/>
          <w:u w:val="single"/>
        </w:rPr>
        <w:t>无</w:t>
      </w:r>
      <w:r>
        <w:rPr>
          <w:rFonts w:hint="eastAsia" w:ascii="宋体" w:hAnsi="宋体"/>
        </w:rPr>
        <w:t>。</w:t>
      </w:r>
    </w:p>
    <w:p>
      <w:pPr>
        <w:ind w:firstLine="480"/>
      </w:pPr>
      <w:r>
        <w:t>3.</w:t>
      </w:r>
      <w:r>
        <w:rPr>
          <w:rFonts w:hint="eastAsia"/>
        </w:rPr>
        <w:t>2.3是否允许</w:t>
      </w:r>
      <w:r>
        <w:t>联合体</w:t>
      </w:r>
      <w:r>
        <w:rPr>
          <w:rFonts w:hint="eastAsia"/>
        </w:rPr>
        <w:t>：</w:t>
      </w:r>
      <w:r>
        <w:rPr>
          <w:rFonts w:hint="eastAsia" w:ascii="宋体" w:hAnsi="宋体"/>
          <w:u w:val="single"/>
        </w:rPr>
        <w:t>否</w:t>
      </w:r>
      <w:r>
        <w:rPr>
          <w:rFonts w:hint="eastAsia"/>
        </w:rPr>
        <w:t>。</w:t>
      </w:r>
    </w:p>
    <w:p>
      <w:pPr>
        <w:ind w:firstLine="480"/>
      </w:pPr>
      <w:r>
        <w:rPr>
          <w:rFonts w:hint="eastAsia"/>
        </w:rPr>
        <w:t>3.2.4是否接受代理商：</w:t>
      </w:r>
      <w:r>
        <w:rPr>
          <w:rFonts w:hint="eastAsia" w:ascii="宋体" w:hAnsi="宋体"/>
          <w:u w:val="single"/>
        </w:rPr>
        <w:t>接受</w:t>
      </w:r>
      <w:r>
        <w:rPr>
          <w:rFonts w:hint="eastAsia"/>
        </w:rPr>
        <w:t>。</w:t>
      </w:r>
    </w:p>
    <w:p>
      <w:pPr>
        <w:ind w:firstLine="480"/>
        <w:rPr>
          <w:rFonts w:ascii="楷体" w:hAnsi="楷体" w:eastAsia="楷体"/>
          <w:u w:val="single"/>
        </w:rPr>
      </w:pPr>
      <w:r>
        <w:rPr>
          <w:rFonts w:hint="eastAsia"/>
        </w:rPr>
        <w:t>3.2.5应具备的其他要求：</w:t>
      </w:r>
      <w:r>
        <w:rPr>
          <w:rFonts w:hint="eastAsia" w:ascii="宋体" w:hAnsi="宋体"/>
          <w:u w:val="single"/>
        </w:rPr>
        <w:t>无。</w:t>
      </w:r>
    </w:p>
    <w:p>
      <w:pPr>
        <w:pStyle w:val="3"/>
        <w:spacing w:before="120"/>
      </w:pPr>
      <w:bookmarkStart w:id="25" w:name="_Toc504312945"/>
      <w:bookmarkStart w:id="26" w:name="_Toc81472796"/>
      <w:r>
        <w:rPr>
          <w:rFonts w:hint="eastAsia"/>
        </w:rPr>
        <w:t>4</w:t>
      </w:r>
      <w:r>
        <w:t xml:space="preserve">. </w:t>
      </w:r>
      <w:r>
        <w:rPr>
          <w:rFonts w:hint="eastAsia"/>
        </w:rPr>
        <w:t>采购</w:t>
      </w:r>
      <w:r>
        <w:t>文件的获取</w:t>
      </w:r>
      <w:bookmarkEnd w:id="25"/>
      <w:bookmarkEnd w:id="26"/>
    </w:p>
    <w:p>
      <w:pPr>
        <w:ind w:firstLine="480"/>
      </w:pPr>
      <w:r>
        <w:rPr>
          <w:rFonts w:hint="eastAsia" w:cs="宋体"/>
          <w:color w:val="000000"/>
          <w:kern w:val="0"/>
        </w:rPr>
        <w:t>4.</w:t>
      </w:r>
      <w:r>
        <w:t xml:space="preserve">1 </w:t>
      </w:r>
      <w:r>
        <w:rPr>
          <w:rFonts w:hint="eastAsia"/>
        </w:rPr>
        <w:t>有意向的供应商可从</w:t>
      </w:r>
      <w:r>
        <w:rPr>
          <w:rFonts w:hint="eastAsia"/>
          <w:u w:val="single"/>
        </w:rPr>
        <w:t>本采购</w:t>
      </w:r>
      <w:r>
        <w:rPr>
          <w:u w:val="single"/>
        </w:rPr>
        <w:t>项目询价发布</w:t>
      </w:r>
      <w:r>
        <w:rPr>
          <w:rFonts w:hint="eastAsia"/>
          <w:u w:val="single"/>
        </w:rPr>
        <w:t>时间</w:t>
      </w:r>
      <w:r>
        <w:rPr>
          <w:rFonts w:hint="eastAsia"/>
        </w:rPr>
        <w:t>起至</w:t>
      </w:r>
      <w:r>
        <w:rPr>
          <w:rFonts w:hint="eastAsia"/>
          <w:u w:val="single"/>
        </w:rPr>
        <w:t>询价</w:t>
      </w:r>
      <w:r>
        <w:rPr>
          <w:u w:val="single"/>
        </w:rPr>
        <w:t>截止时间</w:t>
      </w:r>
      <w:r>
        <w:rPr>
          <w:rFonts w:hint="eastAsia"/>
        </w:rPr>
        <w:t>止（北京时间，下同），登陆电子商务平台进行报名。（具体时间以电子商务平台为准）</w:t>
      </w:r>
    </w:p>
    <w:p>
      <w:pPr>
        <w:ind w:firstLine="480"/>
      </w:pPr>
      <w:r>
        <w:rPr>
          <w:rFonts w:hint="eastAsia"/>
        </w:rPr>
        <w:t>4.2采购文件下载：通过电子商务平台下载采购文件，采购文件费：</w:t>
      </w:r>
      <w:r>
        <w:rPr>
          <w:rFonts w:hint="eastAsia"/>
          <w:u w:val="single"/>
        </w:rPr>
        <w:t xml:space="preserve">  0  </w:t>
      </w:r>
      <w:r>
        <w:rPr>
          <w:rFonts w:hint="eastAsia"/>
        </w:rPr>
        <w:t>元。</w:t>
      </w:r>
    </w:p>
    <w:p>
      <w:pPr>
        <w:pStyle w:val="3"/>
        <w:spacing w:before="120"/>
      </w:pPr>
      <w:bookmarkStart w:id="27" w:name="_Toc504312946"/>
      <w:bookmarkStart w:id="28" w:name="_Toc81472797"/>
      <w:r>
        <w:rPr>
          <w:rFonts w:hint="eastAsia"/>
        </w:rPr>
        <w:t>5</w:t>
      </w:r>
      <w:r>
        <w:t>. 响应文件的递交</w:t>
      </w:r>
      <w:bookmarkEnd w:id="27"/>
      <w:bookmarkEnd w:id="28"/>
    </w:p>
    <w:p>
      <w:pPr>
        <w:ind w:firstLine="480"/>
      </w:pPr>
      <w:r>
        <w:rPr>
          <w:rFonts w:hint="eastAsia"/>
        </w:rPr>
        <w:t>5.1供应商应按采购文件规定的递交截止时间前登陆电子商务平台，完成响应文件的传输递交, 递交截止时间前未完成响应文件递交的视为放弃询价资格。</w:t>
      </w:r>
    </w:p>
    <w:p>
      <w:pPr>
        <w:ind w:firstLine="480"/>
      </w:pPr>
      <w:r>
        <w:rPr>
          <w:rFonts w:hint="eastAsia"/>
        </w:rPr>
        <w:t>5.2递交时间截止后，在电子商务平台开启响应文件。</w:t>
      </w:r>
    </w:p>
    <w:p>
      <w:pPr>
        <w:ind w:firstLine="480"/>
      </w:pPr>
      <w:r>
        <w:rPr>
          <w:rFonts w:hint="eastAsia"/>
        </w:rPr>
        <w:t>5.3响应文件的递交截止时间：</w:t>
      </w:r>
      <w:r>
        <w:rPr>
          <w:rFonts w:hint="eastAsia"/>
          <w:u w:val="single"/>
        </w:rPr>
        <w:t>电子商务平台规定的时间。</w:t>
      </w:r>
    </w:p>
    <w:p>
      <w:pPr>
        <w:pStyle w:val="3"/>
        <w:spacing w:before="120"/>
      </w:pPr>
      <w:bookmarkStart w:id="29" w:name="_Toc81472798"/>
      <w:bookmarkStart w:id="30" w:name="_Toc504312947"/>
      <w:r>
        <w:rPr>
          <w:rFonts w:hint="eastAsia"/>
        </w:rPr>
        <w:t>6. 发布公告的媒介</w:t>
      </w:r>
      <w:bookmarkEnd w:id="29"/>
      <w:bookmarkEnd w:id="30"/>
    </w:p>
    <w:p>
      <w:pPr>
        <w:ind w:firstLine="480"/>
      </w:pPr>
      <w:r>
        <w:rPr>
          <w:rFonts w:hint="eastAsia"/>
        </w:rPr>
        <w:t>本次采购公告在电子商务平台（http://ec.chng.com.cn/）发布。因轻信其他组织、个人或媒介提供的信息而造成的损失，采购人、采购代理机构概不负责。</w:t>
      </w:r>
    </w:p>
    <w:p>
      <w:pPr>
        <w:pStyle w:val="3"/>
        <w:spacing w:before="120"/>
      </w:pPr>
      <w:bookmarkStart w:id="31" w:name="_Toc504312948"/>
      <w:bookmarkStart w:id="32" w:name="_Toc81472799"/>
      <w:r>
        <w:rPr>
          <w:rFonts w:hint="eastAsia"/>
        </w:rPr>
        <w:t>7</w:t>
      </w:r>
      <w:r>
        <w:t>. 联系方式</w:t>
      </w:r>
      <w:bookmarkEnd w:id="31"/>
      <w:bookmarkEnd w:id="32"/>
    </w:p>
    <w:tbl>
      <w:tblPr>
        <w:tblStyle w:val="51"/>
        <w:tblW w:w="8563" w:type="dxa"/>
        <w:jc w:val="center"/>
        <w:shd w:val="clear" w:color="auto" w:fill="FFFFFF"/>
        <w:tblLayout w:type="fixed"/>
        <w:tblCellMar>
          <w:top w:w="0" w:type="dxa"/>
          <w:left w:w="108" w:type="dxa"/>
          <w:bottom w:w="0" w:type="dxa"/>
          <w:right w:w="108" w:type="dxa"/>
        </w:tblCellMar>
      </w:tblPr>
      <w:tblGrid>
        <w:gridCol w:w="1308"/>
        <w:gridCol w:w="2996"/>
        <w:gridCol w:w="1566"/>
        <w:gridCol w:w="2693"/>
      </w:tblGrid>
      <w:tr>
        <w:tblPrEx>
          <w:shd w:val="clear" w:color="auto" w:fill="FFFFFF"/>
          <w:tblCellMar>
            <w:top w:w="0" w:type="dxa"/>
            <w:left w:w="108" w:type="dxa"/>
            <w:bottom w:w="0" w:type="dxa"/>
            <w:right w:w="108" w:type="dxa"/>
          </w:tblCellMar>
        </w:tblPrEx>
        <w:trPr>
          <w:trHeight w:val="680" w:hRule="exact"/>
          <w:jc w:val="center"/>
        </w:trPr>
        <w:tc>
          <w:tcPr>
            <w:tcW w:w="1308" w:type="dxa"/>
            <w:shd w:val="clear" w:color="auto" w:fill="FFFFFF"/>
            <w:noWrap/>
            <w:vAlign w:val="center"/>
          </w:tcPr>
          <w:p>
            <w:pPr>
              <w:pStyle w:val="88"/>
              <w:rPr>
                <w:sz w:val="24"/>
                <w:szCs w:val="24"/>
              </w:rPr>
            </w:pPr>
            <w:bookmarkStart w:id="33" w:name="_Toc352691456"/>
            <w:bookmarkEnd w:id="33"/>
            <w:bookmarkStart w:id="34" w:name="_Toc247513935"/>
            <w:bookmarkEnd w:id="34"/>
            <w:bookmarkStart w:id="35" w:name="_Toc152042289"/>
            <w:bookmarkEnd w:id="35"/>
            <w:bookmarkStart w:id="36" w:name="_Toc300834930"/>
            <w:bookmarkEnd w:id="36"/>
            <w:bookmarkStart w:id="37" w:name="_Toc247527536"/>
            <w:bookmarkEnd w:id="37"/>
            <w:bookmarkStart w:id="38" w:name="_Toc384308188"/>
            <w:bookmarkEnd w:id="38"/>
            <w:bookmarkStart w:id="39" w:name="_Toc361508563"/>
            <w:bookmarkEnd w:id="39"/>
            <w:bookmarkStart w:id="40" w:name="_Toc152045513"/>
            <w:bookmarkEnd w:id="40"/>
            <w:bookmarkStart w:id="41" w:name="_Toc144974481"/>
            <w:bookmarkEnd w:id="41"/>
            <w:bookmarkStart w:id="42" w:name="_Toc369531498"/>
            <w:bookmarkEnd w:id="42"/>
            <w:bookmarkStart w:id="43" w:name="_Toc17972"/>
            <w:bookmarkEnd w:id="43"/>
            <w:r>
              <w:rPr>
                <w:rFonts w:hint="eastAsia"/>
                <w:sz w:val="24"/>
                <w:szCs w:val="24"/>
              </w:rPr>
              <w:t>采 购 人：</w:t>
            </w:r>
          </w:p>
        </w:tc>
        <w:tc>
          <w:tcPr>
            <w:tcW w:w="2996" w:type="dxa"/>
            <w:shd w:val="clear" w:color="auto" w:fill="FFFFFF"/>
            <w:noWrap/>
            <w:vAlign w:val="center"/>
          </w:tcPr>
          <w:p>
            <w:pPr>
              <w:pStyle w:val="88"/>
              <w:rPr>
                <w:sz w:val="24"/>
                <w:szCs w:val="24"/>
                <w:u w:val="single"/>
              </w:rPr>
            </w:pPr>
            <w:r>
              <w:rPr>
                <w:rFonts w:hint="eastAsia"/>
                <w:sz w:val="24"/>
                <w:szCs w:val="24"/>
                <w:u w:val="single"/>
              </w:rPr>
              <w:t xml:space="preserve">华能海南发电股份有限公司海口电厂                       </w:t>
            </w:r>
          </w:p>
        </w:tc>
        <w:tc>
          <w:tcPr>
            <w:tcW w:w="1566" w:type="dxa"/>
            <w:shd w:val="clear" w:color="auto" w:fill="FFFFFF"/>
            <w:noWrap/>
            <w:vAlign w:val="center"/>
          </w:tcPr>
          <w:p>
            <w:pPr>
              <w:pStyle w:val="88"/>
              <w:rPr>
                <w:sz w:val="24"/>
                <w:szCs w:val="24"/>
              </w:rPr>
            </w:pPr>
            <w:r>
              <w:rPr>
                <w:rFonts w:hint="eastAsia"/>
                <w:sz w:val="24"/>
                <w:szCs w:val="24"/>
              </w:rPr>
              <w:t>采购代理：</w:t>
            </w:r>
          </w:p>
        </w:tc>
        <w:tc>
          <w:tcPr>
            <w:tcW w:w="2693" w:type="dxa"/>
            <w:shd w:val="clear" w:color="auto" w:fill="FFFFFF"/>
            <w:noWrap/>
            <w:vAlign w:val="center"/>
          </w:tcPr>
          <w:p>
            <w:pPr>
              <w:pStyle w:val="88"/>
              <w:rPr>
                <w:sz w:val="24"/>
                <w:szCs w:val="24"/>
              </w:rPr>
            </w:pPr>
            <w:r>
              <w:rPr>
                <w:rFonts w:hint="eastAsia"/>
                <w:sz w:val="24"/>
                <w:szCs w:val="24"/>
                <w:u w:val="single"/>
              </w:rPr>
              <w:t xml:space="preserve">         /               </w:t>
            </w:r>
          </w:p>
        </w:tc>
      </w:tr>
      <w:tr>
        <w:tblPrEx>
          <w:shd w:val="clear" w:color="auto" w:fill="FFFFFF"/>
          <w:tblCellMar>
            <w:top w:w="0" w:type="dxa"/>
            <w:left w:w="108" w:type="dxa"/>
            <w:bottom w:w="0" w:type="dxa"/>
            <w:right w:w="108" w:type="dxa"/>
          </w:tblCellMar>
        </w:tblPrEx>
        <w:trPr>
          <w:trHeight w:val="680" w:hRule="exact"/>
          <w:jc w:val="center"/>
        </w:trPr>
        <w:tc>
          <w:tcPr>
            <w:tcW w:w="1308" w:type="dxa"/>
            <w:shd w:val="clear" w:color="auto" w:fill="FFFFFF"/>
            <w:noWrap/>
            <w:vAlign w:val="center"/>
          </w:tcPr>
          <w:p>
            <w:pPr>
              <w:pStyle w:val="88"/>
              <w:rPr>
                <w:sz w:val="24"/>
                <w:szCs w:val="24"/>
              </w:rPr>
            </w:pPr>
            <w:r>
              <w:rPr>
                <w:rFonts w:hint="eastAsia"/>
                <w:sz w:val="24"/>
                <w:szCs w:val="24"/>
              </w:rPr>
              <w:t>地 址：</w:t>
            </w:r>
          </w:p>
        </w:tc>
        <w:tc>
          <w:tcPr>
            <w:tcW w:w="2996" w:type="dxa"/>
            <w:shd w:val="clear" w:color="auto" w:fill="FFFFFF"/>
            <w:noWrap/>
            <w:vAlign w:val="center"/>
          </w:tcPr>
          <w:p>
            <w:pPr>
              <w:pStyle w:val="88"/>
              <w:rPr>
                <w:sz w:val="24"/>
                <w:szCs w:val="24"/>
              </w:rPr>
            </w:pPr>
            <w:r>
              <w:rPr>
                <w:rFonts w:hint="eastAsia"/>
                <w:sz w:val="24"/>
                <w:szCs w:val="24"/>
                <w:u w:val="single"/>
              </w:rPr>
              <w:t xml:space="preserve">海南省澄迈县老城镇马村                      </w:t>
            </w:r>
          </w:p>
        </w:tc>
        <w:tc>
          <w:tcPr>
            <w:tcW w:w="1566" w:type="dxa"/>
            <w:shd w:val="clear" w:color="auto" w:fill="FFFFFF"/>
            <w:noWrap/>
            <w:vAlign w:val="center"/>
          </w:tcPr>
          <w:p>
            <w:pPr>
              <w:pStyle w:val="88"/>
              <w:rPr>
                <w:sz w:val="24"/>
                <w:szCs w:val="24"/>
              </w:rPr>
            </w:pPr>
            <w:r>
              <w:rPr>
                <w:rFonts w:hint="eastAsia"/>
                <w:sz w:val="24"/>
                <w:szCs w:val="24"/>
              </w:rPr>
              <w:t>地 址：</w:t>
            </w:r>
          </w:p>
        </w:tc>
        <w:tc>
          <w:tcPr>
            <w:tcW w:w="2693" w:type="dxa"/>
            <w:shd w:val="clear" w:color="auto" w:fill="FFFFFF"/>
            <w:noWrap/>
            <w:vAlign w:val="center"/>
          </w:tcPr>
          <w:p>
            <w:pPr>
              <w:pStyle w:val="88"/>
              <w:rPr>
                <w:sz w:val="24"/>
                <w:szCs w:val="24"/>
              </w:rPr>
            </w:pPr>
            <w:r>
              <w:rPr>
                <w:rFonts w:hint="eastAsia"/>
                <w:sz w:val="24"/>
                <w:szCs w:val="24"/>
                <w:u w:val="single"/>
              </w:rPr>
              <w:t xml:space="preserve">         /              </w:t>
            </w:r>
          </w:p>
        </w:tc>
      </w:tr>
      <w:tr>
        <w:tblPrEx>
          <w:shd w:val="clear" w:color="auto" w:fill="FFFFFF"/>
          <w:tblCellMar>
            <w:top w:w="0" w:type="dxa"/>
            <w:left w:w="108" w:type="dxa"/>
            <w:bottom w:w="0" w:type="dxa"/>
            <w:right w:w="108" w:type="dxa"/>
          </w:tblCellMar>
        </w:tblPrEx>
        <w:trPr>
          <w:trHeight w:val="567" w:hRule="exact"/>
          <w:jc w:val="center"/>
        </w:trPr>
        <w:tc>
          <w:tcPr>
            <w:tcW w:w="1308" w:type="dxa"/>
            <w:shd w:val="clear" w:color="auto" w:fill="FFFFFF"/>
            <w:noWrap/>
            <w:vAlign w:val="center"/>
          </w:tcPr>
          <w:p>
            <w:pPr>
              <w:pStyle w:val="88"/>
              <w:rPr>
                <w:sz w:val="24"/>
                <w:szCs w:val="24"/>
              </w:rPr>
            </w:pPr>
            <w:r>
              <w:rPr>
                <w:rFonts w:hint="eastAsia"/>
                <w:sz w:val="24"/>
                <w:szCs w:val="24"/>
              </w:rPr>
              <w:t>邮 编：</w:t>
            </w:r>
          </w:p>
        </w:tc>
        <w:tc>
          <w:tcPr>
            <w:tcW w:w="2996" w:type="dxa"/>
            <w:shd w:val="clear" w:color="auto" w:fill="FFFFFF"/>
            <w:noWrap/>
            <w:vAlign w:val="center"/>
          </w:tcPr>
          <w:p>
            <w:pPr>
              <w:pStyle w:val="88"/>
              <w:rPr>
                <w:rFonts w:ascii="宋体" w:hAnsi="宋体"/>
                <w:sz w:val="24"/>
                <w:szCs w:val="24"/>
              </w:rPr>
            </w:pPr>
            <w:r>
              <w:rPr>
                <w:rFonts w:ascii="宋体" w:hAnsi="宋体"/>
                <w:sz w:val="24"/>
                <w:szCs w:val="24"/>
                <w:u w:val="single"/>
              </w:rPr>
              <w:t>573100</w:t>
            </w:r>
          </w:p>
        </w:tc>
        <w:tc>
          <w:tcPr>
            <w:tcW w:w="1566" w:type="dxa"/>
            <w:shd w:val="clear" w:color="auto" w:fill="FFFFFF"/>
            <w:noWrap/>
            <w:vAlign w:val="center"/>
          </w:tcPr>
          <w:p>
            <w:pPr>
              <w:pStyle w:val="88"/>
              <w:rPr>
                <w:sz w:val="24"/>
                <w:szCs w:val="24"/>
              </w:rPr>
            </w:pPr>
            <w:r>
              <w:rPr>
                <w:rFonts w:hint="eastAsia"/>
                <w:sz w:val="24"/>
                <w:szCs w:val="24"/>
              </w:rPr>
              <w:t>邮 编：</w:t>
            </w:r>
          </w:p>
        </w:tc>
        <w:tc>
          <w:tcPr>
            <w:tcW w:w="2693" w:type="dxa"/>
            <w:shd w:val="clear" w:color="auto" w:fill="FFFFFF"/>
            <w:noWrap/>
            <w:vAlign w:val="center"/>
          </w:tcPr>
          <w:p>
            <w:pPr>
              <w:pStyle w:val="88"/>
              <w:rPr>
                <w:sz w:val="24"/>
                <w:szCs w:val="24"/>
              </w:rPr>
            </w:pPr>
            <w:r>
              <w:rPr>
                <w:rFonts w:hint="eastAsia"/>
                <w:sz w:val="24"/>
                <w:szCs w:val="24"/>
                <w:u w:val="single"/>
              </w:rPr>
              <w:t xml:space="preserve">         /             </w:t>
            </w:r>
          </w:p>
        </w:tc>
      </w:tr>
      <w:tr>
        <w:tblPrEx>
          <w:tblCellMar>
            <w:top w:w="0" w:type="dxa"/>
            <w:left w:w="108" w:type="dxa"/>
            <w:bottom w:w="0" w:type="dxa"/>
            <w:right w:w="108" w:type="dxa"/>
          </w:tblCellMar>
        </w:tblPrEx>
        <w:trPr>
          <w:trHeight w:val="567" w:hRule="exact"/>
          <w:jc w:val="center"/>
        </w:trPr>
        <w:tc>
          <w:tcPr>
            <w:tcW w:w="1308" w:type="dxa"/>
            <w:shd w:val="clear" w:color="auto" w:fill="FFFFFF"/>
            <w:noWrap/>
            <w:vAlign w:val="center"/>
          </w:tcPr>
          <w:p>
            <w:pPr>
              <w:pStyle w:val="88"/>
              <w:rPr>
                <w:sz w:val="24"/>
                <w:szCs w:val="24"/>
              </w:rPr>
            </w:pPr>
            <w:r>
              <w:rPr>
                <w:rFonts w:hint="eastAsia"/>
                <w:sz w:val="24"/>
                <w:szCs w:val="24"/>
              </w:rPr>
              <w:t>电 话：</w:t>
            </w:r>
          </w:p>
        </w:tc>
        <w:tc>
          <w:tcPr>
            <w:tcW w:w="2996" w:type="dxa"/>
            <w:shd w:val="clear" w:color="auto" w:fill="FFFFFF"/>
            <w:noWrap/>
            <w:vAlign w:val="center"/>
          </w:tcPr>
          <w:p>
            <w:pPr>
              <w:pStyle w:val="88"/>
              <w:rPr>
                <w:rFonts w:ascii="宋体" w:hAnsi="宋体"/>
                <w:sz w:val="24"/>
                <w:szCs w:val="24"/>
                <w:u w:val="single"/>
              </w:rPr>
            </w:pPr>
            <w:r>
              <w:rPr>
                <w:rFonts w:hint="eastAsia" w:ascii="宋体" w:hAnsi="宋体"/>
                <w:sz w:val="24"/>
                <w:szCs w:val="24"/>
                <w:u w:val="single"/>
              </w:rPr>
              <w:t xml:space="preserve">                        </w:t>
            </w:r>
          </w:p>
        </w:tc>
        <w:tc>
          <w:tcPr>
            <w:tcW w:w="1566" w:type="dxa"/>
            <w:shd w:val="clear" w:color="auto" w:fill="FFFFFF"/>
            <w:noWrap/>
            <w:vAlign w:val="center"/>
          </w:tcPr>
          <w:p>
            <w:pPr>
              <w:pStyle w:val="88"/>
              <w:rPr>
                <w:sz w:val="24"/>
                <w:szCs w:val="24"/>
              </w:rPr>
            </w:pPr>
            <w:r>
              <w:rPr>
                <w:rFonts w:hint="eastAsia"/>
                <w:sz w:val="24"/>
                <w:szCs w:val="24"/>
              </w:rPr>
              <w:t>电 话：</w:t>
            </w:r>
          </w:p>
        </w:tc>
        <w:tc>
          <w:tcPr>
            <w:tcW w:w="2693" w:type="dxa"/>
            <w:shd w:val="clear" w:color="auto" w:fill="FFFFFF"/>
            <w:noWrap/>
            <w:vAlign w:val="center"/>
          </w:tcPr>
          <w:p>
            <w:pPr>
              <w:pStyle w:val="88"/>
              <w:rPr>
                <w:sz w:val="24"/>
                <w:szCs w:val="24"/>
              </w:rPr>
            </w:pPr>
            <w:r>
              <w:rPr>
                <w:rFonts w:hint="eastAsia"/>
                <w:sz w:val="24"/>
                <w:szCs w:val="24"/>
                <w:u w:val="single"/>
              </w:rPr>
              <w:t xml:space="preserve">         /             </w:t>
            </w:r>
          </w:p>
        </w:tc>
      </w:tr>
      <w:tr>
        <w:trPr>
          <w:trHeight w:val="567" w:hRule="exact"/>
          <w:jc w:val="center"/>
        </w:trPr>
        <w:tc>
          <w:tcPr>
            <w:tcW w:w="1308" w:type="dxa"/>
            <w:shd w:val="clear" w:color="auto" w:fill="FFFFFF"/>
            <w:noWrap/>
            <w:vAlign w:val="center"/>
          </w:tcPr>
          <w:p>
            <w:pPr>
              <w:pStyle w:val="88"/>
              <w:rPr>
                <w:sz w:val="24"/>
                <w:szCs w:val="24"/>
              </w:rPr>
            </w:pPr>
            <w:r>
              <w:rPr>
                <w:rFonts w:hint="eastAsia"/>
                <w:sz w:val="24"/>
                <w:szCs w:val="24"/>
              </w:rPr>
              <w:t>电子邮箱：</w:t>
            </w:r>
          </w:p>
        </w:tc>
        <w:tc>
          <w:tcPr>
            <w:tcW w:w="2996" w:type="dxa"/>
            <w:shd w:val="clear" w:color="auto" w:fill="FFFFFF"/>
            <w:noWrap/>
            <w:vAlign w:val="center"/>
          </w:tcPr>
          <w:p>
            <w:pPr>
              <w:pStyle w:val="88"/>
              <w:rPr>
                <w:sz w:val="24"/>
                <w:szCs w:val="24"/>
                <w:u w:val="single"/>
              </w:rPr>
            </w:pPr>
            <w:r>
              <w:rPr>
                <w:rFonts w:hint="eastAsia"/>
                <w:sz w:val="24"/>
                <w:szCs w:val="24"/>
                <w:u w:val="single"/>
              </w:rPr>
              <w:t xml:space="preserve">        /              </w:t>
            </w:r>
          </w:p>
        </w:tc>
        <w:tc>
          <w:tcPr>
            <w:tcW w:w="1566" w:type="dxa"/>
            <w:shd w:val="clear" w:color="auto" w:fill="FFFFFF"/>
            <w:noWrap/>
            <w:vAlign w:val="center"/>
          </w:tcPr>
          <w:p>
            <w:pPr>
              <w:pStyle w:val="88"/>
              <w:rPr>
                <w:sz w:val="24"/>
                <w:szCs w:val="24"/>
              </w:rPr>
            </w:pPr>
            <w:r>
              <w:rPr>
                <w:rFonts w:hint="eastAsia"/>
                <w:sz w:val="24"/>
                <w:szCs w:val="24"/>
              </w:rPr>
              <w:t>电子邮箱：</w:t>
            </w:r>
          </w:p>
        </w:tc>
        <w:tc>
          <w:tcPr>
            <w:tcW w:w="2693" w:type="dxa"/>
            <w:shd w:val="clear" w:color="auto" w:fill="FFFFFF"/>
            <w:noWrap/>
            <w:vAlign w:val="center"/>
          </w:tcPr>
          <w:p>
            <w:pPr>
              <w:pStyle w:val="88"/>
              <w:rPr>
                <w:sz w:val="24"/>
                <w:szCs w:val="24"/>
              </w:rPr>
            </w:pPr>
            <w:r>
              <w:rPr>
                <w:rFonts w:hint="eastAsia"/>
                <w:sz w:val="24"/>
                <w:szCs w:val="24"/>
                <w:u w:val="single"/>
              </w:rPr>
              <w:t xml:space="preserve">         /             </w:t>
            </w:r>
          </w:p>
        </w:tc>
      </w:tr>
      <w:tr>
        <w:tblPrEx>
          <w:tblCellMar>
            <w:top w:w="0" w:type="dxa"/>
            <w:left w:w="108" w:type="dxa"/>
            <w:bottom w:w="0" w:type="dxa"/>
            <w:right w:w="108" w:type="dxa"/>
          </w:tblCellMar>
        </w:tblPrEx>
        <w:trPr>
          <w:trHeight w:val="567" w:hRule="exact"/>
          <w:jc w:val="center"/>
        </w:trPr>
        <w:tc>
          <w:tcPr>
            <w:tcW w:w="1308" w:type="dxa"/>
            <w:shd w:val="clear" w:color="auto" w:fill="FFFFFF"/>
            <w:noWrap/>
            <w:vAlign w:val="center"/>
          </w:tcPr>
          <w:p>
            <w:pPr>
              <w:pStyle w:val="88"/>
              <w:rPr>
                <w:sz w:val="24"/>
                <w:szCs w:val="24"/>
              </w:rPr>
            </w:pPr>
            <w:r>
              <w:rPr>
                <w:rFonts w:hint="eastAsia"/>
                <w:sz w:val="24"/>
                <w:szCs w:val="24"/>
              </w:rPr>
              <w:t>联 系 人：</w:t>
            </w:r>
          </w:p>
        </w:tc>
        <w:tc>
          <w:tcPr>
            <w:tcW w:w="2996" w:type="dxa"/>
            <w:shd w:val="clear" w:color="auto" w:fill="FFFFFF"/>
            <w:noWrap/>
            <w:vAlign w:val="center"/>
          </w:tcPr>
          <w:p>
            <w:pPr>
              <w:pStyle w:val="88"/>
              <w:rPr>
                <w:sz w:val="24"/>
                <w:szCs w:val="24"/>
              </w:rPr>
            </w:pPr>
            <w:r>
              <w:rPr>
                <w:rFonts w:hint="eastAsia"/>
                <w:sz w:val="24"/>
                <w:szCs w:val="24"/>
                <w:u w:val="single"/>
              </w:rPr>
              <w:t xml:space="preserve">                      </w:t>
            </w:r>
          </w:p>
        </w:tc>
        <w:tc>
          <w:tcPr>
            <w:tcW w:w="1566" w:type="dxa"/>
            <w:shd w:val="clear" w:color="auto" w:fill="FFFFFF"/>
            <w:noWrap/>
            <w:vAlign w:val="center"/>
          </w:tcPr>
          <w:p>
            <w:pPr>
              <w:pStyle w:val="88"/>
              <w:rPr>
                <w:sz w:val="24"/>
                <w:szCs w:val="24"/>
              </w:rPr>
            </w:pPr>
            <w:r>
              <w:rPr>
                <w:rFonts w:hint="eastAsia"/>
                <w:sz w:val="24"/>
                <w:szCs w:val="24"/>
              </w:rPr>
              <w:t>联 系 人</w:t>
            </w:r>
          </w:p>
        </w:tc>
        <w:tc>
          <w:tcPr>
            <w:tcW w:w="2693" w:type="dxa"/>
            <w:shd w:val="clear" w:color="auto" w:fill="FFFFFF"/>
            <w:noWrap/>
            <w:vAlign w:val="center"/>
          </w:tcPr>
          <w:p>
            <w:pPr>
              <w:pStyle w:val="88"/>
              <w:rPr>
                <w:sz w:val="24"/>
                <w:szCs w:val="24"/>
              </w:rPr>
            </w:pPr>
            <w:r>
              <w:rPr>
                <w:rFonts w:hint="eastAsia"/>
                <w:sz w:val="24"/>
                <w:szCs w:val="24"/>
                <w:u w:val="single"/>
              </w:rPr>
              <w:t xml:space="preserve">         /              </w:t>
            </w:r>
          </w:p>
        </w:tc>
      </w:tr>
      <w:bookmarkEnd w:id="20"/>
      <w:bookmarkEnd w:id="21"/>
    </w:tbl>
    <w:p>
      <w:pPr>
        <w:ind w:firstLine="0" w:firstLineChars="0"/>
        <w:rPr>
          <w:rFonts w:ascii="黑体" w:hAnsi="黑体" w:eastAsia="黑体"/>
          <w:sz w:val="36"/>
          <w:szCs w:val="36"/>
        </w:rPr>
      </w:pPr>
      <w:bookmarkStart w:id="44" w:name="_Toc49019216"/>
      <w:bookmarkStart w:id="45" w:name="_Toc47415923"/>
      <w:bookmarkStart w:id="46" w:name="_Toc47416177"/>
    </w:p>
    <w:p>
      <w:pPr>
        <w:keepLines/>
        <w:ind w:firstLine="720"/>
        <w:jc w:val="center"/>
        <w:rPr>
          <w:rFonts w:ascii="黑体" w:hAnsi="黑体" w:eastAsia="黑体"/>
          <w:sz w:val="36"/>
          <w:szCs w:val="36"/>
        </w:rPr>
      </w:pPr>
      <w:r>
        <w:rPr>
          <w:rFonts w:hint="eastAsia" w:ascii="黑体" w:hAnsi="黑体" w:eastAsia="黑体"/>
          <w:sz w:val="36"/>
          <w:szCs w:val="36"/>
        </w:rPr>
        <w:t>第二章供应商须知</w:t>
      </w:r>
      <w:bookmarkEnd w:id="44"/>
      <w:bookmarkEnd w:id="45"/>
      <w:bookmarkEnd w:id="46"/>
      <w:r>
        <w:rPr>
          <w:rFonts w:hint="eastAsia" w:ascii="黑体" w:hAnsi="黑体" w:eastAsia="黑体"/>
          <w:sz w:val="36"/>
          <w:szCs w:val="36"/>
        </w:rPr>
        <w:t>及前附表</w:t>
      </w:r>
    </w:p>
    <w:p>
      <w:pPr>
        <w:ind w:firstLine="643"/>
        <w:jc w:val="center"/>
        <w:rPr>
          <w:rFonts w:ascii="黑体" w:hAnsi="黑体" w:eastAsia="黑体"/>
          <w:b/>
          <w:sz w:val="32"/>
          <w:szCs w:val="32"/>
        </w:rPr>
      </w:pPr>
      <w:bookmarkStart w:id="47" w:name="_Toc28606640"/>
      <w:r>
        <w:rPr>
          <w:rFonts w:hint="eastAsia"/>
          <w:b/>
          <w:sz w:val="32"/>
          <w:szCs w:val="32"/>
        </w:rPr>
        <w:t>供应商须知前附表</w:t>
      </w:r>
      <w:bookmarkEnd w:id="47"/>
    </w:p>
    <w:tbl>
      <w:tblPr>
        <w:tblStyle w:val="51"/>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84"/>
        <w:gridCol w:w="1970"/>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条款号</w:t>
            </w:r>
          </w:p>
        </w:tc>
        <w:tc>
          <w:tcPr>
            <w:tcW w:w="1970" w:type="dxa"/>
            <w:noWrap/>
            <w:vAlign w:val="center"/>
          </w:tcPr>
          <w:p>
            <w:pPr>
              <w:pStyle w:val="88"/>
              <w:jc w:val="center"/>
            </w:pPr>
            <w:r>
              <w:rPr>
                <w:rFonts w:hint="eastAsia"/>
              </w:rPr>
              <w:t>条款名称</w:t>
            </w:r>
          </w:p>
        </w:tc>
        <w:tc>
          <w:tcPr>
            <w:tcW w:w="6942" w:type="dxa"/>
            <w:noWrap/>
            <w:vAlign w:val="center"/>
          </w:tcPr>
          <w:p>
            <w:pPr>
              <w:pStyle w:val="88"/>
              <w:jc w:val="center"/>
            </w:pPr>
            <w:r>
              <w:rPr>
                <w:rFonts w:hint="eastAsia"/>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2.1</w:t>
            </w:r>
          </w:p>
        </w:tc>
        <w:tc>
          <w:tcPr>
            <w:tcW w:w="1970" w:type="dxa"/>
            <w:noWrap/>
            <w:vAlign w:val="center"/>
          </w:tcPr>
          <w:p>
            <w:pPr>
              <w:pStyle w:val="88"/>
              <w:rPr>
                <w:rFonts w:cs="Arial"/>
              </w:rPr>
            </w:pPr>
            <w:r>
              <w:rPr>
                <w:rFonts w:hint="eastAsia" w:cs="Arial"/>
              </w:rPr>
              <w:t>采购人及联系方式</w:t>
            </w:r>
          </w:p>
        </w:tc>
        <w:tc>
          <w:tcPr>
            <w:tcW w:w="6942" w:type="dxa"/>
            <w:noWrap/>
            <w:vAlign w:val="center"/>
          </w:tcPr>
          <w:p>
            <w:pPr>
              <w:pStyle w:val="88"/>
              <w:rPr>
                <w:rFonts w:cs="Arial"/>
              </w:rPr>
            </w:pPr>
            <w:r>
              <w:rPr>
                <w:rFonts w:hint="eastAsia" w:cs="Arial"/>
              </w:rPr>
              <w:t>详见第一章采购公告/采购邀请函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4.1</w:t>
            </w:r>
          </w:p>
        </w:tc>
        <w:tc>
          <w:tcPr>
            <w:tcW w:w="1970" w:type="dxa"/>
            <w:noWrap/>
            <w:vAlign w:val="center"/>
          </w:tcPr>
          <w:p>
            <w:pPr>
              <w:pStyle w:val="88"/>
              <w:rPr>
                <w:rFonts w:cs="宋体"/>
                <w:color w:val="000000"/>
              </w:rPr>
            </w:pPr>
            <w:r>
              <w:rPr>
                <w:rFonts w:hint="eastAsia" w:cs="宋体"/>
                <w:color w:val="000000"/>
              </w:rPr>
              <w:t>踏勘现场</w:t>
            </w:r>
          </w:p>
        </w:tc>
        <w:tc>
          <w:tcPr>
            <w:tcW w:w="6942" w:type="dxa"/>
            <w:noWrap/>
            <w:vAlign w:val="center"/>
          </w:tcPr>
          <w:p>
            <w:pPr>
              <w:pStyle w:val="88"/>
              <w:rPr>
                <w:rFonts w:cs="宋体"/>
                <w:color w:val="000000"/>
              </w:rPr>
            </w:pPr>
            <w:r>
              <w:rPr>
                <w:rFonts w:hint="eastAsia" w:ascii="宋体" w:hAnsi="宋体" w:cs="宋体"/>
                <w:color w:val="000000"/>
              </w:rPr>
              <w:t>√</w:t>
            </w:r>
            <w:r>
              <w:rPr>
                <w:rFonts w:hint="eastAsia" w:cs="宋体"/>
                <w:color w:val="000000"/>
              </w:rPr>
              <w:t>不组织</w:t>
            </w:r>
          </w:p>
          <w:p>
            <w:pPr>
              <w:pStyle w:val="88"/>
              <w:rPr>
                <w:rFonts w:cs="宋体"/>
                <w:color w:val="000000"/>
              </w:rPr>
            </w:pPr>
            <w:r>
              <w:rPr>
                <w:rFonts w:hint="eastAsia" w:cs="宋体"/>
                <w:color w:val="000000"/>
              </w:rPr>
              <w:t>□组织，踏勘时间：</w:t>
            </w:r>
          </w:p>
          <w:p>
            <w:pPr>
              <w:pStyle w:val="88"/>
              <w:rPr>
                <w:rFonts w:cs="宋体"/>
                <w:color w:val="000000"/>
              </w:rPr>
            </w:pPr>
            <w:r>
              <w:rPr>
                <w:rFonts w:hint="eastAsia" w:cs="宋体"/>
                <w:color w:val="000000"/>
              </w:rPr>
              <w:t>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6.1</w:t>
            </w:r>
          </w:p>
        </w:tc>
        <w:tc>
          <w:tcPr>
            <w:tcW w:w="1970" w:type="dxa"/>
            <w:noWrap/>
            <w:vAlign w:val="center"/>
          </w:tcPr>
          <w:p>
            <w:pPr>
              <w:pStyle w:val="88"/>
            </w:pPr>
            <w:r>
              <w:rPr>
                <w:rFonts w:hint="eastAsia"/>
              </w:rPr>
              <w:t>采购文件的澄清、修改、补充</w:t>
            </w:r>
          </w:p>
        </w:tc>
        <w:tc>
          <w:tcPr>
            <w:tcW w:w="6942" w:type="dxa"/>
            <w:noWrap/>
            <w:vAlign w:val="center"/>
          </w:tcPr>
          <w:p>
            <w:pPr>
              <w:pStyle w:val="88"/>
            </w:pPr>
            <w:r>
              <w:rPr>
                <w:rFonts w:hint="eastAsia" w:cs="Arial"/>
              </w:rPr>
              <w:t>供应商需在</w:t>
            </w:r>
            <w:r>
              <w:rPr>
                <w:rFonts w:hint="eastAsia" w:ascii="宋体" w:hAnsi="宋体" w:cs="宋体"/>
                <w:u w:val="single"/>
              </w:rPr>
              <w:t>电子商务平台报价截止</w:t>
            </w:r>
            <w:r>
              <w:rPr>
                <w:rFonts w:hint="eastAsia" w:cs="Arial"/>
              </w:rPr>
              <w:t>前发出澄清问题，采购人将在收到澄清后24小时内回复。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9.6</w:t>
            </w:r>
          </w:p>
        </w:tc>
        <w:tc>
          <w:tcPr>
            <w:tcW w:w="1970" w:type="dxa"/>
            <w:noWrap/>
            <w:vAlign w:val="center"/>
          </w:tcPr>
          <w:p>
            <w:pPr>
              <w:pStyle w:val="88"/>
            </w:pPr>
            <w:r>
              <w:rPr>
                <w:rFonts w:hint="eastAsia"/>
              </w:rPr>
              <w:t>最高限价</w:t>
            </w:r>
          </w:p>
        </w:tc>
        <w:tc>
          <w:tcPr>
            <w:tcW w:w="6942" w:type="dxa"/>
            <w:noWrap/>
            <w:vAlign w:val="center"/>
          </w:tcPr>
          <w:p>
            <w:pPr>
              <w:pStyle w:val="88"/>
            </w:pPr>
            <w:r>
              <w:rPr>
                <w:rFonts w:hint="eastAsia" w:ascii="宋体" w:hAnsi="宋体" w:cs="宋体"/>
                <w:color w:val="000000"/>
              </w:rPr>
              <w:t>√</w:t>
            </w:r>
            <w:r>
              <w:t>无</w:t>
            </w:r>
          </w:p>
          <w:p>
            <w:pPr>
              <w:pStyle w:val="88"/>
            </w:pPr>
            <w:r>
              <w:rPr>
                <w:rFonts w:hint="eastAsia"/>
              </w:rPr>
              <w:t>□</w:t>
            </w:r>
            <w:r>
              <w:t>有，最高限价：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9.7</w:t>
            </w:r>
          </w:p>
        </w:tc>
        <w:tc>
          <w:tcPr>
            <w:tcW w:w="1970" w:type="dxa"/>
            <w:noWrap/>
            <w:vAlign w:val="center"/>
          </w:tcPr>
          <w:p>
            <w:pPr>
              <w:pStyle w:val="88"/>
            </w:pPr>
            <w:r>
              <w:rPr>
                <w:rFonts w:cs="宋体"/>
                <w:szCs w:val="24"/>
              </w:rPr>
              <w:t>采购代理服务费</w:t>
            </w:r>
          </w:p>
        </w:tc>
        <w:tc>
          <w:tcPr>
            <w:tcW w:w="6942" w:type="dxa"/>
            <w:noWrap/>
            <w:vAlign w:val="center"/>
          </w:tcPr>
          <w:p>
            <w:pPr>
              <w:pStyle w:val="88"/>
            </w:pPr>
            <w:r>
              <w:rPr>
                <w:rFonts w:hint="eastAsia" w:ascii="宋体" w:hAnsi="宋体" w:cs="宋体"/>
                <w:color w:val="000000"/>
              </w:rPr>
              <w:t>√</w:t>
            </w:r>
            <w:r>
              <w:t>无</w:t>
            </w:r>
            <w:r>
              <w:br w:type="textWrapping"/>
            </w:r>
            <w:r>
              <w:rPr>
                <w:rFonts w:ascii="Arial" w:hAnsi="Arial" w:cs="Arial"/>
              </w:rPr>
              <w:t>□</w:t>
            </w:r>
            <w:r>
              <w:t xml:space="preserve">有，服务费收取标准：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10</w:t>
            </w:r>
          </w:p>
        </w:tc>
        <w:tc>
          <w:tcPr>
            <w:tcW w:w="1970" w:type="dxa"/>
            <w:noWrap/>
            <w:vAlign w:val="center"/>
          </w:tcPr>
          <w:p>
            <w:pPr>
              <w:pStyle w:val="88"/>
            </w:pPr>
            <w:r>
              <w:rPr>
                <w:rFonts w:hint="eastAsia"/>
              </w:rPr>
              <w:t>报价货币</w:t>
            </w:r>
          </w:p>
        </w:tc>
        <w:tc>
          <w:tcPr>
            <w:tcW w:w="6942" w:type="dxa"/>
            <w:noWrap/>
            <w:vAlign w:val="center"/>
          </w:tcPr>
          <w:p>
            <w:pPr>
              <w:pStyle w:val="88"/>
            </w:pPr>
            <w:r>
              <w:rPr>
                <w:rFonts w:hint="eastAsia" w:ascii="宋体" w:hAnsi="宋体" w:cs="宋体"/>
                <w:color w:val="000000"/>
              </w:rPr>
              <w:t>√</w:t>
            </w:r>
            <w:r>
              <w:rPr>
                <w:rFonts w:hint="eastAsia"/>
              </w:rPr>
              <w:t>人民币</w:t>
            </w:r>
          </w:p>
          <w:p>
            <w:pPr>
              <w:pStyle w:val="88"/>
            </w:pP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11.1</w:t>
            </w:r>
          </w:p>
        </w:tc>
        <w:tc>
          <w:tcPr>
            <w:tcW w:w="1970" w:type="dxa"/>
            <w:noWrap/>
            <w:vAlign w:val="center"/>
          </w:tcPr>
          <w:p>
            <w:pPr>
              <w:pStyle w:val="88"/>
              <w:rPr>
                <w:rFonts w:cs="Arial"/>
              </w:rPr>
            </w:pPr>
            <w:r>
              <w:rPr>
                <w:rFonts w:hint="eastAsia" w:cs="Arial"/>
              </w:rPr>
              <w:t>响应保证金</w:t>
            </w:r>
          </w:p>
        </w:tc>
        <w:tc>
          <w:tcPr>
            <w:tcW w:w="6942" w:type="dxa"/>
            <w:noWrap/>
            <w:vAlign w:val="center"/>
          </w:tcPr>
          <w:p>
            <w:pPr>
              <w:pStyle w:val="88"/>
            </w:pPr>
            <w:r>
              <w:rPr>
                <w:rFonts w:hint="eastAsia" w:ascii="宋体" w:hAnsi="宋体" w:cs="宋体"/>
                <w:color w:val="000000"/>
              </w:rPr>
              <w:t>√</w:t>
            </w:r>
            <w:r>
              <w:rPr>
                <w:rFonts w:hint="eastAsia"/>
              </w:rPr>
              <w:t>无</w:t>
            </w:r>
          </w:p>
          <w:p>
            <w:pPr>
              <w:pStyle w:val="88"/>
            </w:pPr>
            <w:r>
              <w:rPr>
                <w:rFonts w:hint="eastAsia"/>
              </w:rPr>
              <w:t>□有</w:t>
            </w:r>
            <w:r>
              <w:rPr>
                <w:rFonts w:cs="宋体"/>
                <w:color w:val="000000"/>
              </w:rPr>
              <w:t>，</w:t>
            </w:r>
            <w:r>
              <w:rPr>
                <w:rFonts w:hint="eastAsia" w:cs="宋体"/>
                <w:color w:val="000000"/>
              </w:rPr>
              <w:t>按照以下</w:t>
            </w:r>
            <w:r>
              <w:rPr>
                <w:rFonts w:cs="宋体"/>
                <w:color w:val="000000"/>
              </w:rPr>
              <w:t>方式：</w:t>
            </w:r>
          </w:p>
          <w:p>
            <w:pPr>
              <w:pStyle w:val="88"/>
              <w:rPr>
                <w:rFonts w:cs="宋体"/>
                <w:color w:val="000000"/>
                <w:u w:val="single"/>
              </w:rPr>
            </w:pPr>
            <w:r>
              <w:rPr>
                <w:rFonts w:hint="eastAsia" w:cs="宋体"/>
                <w:color w:val="000000"/>
              </w:rPr>
              <w:t>响应保证金的金额：</w:t>
            </w:r>
          </w:p>
          <w:p>
            <w:pPr>
              <w:pStyle w:val="88"/>
              <w:rPr>
                <w:rFonts w:cs="宋体"/>
                <w:color w:val="000000"/>
                <w:u w:val="single"/>
              </w:rPr>
            </w:pPr>
            <w:r>
              <w:rPr>
                <w:rFonts w:hint="eastAsia" w:cs="宋体"/>
                <w:color w:val="000000"/>
              </w:rPr>
              <w:t>响应保证金的形式：</w:t>
            </w:r>
          </w:p>
          <w:p>
            <w:pPr>
              <w:pStyle w:val="88"/>
              <w:rPr>
                <w:rFonts w:cs="宋体"/>
                <w:color w:val="000000"/>
              </w:rPr>
            </w:pPr>
            <w:r>
              <w:rPr>
                <w:rFonts w:hint="eastAsia" w:cs="宋体"/>
                <w:color w:val="000000"/>
              </w:rPr>
              <w:t>响应保证金的递交截止时间为：</w:t>
            </w:r>
            <w:r>
              <w:rPr>
                <w:rFonts w:hint="eastAsia" w:cs="宋体"/>
                <w:color w:val="000000"/>
                <w:u w:val="single"/>
              </w:rPr>
              <w:t>____</w:t>
            </w:r>
            <w:r>
              <w:rPr>
                <w:rFonts w:hint="eastAsia" w:cs="宋体"/>
                <w:color w:val="000000"/>
              </w:rPr>
              <w:t>年月日时之前</w:t>
            </w:r>
          </w:p>
          <w:p>
            <w:pPr>
              <w:pStyle w:val="88"/>
              <w:rPr>
                <w:rFonts w:cs="宋体"/>
                <w:color w:val="000000"/>
              </w:rPr>
            </w:pPr>
            <w:r>
              <w:rPr>
                <w:rFonts w:hint="eastAsia" w:cs="宋体"/>
                <w:color w:val="000000"/>
              </w:rPr>
              <w:t>开户银行及账号如下：</w:t>
            </w:r>
          </w:p>
          <w:p>
            <w:pPr>
              <w:pStyle w:val="88"/>
              <w:rPr>
                <w:rFonts w:cs="宋体"/>
                <w:color w:val="000000"/>
                <w:u w:val="single"/>
              </w:rPr>
            </w:pPr>
            <w:r>
              <w:rPr>
                <w:rFonts w:hint="eastAsia" w:cs="宋体"/>
                <w:color w:val="000000"/>
              </w:rPr>
              <w:t>账户名称：</w:t>
            </w:r>
          </w:p>
          <w:p>
            <w:pPr>
              <w:pStyle w:val="88"/>
              <w:rPr>
                <w:rFonts w:cs="宋体"/>
                <w:color w:val="000000"/>
                <w:u w:val="single"/>
              </w:rPr>
            </w:pPr>
            <w:r>
              <w:rPr>
                <w:rFonts w:hint="eastAsia" w:cs="宋体"/>
                <w:color w:val="000000"/>
              </w:rPr>
              <w:t>开户银行：</w:t>
            </w:r>
          </w:p>
          <w:p>
            <w:pPr>
              <w:pStyle w:val="88"/>
            </w:pPr>
            <w:r>
              <w:rPr>
                <w:rFonts w:hint="eastAsia" w:cs="宋体"/>
                <w:color w:val="000000"/>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12.1</w:t>
            </w:r>
          </w:p>
        </w:tc>
        <w:tc>
          <w:tcPr>
            <w:tcW w:w="1970" w:type="dxa"/>
            <w:noWrap/>
            <w:vAlign w:val="center"/>
          </w:tcPr>
          <w:p>
            <w:pPr>
              <w:pStyle w:val="88"/>
            </w:pPr>
            <w:r>
              <w:rPr>
                <w:rFonts w:hint="eastAsia"/>
              </w:rPr>
              <w:t>采购有效期</w:t>
            </w:r>
          </w:p>
        </w:tc>
        <w:tc>
          <w:tcPr>
            <w:tcW w:w="6942" w:type="dxa"/>
            <w:noWrap/>
            <w:vAlign w:val="center"/>
          </w:tcPr>
          <w:p>
            <w:pPr>
              <w:pStyle w:val="88"/>
            </w:pPr>
            <w:r>
              <w:rPr>
                <w:rFonts w:hint="eastAsia"/>
              </w:rPr>
              <w:t>自响应文件递交截止时间起</w:t>
            </w:r>
            <w:r>
              <w:rPr>
                <w:rFonts w:hint="eastAsia"/>
                <w:u w:val="single"/>
              </w:rPr>
              <w:t xml:space="preserve">  120 </w:t>
            </w:r>
            <w:r>
              <w:rPr>
                <w:rFonts w:hint="eastAsia"/>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13</w:t>
            </w:r>
          </w:p>
        </w:tc>
        <w:tc>
          <w:tcPr>
            <w:tcW w:w="1970" w:type="dxa"/>
            <w:noWrap/>
            <w:vAlign w:val="center"/>
          </w:tcPr>
          <w:p>
            <w:pPr>
              <w:pStyle w:val="88"/>
            </w:pPr>
            <w:r>
              <w:rPr>
                <w:rFonts w:hint="eastAsia"/>
              </w:rPr>
              <w:t>响应文件递交截止时间及地点</w:t>
            </w:r>
          </w:p>
        </w:tc>
        <w:tc>
          <w:tcPr>
            <w:tcW w:w="6942" w:type="dxa"/>
            <w:noWrap/>
            <w:vAlign w:val="center"/>
          </w:tcPr>
          <w:p>
            <w:pPr>
              <w:pStyle w:val="88"/>
              <w:rPr>
                <w:highlight w:val="yellow"/>
              </w:rPr>
            </w:pPr>
            <w:r>
              <w:rPr>
                <w:rFonts w:hint="eastAsia"/>
              </w:rPr>
              <w:t>响应文件递交截止时间：</w:t>
            </w:r>
            <w:r>
              <w:rPr>
                <w:rFonts w:hint="eastAsia" w:ascii="宋体" w:hAnsi="宋体" w:cs="宋体"/>
                <w:u w:val="single"/>
              </w:rPr>
              <w:t>详见电子商务平台</w:t>
            </w:r>
            <w:r>
              <w:rPr>
                <w:rFonts w:hint="eastAsia"/>
              </w:rPr>
              <w:t>（具体时间以电子商务平台为准）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16.1</w:t>
            </w:r>
          </w:p>
        </w:tc>
        <w:tc>
          <w:tcPr>
            <w:tcW w:w="1970" w:type="dxa"/>
            <w:noWrap/>
            <w:vAlign w:val="center"/>
          </w:tcPr>
          <w:p>
            <w:pPr>
              <w:pStyle w:val="88"/>
            </w:pPr>
            <w:r>
              <w:rPr>
                <w:rFonts w:hint="eastAsia"/>
              </w:rPr>
              <w:t>开启响应文件的开始时间及地点</w:t>
            </w:r>
          </w:p>
        </w:tc>
        <w:tc>
          <w:tcPr>
            <w:tcW w:w="6942" w:type="dxa"/>
            <w:noWrap/>
            <w:vAlign w:val="center"/>
          </w:tcPr>
          <w:p>
            <w:pPr>
              <w:pStyle w:val="88"/>
              <w:rPr>
                <w:highlight w:val="yellow"/>
              </w:rPr>
            </w:pPr>
            <w:r>
              <w:rPr>
                <w:rFonts w:hint="eastAsia"/>
              </w:rPr>
              <w:t>开启响应文件开始时间：</w:t>
            </w:r>
            <w:r>
              <w:rPr>
                <w:rFonts w:hint="eastAsia" w:ascii="宋体" w:hAnsi="宋体" w:cs="宋体"/>
                <w:u w:val="single"/>
              </w:rPr>
              <w:t>详见电子商务平台</w:t>
            </w:r>
            <w:r>
              <w:rPr>
                <w:rFonts w:hint="eastAsia"/>
              </w:rPr>
              <w:t>（具体时间以电子商务平台为准）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16.2</w:t>
            </w:r>
          </w:p>
        </w:tc>
        <w:tc>
          <w:tcPr>
            <w:tcW w:w="1970" w:type="dxa"/>
            <w:noWrap/>
            <w:vAlign w:val="center"/>
          </w:tcPr>
          <w:p>
            <w:pPr>
              <w:pStyle w:val="88"/>
            </w:pPr>
            <w:r>
              <w:rPr>
                <w:rFonts w:hint="eastAsia"/>
              </w:rPr>
              <w:t>谈判时间及地点</w:t>
            </w:r>
          </w:p>
        </w:tc>
        <w:tc>
          <w:tcPr>
            <w:tcW w:w="6942" w:type="dxa"/>
            <w:noWrap/>
            <w:vAlign w:val="center"/>
          </w:tcPr>
          <w:p>
            <w:pPr>
              <w:pStyle w:val="88"/>
            </w:pPr>
            <w:r>
              <w:rPr>
                <w:rFonts w:hint="eastAsia"/>
              </w:rPr>
              <w:t>谈判开始时间</w:t>
            </w:r>
            <w:r>
              <w:rPr>
                <w:rFonts w:hint="eastAsia"/>
                <w:u w:val="single"/>
              </w:rPr>
              <w:t>__ 2021__</w:t>
            </w:r>
            <w:r>
              <w:rPr>
                <w:rFonts w:hint="eastAsia"/>
              </w:rPr>
              <w:t>年</w:t>
            </w:r>
            <w:r>
              <w:rPr>
                <w:rFonts w:hint="eastAsia"/>
                <w:u w:val="single"/>
              </w:rPr>
              <w:t xml:space="preserve">  /  </w:t>
            </w:r>
            <w:r>
              <w:rPr>
                <w:rFonts w:hint="eastAsia"/>
              </w:rPr>
              <w:t>月</w:t>
            </w:r>
            <w:r>
              <w:rPr>
                <w:rFonts w:hint="eastAsia"/>
                <w:u w:val="single"/>
              </w:rPr>
              <w:t xml:space="preserve">  /  </w:t>
            </w:r>
            <w:r>
              <w:rPr>
                <w:rFonts w:hint="eastAsia"/>
              </w:rPr>
              <w:t>日时</w:t>
            </w:r>
            <w:r>
              <w:rPr>
                <w:rFonts w:hint="eastAsia"/>
                <w:u w:val="single"/>
              </w:rPr>
              <w:t xml:space="preserve">   / </w:t>
            </w:r>
            <w:r>
              <w:rPr>
                <w:rFonts w:hint="eastAsia"/>
              </w:rPr>
              <w:t>分</w:t>
            </w:r>
          </w:p>
          <w:p>
            <w:pPr>
              <w:pStyle w:val="88"/>
            </w:pPr>
            <w:r>
              <w:rPr>
                <w:rFonts w:hint="eastAsia"/>
              </w:rPr>
              <w:t>谈判地点：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21.3</w:t>
            </w:r>
          </w:p>
        </w:tc>
        <w:tc>
          <w:tcPr>
            <w:tcW w:w="1970" w:type="dxa"/>
            <w:noWrap/>
            <w:vAlign w:val="center"/>
          </w:tcPr>
          <w:p>
            <w:pPr>
              <w:pStyle w:val="88"/>
            </w:pPr>
            <w:r>
              <w:rPr>
                <w:rFonts w:hint="eastAsia"/>
              </w:rPr>
              <w:t>履约担保</w:t>
            </w:r>
          </w:p>
        </w:tc>
        <w:tc>
          <w:tcPr>
            <w:tcW w:w="6942" w:type="dxa"/>
            <w:noWrap/>
            <w:vAlign w:val="center"/>
          </w:tcPr>
          <w:p>
            <w:pPr>
              <w:pStyle w:val="88"/>
              <w:rPr>
                <w:rFonts w:cs="宋体"/>
                <w:color w:val="000000"/>
              </w:rPr>
            </w:pPr>
            <w:r>
              <w:rPr>
                <w:rFonts w:hint="eastAsia" w:ascii="宋体" w:hAnsi="宋体" w:cs="宋体"/>
                <w:color w:val="000000"/>
              </w:rPr>
              <w:t>√</w:t>
            </w:r>
            <w:r>
              <w:rPr>
                <w:rFonts w:hint="eastAsia" w:cs="宋体"/>
                <w:color w:val="000000"/>
              </w:rPr>
              <w:t>不提供</w:t>
            </w:r>
          </w:p>
          <w:p>
            <w:pPr>
              <w:pStyle w:val="88"/>
              <w:rPr>
                <w:rFonts w:cs="宋体"/>
                <w:color w:val="000000"/>
              </w:rPr>
            </w:pPr>
            <w:r>
              <w:rPr>
                <w:rFonts w:hint="eastAsia" w:cs="宋体"/>
                <w:color w:val="000000"/>
              </w:rPr>
              <w:t>□提供，履约担保金额：</w:t>
            </w:r>
          </w:p>
          <w:p>
            <w:pPr>
              <w:pStyle w:val="88"/>
              <w:ind w:firstLine="880" w:firstLineChars="400"/>
            </w:pPr>
            <w:r>
              <w:rPr>
                <w:rFonts w:hint="eastAsia" w:cs="宋体"/>
                <w:color w:val="000000"/>
              </w:rPr>
              <w:t>履约担保形式：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9" w:hRule="atLeast"/>
        </w:trPr>
        <w:tc>
          <w:tcPr>
            <w:tcW w:w="784" w:type="dxa"/>
            <w:noWrap/>
            <w:vAlign w:val="center"/>
          </w:tcPr>
          <w:p>
            <w:pPr>
              <w:pStyle w:val="88"/>
              <w:jc w:val="center"/>
            </w:pPr>
            <w:r>
              <w:rPr>
                <w:rFonts w:hint="eastAsia"/>
              </w:rPr>
              <w:t>22</w:t>
            </w:r>
          </w:p>
        </w:tc>
        <w:tc>
          <w:tcPr>
            <w:tcW w:w="1970" w:type="dxa"/>
            <w:noWrap/>
            <w:vAlign w:val="center"/>
          </w:tcPr>
          <w:p>
            <w:pPr>
              <w:pStyle w:val="88"/>
            </w:pPr>
            <w:r>
              <w:rPr>
                <w:rFonts w:hint="eastAsia"/>
              </w:rPr>
              <w:t>其他需要补充的内容</w:t>
            </w:r>
          </w:p>
        </w:tc>
        <w:tc>
          <w:tcPr>
            <w:tcW w:w="6942" w:type="dxa"/>
            <w:noWrap/>
            <w:vAlign w:val="center"/>
          </w:tcPr>
          <w:p>
            <w:pPr>
              <w:pStyle w:val="88"/>
              <w:rPr>
                <w:color w:val="FF0000"/>
              </w:rPr>
            </w:pPr>
            <w:r>
              <w:rPr>
                <w:rFonts w:hint="eastAsia"/>
                <w:color w:val="FF0000"/>
              </w:rPr>
              <w:t>若供应商因非正当理由放弃中标，将按照公司内部相关规定进行处罚，由此带来的后果由供应商自行承担。</w:t>
            </w:r>
          </w:p>
        </w:tc>
      </w:tr>
    </w:tbl>
    <w:p>
      <w:pPr>
        <w:ind w:firstLine="480"/>
      </w:pPr>
      <w:r>
        <w:rPr>
          <w:rFonts w:hint="eastAsia"/>
          <w:kern w:val="0"/>
        </w:rPr>
        <w:t>备注：供应商须知前附表是对</w:t>
      </w:r>
      <w:r>
        <w:rPr>
          <w:rFonts w:hint="eastAsia"/>
        </w:rPr>
        <w:t>供应商须知的具体补充和修改，如有矛盾，应以本表为准。</w:t>
      </w:r>
    </w:p>
    <w:p>
      <w:pPr>
        <w:pStyle w:val="3"/>
        <w:spacing w:before="120"/>
      </w:pPr>
      <w:bookmarkStart w:id="48" w:name="_Toc81472800"/>
      <w:r>
        <w:rPr>
          <w:rFonts w:hint="eastAsia"/>
        </w:rPr>
        <w:t>1.适用范围</w:t>
      </w:r>
      <w:bookmarkEnd w:id="48"/>
    </w:p>
    <w:p>
      <w:pPr>
        <w:ind w:firstLine="480"/>
      </w:pPr>
      <w:r>
        <w:rPr>
          <w:rFonts w:hint="eastAsia"/>
        </w:rPr>
        <w:t>本采购文件仅适用于本项目公告/邀请函中所述项目。</w:t>
      </w:r>
    </w:p>
    <w:p>
      <w:pPr>
        <w:pStyle w:val="3"/>
        <w:spacing w:before="120"/>
      </w:pPr>
      <w:bookmarkStart w:id="49" w:name="_Toc81472801"/>
      <w:r>
        <w:rPr>
          <w:rFonts w:hint="eastAsia"/>
        </w:rPr>
        <w:t>2.定义</w:t>
      </w:r>
      <w:bookmarkEnd w:id="49"/>
    </w:p>
    <w:p>
      <w:pPr>
        <w:ind w:firstLine="480"/>
      </w:pPr>
      <w:r>
        <w:rPr>
          <w:rFonts w:hint="eastAsia"/>
        </w:rPr>
        <w:t>2.1采购人：指依法提出采购项目进行采购的法人或其他组织，采购人及联系方式见前附表。</w:t>
      </w:r>
    </w:p>
    <w:p>
      <w:pPr>
        <w:ind w:firstLine="480"/>
      </w:pPr>
      <w:r>
        <w:rPr>
          <w:rFonts w:hint="eastAsia"/>
        </w:rPr>
        <w:t>2.2 供应商：指响应询价采购，参与询价竞争的法人或其他组织。</w:t>
      </w:r>
    </w:p>
    <w:p>
      <w:pPr>
        <w:ind w:firstLine="480"/>
      </w:pPr>
      <w:r>
        <w:rPr>
          <w:rFonts w:hint="eastAsia"/>
        </w:rPr>
        <w:t>2.3成交人：指最终被授予合同的供应商。</w:t>
      </w:r>
    </w:p>
    <w:p>
      <w:pPr>
        <w:pStyle w:val="3"/>
        <w:spacing w:before="120"/>
      </w:pPr>
      <w:bookmarkStart w:id="50" w:name="_Toc81472802"/>
      <w:r>
        <w:rPr>
          <w:rFonts w:hint="eastAsia"/>
        </w:rPr>
        <w:t>3.询价费用</w:t>
      </w:r>
      <w:bookmarkEnd w:id="50"/>
    </w:p>
    <w:p>
      <w:pPr>
        <w:ind w:firstLine="480"/>
      </w:pPr>
      <w:r>
        <w:rPr>
          <w:rFonts w:hint="eastAsia"/>
        </w:rPr>
        <w:t>供应商应承担与其参加询价有关的所有费用。不论询价过程和结果如何，供应商应自行承担所有与参加询价有关的费用，采购人在任何情况下均无义务和责任承担这些费用。</w:t>
      </w:r>
    </w:p>
    <w:p>
      <w:pPr>
        <w:pStyle w:val="3"/>
        <w:spacing w:before="120"/>
      </w:pPr>
      <w:bookmarkStart w:id="51" w:name="_Toc81472803"/>
      <w:r>
        <w:rPr>
          <w:rFonts w:hint="eastAsia"/>
        </w:rPr>
        <w:t>4. 现场踏勘</w:t>
      </w:r>
      <w:bookmarkEnd w:id="51"/>
    </w:p>
    <w:p>
      <w:pPr>
        <w:ind w:firstLine="480"/>
      </w:pPr>
      <w:r>
        <w:rPr>
          <w:rFonts w:hint="eastAsia"/>
        </w:rPr>
        <w:t xml:space="preserve">4.1 供应商须知前附表规定组织踏勘现场的，采购人按供应商须知前附表规定的时间、地点组织供应商踏勘项目现场。 </w:t>
      </w:r>
    </w:p>
    <w:p>
      <w:pPr>
        <w:ind w:firstLine="480"/>
      </w:pPr>
      <w:r>
        <w:rPr>
          <w:rFonts w:hint="eastAsia"/>
        </w:rPr>
        <w:t>4.2 供应商自行负责在踏勘现场中所发生的人员伤亡和财产损失。</w:t>
      </w:r>
    </w:p>
    <w:p>
      <w:pPr>
        <w:ind w:firstLine="480"/>
      </w:pPr>
      <w:r>
        <w:rPr>
          <w:rFonts w:hint="eastAsia"/>
        </w:rPr>
        <w:t>4.3 采购人在踏勘现场中介绍的项目场地和相关的周边环境情况，仅供供应商在编制响应文件时参考，采购人不对供应商据此作出的判断和决策负责。</w:t>
      </w:r>
    </w:p>
    <w:p>
      <w:pPr>
        <w:pStyle w:val="3"/>
        <w:spacing w:before="120"/>
      </w:pPr>
      <w:bookmarkStart w:id="52" w:name="_Toc81472804"/>
      <w:r>
        <w:rPr>
          <w:rFonts w:hint="eastAsia"/>
        </w:rPr>
        <w:t>5.采购文件的构成</w:t>
      </w:r>
      <w:bookmarkEnd w:id="52"/>
    </w:p>
    <w:p>
      <w:pPr>
        <w:ind w:firstLine="480"/>
      </w:pPr>
      <w:r>
        <w:rPr>
          <w:rFonts w:hint="eastAsia"/>
          <w:kern w:val="0"/>
        </w:rPr>
        <w:t xml:space="preserve">5.1 </w:t>
      </w:r>
      <w:r>
        <w:rPr>
          <w:rFonts w:hint="eastAsia"/>
        </w:rPr>
        <w:t>采购文件由下列文件以及在询价过程中发出的修正和补充文件组成：</w:t>
      </w:r>
    </w:p>
    <w:p>
      <w:pPr>
        <w:ind w:firstLine="480"/>
      </w:pPr>
      <w:r>
        <w:rPr>
          <w:rFonts w:hint="eastAsia"/>
        </w:rPr>
        <w:t>第一章</w:t>
      </w:r>
      <w:r>
        <w:rPr>
          <w:rFonts w:hint="eastAsia"/>
        </w:rPr>
        <w:tab/>
      </w:r>
      <w:r>
        <w:rPr>
          <w:rFonts w:hint="eastAsia"/>
        </w:rPr>
        <w:t xml:space="preserve"> 采购公告/采购邀请函</w:t>
      </w:r>
    </w:p>
    <w:p>
      <w:pPr>
        <w:ind w:firstLine="480"/>
      </w:pPr>
      <w:r>
        <w:rPr>
          <w:rFonts w:hint="eastAsia"/>
        </w:rPr>
        <w:t>第二章</w:t>
      </w:r>
      <w:r>
        <w:rPr>
          <w:rFonts w:hint="eastAsia"/>
        </w:rPr>
        <w:tab/>
      </w:r>
      <w:r>
        <w:rPr>
          <w:rFonts w:hint="eastAsia"/>
        </w:rPr>
        <w:t xml:space="preserve"> 供应商须知及前附表</w:t>
      </w:r>
    </w:p>
    <w:p>
      <w:pPr>
        <w:ind w:firstLine="480"/>
      </w:pPr>
      <w:r>
        <w:rPr>
          <w:rFonts w:hint="eastAsia"/>
        </w:rPr>
        <w:t>第三章</w:t>
      </w:r>
      <w:r>
        <w:rPr>
          <w:rFonts w:hint="eastAsia"/>
        </w:rPr>
        <w:tab/>
      </w:r>
      <w:r>
        <w:rPr>
          <w:rFonts w:hint="eastAsia"/>
        </w:rPr>
        <w:t xml:space="preserve"> 评审办法</w:t>
      </w:r>
    </w:p>
    <w:p>
      <w:pPr>
        <w:ind w:firstLine="480"/>
      </w:pPr>
      <w:r>
        <w:rPr>
          <w:rFonts w:hint="eastAsia"/>
        </w:rPr>
        <w:t>第四章</w:t>
      </w:r>
      <w:r>
        <w:rPr>
          <w:rFonts w:hint="eastAsia"/>
        </w:rPr>
        <w:tab/>
      </w:r>
      <w:r>
        <w:rPr>
          <w:rFonts w:hint="eastAsia"/>
        </w:rPr>
        <w:t xml:space="preserve"> 合同草案</w:t>
      </w:r>
    </w:p>
    <w:p>
      <w:pPr>
        <w:ind w:firstLine="480"/>
      </w:pPr>
      <w:r>
        <w:rPr>
          <w:rFonts w:hint="eastAsia"/>
        </w:rPr>
        <w:t>第五章</w:t>
      </w:r>
      <w:r>
        <w:rPr>
          <w:rFonts w:hint="eastAsia"/>
        </w:rPr>
        <w:tab/>
      </w:r>
      <w:r>
        <w:rPr>
          <w:rFonts w:hint="eastAsia"/>
        </w:rPr>
        <w:t xml:space="preserve"> 采购需求</w:t>
      </w:r>
    </w:p>
    <w:p>
      <w:pPr>
        <w:ind w:firstLine="480"/>
      </w:pPr>
      <w:r>
        <w:rPr>
          <w:rFonts w:hint="eastAsia"/>
        </w:rPr>
        <w:t>第六章</w:t>
      </w:r>
      <w:r>
        <w:rPr>
          <w:rFonts w:hint="eastAsia"/>
        </w:rPr>
        <w:tab/>
      </w:r>
      <w:r>
        <w:rPr>
          <w:rFonts w:hint="eastAsia"/>
        </w:rPr>
        <w:t xml:space="preserve"> 响应文件格式</w:t>
      </w:r>
    </w:p>
    <w:p>
      <w:pPr>
        <w:ind w:firstLine="480"/>
      </w:pPr>
      <w:r>
        <w:rPr>
          <w:rFonts w:hint="eastAsia"/>
        </w:rPr>
        <w:t>5.2 供应商下载采购文件过程中，如发现下载不成功或下载的文件格式有误等问题请务必于采购文件发售期内联系电子商务平台客服热线。如果供应商不按上述要求提出而造成不良后果，电子商务平台不承担责任。</w:t>
      </w:r>
    </w:p>
    <w:p>
      <w:pPr>
        <w:ind w:firstLine="480"/>
      </w:pPr>
      <w:r>
        <w:rPr>
          <w:rFonts w:hint="eastAsia"/>
        </w:rPr>
        <w:t>5.3 供应商应认真阅读采购文件中所有的事项、格式、条款和要求等。供应商没有按照采购文件要求提交全部资料，或者响应文件没有对采购文件在各方面都做出实质性响应，可能导致其竞争性谈判被拒绝。</w:t>
      </w:r>
    </w:p>
    <w:p>
      <w:pPr>
        <w:ind w:firstLine="480"/>
      </w:pPr>
      <w:r>
        <w:rPr>
          <w:rFonts w:hint="eastAsia"/>
        </w:rPr>
        <w:t>5.4 响应文件一经递交成功即表示供应商确认采购文件的法律效力，并对此采购文件提出的要求做出相应的响应，承担与采购文件要求相适应的民事、经济和法律责任。</w:t>
      </w:r>
    </w:p>
    <w:p>
      <w:pPr>
        <w:ind w:firstLine="480"/>
      </w:pPr>
      <w:r>
        <w:rPr>
          <w:rFonts w:hint="eastAsia"/>
        </w:rPr>
        <w:t>5.5 由于供应商对采购文件的误解与疏忽或报价误差，而导致询价失败或成交后的任何风险，其责任均由供应商自负。</w:t>
      </w:r>
    </w:p>
    <w:p>
      <w:pPr>
        <w:pStyle w:val="3"/>
        <w:spacing w:before="120"/>
      </w:pPr>
      <w:bookmarkStart w:id="53" w:name="_Toc81472805"/>
      <w:r>
        <w:rPr>
          <w:rFonts w:hint="eastAsia"/>
        </w:rPr>
        <w:t>6. 采购文件的澄清、修改、补充</w:t>
      </w:r>
      <w:bookmarkEnd w:id="53"/>
    </w:p>
    <w:p>
      <w:pPr>
        <w:ind w:firstLine="480"/>
      </w:pPr>
      <w:r>
        <w:rPr>
          <w:rFonts w:hint="eastAsia"/>
        </w:rPr>
        <w:t>6.1任何要求对采购文件进行澄清的供应商，均应在供应商须知前附表规定的时间提出。在谈判截止期前的任何时候，无论出于何种原因，采购人/采购代理机构可主动地对采购文件进行修改、补充。</w:t>
      </w:r>
    </w:p>
    <w:p>
      <w:pPr>
        <w:ind w:firstLine="480"/>
      </w:pPr>
      <w:r>
        <w:rPr>
          <w:rFonts w:hint="eastAsia"/>
        </w:rPr>
        <w:t>6.2采购文件的澄清和修改将以书面形式通知供应商。采购文件的澄清和修改均作为采购文件的组成部分，对供应商具有约束力。供应商应在收到通知后进行确认。如果供应商不予确认，引起的后果由供应商自行承担。</w:t>
      </w:r>
    </w:p>
    <w:p>
      <w:pPr>
        <w:ind w:firstLine="480"/>
      </w:pPr>
      <w:r>
        <w:rPr>
          <w:rFonts w:hint="eastAsia"/>
        </w:rPr>
        <w:t>6.3为使</w:t>
      </w:r>
      <w:r>
        <w:rPr>
          <w:rFonts w:hint="eastAsia" w:ascii="宋体" w:hAnsi="宋体" w:cs="Arial"/>
          <w:szCs w:val="24"/>
        </w:rPr>
        <w:t>供应商</w:t>
      </w:r>
      <w:r>
        <w:rPr>
          <w:rFonts w:hint="eastAsia"/>
        </w:rPr>
        <w:t>有充分时间对采购文件的修改部分进行研究，采购人可适当延长询价文件的递交截止时间，并以书面形式通知所有购买采购文件的</w:t>
      </w:r>
      <w:r>
        <w:rPr>
          <w:rFonts w:hint="eastAsia" w:ascii="宋体" w:hAnsi="宋体" w:cs="Arial"/>
          <w:szCs w:val="24"/>
        </w:rPr>
        <w:t>供应商</w:t>
      </w:r>
      <w:r>
        <w:rPr>
          <w:rFonts w:hint="eastAsia"/>
        </w:rPr>
        <w:t>。</w:t>
      </w:r>
    </w:p>
    <w:p>
      <w:pPr>
        <w:pStyle w:val="3"/>
        <w:spacing w:before="120"/>
      </w:pPr>
      <w:bookmarkStart w:id="54" w:name="_Toc81472806"/>
      <w:r>
        <w:rPr>
          <w:rFonts w:hint="eastAsia"/>
        </w:rPr>
        <w:t>7.编制基本要求</w:t>
      </w:r>
      <w:bookmarkEnd w:id="54"/>
    </w:p>
    <w:p>
      <w:pPr>
        <w:ind w:firstLine="480"/>
      </w:pPr>
      <w:r>
        <w:rPr>
          <w:rFonts w:hint="eastAsia"/>
        </w:rPr>
        <w:t>7.1供应商应在认真阅读，充分理解本采购文件所有内容（包括所有的澄清、修改、补充内容）的基础上，按照“第六章响应文件格式”的要求编制完整的响应文件。</w:t>
      </w:r>
    </w:p>
    <w:p>
      <w:pPr>
        <w:ind w:firstLine="480"/>
      </w:pPr>
      <w:r>
        <w:rPr>
          <w:rFonts w:hint="eastAsia"/>
        </w:rPr>
        <w:t>7.2 供应商必须保证响应文件所提供的全部资料真实可信，并接受采购人对其中任何资料在合同最终授予前进一步审查的要求，如若存在供应商利用弄虚作假等不当手段谋取成交的，一经查实，采购人有权予以否决，并保留进一步追究其责任的权利。</w:t>
      </w:r>
    </w:p>
    <w:p>
      <w:pPr>
        <w:ind w:firstLine="480"/>
      </w:pPr>
      <w:r>
        <w:rPr>
          <w:rFonts w:hint="eastAsia"/>
        </w:rPr>
        <w:t>7.3 如果响应文件填报的内容不详，或没有提供采购文件中所要求的全部资料及数据，给评审造成困难，责任由供应商自行承担。</w:t>
      </w:r>
    </w:p>
    <w:p>
      <w:pPr>
        <w:ind w:firstLine="480"/>
      </w:pPr>
      <w:r>
        <w:rPr>
          <w:rFonts w:hint="eastAsia"/>
        </w:rPr>
        <w:t>7.4如供应商没有对本采购文件的要求提出偏离，采购人可认为供应商完全接受和同意本采购文件的要求。响应文件对采购文件未提出偏离条款的，均被视为接受和同意。响应文件与采购文件有偏离之处，无论多么微小，均应按采购文件格式要求统一汇总说明。</w:t>
      </w:r>
    </w:p>
    <w:p>
      <w:pPr>
        <w:pStyle w:val="3"/>
        <w:spacing w:before="120"/>
      </w:pPr>
      <w:bookmarkStart w:id="55" w:name="_Toc81472807"/>
      <w:r>
        <w:rPr>
          <w:rFonts w:hint="eastAsia"/>
        </w:rPr>
        <w:t>8.语言和计量单位</w:t>
      </w:r>
      <w:bookmarkEnd w:id="55"/>
    </w:p>
    <w:p>
      <w:pPr>
        <w:ind w:firstLine="480"/>
      </w:pPr>
      <w:r>
        <w:rPr>
          <w:rFonts w:hint="eastAsia"/>
        </w:rPr>
        <w:t>8.1</w:t>
      </w:r>
      <w:r>
        <w:rPr>
          <w:rFonts w:hint="eastAsia"/>
          <w:lang w:val="zh-CN"/>
        </w:rPr>
        <w:t>响应文件及供应商与</w:t>
      </w:r>
      <w:r>
        <w:rPr>
          <w:rFonts w:hint="eastAsia"/>
        </w:rPr>
        <w:t>采购人</w:t>
      </w:r>
      <w:r>
        <w:rPr>
          <w:rFonts w:hint="eastAsia"/>
          <w:lang w:val="zh-CN"/>
        </w:rPr>
        <w:t>之间的凡与采购有关的来往信函和文件均使用中文，若其中有其它语言的书面材料，则应附有中文译文，并以中文译文为准。</w:t>
      </w:r>
    </w:p>
    <w:p>
      <w:pPr>
        <w:ind w:firstLine="480"/>
      </w:pPr>
      <w:r>
        <w:rPr>
          <w:rFonts w:hint="eastAsia"/>
        </w:rPr>
        <w:t>8.2除非采购文件中另有规定，计量单位均采用中华人民共和国法定的计量单位。</w:t>
      </w:r>
    </w:p>
    <w:p>
      <w:pPr>
        <w:pStyle w:val="3"/>
        <w:spacing w:before="120"/>
      </w:pPr>
      <w:bookmarkStart w:id="56" w:name="_Toc81472808"/>
      <w:r>
        <w:rPr>
          <w:rFonts w:hint="eastAsia"/>
        </w:rPr>
        <w:t>9. 报价</w:t>
      </w:r>
      <w:bookmarkEnd w:id="56"/>
    </w:p>
    <w:p>
      <w:pPr>
        <w:ind w:firstLine="480"/>
      </w:pPr>
      <w:r>
        <w:rPr>
          <w:rFonts w:hint="eastAsia"/>
        </w:rPr>
        <w:t xml:space="preserve">9.1 </w:t>
      </w:r>
      <w:r>
        <w:rPr>
          <w:rFonts w:hint="eastAsia" w:ascii="宋体" w:hAnsi="宋体" w:cs="Arial"/>
          <w:kern w:val="0"/>
          <w:szCs w:val="24"/>
        </w:rPr>
        <w:t>供应商</w:t>
      </w:r>
      <w:r>
        <w:rPr>
          <w:rFonts w:hint="eastAsia"/>
        </w:rPr>
        <w:t>应按照采购文件规定的内容、责任范围以及技术要求条件进行报价。并按报价部分规定的格式报出分项价格和总价。</w:t>
      </w:r>
    </w:p>
    <w:p>
      <w:pPr>
        <w:ind w:firstLine="480"/>
      </w:pPr>
      <w:r>
        <w:rPr>
          <w:rFonts w:hint="eastAsia"/>
        </w:rPr>
        <w:t xml:space="preserve">9.2 </w:t>
      </w:r>
      <w:r>
        <w:rPr>
          <w:rFonts w:hint="eastAsia" w:ascii="宋体" w:hAnsi="宋体" w:cs="Arial"/>
          <w:kern w:val="0"/>
          <w:szCs w:val="24"/>
        </w:rPr>
        <w:t>供应商</w:t>
      </w:r>
      <w:r>
        <w:rPr>
          <w:rFonts w:hint="eastAsia"/>
        </w:rPr>
        <w:t>报价应包括</w:t>
      </w:r>
      <w:r>
        <w:rPr>
          <w:rFonts w:hint="eastAsia" w:ascii="宋体" w:hAnsi="宋体" w:cs="Arial"/>
          <w:kern w:val="0"/>
          <w:szCs w:val="24"/>
        </w:rPr>
        <w:t>供应商</w:t>
      </w:r>
      <w:r>
        <w:rPr>
          <w:rFonts w:hint="eastAsia"/>
        </w:rPr>
        <w:t>成交后为完成采购项目规定的全部工作需支付的一切费用和拟获得的利润，并考虑了应承担的风险。</w:t>
      </w:r>
    </w:p>
    <w:p>
      <w:pPr>
        <w:ind w:firstLine="480"/>
      </w:pPr>
      <w:r>
        <w:rPr>
          <w:rFonts w:hint="eastAsia"/>
        </w:rPr>
        <w:t xml:space="preserve">9.3 </w:t>
      </w:r>
      <w:r>
        <w:rPr>
          <w:rFonts w:hint="eastAsia" w:ascii="宋体" w:hAnsi="宋体" w:cs="Arial"/>
          <w:kern w:val="0"/>
          <w:szCs w:val="24"/>
        </w:rPr>
        <w:t>供应商</w:t>
      </w:r>
      <w:r>
        <w:rPr>
          <w:rFonts w:hint="eastAsia"/>
        </w:rPr>
        <w:t>必须根据采购文件报价格式进行报价，若</w:t>
      </w:r>
      <w:r>
        <w:rPr>
          <w:rFonts w:hint="eastAsia" w:ascii="宋体" w:hAnsi="宋体" w:cs="Arial"/>
          <w:kern w:val="0"/>
          <w:szCs w:val="24"/>
        </w:rPr>
        <w:t>供应商</w:t>
      </w:r>
      <w:r>
        <w:rPr>
          <w:rFonts w:hint="eastAsia"/>
        </w:rPr>
        <w:t>提供免费服务，应在响应文件中说明或在报价表中填“免费”，否则视为已包含在总报价中。</w:t>
      </w:r>
    </w:p>
    <w:p>
      <w:pPr>
        <w:ind w:firstLine="480"/>
      </w:pPr>
      <w:r>
        <w:rPr>
          <w:rFonts w:hint="eastAsia"/>
        </w:rPr>
        <w:t>9.4 供应商不得以低于成本报价。</w:t>
      </w:r>
    </w:p>
    <w:p>
      <w:pPr>
        <w:ind w:firstLine="480"/>
      </w:pPr>
      <w:r>
        <w:rPr>
          <w:rFonts w:hint="eastAsia"/>
        </w:rPr>
        <w:t>9.5 响应文件中标明的最终报价在合同执行过程中是固定不变的，不得以任何理由予以变更。</w:t>
      </w:r>
    </w:p>
    <w:p>
      <w:pPr>
        <w:ind w:firstLine="480"/>
      </w:pPr>
      <w:r>
        <w:rPr>
          <w:rFonts w:hint="eastAsia"/>
        </w:rPr>
        <w:t>9.6 采购人设有最高限价的，供应商的报价不得超过最高限价，如超过最高限价，将予以否决，最高限价在供应商须知前附表中载明。</w:t>
      </w:r>
    </w:p>
    <w:p>
      <w:pPr>
        <w:ind w:firstLine="480"/>
      </w:pPr>
      <w:r>
        <w:rPr>
          <w:rFonts w:hint="eastAsia"/>
        </w:rPr>
        <w:t>9.7 采购代理服务费按照供应商须知前附表规定收取的，采购代理服务费由供应商计入报价，但不单独列项，成交人须一次性向采购代理机构支付采购代理服务费。</w:t>
      </w:r>
    </w:p>
    <w:p>
      <w:pPr>
        <w:pStyle w:val="3"/>
        <w:spacing w:before="120"/>
      </w:pPr>
      <w:bookmarkStart w:id="57" w:name="_Toc81472809"/>
      <w:r>
        <w:rPr>
          <w:rFonts w:hint="eastAsia"/>
        </w:rPr>
        <w:t>10.报价货币</w:t>
      </w:r>
      <w:bookmarkEnd w:id="57"/>
    </w:p>
    <w:p>
      <w:pPr>
        <w:ind w:firstLine="480"/>
      </w:pPr>
      <w:r>
        <w:rPr>
          <w:rFonts w:hint="eastAsia"/>
        </w:rPr>
        <w:t>采用人民币报价，供应商须知前附表有明确规定的除外。</w:t>
      </w:r>
    </w:p>
    <w:p>
      <w:pPr>
        <w:pStyle w:val="3"/>
        <w:spacing w:before="120"/>
      </w:pPr>
      <w:bookmarkStart w:id="58" w:name="_Toc81472810"/>
      <w:r>
        <w:rPr>
          <w:rFonts w:hint="eastAsia"/>
        </w:rPr>
        <w:t>11.响应保证金</w:t>
      </w:r>
      <w:bookmarkEnd w:id="58"/>
    </w:p>
    <w:p>
      <w:pPr>
        <w:ind w:firstLine="480"/>
      </w:pPr>
      <w:r>
        <w:rPr>
          <w:rFonts w:hint="eastAsia"/>
        </w:rPr>
        <w:t>11.1应提交</w:t>
      </w:r>
      <w:r>
        <w:rPr>
          <w:rFonts w:hint="eastAsia" w:ascii="宋体" w:hAnsi="宋体" w:cs="Arial"/>
          <w:kern w:val="0"/>
          <w:szCs w:val="24"/>
        </w:rPr>
        <w:t>供应商</w:t>
      </w:r>
      <w:r>
        <w:rPr>
          <w:rFonts w:hint="eastAsia"/>
        </w:rPr>
        <w:t>须知前附表中规定数额和形式的响应保证金，作为其响应文件的一部分，响应保证金的有效期应满足采购有效期的要求。</w:t>
      </w:r>
    </w:p>
    <w:p>
      <w:pPr>
        <w:ind w:firstLine="480"/>
      </w:pPr>
      <w:r>
        <w:rPr>
          <w:rFonts w:hint="eastAsia"/>
        </w:rPr>
        <w:t>11.2任何未按第11.1款规定提交响应保证金的，将被视为非实质性响应采购文件而予以拒绝。</w:t>
      </w:r>
    </w:p>
    <w:p>
      <w:pPr>
        <w:ind w:firstLine="480"/>
      </w:pPr>
      <w:r>
        <w:rPr>
          <w:rFonts w:hint="eastAsia"/>
        </w:rPr>
        <w:t>11.3 发生下列情况之一，响应保证金可不予退还：</w:t>
      </w:r>
    </w:p>
    <w:p>
      <w:pPr>
        <w:ind w:firstLine="480"/>
      </w:pPr>
      <w:r>
        <w:rPr>
          <w:rFonts w:hint="eastAsia"/>
        </w:rPr>
        <w:t>（1）</w:t>
      </w:r>
      <w:r>
        <w:rPr>
          <w:rFonts w:hint="eastAsia" w:ascii="宋体" w:hAnsi="宋体" w:cs="Arial"/>
          <w:kern w:val="0"/>
          <w:szCs w:val="24"/>
        </w:rPr>
        <w:t>供应商</w:t>
      </w:r>
      <w:r>
        <w:rPr>
          <w:rFonts w:hint="eastAsia"/>
        </w:rPr>
        <w:t>在采购有效期内撤回其响应文件；</w:t>
      </w:r>
    </w:p>
    <w:p>
      <w:pPr>
        <w:ind w:firstLine="480"/>
      </w:pPr>
      <w:r>
        <w:rPr>
          <w:rFonts w:hint="eastAsia"/>
        </w:rPr>
        <w:t>（2）</w:t>
      </w:r>
      <w:r>
        <w:rPr>
          <w:rFonts w:hint="eastAsia" w:ascii="宋体" w:hAnsi="宋体" w:cs="Arial"/>
          <w:kern w:val="0"/>
          <w:szCs w:val="24"/>
        </w:rPr>
        <w:t>供应商</w:t>
      </w:r>
      <w:r>
        <w:rPr>
          <w:rFonts w:hint="eastAsia"/>
        </w:rPr>
        <w:t>被通知成交后，拒绝签订合同（即不按成交时规定的技术服务方案、价格等签订合同）或没有按照要求提交履约担保。</w:t>
      </w:r>
    </w:p>
    <w:p>
      <w:pPr>
        <w:ind w:firstLine="480"/>
      </w:pPr>
      <w:r>
        <w:rPr>
          <w:rFonts w:hint="eastAsia"/>
        </w:rPr>
        <w:t>11.4响应保证金的退还</w:t>
      </w:r>
    </w:p>
    <w:p>
      <w:pPr>
        <w:ind w:firstLine="480"/>
      </w:pPr>
      <w:r>
        <w:rPr>
          <w:rFonts w:hint="eastAsia"/>
        </w:rPr>
        <w:t>成交人与采购人签订合同后5日内，采购人/采购代理单位向成交人退还扣除代理服务费后的剩余保证金，同时退还未成交供应商响应保证金。</w:t>
      </w:r>
    </w:p>
    <w:p>
      <w:pPr>
        <w:pStyle w:val="3"/>
        <w:spacing w:before="120"/>
      </w:pPr>
      <w:bookmarkStart w:id="59" w:name="_Toc81472811"/>
      <w:r>
        <w:rPr>
          <w:rFonts w:hint="eastAsia"/>
        </w:rPr>
        <w:t>12.采购有效期</w:t>
      </w:r>
      <w:bookmarkEnd w:id="59"/>
    </w:p>
    <w:p>
      <w:pPr>
        <w:ind w:firstLine="480"/>
      </w:pPr>
      <w:r>
        <w:rPr>
          <w:rFonts w:hint="eastAsia"/>
        </w:rPr>
        <w:t>12.1 采购有效期自本采购文件规定的响应文件递交截止时间起生效，并在供应商须知前附表中规定采购有效期内保持有效。竞争性谈判有效期短于这个规定期限的响应文件将被视为非实质性响应而予以拒绝。</w:t>
      </w:r>
    </w:p>
    <w:p>
      <w:pPr>
        <w:ind w:firstLine="480"/>
      </w:pPr>
      <w:r>
        <w:rPr>
          <w:rFonts w:hint="eastAsia"/>
        </w:rPr>
        <w:t>12.2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有关退还和不予退还响应保证金的规定将在延长后的采购有效期内继续有效。</w:t>
      </w:r>
    </w:p>
    <w:p>
      <w:pPr>
        <w:pStyle w:val="3"/>
        <w:spacing w:before="120"/>
      </w:pPr>
      <w:bookmarkStart w:id="60" w:name="_Toc81472812"/>
      <w:r>
        <w:rPr>
          <w:rFonts w:hint="eastAsia"/>
        </w:rPr>
        <w:t>13.响应文件递交截止时间及地点</w:t>
      </w:r>
      <w:bookmarkEnd w:id="60"/>
    </w:p>
    <w:p>
      <w:pPr>
        <w:ind w:firstLine="480"/>
      </w:pPr>
      <w:r>
        <w:rPr>
          <w:rFonts w:hint="eastAsia"/>
        </w:rPr>
        <w:t>13.1供应商应在不迟于供应商须知前附表中规定的响应文件递交截止时间前将响应文件递交至电子商务平台。</w:t>
      </w:r>
    </w:p>
    <w:p>
      <w:pPr>
        <w:ind w:firstLine="480"/>
      </w:pPr>
      <w:r>
        <w:rPr>
          <w:rFonts w:hint="eastAsia"/>
        </w:rPr>
        <w:t>13.2 采购人将拒绝接受供应商须知前附表规定的响应文件递交截止时间后收到的任何响应文件。</w:t>
      </w:r>
    </w:p>
    <w:p>
      <w:pPr>
        <w:pStyle w:val="3"/>
        <w:spacing w:before="120"/>
      </w:pPr>
      <w:bookmarkStart w:id="61" w:name="_Toc81472813"/>
      <w:r>
        <w:rPr>
          <w:rFonts w:hint="eastAsia"/>
        </w:rPr>
        <w:t>14.响应文件的修改和撤销</w:t>
      </w:r>
      <w:bookmarkEnd w:id="61"/>
    </w:p>
    <w:p>
      <w:pPr>
        <w:ind w:firstLine="480"/>
        <w:rPr>
          <w:kern w:val="0"/>
        </w:rPr>
      </w:pPr>
      <w:r>
        <w:rPr>
          <w:rFonts w:hint="eastAsia"/>
          <w:kern w:val="0"/>
        </w:rPr>
        <w:t xml:space="preserve">14.1 </w:t>
      </w:r>
      <w:r>
        <w:rPr>
          <w:rFonts w:hint="eastAsia"/>
        </w:rPr>
        <w:t>供应商在递交响应文件后，可以在规定的响应文件递交截止时间之前修改或撤回其响应文件</w:t>
      </w:r>
      <w:r>
        <w:rPr>
          <w:rFonts w:hint="eastAsia"/>
          <w:kern w:val="0"/>
        </w:rPr>
        <w:t>。</w:t>
      </w:r>
    </w:p>
    <w:p>
      <w:pPr>
        <w:ind w:firstLine="480"/>
        <w:rPr>
          <w:kern w:val="0"/>
        </w:rPr>
      </w:pPr>
      <w:r>
        <w:rPr>
          <w:rFonts w:hint="eastAsia"/>
          <w:kern w:val="0"/>
        </w:rPr>
        <w:t>14.2</w:t>
      </w:r>
      <w:r>
        <w:rPr>
          <w:rFonts w:hint="eastAsia"/>
        </w:rPr>
        <w:t>供应商不得在采购有效期内撤销响应文件</w:t>
      </w:r>
      <w:r>
        <w:rPr>
          <w:rFonts w:hint="eastAsia"/>
          <w:kern w:val="0"/>
        </w:rPr>
        <w:t>。</w:t>
      </w:r>
    </w:p>
    <w:p>
      <w:pPr>
        <w:pStyle w:val="3"/>
        <w:spacing w:before="120"/>
      </w:pPr>
      <w:bookmarkStart w:id="62" w:name="_Toc81472814"/>
      <w:r>
        <w:rPr>
          <w:rFonts w:hint="eastAsia"/>
        </w:rPr>
        <w:t>15. 询价小组</w:t>
      </w:r>
      <w:bookmarkEnd w:id="62"/>
    </w:p>
    <w:p>
      <w:pPr>
        <w:ind w:firstLine="480"/>
      </w:pPr>
      <w:r>
        <w:rPr>
          <w:rFonts w:hint="eastAsia" w:cs="Arial"/>
        </w:rPr>
        <w:t>本项目采用最低价法，无询价小组。</w:t>
      </w:r>
    </w:p>
    <w:p>
      <w:pPr>
        <w:pStyle w:val="3"/>
        <w:spacing w:before="120"/>
      </w:pPr>
      <w:bookmarkStart w:id="63" w:name="_Toc81472815"/>
      <w:r>
        <w:rPr>
          <w:rFonts w:hint="eastAsia"/>
        </w:rPr>
        <w:t>16.开启响应文件</w:t>
      </w:r>
      <w:bookmarkEnd w:id="63"/>
    </w:p>
    <w:p>
      <w:pPr>
        <w:ind w:firstLine="480"/>
      </w:pPr>
      <w:r>
        <w:rPr>
          <w:rFonts w:hint="eastAsia"/>
        </w:rPr>
        <w:t>16.1 在供应商须知前附表规定的时间开启响应文件。</w:t>
      </w:r>
    </w:p>
    <w:p>
      <w:pPr>
        <w:ind w:firstLine="480"/>
      </w:pPr>
      <w:r>
        <w:rPr>
          <w:rFonts w:hint="eastAsia"/>
        </w:rPr>
        <w:t>16.2供应商须根据供应商须知前附表规定的谈判时间及地点参加谈判。</w:t>
      </w:r>
    </w:p>
    <w:p>
      <w:pPr>
        <w:pStyle w:val="3"/>
        <w:spacing w:before="120"/>
      </w:pPr>
      <w:bookmarkStart w:id="64" w:name="_Toc81472816"/>
      <w:r>
        <w:rPr>
          <w:rFonts w:hint="eastAsia"/>
        </w:rPr>
        <w:t>17.评审方法</w:t>
      </w:r>
      <w:bookmarkEnd w:id="64"/>
    </w:p>
    <w:p>
      <w:pPr>
        <w:ind w:firstLine="480"/>
      </w:pPr>
      <w:r>
        <w:rPr>
          <w:rFonts w:hint="eastAsia"/>
        </w:rPr>
        <w:t>评审将严格按照采购文件第三章规定的评审标准和办法及国家有关法律、法规的要求进行。</w:t>
      </w:r>
    </w:p>
    <w:p>
      <w:pPr>
        <w:pStyle w:val="3"/>
        <w:spacing w:before="120"/>
      </w:pPr>
      <w:bookmarkStart w:id="65" w:name="_Toc81472817"/>
      <w:r>
        <w:rPr>
          <w:rFonts w:hint="eastAsia"/>
        </w:rPr>
        <w:t>18.确定成交供应商</w:t>
      </w:r>
      <w:bookmarkEnd w:id="65"/>
    </w:p>
    <w:p>
      <w:pPr>
        <w:ind w:firstLine="480"/>
      </w:pPr>
      <w:r>
        <w:rPr>
          <w:rFonts w:hint="eastAsia"/>
        </w:rPr>
        <w:t>采购人按满足要求且报价最低的成交供应商名单确定成交供应商。</w:t>
      </w:r>
    </w:p>
    <w:p>
      <w:pPr>
        <w:pStyle w:val="3"/>
        <w:spacing w:before="120"/>
      </w:pPr>
      <w:bookmarkStart w:id="66" w:name="_Toc81472818"/>
      <w:r>
        <w:rPr>
          <w:rFonts w:hint="eastAsia"/>
        </w:rPr>
        <w:t>19.采购结果公告</w:t>
      </w:r>
      <w:bookmarkEnd w:id="66"/>
    </w:p>
    <w:p>
      <w:pPr>
        <w:ind w:firstLine="480"/>
      </w:pPr>
      <w:r>
        <w:rPr>
          <w:rFonts w:hint="eastAsia"/>
        </w:rPr>
        <w:t>采购人确定成交供应商，询价采购结果在电子商务平台进行公告。</w:t>
      </w:r>
    </w:p>
    <w:p>
      <w:pPr>
        <w:pStyle w:val="3"/>
        <w:spacing w:before="120"/>
      </w:pPr>
      <w:bookmarkStart w:id="67" w:name="_Toc81472819"/>
      <w:r>
        <w:rPr>
          <w:rFonts w:hint="eastAsia"/>
        </w:rPr>
        <w:t>20. 成交通知</w:t>
      </w:r>
      <w:bookmarkEnd w:id="67"/>
    </w:p>
    <w:p>
      <w:pPr>
        <w:ind w:firstLine="480"/>
      </w:pPr>
      <w:r>
        <w:rPr>
          <w:rFonts w:hint="eastAsia"/>
        </w:rPr>
        <w:t>20.1 采购人向成交人发出《成交通知书》，同时通知所有未成交的供应商。</w:t>
      </w:r>
    </w:p>
    <w:p>
      <w:pPr>
        <w:ind w:firstLine="480"/>
      </w:pPr>
      <w:r>
        <w:rPr>
          <w:rFonts w:hint="eastAsia"/>
        </w:rPr>
        <w:t xml:space="preserve">20.2 《成交通知书》将构成合同的组成部分。                </w:t>
      </w:r>
    </w:p>
    <w:p>
      <w:pPr>
        <w:pStyle w:val="3"/>
        <w:spacing w:before="120"/>
      </w:pPr>
      <w:bookmarkStart w:id="68" w:name="_Toc81472820"/>
      <w:r>
        <w:rPr>
          <w:rFonts w:hint="eastAsia"/>
        </w:rPr>
        <w:t>21. 签订合同</w:t>
      </w:r>
      <w:bookmarkEnd w:id="68"/>
    </w:p>
    <w:p>
      <w:pPr>
        <w:ind w:firstLine="480"/>
      </w:pPr>
      <w:r>
        <w:rPr>
          <w:rFonts w:hint="eastAsia"/>
        </w:rPr>
        <w:t>21.1 成交供应商在接到《成交通知书》后，必须在规定的时间内派法定代表人或其授权人到指定地点采购人签订供货订单。</w:t>
      </w:r>
    </w:p>
    <w:p>
      <w:pPr>
        <w:ind w:firstLine="480"/>
      </w:pPr>
      <w:r>
        <w:rPr>
          <w:rFonts w:hint="eastAsia"/>
        </w:rPr>
        <w:t>21.2 采购文件、成交供应商的响应文件及评审过程中的有关澄清文件均为签订订单的依据。</w:t>
      </w:r>
    </w:p>
    <w:p>
      <w:pPr>
        <w:pStyle w:val="3"/>
        <w:spacing w:before="120"/>
      </w:pPr>
      <w:bookmarkStart w:id="69" w:name="_Toc81472821"/>
      <w:r>
        <w:rPr>
          <w:rFonts w:hint="eastAsia"/>
        </w:rPr>
        <w:t>22. 其他需要补充的内容</w:t>
      </w:r>
      <w:bookmarkEnd w:id="69"/>
    </w:p>
    <w:p>
      <w:pPr>
        <w:ind w:firstLine="480"/>
      </w:pPr>
      <w:bookmarkStart w:id="70" w:name="_Toc512585134"/>
      <w:bookmarkStart w:id="71" w:name="_Toc527445394"/>
      <w:r>
        <w:rPr>
          <w:rFonts w:hint="eastAsia"/>
        </w:rPr>
        <w:t xml:space="preserve">22.1 </w:t>
      </w:r>
      <w:r>
        <w:t>纪律和监督</w:t>
      </w:r>
      <w:bookmarkEnd w:id="70"/>
    </w:p>
    <w:p>
      <w:pPr>
        <w:ind w:firstLine="480"/>
      </w:pPr>
      <w:r>
        <w:rPr>
          <w:rFonts w:hint="eastAsia"/>
        </w:rPr>
        <w:t>22.1</w:t>
      </w:r>
      <w:r>
        <w:t xml:space="preserve">.1 对采购人的纪律要求 </w:t>
      </w:r>
    </w:p>
    <w:p>
      <w:pPr>
        <w:ind w:firstLine="480"/>
      </w:pPr>
      <w:r>
        <w:t xml:space="preserve">采购人不得泄漏招标投标活动中应当保密的情况和资料，不得与供应商串通损害国家利益、社会公共利益或者他人合法权益。 </w:t>
      </w:r>
    </w:p>
    <w:p>
      <w:pPr>
        <w:ind w:firstLine="480"/>
      </w:pPr>
      <w:r>
        <w:rPr>
          <w:rFonts w:hint="eastAsia"/>
        </w:rPr>
        <w:t>22.1</w:t>
      </w:r>
      <w:r>
        <w:t xml:space="preserve">.2 对供应商的纪律要求 </w:t>
      </w:r>
    </w:p>
    <w:p>
      <w:pPr>
        <w:ind w:firstLine="480"/>
      </w:pPr>
      <w:r>
        <w:rPr>
          <w:rFonts w:hint="eastAsia"/>
        </w:rPr>
        <w:t>22.1</w:t>
      </w:r>
      <w:r>
        <w:t xml:space="preserve">.2.1 供应商应承诺严格遵守国家廉洁自律和中国华能集团有限公司招投标有关规定，如有违反，承担由此引起的相关责任。 </w:t>
      </w:r>
    </w:p>
    <w:p>
      <w:pPr>
        <w:ind w:firstLine="480"/>
      </w:pPr>
      <w:r>
        <w:rPr>
          <w:rFonts w:hint="eastAsia"/>
        </w:rPr>
        <w:t>22.1</w:t>
      </w:r>
      <w:r>
        <w:t xml:space="preserve">.2.2 供应商在报价过程中不得串通作弊，不得妨碍其他供应商的公平竞争，不得以行贿、弄虚作假等手段骗取中标，也不能采取任何方式向采购人施加压力或干扰，损害询价的公正性和竞争性。否则，将被取消询价资格，询价担保将收归采购人所有。 </w:t>
      </w:r>
    </w:p>
    <w:p>
      <w:pPr>
        <w:ind w:firstLine="480"/>
      </w:pPr>
      <w:r>
        <w:rPr>
          <w:rFonts w:hint="eastAsia"/>
        </w:rPr>
        <w:t xml:space="preserve">22.2 </w:t>
      </w:r>
      <w:r>
        <w:t xml:space="preserve">异议及投诉 </w:t>
      </w:r>
    </w:p>
    <w:p>
      <w:pPr>
        <w:ind w:firstLine="480"/>
      </w:pPr>
      <w:r>
        <w:rPr>
          <w:rFonts w:hint="eastAsia"/>
        </w:rPr>
        <w:t>22.2</w:t>
      </w:r>
      <w:r>
        <w:t xml:space="preserve">.1异议 </w:t>
      </w:r>
    </w:p>
    <w:p>
      <w:pPr>
        <w:ind w:firstLine="480"/>
      </w:pPr>
      <w:r>
        <w:rPr>
          <w:rFonts w:hint="eastAsia"/>
        </w:rPr>
        <w:t>22.2</w:t>
      </w:r>
      <w:r>
        <w:t xml:space="preserve">.1.1询价文件异议 </w:t>
      </w:r>
    </w:p>
    <w:p>
      <w:pPr>
        <w:ind w:firstLine="480"/>
      </w:pPr>
      <w:r>
        <w:t xml:space="preserve">报名供应商或者其他利害关系人对询价文件有异议的，应当在报价截止时间前提出。采购人应当自收到异议之日起3日内作出答复。 </w:t>
      </w:r>
    </w:p>
    <w:p>
      <w:pPr>
        <w:ind w:firstLine="480"/>
      </w:pPr>
      <w:r>
        <w:rPr>
          <w:rFonts w:hint="eastAsia"/>
        </w:rPr>
        <w:t>22.2</w:t>
      </w:r>
      <w:r>
        <w:t xml:space="preserve">.1.2开标异议 </w:t>
      </w:r>
    </w:p>
    <w:p>
      <w:pPr>
        <w:ind w:firstLine="480"/>
      </w:pPr>
      <w:r>
        <w:t xml:space="preserve">报价供应商对开标有异议的，应当在电子商务平台提出，采购人应当作出答复，并制作记录。 </w:t>
      </w:r>
    </w:p>
    <w:p>
      <w:pPr>
        <w:ind w:firstLine="480"/>
      </w:pPr>
      <w:r>
        <w:rPr>
          <w:rFonts w:hint="eastAsia"/>
        </w:rPr>
        <w:t>22.2</w:t>
      </w:r>
      <w:r>
        <w:t>.1.3评价结果异议</w:t>
      </w:r>
    </w:p>
    <w:p>
      <w:pPr>
        <w:ind w:firstLine="480"/>
      </w:pPr>
      <w:r>
        <w:t>报价供应商或者其他利害关系人对项目的评价结果有异议的，应当及时提出。供应商对评价结果有异议的投诉应当有明确的请求和必要的证明材料，并提供证明材料的来源。</w:t>
      </w:r>
    </w:p>
    <w:p>
      <w:pPr>
        <w:ind w:firstLine="480"/>
      </w:pPr>
      <w:r>
        <w:rPr>
          <w:rFonts w:hint="eastAsia"/>
        </w:rPr>
        <w:t>22.2.2</w:t>
      </w:r>
      <w:r>
        <w:t xml:space="preserve">投诉 </w:t>
      </w:r>
    </w:p>
    <w:p>
      <w:pPr>
        <w:ind w:firstLine="480"/>
        <w:rPr>
          <w:strike/>
        </w:rPr>
      </w:pPr>
      <w:r>
        <w:t>供应商或者其他利害关系人认为招标投标活动不符合法律、行政法规规定的，可以自知道或者应当知道之日起10日内向有关监督部门投诉。投诉应当有明确的请求和必要的证明材料，并提供证明材料的来源。</w:t>
      </w:r>
    </w:p>
    <w:p>
      <w:pPr>
        <w:ind w:firstLine="480"/>
      </w:pPr>
      <w:bookmarkStart w:id="72" w:name="_Toc512585135"/>
      <w:r>
        <w:rPr>
          <w:rFonts w:hint="eastAsia"/>
        </w:rPr>
        <w:t xml:space="preserve">22.3 </w:t>
      </w:r>
      <w:r>
        <w:t>需要补充的其他内容</w:t>
      </w:r>
      <w:bookmarkEnd w:id="72"/>
    </w:p>
    <w:p>
      <w:pPr>
        <w:ind w:firstLine="480"/>
      </w:pPr>
      <w:r>
        <w:rPr>
          <w:rFonts w:hint="eastAsia"/>
        </w:rPr>
        <w:t>22.3</w:t>
      </w:r>
      <w:r>
        <w:t>.</w:t>
      </w:r>
      <w:r>
        <w:rPr>
          <w:rFonts w:hint="eastAsia"/>
        </w:rPr>
        <w:t>1</w:t>
      </w:r>
      <w:r>
        <w:t xml:space="preserve">报价文件的真实性要求 </w:t>
      </w:r>
    </w:p>
    <w:p>
      <w:pPr>
        <w:ind w:firstLine="480"/>
      </w:pPr>
      <w:r>
        <w:t>供应商所递交的报价文件（包括有关资料、澄清）应真实可信，不存在虚假（包括隐瞒）信息。如报价文件存在虚假信息，将作如下处理：</w:t>
      </w:r>
    </w:p>
    <w:p>
      <w:pPr>
        <w:ind w:firstLine="480"/>
      </w:pPr>
      <w:r>
        <w:rPr>
          <w:rFonts w:hint="eastAsia"/>
        </w:rPr>
        <w:t>22.3</w:t>
      </w:r>
      <w:r>
        <w:t>.</w:t>
      </w:r>
      <w:r>
        <w:rPr>
          <w:rFonts w:hint="eastAsia"/>
        </w:rPr>
        <w:t>1</w:t>
      </w:r>
      <w:r>
        <w:t>.1若在评价期间发现供应商提供了虚假资料，采购人有权对供应商的投标文件作否决报价处理。</w:t>
      </w:r>
    </w:p>
    <w:p>
      <w:pPr>
        <w:ind w:firstLine="480"/>
      </w:pPr>
      <w:r>
        <w:rPr>
          <w:rFonts w:hint="eastAsia"/>
        </w:rPr>
        <w:t>22.3</w:t>
      </w:r>
      <w:r>
        <w:t>.</w:t>
      </w:r>
      <w:r>
        <w:rPr>
          <w:rFonts w:hint="eastAsia"/>
        </w:rPr>
        <w:t>1</w:t>
      </w:r>
      <w:r>
        <w:t xml:space="preserve">.2若在合同实施期间发现供应商提供了虚假资料，采购人有权从合同支付款或履约保证金中扣除不超过10％签约合同价的金额作为违约金，直至解除合同； </w:t>
      </w:r>
    </w:p>
    <w:p>
      <w:pPr>
        <w:ind w:firstLine="480"/>
      </w:pPr>
      <w:r>
        <w:rPr>
          <w:rFonts w:hint="eastAsia"/>
        </w:rPr>
        <w:t>22.3</w:t>
      </w:r>
      <w:r>
        <w:t>.</w:t>
      </w:r>
      <w:r>
        <w:rPr>
          <w:rFonts w:hint="eastAsia"/>
        </w:rPr>
        <w:t>1</w:t>
      </w:r>
      <w:r>
        <w:t xml:space="preserve">.3若供应商存在弄虚作假行为时，将被作为不良记录纳入华能集团电子商务平台，同时将供应商记入华能集团及下属企业的黑名单，在一定时期内禁止与该供应商发生交易。 </w:t>
      </w:r>
    </w:p>
    <w:p>
      <w:pPr>
        <w:ind w:firstLine="480"/>
      </w:pPr>
      <w:r>
        <w:rPr>
          <w:rFonts w:hint="eastAsia"/>
        </w:rPr>
        <w:t>22.3</w:t>
      </w:r>
      <w:r>
        <w:t>.</w:t>
      </w:r>
      <w:r>
        <w:rPr>
          <w:rFonts w:hint="eastAsia"/>
        </w:rPr>
        <w:t>2</w:t>
      </w:r>
      <w:r>
        <w:t xml:space="preserve">知识产权 </w:t>
      </w:r>
    </w:p>
    <w:p>
      <w:pPr>
        <w:ind w:firstLine="480"/>
      </w:pPr>
      <w:r>
        <w:t xml:space="preserve">构成本询价文件各组成部分的文件，未经采购人书面同意，供应商不得擅自复印和用于其他目的。采购人全部或者部分使用未中标供应商投标文件中的技术成果或技术方案时，需征得其书面同意，并不得擅自复印或提供给第三人。 </w:t>
      </w:r>
    </w:p>
    <w:p>
      <w:pPr>
        <w:ind w:firstLine="480"/>
      </w:pPr>
      <w:r>
        <w:rPr>
          <w:rFonts w:hint="eastAsia"/>
        </w:rPr>
        <w:t>22.3</w:t>
      </w:r>
      <w:r>
        <w:t>.</w:t>
      </w:r>
      <w:r>
        <w:rPr>
          <w:rFonts w:hint="eastAsia"/>
        </w:rPr>
        <w:t>3</w:t>
      </w:r>
      <w:r>
        <w:t xml:space="preserve">询价文件中出现品牌、规格情况 </w:t>
      </w:r>
    </w:p>
    <w:p>
      <w:pPr>
        <w:ind w:firstLine="480"/>
      </w:pPr>
      <w:r>
        <w:t>询价时为了准确描述某一配套设备（器件）的技术规格，询价文件中可能引用某一配套设备（器件）的品牌、型号，该品牌、型号不作为报价的唯一或指定产品，但报价配套设备（器件）须满足或高于引用配套设备（器件）性能参数和设备使用功能。在合同签订或履行过程中，该类品牌的选定须经采购人认可</w:t>
      </w:r>
      <w:r>
        <w:rPr>
          <w:rFonts w:hint="eastAsia"/>
        </w:rPr>
        <w:t>。</w:t>
      </w:r>
    </w:p>
    <w:p>
      <w:pPr>
        <w:ind w:firstLine="480"/>
      </w:pPr>
    </w:p>
    <w:p>
      <w:pPr>
        <w:ind w:firstLine="480"/>
      </w:pPr>
    </w:p>
    <w:p>
      <w:pPr>
        <w:pStyle w:val="48"/>
        <w:spacing w:before="120"/>
      </w:pPr>
      <w:bookmarkStart w:id="73" w:name="_Toc81472822"/>
      <w:r>
        <w:rPr>
          <w:rFonts w:hint="eastAsia"/>
        </w:rPr>
        <w:t>第三章 评审办法</w:t>
      </w:r>
      <w:bookmarkEnd w:id="71"/>
      <w:bookmarkEnd w:id="73"/>
    </w:p>
    <w:p>
      <w:pPr>
        <w:pStyle w:val="3"/>
        <w:spacing w:before="120"/>
      </w:pPr>
      <w:bookmarkStart w:id="74" w:name="_Toc81472823"/>
      <w:r>
        <w:rPr>
          <w:rFonts w:hint="eastAsia"/>
        </w:rPr>
        <w:t>一、总则</w:t>
      </w:r>
      <w:bookmarkEnd w:id="74"/>
    </w:p>
    <w:p>
      <w:pPr>
        <w:ind w:firstLine="480"/>
      </w:pPr>
      <w:r>
        <w:rPr>
          <w:rFonts w:hint="eastAsia"/>
        </w:rPr>
        <w:t>1.评审依据</w:t>
      </w:r>
    </w:p>
    <w:p>
      <w:pPr>
        <w:ind w:firstLine="480"/>
      </w:pPr>
      <w:r>
        <w:rPr>
          <w:rFonts w:hint="eastAsia"/>
        </w:rPr>
        <w:t>1.1</w:t>
      </w:r>
      <w:r>
        <w:rPr>
          <w:rFonts w:hint="eastAsia"/>
          <w:kern w:val="0"/>
        </w:rPr>
        <w:t>《中国华能集团有限公司非招标采购管理办法》</w:t>
      </w:r>
      <w:r>
        <w:rPr>
          <w:rFonts w:hint="eastAsia"/>
        </w:rPr>
        <w:t>及相关法律法规；</w:t>
      </w:r>
    </w:p>
    <w:p>
      <w:pPr>
        <w:ind w:firstLine="480"/>
      </w:pPr>
      <w:r>
        <w:rPr>
          <w:rFonts w:hint="eastAsia"/>
        </w:rPr>
        <w:t>1.2采购文件及其有效的补充文件。</w:t>
      </w:r>
    </w:p>
    <w:p>
      <w:pPr>
        <w:ind w:firstLine="480"/>
      </w:pPr>
      <w:r>
        <w:rPr>
          <w:rFonts w:hint="eastAsia"/>
        </w:rPr>
        <w:t>2.评审原则</w:t>
      </w:r>
    </w:p>
    <w:p>
      <w:pPr>
        <w:ind w:firstLine="480"/>
      </w:pPr>
      <w:r>
        <w:rPr>
          <w:rFonts w:hint="eastAsia"/>
        </w:rPr>
        <w:t>评审活动遵循“公平、公正、科学、择优”的原则。</w:t>
      </w:r>
    </w:p>
    <w:p>
      <w:pPr>
        <w:pStyle w:val="3"/>
        <w:spacing w:before="120"/>
      </w:pPr>
      <w:bookmarkStart w:id="75" w:name="_Toc81472824"/>
      <w:r>
        <w:rPr>
          <w:rFonts w:hint="eastAsia"/>
        </w:rPr>
        <w:t>二、评审方法</w:t>
      </w:r>
      <w:bookmarkEnd w:id="75"/>
    </w:p>
    <w:p>
      <w:pPr>
        <w:ind w:firstLine="480"/>
      </w:pPr>
      <w:r>
        <w:rPr>
          <w:rFonts w:hint="eastAsia"/>
        </w:rPr>
        <w:t>本项目采用最低评标价法，</w:t>
      </w:r>
      <w:r>
        <w:rPr>
          <w:rFonts w:hint="eastAsia"/>
          <w:color w:val="000000"/>
        </w:rPr>
        <w:t>并以不含税价进行比价</w:t>
      </w:r>
      <w:r>
        <w:rPr>
          <w:rFonts w:hint="eastAsia"/>
        </w:rPr>
        <w:t>。</w:t>
      </w:r>
    </w:p>
    <w:p>
      <w:pPr>
        <w:pStyle w:val="3"/>
        <w:spacing w:before="120"/>
      </w:pPr>
      <w:bookmarkStart w:id="76" w:name="_Toc81472825"/>
      <w:bookmarkStart w:id="77" w:name="_Toc49019224"/>
      <w:bookmarkStart w:id="78" w:name="_Toc47416185"/>
      <w:bookmarkStart w:id="79" w:name="_Toc47415931"/>
      <w:r>
        <w:rPr>
          <w:rFonts w:hint="eastAsia"/>
        </w:rPr>
        <w:t>三、评审说明</w:t>
      </w:r>
      <w:bookmarkEnd w:id="76"/>
    </w:p>
    <w:p>
      <w:pPr>
        <w:ind w:firstLine="480"/>
        <w:rPr>
          <w:rFonts w:ascii="宋体" w:hAnsi="宋体"/>
          <w:szCs w:val="24"/>
        </w:rPr>
      </w:pPr>
      <w:r>
        <w:rPr>
          <w:rFonts w:hint="eastAsia" w:ascii="宋体" w:hAnsi="宋体"/>
          <w:szCs w:val="24"/>
        </w:rPr>
        <w:t>1、</w:t>
      </w:r>
      <w:r>
        <w:rPr>
          <w:rFonts w:ascii="宋体" w:hAnsi="宋体"/>
          <w:szCs w:val="24"/>
        </w:rPr>
        <w:t>算术错误修正</w:t>
      </w:r>
    </w:p>
    <w:p>
      <w:pPr>
        <w:ind w:firstLine="480"/>
        <w:rPr>
          <w:rFonts w:ascii="宋体" w:hAnsi="宋体"/>
          <w:szCs w:val="24"/>
        </w:rPr>
      </w:pPr>
      <w:r>
        <w:rPr>
          <w:rFonts w:ascii="宋体" w:hAnsi="宋体"/>
          <w:szCs w:val="24"/>
        </w:rPr>
        <w:t>1.1 询价</w:t>
      </w:r>
      <w:r>
        <w:rPr>
          <w:rFonts w:hint="eastAsia" w:ascii="宋体" w:hAnsi="宋体"/>
          <w:szCs w:val="24"/>
        </w:rPr>
        <w:t>人员</w:t>
      </w:r>
      <w:r>
        <w:rPr>
          <w:rFonts w:ascii="宋体" w:hAnsi="宋体"/>
          <w:szCs w:val="24"/>
        </w:rPr>
        <w:t xml:space="preserve">将对确定为实质上响应询价文件要求的报价文件进行审核，看其是否有计算上或累计上的算术错误。修正错误的原则如下： </w:t>
      </w:r>
    </w:p>
    <w:p>
      <w:pPr>
        <w:ind w:firstLine="480"/>
        <w:rPr>
          <w:rFonts w:ascii="宋体" w:hAnsi="宋体"/>
          <w:szCs w:val="24"/>
        </w:rPr>
      </w:pPr>
      <w:r>
        <w:rPr>
          <w:rFonts w:hint="eastAsia" w:ascii="宋体" w:hAnsi="宋体"/>
          <w:szCs w:val="24"/>
        </w:rPr>
        <w:t>（1）报价文件中的大写金额与小写金额不一致的，以大写金额为准（明显的书写错误除外）；</w:t>
      </w:r>
    </w:p>
    <w:p>
      <w:pPr>
        <w:ind w:firstLine="480"/>
        <w:rPr>
          <w:rFonts w:ascii="宋体" w:hAnsi="宋体"/>
          <w:szCs w:val="24"/>
        </w:rPr>
      </w:pPr>
      <w:r>
        <w:rPr>
          <w:rFonts w:hint="eastAsia" w:ascii="宋体" w:hAnsi="宋体"/>
          <w:szCs w:val="24"/>
        </w:rPr>
        <w:t>（2）若分项报价表中，单价与数量的乘积与合价不一致时，以合价为准，修改单价，但合价小数点有明显错误的除外；若合价计算的结果与投标总价不一致，以两者较低价为准对较高价进行修正，对高出部分进行等比例下调。</w:t>
      </w:r>
    </w:p>
    <w:p>
      <w:pPr>
        <w:ind w:firstLine="480"/>
        <w:rPr>
          <w:rFonts w:ascii="宋体" w:hAnsi="宋体"/>
          <w:szCs w:val="24"/>
        </w:rPr>
      </w:pPr>
      <w:r>
        <w:rPr>
          <w:rFonts w:hint="eastAsia" w:ascii="宋体" w:hAnsi="宋体"/>
          <w:szCs w:val="24"/>
        </w:rPr>
        <w:t>（</w:t>
      </w:r>
      <w:r>
        <w:rPr>
          <w:rFonts w:ascii="宋体" w:hAnsi="宋体"/>
          <w:szCs w:val="24"/>
        </w:rPr>
        <w:t>3</w:t>
      </w:r>
      <w:r>
        <w:rPr>
          <w:rFonts w:hint="eastAsia" w:ascii="宋体" w:hAnsi="宋体"/>
          <w:szCs w:val="24"/>
        </w:rPr>
        <w:t>）当供应商的数量与询价文件提供的数量不一致时，以询价文件中提供的数量为准，修改供应商分项报价表的数量，但合价及总价不变；“投标分项报价表中的报价范围”比“招标文件的报价范围”存在缺漏项时，询价人员需请供应商澄清该缺漏项价格是否包含在报价内，如供应商确认缺漏项价格包含在其投标报价内，则按其他供应商该项目的最高报价计入报价中，报价总价相应调整，但在签署合同时合同价款不调整，按原报价执行，如投标人确认缺漏项设备价格不包含在报价内，按重大偏差处理；“分项报价表中的报价范围”比“采购文件的报价范围”多报的货物价格在评审环节内不予核减，但在签署合同时合同价款进行核减，如投标人拒绝，将被废除中标资格，采购人可不予退还其保证金。</w:t>
      </w:r>
    </w:p>
    <w:p>
      <w:pPr>
        <w:ind w:firstLine="480"/>
        <w:rPr>
          <w:rFonts w:ascii="宋体" w:hAnsi="宋体"/>
          <w:szCs w:val="24"/>
        </w:rPr>
      </w:pPr>
      <w:r>
        <w:rPr>
          <w:rFonts w:hint="eastAsia" w:ascii="宋体" w:hAnsi="宋体"/>
          <w:szCs w:val="24"/>
        </w:rPr>
        <w:t>（4）电子商务平台中价格、响应文件中总价、以合价计算的总价三者价格不一致时，除明显单位错误（元与万元）外，均以较低的价格为准作为评审价，并保持与合同价一致，对高出部分进行等比例下调。</w:t>
      </w:r>
    </w:p>
    <w:p>
      <w:pPr>
        <w:ind w:firstLine="480"/>
        <w:rPr>
          <w:rFonts w:ascii="宋体" w:hAnsi="宋体"/>
          <w:szCs w:val="24"/>
        </w:rPr>
      </w:pPr>
      <w:r>
        <w:rPr>
          <w:rFonts w:hint="eastAsia" w:ascii="宋体" w:hAnsi="宋体"/>
          <w:szCs w:val="24"/>
        </w:rPr>
        <w:t>2.3</w:t>
      </w:r>
      <w:r>
        <w:rPr>
          <w:rFonts w:ascii="宋体" w:hAnsi="宋体"/>
          <w:szCs w:val="24"/>
        </w:rPr>
        <w:t>.1.2 对按上述修正错误的原则及方法修正报价文件的价格，</w:t>
      </w:r>
      <w:r>
        <w:rPr>
          <w:rFonts w:hint="eastAsia" w:ascii="宋体" w:hAnsi="宋体"/>
          <w:szCs w:val="24"/>
        </w:rPr>
        <w:t>询价人员</w:t>
      </w:r>
      <w:r>
        <w:rPr>
          <w:rFonts w:ascii="宋体" w:hAnsi="宋体"/>
          <w:szCs w:val="24"/>
        </w:rPr>
        <w:t>将向供应商进行书面澄清。供应商书面同意后，该报价对供应商起约束作用。供应商不接受修正的，其报价作否决处理。</w:t>
      </w:r>
    </w:p>
    <w:p>
      <w:pPr>
        <w:ind w:firstLine="480"/>
        <w:rPr>
          <w:rFonts w:ascii="宋体" w:hAnsi="宋体"/>
          <w:szCs w:val="24"/>
        </w:rPr>
      </w:pPr>
      <w:r>
        <w:rPr>
          <w:rFonts w:hint="eastAsia" w:ascii="宋体" w:hAnsi="宋体"/>
          <w:szCs w:val="24"/>
        </w:rPr>
        <w:t>2.3</w:t>
      </w:r>
      <w:r>
        <w:rPr>
          <w:rFonts w:ascii="宋体" w:hAnsi="宋体"/>
          <w:szCs w:val="24"/>
        </w:rPr>
        <w:t>.1.3 通过算术错误修正后的报价为评</w:t>
      </w:r>
      <w:r>
        <w:rPr>
          <w:rFonts w:hint="eastAsia" w:ascii="宋体" w:hAnsi="宋体"/>
          <w:szCs w:val="24"/>
        </w:rPr>
        <w:t>审</w:t>
      </w:r>
      <w:r>
        <w:rPr>
          <w:rFonts w:ascii="宋体" w:hAnsi="宋体"/>
          <w:szCs w:val="24"/>
        </w:rPr>
        <w:t xml:space="preserve">价。 </w:t>
      </w:r>
    </w:p>
    <w:p>
      <w:pPr>
        <w:ind w:firstLine="480"/>
        <w:rPr>
          <w:rFonts w:ascii="宋体" w:hAnsi="宋体"/>
          <w:szCs w:val="24"/>
        </w:rPr>
      </w:pPr>
      <w:r>
        <w:rPr>
          <w:rFonts w:hint="eastAsia" w:ascii="宋体" w:hAnsi="宋体"/>
          <w:szCs w:val="24"/>
        </w:rPr>
        <w:t>2.3</w:t>
      </w:r>
      <w:r>
        <w:rPr>
          <w:rFonts w:ascii="宋体" w:hAnsi="宋体"/>
          <w:szCs w:val="24"/>
        </w:rPr>
        <w:t xml:space="preserve">.2对报价漏项的，则认为该漏项报价已计入其他项目报价中，供应商总价不予调整，如果供应商不接受对其错误的更正，其报价将被拒绝。作未实质性性响应投标处理。 </w:t>
      </w:r>
    </w:p>
    <w:p>
      <w:pPr>
        <w:ind w:firstLine="480"/>
        <w:rPr>
          <w:rFonts w:ascii="宋体" w:hAnsi="宋体"/>
          <w:szCs w:val="24"/>
        </w:rPr>
      </w:pPr>
      <w:r>
        <w:rPr>
          <w:rFonts w:hint="eastAsia" w:ascii="宋体" w:hAnsi="宋体"/>
          <w:szCs w:val="24"/>
        </w:rPr>
        <w:t>2.3</w:t>
      </w:r>
      <w:r>
        <w:rPr>
          <w:rFonts w:ascii="宋体" w:hAnsi="宋体"/>
          <w:szCs w:val="24"/>
        </w:rPr>
        <w:t xml:space="preserve">.3分析报价 </w:t>
      </w:r>
    </w:p>
    <w:p>
      <w:pPr>
        <w:ind w:firstLine="480"/>
        <w:rPr>
          <w:rFonts w:ascii="宋体" w:hAnsi="宋体"/>
          <w:szCs w:val="24"/>
        </w:rPr>
      </w:pPr>
      <w:r>
        <w:rPr>
          <w:rFonts w:hint="eastAsia" w:ascii="宋体" w:hAnsi="宋体"/>
          <w:szCs w:val="24"/>
        </w:rPr>
        <w:t>询价人员</w:t>
      </w:r>
      <w:r>
        <w:rPr>
          <w:rFonts w:ascii="宋体" w:hAnsi="宋体"/>
          <w:szCs w:val="24"/>
        </w:rPr>
        <w:t xml:space="preserve">对各供应商的单价、合价、总价的合理性、完整性等进行分析比较。 </w:t>
      </w:r>
    </w:p>
    <w:p>
      <w:pPr>
        <w:ind w:firstLine="480"/>
        <w:rPr>
          <w:rFonts w:ascii="宋体" w:hAnsi="宋体"/>
          <w:szCs w:val="24"/>
        </w:rPr>
      </w:pPr>
      <w:r>
        <w:rPr>
          <w:rFonts w:hint="eastAsia" w:ascii="宋体" w:hAnsi="宋体"/>
          <w:szCs w:val="24"/>
        </w:rPr>
        <w:t>2.3</w:t>
      </w:r>
      <w:r>
        <w:rPr>
          <w:rFonts w:ascii="宋体" w:hAnsi="宋体"/>
          <w:szCs w:val="24"/>
        </w:rPr>
        <w:t>.</w:t>
      </w:r>
      <w:r>
        <w:rPr>
          <w:rFonts w:hint="eastAsia" w:ascii="宋体" w:hAnsi="宋体"/>
          <w:szCs w:val="24"/>
        </w:rPr>
        <w:t>3</w:t>
      </w:r>
      <w:r>
        <w:rPr>
          <w:rFonts w:ascii="宋体" w:hAnsi="宋体"/>
          <w:szCs w:val="24"/>
        </w:rPr>
        <w:t>.3</w:t>
      </w:r>
      <w:r>
        <w:rPr>
          <w:rFonts w:hint="eastAsia" w:ascii="宋体" w:hAnsi="宋体"/>
        </w:rPr>
        <w:t>若</w:t>
      </w:r>
      <w:r>
        <w:rPr>
          <w:rFonts w:hint="eastAsia" w:ascii="宋体" w:hAnsi="宋体"/>
          <w:szCs w:val="24"/>
        </w:rPr>
        <w:t>询价人员</w:t>
      </w:r>
      <w:r>
        <w:rPr>
          <w:rFonts w:hint="eastAsia" w:ascii="宋体" w:hAnsi="宋体"/>
        </w:rPr>
        <w:t>发现供应商的报价（修正价）明显低于其他供应商报价，使得其报价可能低于其个别成本的，应当要求该供应商做出书面说明并提供相应证明材料后，供应商不能合理说明或者不能提供相应证明材料的，</w:t>
      </w:r>
      <w:r>
        <w:rPr>
          <w:rFonts w:hint="eastAsia" w:ascii="宋体" w:hAnsi="宋体"/>
          <w:szCs w:val="24"/>
        </w:rPr>
        <w:t>询价人员</w:t>
      </w:r>
      <w:r>
        <w:rPr>
          <w:rFonts w:hint="eastAsia" w:ascii="宋体" w:hAnsi="宋体"/>
        </w:rPr>
        <w:t>应当认定该供应商以低于成本报价竞标。</w:t>
      </w:r>
      <w:r>
        <w:rPr>
          <w:rFonts w:ascii="宋体" w:hAnsi="宋体"/>
          <w:szCs w:val="24"/>
        </w:rPr>
        <w:t>持有异议的</w:t>
      </w:r>
      <w:r>
        <w:rPr>
          <w:rFonts w:hint="eastAsia" w:ascii="宋体" w:hAnsi="宋体"/>
          <w:szCs w:val="24"/>
        </w:rPr>
        <w:t>询价人员</w:t>
      </w:r>
      <w:r>
        <w:rPr>
          <w:rFonts w:ascii="宋体" w:hAnsi="宋体"/>
          <w:szCs w:val="24"/>
        </w:rPr>
        <w:t>成员可以书面方式阐述其不同意见和理由，拒绝签字且不陈述其不同意见和理由的，视为同意。</w:t>
      </w:r>
    </w:p>
    <w:p>
      <w:pPr>
        <w:ind w:firstLine="480"/>
        <w:rPr>
          <w:rFonts w:ascii="宋体" w:hAnsi="宋体"/>
          <w:szCs w:val="24"/>
        </w:rPr>
      </w:pPr>
      <w:r>
        <w:rPr>
          <w:rFonts w:hint="eastAsia" w:ascii="宋体" w:hAnsi="宋体"/>
          <w:szCs w:val="24"/>
        </w:rPr>
        <w:t>2.4</w:t>
      </w:r>
      <w:r>
        <w:rPr>
          <w:rFonts w:ascii="宋体" w:hAnsi="宋体"/>
          <w:szCs w:val="24"/>
        </w:rPr>
        <w:t xml:space="preserve"> 澄清、说明或补正 </w:t>
      </w:r>
    </w:p>
    <w:p>
      <w:pPr>
        <w:ind w:firstLine="480"/>
        <w:rPr>
          <w:rFonts w:ascii="宋体" w:hAnsi="宋体"/>
          <w:szCs w:val="24"/>
        </w:rPr>
      </w:pPr>
      <w:r>
        <w:rPr>
          <w:rFonts w:ascii="宋体" w:hAnsi="宋体"/>
          <w:szCs w:val="24"/>
        </w:rPr>
        <w:t>（1）为进行报价文件的审查、评价和比较工作，</w:t>
      </w:r>
      <w:r>
        <w:rPr>
          <w:rFonts w:hint="eastAsia" w:ascii="宋体" w:hAnsi="宋体"/>
          <w:szCs w:val="24"/>
        </w:rPr>
        <w:t>询价人员</w:t>
      </w:r>
      <w:r>
        <w:rPr>
          <w:rFonts w:ascii="宋体" w:hAnsi="宋体"/>
          <w:szCs w:val="24"/>
        </w:rPr>
        <w:t>有权要求供应商对其报价文件做出澄清说明。澄清要求和答复均应以书面形式完成。</w:t>
      </w:r>
    </w:p>
    <w:p>
      <w:pPr>
        <w:ind w:firstLine="480"/>
        <w:rPr>
          <w:rFonts w:ascii="宋体" w:hAnsi="宋体"/>
          <w:szCs w:val="24"/>
        </w:rPr>
      </w:pPr>
      <w:r>
        <w:rPr>
          <w:rFonts w:ascii="宋体" w:hAnsi="宋体"/>
          <w:szCs w:val="24"/>
        </w:rPr>
        <w:t>（2）澄清、说明或者补正不得改变投标文件的实质性内容（算术错误修正的除外）。</w:t>
      </w:r>
    </w:p>
    <w:p>
      <w:pPr>
        <w:ind w:firstLine="480"/>
        <w:rPr>
          <w:rFonts w:ascii="宋体" w:hAnsi="宋体"/>
          <w:szCs w:val="24"/>
        </w:rPr>
      </w:pPr>
      <w:r>
        <w:rPr>
          <w:rFonts w:ascii="宋体" w:hAnsi="宋体"/>
          <w:szCs w:val="24"/>
        </w:rPr>
        <w:t>（3）供应商对上述书面澄清、说明和补正，均应由法定代表人或其委托代理人签字，并作为投标文件组成部分。</w:t>
      </w:r>
    </w:p>
    <w:p>
      <w:pPr>
        <w:ind w:firstLine="480"/>
        <w:rPr>
          <w:rFonts w:ascii="宋体" w:hAnsi="宋体"/>
          <w:szCs w:val="24"/>
        </w:rPr>
      </w:pPr>
      <w:r>
        <w:rPr>
          <w:rFonts w:ascii="宋体" w:hAnsi="宋体"/>
          <w:szCs w:val="24"/>
        </w:rPr>
        <w:t>（4）</w:t>
      </w:r>
      <w:r>
        <w:rPr>
          <w:rFonts w:hint="eastAsia" w:ascii="宋体" w:hAnsi="宋体"/>
          <w:szCs w:val="24"/>
        </w:rPr>
        <w:t>询价人员</w:t>
      </w:r>
      <w:r>
        <w:rPr>
          <w:rFonts w:ascii="宋体" w:hAnsi="宋体"/>
          <w:szCs w:val="24"/>
        </w:rPr>
        <w:t>对供应商提交的澄清、说明或补正有疑问的，可以要求供应商进一步澄清、说明或补正，直至满足</w:t>
      </w:r>
      <w:r>
        <w:rPr>
          <w:rFonts w:hint="eastAsia" w:ascii="宋体" w:hAnsi="宋体"/>
          <w:szCs w:val="24"/>
        </w:rPr>
        <w:t>询价人员</w:t>
      </w:r>
      <w:r>
        <w:rPr>
          <w:rFonts w:ascii="宋体" w:hAnsi="宋体"/>
          <w:szCs w:val="24"/>
        </w:rPr>
        <w:t>的要求。</w:t>
      </w:r>
    </w:p>
    <w:p>
      <w:pPr>
        <w:pStyle w:val="3"/>
        <w:spacing w:before="120"/>
      </w:pPr>
      <w:bookmarkStart w:id="80" w:name="_Toc81472826"/>
      <w:r>
        <w:rPr>
          <w:rFonts w:hint="eastAsia"/>
        </w:rPr>
        <w:t>四、推荐成交供应商</w:t>
      </w:r>
      <w:bookmarkEnd w:id="80"/>
    </w:p>
    <w:p>
      <w:pPr>
        <w:ind w:firstLine="480"/>
      </w:pPr>
      <w:r>
        <w:rPr>
          <w:rFonts w:hint="eastAsia"/>
        </w:rPr>
        <w:t xml:space="preserve">按质量和服务满足采购文件要求且报价最低的原则，推荐成交供应商。若响应文件报价相同，按供应商注册资本金从多到少排序。 </w:t>
      </w:r>
      <w:bookmarkEnd w:id="77"/>
      <w:bookmarkEnd w:id="78"/>
      <w:bookmarkEnd w:id="79"/>
      <w:bookmarkStart w:id="81" w:name="_Toc525134808"/>
    </w:p>
    <w:p>
      <w:pPr>
        <w:ind w:firstLine="480"/>
      </w:pPr>
    </w:p>
    <w:p>
      <w:pPr>
        <w:ind w:firstLine="0" w:firstLineChars="0"/>
        <w:rPr>
          <w:rFonts w:ascii="宋体" w:hAnsi="宋体"/>
          <w:sz w:val="32"/>
          <w:szCs w:val="32"/>
        </w:rPr>
        <w:sectPr>
          <w:footerReference r:id="rId9" w:type="default"/>
          <w:pgSz w:w="11907" w:h="16839"/>
          <w:pgMar w:top="1560" w:right="1440" w:bottom="1276" w:left="1440" w:header="567" w:footer="567" w:gutter="0"/>
          <w:pgBorders>
            <w:top w:val="none" w:sz="0" w:space="0"/>
            <w:left w:val="none" w:sz="0" w:space="0"/>
            <w:bottom w:val="none" w:sz="0" w:space="0"/>
            <w:right w:val="none" w:sz="0" w:space="0"/>
          </w:pgBorders>
          <w:cols w:space="425" w:num="1"/>
          <w:docGrid w:linePitch="326" w:charSpace="0"/>
        </w:sectPr>
      </w:pPr>
    </w:p>
    <w:p>
      <w:pPr>
        <w:pStyle w:val="48"/>
        <w:spacing w:before="120"/>
      </w:pPr>
      <w:bookmarkStart w:id="82" w:name="_Toc81472827"/>
      <w:r>
        <w:rPr>
          <w:rFonts w:hint="eastAsia"/>
        </w:rPr>
        <w:t xml:space="preserve">第四章 </w:t>
      </w:r>
      <w:bookmarkEnd w:id="81"/>
      <w:r>
        <w:rPr>
          <w:rFonts w:hint="eastAsia"/>
        </w:rPr>
        <w:t>订单条款及格式</w:t>
      </w:r>
      <w:bookmarkEnd w:id="82"/>
    </w:p>
    <w:p>
      <w:pPr>
        <w:ind w:firstLine="480"/>
      </w:pPr>
    </w:p>
    <w:tbl>
      <w:tblPr>
        <w:tblStyle w:val="51"/>
        <w:tblW w:w="14906" w:type="dxa"/>
        <w:tblInd w:w="93" w:type="dxa"/>
        <w:tblLayout w:type="autofit"/>
        <w:tblCellMar>
          <w:top w:w="0" w:type="dxa"/>
          <w:left w:w="108" w:type="dxa"/>
          <w:bottom w:w="0" w:type="dxa"/>
          <w:right w:w="108" w:type="dxa"/>
        </w:tblCellMar>
      </w:tblPr>
      <w:tblGrid>
        <w:gridCol w:w="707"/>
        <w:gridCol w:w="2355"/>
        <w:gridCol w:w="3341"/>
        <w:gridCol w:w="1081"/>
        <w:gridCol w:w="1355"/>
        <w:gridCol w:w="1371"/>
        <w:gridCol w:w="1038"/>
        <w:gridCol w:w="707"/>
        <w:gridCol w:w="955"/>
        <w:gridCol w:w="1288"/>
        <w:gridCol w:w="708"/>
      </w:tblGrid>
      <w:tr>
        <w:tblPrEx>
          <w:tblCellMar>
            <w:top w:w="0" w:type="dxa"/>
            <w:left w:w="108" w:type="dxa"/>
            <w:bottom w:w="0" w:type="dxa"/>
            <w:right w:w="108" w:type="dxa"/>
          </w:tblCellMar>
        </w:tblPrEx>
        <w:trPr>
          <w:trHeight w:val="605" w:hRule="atLeast"/>
        </w:trPr>
        <w:tc>
          <w:tcPr>
            <w:tcW w:w="14906" w:type="dxa"/>
            <w:gridSpan w:val="11"/>
            <w:tcBorders>
              <w:top w:val="nil"/>
              <w:left w:val="nil"/>
              <w:bottom w:val="nil"/>
              <w:right w:val="nil"/>
            </w:tcBorders>
            <w:shd w:val="clear" w:color="auto" w:fill="auto"/>
            <w:vAlign w:val="center"/>
          </w:tcPr>
          <w:p>
            <w:pPr>
              <w:widowControl/>
              <w:adjustRightInd/>
              <w:snapToGrid/>
              <w:spacing w:line="240" w:lineRule="auto"/>
              <w:ind w:firstLine="723" w:firstLineChars="0"/>
              <w:jc w:val="center"/>
              <w:rPr>
                <w:rFonts w:ascii="宋体" w:hAnsi="宋体" w:cs="宋体"/>
                <w:b/>
                <w:bCs/>
                <w:color w:val="000000"/>
                <w:kern w:val="0"/>
                <w:sz w:val="36"/>
                <w:szCs w:val="36"/>
              </w:rPr>
            </w:pPr>
            <w:bookmarkStart w:id="83" w:name="table2"/>
            <w:bookmarkEnd w:id="83"/>
            <w:bookmarkStart w:id="84" w:name="table3"/>
            <w:bookmarkEnd w:id="84"/>
            <w:bookmarkStart w:id="85" w:name="_Toc246997081"/>
            <w:bookmarkStart w:id="86" w:name="_Toc179632787"/>
            <w:bookmarkStart w:id="87" w:name="_Toc247085853"/>
            <w:bookmarkStart w:id="88" w:name="_Toc525134814"/>
            <w:bookmarkStart w:id="89" w:name="_Toc246996338"/>
            <w:r>
              <w:rPr>
                <w:rFonts w:hint="eastAsia" w:ascii="宋体" w:hAnsi="宋体" w:cs="宋体"/>
                <w:b/>
                <w:bCs/>
                <w:color w:val="000000"/>
                <w:kern w:val="0"/>
                <w:sz w:val="36"/>
                <w:szCs w:val="36"/>
              </w:rPr>
              <w:t>华能海南发电股份有限公司海口电厂</w:t>
            </w:r>
            <w:r>
              <w:rPr>
                <w:rFonts w:hint="eastAsia" w:ascii="宋体" w:hAnsi="宋体" w:cs="宋体"/>
                <w:b/>
                <w:bCs/>
                <w:color w:val="000000"/>
                <w:kern w:val="0"/>
                <w:sz w:val="36"/>
                <w:szCs w:val="36"/>
              </w:rPr>
              <w:br w:type="textWrapping"/>
            </w:r>
            <w:r>
              <w:rPr>
                <w:rFonts w:hint="eastAsia" w:ascii="宋体" w:hAnsi="宋体" w:cs="宋体"/>
                <w:b/>
                <w:bCs/>
                <w:color w:val="000000"/>
                <w:kern w:val="0"/>
                <w:sz w:val="36"/>
                <w:szCs w:val="36"/>
              </w:rPr>
              <w:t>物资采购订单</w:t>
            </w:r>
          </w:p>
        </w:tc>
      </w:tr>
      <w:tr>
        <w:tblPrEx>
          <w:tblCellMar>
            <w:top w:w="0" w:type="dxa"/>
            <w:left w:w="108" w:type="dxa"/>
            <w:bottom w:w="0" w:type="dxa"/>
            <w:right w:w="108" w:type="dxa"/>
          </w:tblCellMar>
        </w:tblPrEx>
        <w:trPr>
          <w:trHeight w:val="272" w:hRule="atLeast"/>
        </w:trPr>
        <w:tc>
          <w:tcPr>
            <w:tcW w:w="14906" w:type="dxa"/>
            <w:gridSpan w:val="11"/>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采购订单：                                创建日期：            税率：13%</w:t>
            </w:r>
          </w:p>
        </w:tc>
      </w:tr>
      <w:tr>
        <w:tblPrEx>
          <w:tblCellMar>
            <w:top w:w="0" w:type="dxa"/>
            <w:left w:w="108" w:type="dxa"/>
            <w:bottom w:w="0" w:type="dxa"/>
            <w:right w:w="108" w:type="dxa"/>
          </w:tblCellMar>
        </w:tblPrEx>
        <w:trPr>
          <w:trHeight w:val="272" w:hRule="atLeast"/>
        </w:trPr>
        <w:tc>
          <w:tcPr>
            <w:tcW w:w="14906" w:type="dxa"/>
            <w:gridSpan w:val="11"/>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供货单位：              联系人：              电话：                  手机：</w:t>
            </w:r>
          </w:p>
        </w:tc>
      </w:tr>
      <w:tr>
        <w:tblPrEx>
          <w:tblCellMar>
            <w:top w:w="0" w:type="dxa"/>
            <w:left w:w="108" w:type="dxa"/>
            <w:bottom w:w="0" w:type="dxa"/>
            <w:right w:w="108" w:type="dxa"/>
          </w:tblCellMar>
        </w:tblPrEx>
        <w:trPr>
          <w:trHeight w:val="262" w:hRule="atLeast"/>
        </w:trPr>
        <w:tc>
          <w:tcPr>
            <w:tcW w:w="14906" w:type="dxa"/>
            <w:gridSpan w:val="11"/>
            <w:tcBorders>
              <w:top w:val="nil"/>
              <w:left w:val="nil"/>
              <w:bottom w:val="single" w:color="auto" w:sz="4" w:space="0"/>
              <w:right w:val="nil"/>
            </w:tcBorders>
            <w:shd w:val="clear" w:color="auto" w:fill="auto"/>
            <w:noWrap/>
            <w:vAlign w:val="center"/>
          </w:tcPr>
          <w:p>
            <w:pPr>
              <w:widowControl/>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采购单位：华能海南发电股份有限公司海口电厂                     采购员：                                   传真：</w:t>
            </w:r>
          </w:p>
        </w:tc>
      </w:tr>
      <w:tr>
        <w:tblPrEx>
          <w:tblCellMar>
            <w:top w:w="0" w:type="dxa"/>
            <w:left w:w="108" w:type="dxa"/>
            <w:bottom w:w="0" w:type="dxa"/>
            <w:right w:w="108" w:type="dxa"/>
          </w:tblCellMar>
        </w:tblPrEx>
        <w:trPr>
          <w:trHeight w:val="333" w:hRule="atLeast"/>
        </w:trPr>
        <w:tc>
          <w:tcPr>
            <w:tcW w:w="70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序号</w:t>
            </w:r>
          </w:p>
        </w:tc>
        <w:tc>
          <w:tcPr>
            <w:tcW w:w="235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物料编码</w:t>
            </w:r>
          </w:p>
        </w:tc>
        <w:tc>
          <w:tcPr>
            <w:tcW w:w="33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物料描述</w:t>
            </w:r>
          </w:p>
        </w:tc>
        <w:tc>
          <w:tcPr>
            <w:tcW w:w="10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数量</w:t>
            </w:r>
          </w:p>
        </w:tc>
        <w:tc>
          <w:tcPr>
            <w:tcW w:w="135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单位</w:t>
            </w:r>
          </w:p>
        </w:tc>
        <w:tc>
          <w:tcPr>
            <w:tcW w:w="137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交货日期</w:t>
            </w:r>
          </w:p>
        </w:tc>
        <w:tc>
          <w:tcPr>
            <w:tcW w:w="10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净单价</w:t>
            </w:r>
          </w:p>
        </w:tc>
        <w:tc>
          <w:tcPr>
            <w:tcW w:w="707"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合计</w:t>
            </w:r>
          </w:p>
        </w:tc>
        <w:tc>
          <w:tcPr>
            <w:tcW w:w="95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WBS号</w:t>
            </w:r>
          </w:p>
        </w:tc>
        <w:tc>
          <w:tcPr>
            <w:tcW w:w="128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WBS描述</w:t>
            </w:r>
          </w:p>
        </w:tc>
        <w:tc>
          <w:tcPr>
            <w:tcW w:w="707" w:type="dxa"/>
            <w:tcBorders>
              <w:top w:val="nil"/>
              <w:left w:val="nil"/>
              <w:bottom w:val="nil"/>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库房</w:t>
            </w:r>
          </w:p>
        </w:tc>
      </w:tr>
      <w:tr>
        <w:tblPrEx>
          <w:tblCellMar>
            <w:top w:w="0" w:type="dxa"/>
            <w:left w:w="108" w:type="dxa"/>
            <w:bottom w:w="0" w:type="dxa"/>
            <w:right w:w="108" w:type="dxa"/>
          </w:tblCellMar>
        </w:tblPrEx>
        <w:trPr>
          <w:trHeight w:val="333" w:hRule="atLeast"/>
        </w:trPr>
        <w:tc>
          <w:tcPr>
            <w:tcW w:w="70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1</w:t>
            </w:r>
          </w:p>
        </w:tc>
        <w:tc>
          <w:tcPr>
            <w:tcW w:w="235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34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08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35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37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　</w:t>
            </w:r>
          </w:p>
        </w:tc>
        <w:tc>
          <w:tcPr>
            <w:tcW w:w="10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　</w:t>
            </w:r>
          </w:p>
        </w:tc>
        <w:tc>
          <w:tcPr>
            <w:tcW w:w="707"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　</w:t>
            </w:r>
          </w:p>
        </w:tc>
        <w:tc>
          <w:tcPr>
            <w:tcW w:w="95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28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　</w:t>
            </w:r>
          </w:p>
        </w:tc>
        <w:tc>
          <w:tcPr>
            <w:tcW w:w="70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b/>
                <w:bCs/>
                <w:kern w:val="0"/>
                <w:szCs w:val="24"/>
              </w:rPr>
            </w:pPr>
            <w:r>
              <w:rPr>
                <w:rFonts w:hint="eastAsia" w:ascii="宋体" w:hAnsi="宋体" w:cs="宋体"/>
                <w:b/>
                <w:bCs/>
                <w:kern w:val="0"/>
                <w:szCs w:val="24"/>
              </w:rPr>
              <w:t>　</w:t>
            </w:r>
          </w:p>
        </w:tc>
      </w:tr>
      <w:tr>
        <w:tblPrEx>
          <w:tblCellMar>
            <w:top w:w="0" w:type="dxa"/>
            <w:left w:w="108" w:type="dxa"/>
            <w:bottom w:w="0" w:type="dxa"/>
            <w:right w:w="108" w:type="dxa"/>
          </w:tblCellMar>
        </w:tblPrEx>
        <w:trPr>
          <w:trHeight w:val="333" w:hRule="atLeast"/>
        </w:trPr>
        <w:tc>
          <w:tcPr>
            <w:tcW w:w="70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2</w:t>
            </w:r>
          </w:p>
        </w:tc>
        <w:tc>
          <w:tcPr>
            <w:tcW w:w="235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34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08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35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37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　</w:t>
            </w:r>
          </w:p>
        </w:tc>
        <w:tc>
          <w:tcPr>
            <w:tcW w:w="10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　</w:t>
            </w:r>
          </w:p>
        </w:tc>
        <w:tc>
          <w:tcPr>
            <w:tcW w:w="707"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　</w:t>
            </w:r>
          </w:p>
        </w:tc>
        <w:tc>
          <w:tcPr>
            <w:tcW w:w="95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28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　</w:t>
            </w:r>
          </w:p>
        </w:tc>
        <w:tc>
          <w:tcPr>
            <w:tcW w:w="707"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b/>
                <w:bCs/>
                <w:kern w:val="0"/>
                <w:szCs w:val="24"/>
              </w:rPr>
            </w:pPr>
            <w:r>
              <w:rPr>
                <w:rFonts w:hint="eastAsia" w:ascii="宋体" w:hAnsi="宋体" w:cs="宋体"/>
                <w:b/>
                <w:bCs/>
                <w:kern w:val="0"/>
                <w:szCs w:val="24"/>
              </w:rPr>
              <w:t>　</w:t>
            </w:r>
          </w:p>
        </w:tc>
      </w:tr>
      <w:tr>
        <w:tblPrEx>
          <w:tblCellMar>
            <w:top w:w="0" w:type="dxa"/>
            <w:left w:w="108" w:type="dxa"/>
            <w:bottom w:w="0" w:type="dxa"/>
            <w:right w:w="108" w:type="dxa"/>
          </w:tblCellMar>
        </w:tblPrEx>
        <w:trPr>
          <w:trHeight w:val="333" w:hRule="atLeast"/>
        </w:trPr>
        <w:tc>
          <w:tcPr>
            <w:tcW w:w="70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3</w:t>
            </w:r>
          </w:p>
        </w:tc>
        <w:tc>
          <w:tcPr>
            <w:tcW w:w="235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34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08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35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37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　</w:t>
            </w:r>
          </w:p>
        </w:tc>
        <w:tc>
          <w:tcPr>
            <w:tcW w:w="10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　</w:t>
            </w:r>
          </w:p>
        </w:tc>
        <w:tc>
          <w:tcPr>
            <w:tcW w:w="707"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　</w:t>
            </w:r>
          </w:p>
        </w:tc>
        <w:tc>
          <w:tcPr>
            <w:tcW w:w="95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28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　</w:t>
            </w:r>
          </w:p>
        </w:tc>
        <w:tc>
          <w:tcPr>
            <w:tcW w:w="707"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b/>
                <w:bCs/>
                <w:kern w:val="0"/>
                <w:szCs w:val="24"/>
              </w:rPr>
            </w:pPr>
            <w:r>
              <w:rPr>
                <w:rFonts w:hint="eastAsia" w:ascii="宋体" w:hAnsi="宋体" w:cs="宋体"/>
                <w:b/>
                <w:bCs/>
                <w:kern w:val="0"/>
                <w:szCs w:val="24"/>
              </w:rPr>
              <w:t>　</w:t>
            </w:r>
          </w:p>
        </w:tc>
      </w:tr>
      <w:tr>
        <w:tblPrEx>
          <w:tblCellMar>
            <w:top w:w="0" w:type="dxa"/>
            <w:left w:w="108" w:type="dxa"/>
            <w:bottom w:w="0" w:type="dxa"/>
            <w:right w:w="108" w:type="dxa"/>
          </w:tblCellMar>
        </w:tblPrEx>
        <w:trPr>
          <w:trHeight w:val="333" w:hRule="atLeast"/>
        </w:trPr>
        <w:tc>
          <w:tcPr>
            <w:tcW w:w="14906" w:type="dxa"/>
            <w:gridSpan w:val="11"/>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Cs w:val="24"/>
              </w:rPr>
            </w:pPr>
            <w:r>
              <w:rPr>
                <w:rFonts w:hint="eastAsia" w:ascii="宋体" w:hAnsi="宋体" w:cs="宋体"/>
                <w:color w:val="000000"/>
                <w:kern w:val="0"/>
                <w:szCs w:val="24"/>
              </w:rPr>
              <w:t>物价总金额（不含税）：</w:t>
            </w:r>
          </w:p>
        </w:tc>
      </w:tr>
      <w:tr>
        <w:tblPrEx>
          <w:tblCellMar>
            <w:top w:w="0" w:type="dxa"/>
            <w:left w:w="108" w:type="dxa"/>
            <w:bottom w:w="0" w:type="dxa"/>
            <w:right w:w="108" w:type="dxa"/>
          </w:tblCellMar>
        </w:tblPrEx>
        <w:trPr>
          <w:trHeight w:val="333" w:hRule="atLeast"/>
        </w:trPr>
        <w:tc>
          <w:tcPr>
            <w:tcW w:w="14906" w:type="dxa"/>
            <w:gridSpan w:val="11"/>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Cs w:val="24"/>
              </w:rPr>
            </w:pPr>
            <w:r>
              <w:rPr>
                <w:rFonts w:hint="eastAsia" w:ascii="宋体" w:hAnsi="宋体" w:cs="宋体"/>
                <w:color w:val="000000"/>
                <w:kern w:val="0"/>
                <w:szCs w:val="24"/>
              </w:rPr>
              <w:t>运杂保总额（不含税）：</w:t>
            </w:r>
          </w:p>
        </w:tc>
      </w:tr>
      <w:tr>
        <w:tblPrEx>
          <w:tblCellMar>
            <w:top w:w="0" w:type="dxa"/>
            <w:left w:w="108" w:type="dxa"/>
            <w:bottom w:w="0" w:type="dxa"/>
            <w:right w:w="108" w:type="dxa"/>
          </w:tblCellMar>
        </w:tblPrEx>
        <w:trPr>
          <w:trHeight w:val="333" w:hRule="atLeast"/>
        </w:trPr>
        <w:tc>
          <w:tcPr>
            <w:tcW w:w="14906"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Cs w:val="24"/>
              </w:rPr>
            </w:pPr>
            <w:r>
              <w:rPr>
                <w:rFonts w:hint="eastAsia" w:ascii="宋体" w:hAnsi="宋体" w:cs="宋体"/>
                <w:color w:val="000000"/>
                <w:kern w:val="0"/>
                <w:szCs w:val="24"/>
              </w:rPr>
              <w:t xml:space="preserve">总金额（含税）：                      大写： </w:t>
            </w:r>
          </w:p>
        </w:tc>
      </w:tr>
      <w:tr>
        <w:tblPrEx>
          <w:tblCellMar>
            <w:top w:w="0" w:type="dxa"/>
            <w:left w:w="108" w:type="dxa"/>
            <w:bottom w:w="0" w:type="dxa"/>
            <w:right w:w="108" w:type="dxa"/>
          </w:tblCellMar>
        </w:tblPrEx>
        <w:trPr>
          <w:trHeight w:val="333" w:hRule="atLeast"/>
        </w:trPr>
        <w:tc>
          <w:tcPr>
            <w:tcW w:w="14906" w:type="dxa"/>
            <w:gridSpan w:val="11"/>
            <w:tcBorders>
              <w:top w:val="single" w:color="auto" w:sz="4" w:space="0"/>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一、验收标准、方式及提出异议期限：按国家或行业标准由需方进行形式验收，需方的形式验收并不构成对供方产品实质的免责条件。</w:t>
            </w:r>
          </w:p>
        </w:tc>
      </w:tr>
      <w:tr>
        <w:tblPrEx>
          <w:tblCellMar>
            <w:top w:w="0" w:type="dxa"/>
            <w:left w:w="108" w:type="dxa"/>
            <w:bottom w:w="0" w:type="dxa"/>
            <w:right w:w="108" w:type="dxa"/>
          </w:tblCellMar>
        </w:tblPrEx>
        <w:trPr>
          <w:trHeight w:val="333" w:hRule="atLeast"/>
        </w:trPr>
        <w:tc>
          <w:tcPr>
            <w:tcW w:w="14906" w:type="dxa"/>
            <w:gridSpan w:val="11"/>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二、结算方式及期限：货到付款（提供13.00%增值税专用发票）烦请将采购订单填入发票的备注栏。</w:t>
            </w:r>
          </w:p>
        </w:tc>
      </w:tr>
      <w:tr>
        <w:tblPrEx>
          <w:tblCellMar>
            <w:top w:w="0" w:type="dxa"/>
            <w:left w:w="108" w:type="dxa"/>
            <w:bottom w:w="0" w:type="dxa"/>
            <w:right w:w="108" w:type="dxa"/>
          </w:tblCellMar>
        </w:tblPrEx>
        <w:trPr>
          <w:trHeight w:val="333" w:hRule="atLeast"/>
        </w:trPr>
        <w:tc>
          <w:tcPr>
            <w:tcW w:w="14906" w:type="dxa"/>
            <w:gridSpan w:val="11"/>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三、违约责任：本订单适用于中华人民共和国法律。</w:t>
            </w:r>
          </w:p>
        </w:tc>
      </w:tr>
      <w:tr>
        <w:tblPrEx>
          <w:tblCellMar>
            <w:top w:w="0" w:type="dxa"/>
            <w:left w:w="108" w:type="dxa"/>
            <w:bottom w:w="0" w:type="dxa"/>
            <w:right w:w="108" w:type="dxa"/>
          </w:tblCellMar>
        </w:tblPrEx>
        <w:trPr>
          <w:trHeight w:val="333" w:hRule="atLeast"/>
        </w:trPr>
        <w:tc>
          <w:tcPr>
            <w:tcW w:w="14906" w:type="dxa"/>
            <w:gridSpan w:val="11"/>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四、解决纠纷方式：双方协商解决。</w:t>
            </w:r>
          </w:p>
        </w:tc>
      </w:tr>
      <w:tr>
        <w:tblPrEx>
          <w:tblCellMar>
            <w:top w:w="0" w:type="dxa"/>
            <w:left w:w="108" w:type="dxa"/>
            <w:bottom w:w="0" w:type="dxa"/>
            <w:right w:w="108" w:type="dxa"/>
          </w:tblCellMar>
        </w:tblPrEx>
        <w:trPr>
          <w:trHeight w:val="333" w:hRule="atLeast"/>
        </w:trPr>
        <w:tc>
          <w:tcPr>
            <w:tcW w:w="14906" w:type="dxa"/>
            <w:gridSpan w:val="11"/>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五：交货地点：海南省澄迈县马村</w:t>
            </w:r>
          </w:p>
        </w:tc>
      </w:tr>
      <w:tr>
        <w:tblPrEx>
          <w:tblCellMar>
            <w:top w:w="0" w:type="dxa"/>
            <w:left w:w="108" w:type="dxa"/>
            <w:bottom w:w="0" w:type="dxa"/>
            <w:right w:w="108" w:type="dxa"/>
          </w:tblCellMar>
        </w:tblPrEx>
        <w:trPr>
          <w:trHeight w:val="333" w:hRule="atLeast"/>
        </w:trPr>
        <w:tc>
          <w:tcPr>
            <w:tcW w:w="14906" w:type="dxa"/>
            <w:gridSpan w:val="11"/>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六：联系人：     手机：        电话：   传真：</w:t>
            </w:r>
          </w:p>
        </w:tc>
      </w:tr>
      <w:tr>
        <w:tblPrEx>
          <w:tblCellMar>
            <w:top w:w="0" w:type="dxa"/>
            <w:left w:w="108" w:type="dxa"/>
            <w:bottom w:w="0" w:type="dxa"/>
            <w:right w:w="108" w:type="dxa"/>
          </w:tblCellMar>
        </w:tblPrEx>
        <w:trPr>
          <w:trHeight w:val="333" w:hRule="atLeast"/>
        </w:trPr>
        <w:tc>
          <w:tcPr>
            <w:tcW w:w="14906" w:type="dxa"/>
            <w:gridSpan w:val="11"/>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七：到货计价方式为货物到需方（华能海南发电股份有限公司海口电厂 ）指定地点时的落地含税结算价。包括材料费、运输费、包装费、损耗及各种税费。</w:t>
            </w:r>
          </w:p>
        </w:tc>
      </w:tr>
      <w:tr>
        <w:tblPrEx>
          <w:tblCellMar>
            <w:top w:w="0" w:type="dxa"/>
            <w:left w:w="108" w:type="dxa"/>
            <w:bottom w:w="0" w:type="dxa"/>
            <w:right w:w="108" w:type="dxa"/>
          </w:tblCellMar>
        </w:tblPrEx>
        <w:trPr>
          <w:trHeight w:val="333" w:hRule="atLeast"/>
        </w:trPr>
        <w:tc>
          <w:tcPr>
            <w:tcW w:w="707"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2355"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3341"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1081"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1355"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1371"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1038"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707"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955"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1288"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707"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33" w:hRule="atLeast"/>
        </w:trPr>
        <w:tc>
          <w:tcPr>
            <w:tcW w:w="14906" w:type="dxa"/>
            <w:gridSpan w:val="11"/>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 xml:space="preserve">           需方授权人签字（盖章）：                                            供方签名（盖章）：</w:t>
            </w:r>
          </w:p>
        </w:tc>
      </w:tr>
    </w:tbl>
    <w:p>
      <w:pPr>
        <w:ind w:firstLine="0" w:firstLineChars="0"/>
        <w:sectPr>
          <w:pgSz w:w="16839" w:h="11907" w:orient="landscape"/>
          <w:pgMar w:top="1440" w:right="1559" w:bottom="1440" w:left="1276" w:header="567" w:footer="567" w:gutter="0"/>
          <w:pgBorders>
            <w:top w:val="none" w:sz="0" w:space="0"/>
            <w:left w:val="none" w:sz="0" w:space="0"/>
            <w:bottom w:val="none" w:sz="0" w:space="0"/>
            <w:right w:val="none" w:sz="0" w:space="0"/>
          </w:pgBorders>
          <w:cols w:space="425" w:num="1"/>
          <w:docGrid w:linePitch="326" w:charSpace="0"/>
        </w:sectPr>
      </w:pPr>
    </w:p>
    <w:p>
      <w:pPr>
        <w:ind w:firstLine="0" w:firstLineChars="0"/>
      </w:pPr>
    </w:p>
    <w:p>
      <w:pPr>
        <w:pStyle w:val="48"/>
        <w:spacing w:before="120"/>
      </w:pPr>
      <w:bookmarkStart w:id="90" w:name="_Toc81472828"/>
      <w:r>
        <w:rPr>
          <w:rFonts w:hint="eastAsia"/>
        </w:rPr>
        <w:t>第五章 采购需求</w:t>
      </w:r>
      <w:bookmarkEnd w:id="85"/>
      <w:bookmarkEnd w:id="86"/>
      <w:bookmarkEnd w:id="87"/>
      <w:bookmarkEnd w:id="88"/>
      <w:bookmarkEnd w:id="89"/>
      <w:bookmarkEnd w:id="90"/>
    </w:p>
    <w:p>
      <w:pPr>
        <w:tabs>
          <w:tab w:val="left" w:pos="240"/>
          <w:tab w:val="left" w:pos="600"/>
          <w:tab w:val="left" w:pos="840"/>
        </w:tabs>
        <w:spacing w:line="360" w:lineRule="auto"/>
        <w:ind w:firstLine="0" w:firstLineChars="0"/>
        <w:rPr>
          <w:rFonts w:hint="eastAsia"/>
          <w:sz w:val="28"/>
          <w:szCs w:val="28"/>
        </w:rPr>
      </w:pPr>
      <w:r>
        <w:rPr>
          <w:rFonts w:hint="eastAsia"/>
          <w:sz w:val="28"/>
          <w:szCs w:val="28"/>
        </w:rPr>
        <w:t>详见</w:t>
      </w:r>
      <w:r>
        <w:rPr>
          <w:rFonts w:hint="eastAsia"/>
          <w:sz w:val="28"/>
          <w:szCs w:val="28"/>
          <w:lang w:val="en-US" w:eastAsia="zh-CN"/>
        </w:rPr>
        <w:t>电子商城询价公告</w:t>
      </w:r>
      <w:bookmarkStart w:id="108" w:name="_GoBack"/>
      <w:bookmarkEnd w:id="108"/>
      <w:r>
        <w:rPr>
          <w:rFonts w:hint="eastAsia"/>
          <w:sz w:val="28"/>
          <w:szCs w:val="28"/>
        </w:rPr>
        <w:t>；</w:t>
      </w: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pStyle w:val="48"/>
        <w:spacing w:before="120"/>
        <w:rPr>
          <w:rFonts w:ascii="宋体" w:hAnsi="宋体"/>
          <w:szCs w:val="24"/>
        </w:rPr>
      </w:pPr>
      <w:bookmarkStart w:id="91" w:name="_Toc81472829"/>
      <w:r>
        <w:t>第</w:t>
      </w:r>
      <w:r>
        <w:rPr>
          <w:rFonts w:hint="eastAsia"/>
        </w:rPr>
        <w:t>六</w:t>
      </w:r>
      <w:r>
        <w:t>章 响应文件格式</w:t>
      </w:r>
      <w:bookmarkEnd w:id="91"/>
    </w:p>
    <w:p>
      <w:pPr>
        <w:ind w:firstLine="480"/>
        <w:rPr>
          <w:rFonts w:ascii="宋体" w:hAnsi="宋体"/>
          <w:szCs w:val="24"/>
        </w:rPr>
      </w:pPr>
    </w:p>
    <w:p>
      <w:pPr>
        <w:adjustRightInd/>
        <w:snapToGrid/>
        <w:spacing w:line="240" w:lineRule="auto"/>
        <w:ind w:firstLine="0" w:firstLineChars="0"/>
        <w:jc w:val="center"/>
        <w:rPr>
          <w:rFonts w:ascii="宋体" w:hAnsi="宋体" w:cs="Arial"/>
          <w:b/>
          <w:sz w:val="44"/>
          <w:szCs w:val="44"/>
        </w:rPr>
      </w:pPr>
      <w:bookmarkStart w:id="92" w:name="_Toc453079648"/>
      <w:bookmarkStart w:id="93" w:name="_Toc453162709"/>
      <w:bookmarkStart w:id="94" w:name="_Toc453162622"/>
      <w:r>
        <w:rPr>
          <w:rFonts w:hint="eastAsia" w:ascii="宋体" w:hAnsi="宋体" w:cs="Arial"/>
          <w:b/>
          <w:sz w:val="44"/>
          <w:szCs w:val="44"/>
          <w:lang w:val="en-US" w:eastAsia="zh-CN"/>
        </w:rPr>
        <w:t xml:space="preserve">   </w:t>
      </w:r>
      <w:r>
        <w:rPr>
          <w:rFonts w:hint="eastAsia" w:ascii="宋体" w:hAnsi="宋体" w:cs="Arial"/>
          <w:b/>
          <w:sz w:val="44"/>
          <w:szCs w:val="44"/>
        </w:rPr>
        <w:t>华能海南发电股份有限公司海口电厂</w:t>
      </w:r>
    </w:p>
    <w:p>
      <w:pPr>
        <w:pStyle w:val="22"/>
        <w:spacing w:before="120" w:beforeLines="50"/>
        <w:ind w:firstLine="640" w:firstLineChars="145"/>
        <w:jc w:val="center"/>
        <w:rPr>
          <w:rFonts w:hint="default" w:ascii="宋体" w:hAnsi="宋体" w:eastAsia="宋体" w:cs="Arial"/>
          <w:b/>
          <w:kern w:val="2"/>
          <w:sz w:val="44"/>
          <w:szCs w:val="44"/>
          <w:lang w:val="en-US" w:eastAsia="zh-CN" w:bidi="ar-SA"/>
        </w:rPr>
      </w:pPr>
      <w:r>
        <w:rPr>
          <w:rFonts w:hint="eastAsia" w:ascii="宋体" w:hAnsi="宋体" w:eastAsia="宋体" w:cs="Arial"/>
          <w:b/>
          <w:kern w:val="2"/>
          <w:sz w:val="44"/>
          <w:szCs w:val="44"/>
          <w:lang w:val="en-US" w:eastAsia="zh-CN" w:bidi="ar-SA"/>
        </w:rPr>
        <w:t>电力电缆、气体继电器等物资采购项</w:t>
      </w:r>
      <w:r>
        <w:rPr>
          <w:rFonts w:hint="eastAsia" w:ascii="宋体" w:hAnsi="宋体" w:cs="Arial"/>
          <w:b/>
          <w:kern w:val="2"/>
          <w:sz w:val="44"/>
          <w:szCs w:val="44"/>
          <w:lang w:val="en-US" w:eastAsia="zh-CN" w:bidi="ar-SA"/>
        </w:rPr>
        <w:t>目</w:t>
      </w:r>
    </w:p>
    <w:p>
      <w:pPr>
        <w:pStyle w:val="22"/>
        <w:ind w:left="119" w:firstLine="0" w:firstLineChars="0"/>
        <w:jc w:val="center"/>
        <w:rPr>
          <w:rFonts w:ascii="宋体" w:hAnsi="宋体" w:cs="Arial"/>
          <w:sz w:val="72"/>
        </w:rPr>
      </w:pPr>
    </w:p>
    <w:p>
      <w:pPr>
        <w:pStyle w:val="22"/>
        <w:ind w:firstLine="0" w:firstLineChars="0"/>
        <w:jc w:val="center"/>
        <w:rPr>
          <w:rFonts w:ascii="黑体" w:hAnsi="黑体" w:eastAsia="黑体" w:cs="Arial"/>
          <w:sz w:val="84"/>
          <w:szCs w:val="84"/>
        </w:rPr>
      </w:pPr>
      <w:r>
        <w:rPr>
          <w:rFonts w:hint="eastAsia" w:ascii="黑体" w:hAnsi="黑体" w:eastAsia="黑体" w:cs="Arial"/>
          <w:sz w:val="84"/>
          <w:szCs w:val="84"/>
        </w:rPr>
        <w:t>响应</w:t>
      </w:r>
      <w:r>
        <w:rPr>
          <w:rFonts w:ascii="黑体" w:hAnsi="黑体" w:eastAsia="黑体" w:cs="Arial"/>
          <w:sz w:val="84"/>
          <w:szCs w:val="84"/>
        </w:rPr>
        <w:t>文件</w:t>
      </w:r>
    </w:p>
    <w:p>
      <w:pPr>
        <w:pStyle w:val="22"/>
        <w:ind w:firstLine="0" w:firstLineChars="0"/>
        <w:jc w:val="center"/>
        <w:rPr>
          <w:rFonts w:hint="eastAsia" w:ascii="Arial" w:hAnsi="Arial" w:eastAsia="宋体" w:cs="Arial"/>
          <w:sz w:val="22"/>
          <w:szCs w:val="21"/>
          <w:u w:val="single"/>
          <w:lang w:val="en-US" w:eastAsia="zh-CN"/>
        </w:rPr>
      </w:pPr>
      <w:r>
        <w:rPr>
          <w:rFonts w:hint="eastAsia" w:ascii="黑体" w:hAnsi="黑体" w:eastAsia="黑体" w:cs="Arial"/>
          <w:sz w:val="32"/>
          <w:szCs w:val="32"/>
        </w:rPr>
        <w:t>采购</w:t>
      </w:r>
      <w:r>
        <w:rPr>
          <w:rFonts w:ascii="黑体" w:hAnsi="黑体" w:eastAsia="黑体" w:cs="Arial"/>
          <w:sz w:val="32"/>
          <w:szCs w:val="32"/>
        </w:rPr>
        <w:t>编号：</w:t>
      </w:r>
      <w:r>
        <w:rPr>
          <w:rFonts w:hint="eastAsia" w:ascii="Arial" w:hAnsi="Arial" w:cs="Arial"/>
          <w:sz w:val="22"/>
          <w:szCs w:val="21"/>
          <w:u w:val="single"/>
        </w:rPr>
        <w:t>X42822070022</w:t>
      </w:r>
    </w:p>
    <w:p>
      <w:pPr>
        <w:pStyle w:val="22"/>
        <w:ind w:left="119" w:firstLine="0" w:firstLineChars="0"/>
        <w:jc w:val="center"/>
        <w:rPr>
          <w:rFonts w:ascii="宋体" w:hAnsi="宋体" w:cs="Arial"/>
        </w:rPr>
      </w:pPr>
    </w:p>
    <w:p>
      <w:pPr>
        <w:pStyle w:val="22"/>
        <w:ind w:left="119" w:firstLine="0" w:firstLineChars="0"/>
        <w:jc w:val="center"/>
        <w:rPr>
          <w:rFonts w:ascii="宋体" w:hAnsi="宋体" w:cs="Arial"/>
        </w:rPr>
      </w:pPr>
    </w:p>
    <w:p>
      <w:pPr>
        <w:pStyle w:val="22"/>
        <w:ind w:left="119" w:firstLine="0" w:firstLineChars="0"/>
        <w:jc w:val="center"/>
        <w:rPr>
          <w:rFonts w:ascii="宋体" w:hAnsi="宋体" w:cs="Arial"/>
        </w:rPr>
      </w:pPr>
    </w:p>
    <w:p>
      <w:pPr>
        <w:pStyle w:val="22"/>
        <w:ind w:left="119" w:firstLine="0" w:firstLineChars="0"/>
        <w:jc w:val="center"/>
        <w:rPr>
          <w:rFonts w:ascii="宋体" w:hAnsi="宋体" w:cs="Arial"/>
        </w:rPr>
      </w:pPr>
    </w:p>
    <w:p>
      <w:pPr>
        <w:pStyle w:val="22"/>
        <w:ind w:left="119" w:firstLine="0" w:firstLineChars="0"/>
        <w:jc w:val="center"/>
        <w:rPr>
          <w:rFonts w:ascii="宋体" w:hAnsi="宋体" w:cs="Arial"/>
        </w:rPr>
      </w:pPr>
    </w:p>
    <w:p>
      <w:pPr>
        <w:pStyle w:val="22"/>
        <w:ind w:left="119" w:firstLine="0" w:firstLineChars="0"/>
        <w:jc w:val="center"/>
        <w:rPr>
          <w:rFonts w:ascii="宋体" w:hAnsi="宋体" w:cs="Arial"/>
        </w:rPr>
      </w:pPr>
    </w:p>
    <w:p>
      <w:pPr>
        <w:pStyle w:val="22"/>
        <w:ind w:left="119" w:firstLine="0" w:firstLineChars="0"/>
        <w:jc w:val="center"/>
        <w:rPr>
          <w:rFonts w:ascii="宋体" w:hAnsi="宋体" w:cs="Arial"/>
        </w:rPr>
      </w:pPr>
    </w:p>
    <w:p>
      <w:pPr>
        <w:pStyle w:val="22"/>
        <w:ind w:left="119" w:firstLine="0" w:firstLineChars="0"/>
        <w:jc w:val="center"/>
        <w:rPr>
          <w:rFonts w:ascii="宋体" w:hAnsi="宋体" w:cs="Arial"/>
        </w:rPr>
      </w:pPr>
    </w:p>
    <w:p>
      <w:pPr>
        <w:pStyle w:val="22"/>
        <w:ind w:left="119" w:firstLine="0" w:firstLineChars="0"/>
        <w:jc w:val="center"/>
        <w:rPr>
          <w:rFonts w:ascii="宋体" w:hAnsi="宋体" w:cs="Arial"/>
          <w:sz w:val="28"/>
          <w:szCs w:val="28"/>
        </w:rPr>
      </w:pPr>
      <w:r>
        <w:rPr>
          <w:rFonts w:ascii="宋体" w:hAnsi="宋体" w:cs="Arial"/>
          <w:sz w:val="28"/>
          <w:szCs w:val="28"/>
        </w:rPr>
        <w:t>供应商：</w:t>
      </w:r>
      <w:r>
        <w:rPr>
          <w:rFonts w:ascii="宋体" w:hAnsi="宋体" w:cs="Arial"/>
          <w:sz w:val="28"/>
          <w:szCs w:val="28"/>
          <w:u w:val="single"/>
        </w:rPr>
        <w:tab/>
      </w:r>
      <w:r>
        <w:rPr>
          <w:rFonts w:hint="eastAsia" w:ascii="宋体" w:hAnsi="宋体" w:cs="Arial"/>
          <w:sz w:val="28"/>
          <w:szCs w:val="28"/>
          <w:u w:val="single"/>
        </w:rPr>
        <w:t xml:space="preserve">     （盖章）</w:t>
      </w:r>
    </w:p>
    <w:p>
      <w:pPr>
        <w:pStyle w:val="22"/>
        <w:ind w:firstLine="0" w:firstLineChars="0"/>
        <w:jc w:val="center"/>
        <w:rPr>
          <w:rFonts w:ascii="宋体" w:hAnsi="宋体" w:cs="Arial"/>
          <w:sz w:val="28"/>
          <w:szCs w:val="28"/>
        </w:rPr>
      </w:pPr>
      <w:r>
        <w:rPr>
          <w:rFonts w:ascii="宋体" w:hAnsi="宋体" w:cs="Arial"/>
          <w:sz w:val="28"/>
          <w:szCs w:val="28"/>
        </w:rPr>
        <w:t>日 期：</w:t>
      </w:r>
      <w:r>
        <w:rPr>
          <w:rFonts w:hint="eastAsia" w:ascii="宋体" w:hAnsi="宋体" w:cs="Arial"/>
          <w:sz w:val="28"/>
          <w:szCs w:val="28"/>
        </w:rPr>
        <w:t xml:space="preserve">  </w:t>
      </w:r>
      <w:r>
        <w:rPr>
          <w:rFonts w:ascii="宋体" w:hAnsi="宋体" w:cs="Arial"/>
          <w:sz w:val="28"/>
          <w:szCs w:val="28"/>
        </w:rPr>
        <w:t>年</w:t>
      </w:r>
      <w:r>
        <w:rPr>
          <w:rFonts w:hint="eastAsia" w:ascii="宋体" w:hAnsi="宋体" w:cs="Arial"/>
          <w:sz w:val="28"/>
          <w:szCs w:val="28"/>
        </w:rPr>
        <w:t xml:space="preserve">  </w:t>
      </w:r>
      <w:r>
        <w:rPr>
          <w:rFonts w:ascii="宋体" w:hAnsi="宋体" w:cs="Arial"/>
          <w:sz w:val="28"/>
          <w:szCs w:val="28"/>
        </w:rPr>
        <w:t>月</w:t>
      </w:r>
      <w:r>
        <w:rPr>
          <w:rFonts w:hint="eastAsia" w:ascii="宋体" w:hAnsi="宋体" w:cs="Arial"/>
          <w:sz w:val="28"/>
          <w:szCs w:val="28"/>
        </w:rPr>
        <w:t xml:space="preserve">  </w:t>
      </w:r>
      <w:r>
        <w:rPr>
          <w:rFonts w:ascii="宋体" w:hAnsi="宋体" w:cs="Arial"/>
          <w:sz w:val="28"/>
          <w:szCs w:val="28"/>
        </w:rPr>
        <w:t>日</w:t>
      </w:r>
    </w:p>
    <w:p>
      <w:pPr>
        <w:ind w:firstLine="0" w:firstLineChars="0"/>
        <w:jc w:val="left"/>
        <w:rPr>
          <w:rFonts w:ascii="宋体" w:hAnsi="宋体"/>
          <w:color w:val="000000"/>
          <w:szCs w:val="24"/>
        </w:rPr>
      </w:pPr>
    </w:p>
    <w:p>
      <w:pPr>
        <w:ind w:firstLine="480"/>
        <w:rPr>
          <w:rFonts w:ascii="宋体" w:hAnsi="宋体"/>
          <w:color w:val="000000"/>
          <w:szCs w:val="24"/>
        </w:rPr>
      </w:pPr>
    </w:p>
    <w:p>
      <w:pPr>
        <w:ind w:firstLine="480"/>
        <w:jc w:val="center"/>
        <w:rPr>
          <w:rFonts w:ascii="黑体" w:hAnsi="黑体" w:eastAsia="黑体"/>
        </w:rPr>
      </w:pPr>
      <w:r>
        <w:rPr>
          <w:color w:val="000000"/>
        </w:rPr>
        <w:br w:type="page"/>
      </w:r>
      <w:bookmarkEnd w:id="92"/>
      <w:bookmarkEnd w:id="93"/>
      <w:bookmarkEnd w:id="94"/>
      <w:r>
        <w:rPr>
          <w:rFonts w:hint="eastAsia" w:ascii="黑体" w:hAnsi="黑体" w:eastAsia="黑体"/>
          <w:sz w:val="36"/>
        </w:rPr>
        <w:t>目  录</w:t>
      </w:r>
    </w:p>
    <w:p>
      <w:pPr>
        <w:spacing w:line="540" w:lineRule="exact"/>
        <w:ind w:firstLine="480"/>
        <w:rPr>
          <w:color w:val="000000"/>
        </w:rPr>
      </w:pPr>
    </w:p>
    <w:p>
      <w:pPr>
        <w:ind w:firstLine="480"/>
      </w:pPr>
      <w:r>
        <w:rPr>
          <w:rFonts w:hint="eastAsia"/>
        </w:rPr>
        <w:t>一、</w:t>
      </w:r>
      <w:r>
        <w:t>授权委托</w:t>
      </w:r>
      <w:r>
        <w:rPr>
          <w:color w:val="000000"/>
        </w:rPr>
        <w:t>书</w:t>
      </w:r>
    </w:p>
    <w:p>
      <w:pPr>
        <w:ind w:firstLine="480"/>
      </w:pPr>
      <w:r>
        <w:rPr>
          <w:rFonts w:hint="eastAsia"/>
        </w:rPr>
        <w:t>二、报价部分</w:t>
      </w:r>
    </w:p>
    <w:p>
      <w:pPr>
        <w:ind w:firstLine="480"/>
      </w:pPr>
      <w:r>
        <w:rPr>
          <w:rFonts w:hint="eastAsia"/>
        </w:rPr>
        <w:t>三、偏差</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3"/>
        <w:spacing w:before="120"/>
        <w:rPr>
          <w:color w:val="000000"/>
        </w:rPr>
      </w:pPr>
      <w:bookmarkStart w:id="95" w:name="_Toc369531696"/>
      <w:bookmarkEnd w:id="95"/>
      <w:bookmarkStart w:id="96" w:name="_Toc369531695"/>
      <w:bookmarkEnd w:id="96"/>
      <w:bookmarkStart w:id="97" w:name="_Toc352691660"/>
      <w:bookmarkEnd w:id="97"/>
      <w:bookmarkStart w:id="98" w:name="_Toc16568"/>
      <w:bookmarkEnd w:id="98"/>
      <w:bookmarkStart w:id="99" w:name="_Toc16824"/>
      <w:bookmarkEnd w:id="99"/>
      <w:bookmarkStart w:id="100" w:name="_Toc352691659"/>
      <w:bookmarkEnd w:id="100"/>
      <w:bookmarkStart w:id="101" w:name="_Toc527560962"/>
      <w:bookmarkStart w:id="102" w:name="_Toc81472830"/>
      <w:r>
        <w:rPr>
          <w:rFonts w:hint="eastAsia"/>
        </w:rPr>
        <w:t>一</w:t>
      </w:r>
      <w:r>
        <w:t>、授权委托书</w:t>
      </w:r>
      <w:bookmarkEnd w:id="101"/>
      <w:bookmarkEnd w:id="102"/>
    </w:p>
    <w:p>
      <w:pPr>
        <w:ind w:firstLine="480"/>
        <w:rPr>
          <w:rFonts w:eastAsia="黑体"/>
          <w:color w:val="000000"/>
        </w:rPr>
      </w:pPr>
    </w:p>
    <w:p>
      <w:pPr>
        <w:ind w:firstLine="480"/>
      </w:pPr>
      <w:r>
        <w:rPr>
          <w:rFonts w:hint="eastAsia"/>
        </w:rPr>
        <w:t>本人</w:t>
      </w:r>
      <w:r>
        <w:rPr>
          <w:u w:val="single"/>
        </w:rPr>
        <w:t>（姓名）</w:t>
      </w:r>
      <w:r>
        <w:t>系</w:t>
      </w:r>
      <w:r>
        <w:rPr>
          <w:rFonts w:hint="eastAsia"/>
          <w:u w:val="single"/>
        </w:rPr>
        <w:t>（供应商名称）</w:t>
      </w:r>
      <w:r>
        <w:t>的</w:t>
      </w:r>
      <w:r>
        <w:rPr>
          <w:rFonts w:hint="eastAsia"/>
        </w:rPr>
        <w:t>法定代表人</w:t>
      </w:r>
      <w:r>
        <w:rPr>
          <w:rFonts w:hint="eastAsia"/>
          <w:u w:val="single"/>
        </w:rPr>
        <w:t>（单位负责人）</w:t>
      </w:r>
      <w:r>
        <w:rPr>
          <w:rFonts w:hint="eastAsia"/>
        </w:rPr>
        <w:t>，</w:t>
      </w:r>
      <w:r>
        <w:t>现委托</w:t>
      </w:r>
      <w:r>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采购项目</w:t>
      </w:r>
      <w:r>
        <w:t>响应文件、签订合同和处理有关事宜，其法律后果由我方承担。</w:t>
      </w:r>
    </w:p>
    <w:p>
      <w:pPr>
        <w:ind w:firstLine="480"/>
      </w:pPr>
      <w:r>
        <w:t>委托期限：</w:t>
      </w:r>
      <w:r>
        <w:rPr>
          <w:rFonts w:hint="eastAsia"/>
        </w:rPr>
        <w:t>。</w:t>
      </w:r>
    </w:p>
    <w:p>
      <w:pPr>
        <w:ind w:firstLine="480"/>
      </w:pPr>
      <w:r>
        <w:t>代理人无转委托权。</w:t>
      </w:r>
    </w:p>
    <w:p>
      <w:pPr>
        <w:ind w:firstLine="480"/>
      </w:pPr>
      <w:r>
        <w:rPr>
          <w:rFonts w:hint="eastAsia"/>
        </w:rPr>
        <w:t>附：法定代表人（单位负责人）身份证复印件及委托代理人身份证复印件</w:t>
      </w:r>
    </w:p>
    <w:p>
      <w:pPr>
        <w:ind w:firstLine="480"/>
      </w:pPr>
    </w:p>
    <w:p>
      <w:pPr>
        <w:ind w:firstLine="480"/>
      </w:pPr>
      <w:r>
        <w:rPr>
          <w:rFonts w:hint="eastAsia"/>
        </w:rPr>
        <w:t>注：本授权委托书需由供应商加盖单位公章并由其法定代表人（单位负责人）签字。</w:t>
      </w:r>
    </w:p>
    <w:p>
      <w:pPr>
        <w:ind w:firstLine="480"/>
        <w:rPr>
          <w:color w:val="000000"/>
        </w:rPr>
      </w:pPr>
    </w:p>
    <w:p>
      <w:pPr>
        <w:ind w:firstLine="3076" w:firstLineChars="1282"/>
        <w:rPr>
          <w:color w:val="000000"/>
          <w:u w:val="single"/>
        </w:rPr>
      </w:pPr>
      <w:r>
        <w:rPr>
          <w:color w:val="000000"/>
        </w:rPr>
        <w:t>供应商：</w:t>
      </w:r>
      <w:r>
        <w:rPr>
          <w:color w:val="000000"/>
          <w:u w:val="single"/>
        </w:rPr>
        <w:t>（单位公章）</w:t>
      </w:r>
    </w:p>
    <w:p>
      <w:pPr>
        <w:ind w:firstLine="3076" w:firstLineChars="1282"/>
        <w:rPr>
          <w:color w:val="000000"/>
        </w:rPr>
      </w:pPr>
    </w:p>
    <w:p>
      <w:pPr>
        <w:ind w:firstLine="3074" w:firstLineChars="1281"/>
        <w:rPr>
          <w:color w:val="000000"/>
        </w:rPr>
      </w:pPr>
      <w:r>
        <w:rPr>
          <w:rFonts w:hint="eastAsia"/>
          <w:color w:val="000000"/>
        </w:rPr>
        <w:t>法定代表人（单位负责人）</w:t>
      </w:r>
      <w:r>
        <w:rPr>
          <w:color w:val="000000"/>
        </w:rPr>
        <w:t>：</w:t>
      </w:r>
      <w:r>
        <w:rPr>
          <w:color w:val="000000"/>
          <w:u w:val="single"/>
        </w:rPr>
        <w:t xml:space="preserve">（签字）              </w:t>
      </w:r>
    </w:p>
    <w:p>
      <w:pPr>
        <w:ind w:firstLine="3076" w:firstLineChars="1282"/>
        <w:rPr>
          <w:color w:val="000000"/>
        </w:rPr>
      </w:pPr>
    </w:p>
    <w:p>
      <w:pPr>
        <w:ind w:firstLine="3076" w:firstLineChars="1282"/>
        <w:rPr>
          <w:color w:val="000000"/>
          <w:u w:val="single"/>
        </w:rPr>
      </w:pPr>
      <w:r>
        <w:rPr>
          <w:color w:val="000000"/>
        </w:rPr>
        <w:t>委托代理人：</w:t>
      </w:r>
      <w:r>
        <w:rPr>
          <w:color w:val="000000"/>
          <w:u w:val="single"/>
        </w:rPr>
        <w:t xml:space="preserve">（签字）                           </w:t>
      </w:r>
    </w:p>
    <w:p>
      <w:pPr>
        <w:ind w:firstLine="3076" w:firstLineChars="1282"/>
        <w:rPr>
          <w:color w:val="000000"/>
        </w:rPr>
      </w:pPr>
    </w:p>
    <w:p>
      <w:pPr>
        <w:ind w:firstLine="3076" w:firstLineChars="1282"/>
        <w:rPr>
          <w:color w:val="000000"/>
        </w:rPr>
      </w:pPr>
    </w:p>
    <w:p>
      <w:pPr>
        <w:ind w:firstLine="4876" w:firstLineChars="2032"/>
        <w:rPr>
          <w:color w:val="000000"/>
        </w:rPr>
      </w:pPr>
      <w:r>
        <w:rPr>
          <w:color w:val="000000"/>
        </w:rPr>
        <w:t>年</w:t>
      </w:r>
      <w:r>
        <w:rPr>
          <w:rFonts w:hint="eastAsia"/>
          <w:color w:val="000000"/>
        </w:rPr>
        <w:t xml:space="preserve">  </w:t>
      </w:r>
      <w:r>
        <w:rPr>
          <w:color w:val="000000"/>
        </w:rPr>
        <w:t>月</w:t>
      </w:r>
      <w:r>
        <w:rPr>
          <w:rFonts w:hint="eastAsia"/>
          <w:color w:val="000000"/>
        </w:rPr>
        <w:t xml:space="preserve">  </w:t>
      </w:r>
      <w:r>
        <w:rPr>
          <w:color w:val="000000"/>
        </w:rPr>
        <w:t>日</w:t>
      </w:r>
    </w:p>
    <w:p>
      <w:pPr>
        <w:spacing w:line="400" w:lineRule="exact"/>
        <w:ind w:firstLine="480"/>
        <w:rPr>
          <w:color w:val="000000"/>
        </w:rPr>
      </w:pPr>
    </w:p>
    <w:p>
      <w:pPr>
        <w:spacing w:line="400" w:lineRule="exact"/>
        <w:ind w:firstLine="480"/>
      </w:pPr>
      <w:r>
        <w:rPr>
          <w:rFonts w:hint="eastAsia"/>
        </w:rPr>
        <w:t>注：如供应商法定代表人参加采购行为，只需附其身份证复印件。</w:t>
      </w:r>
    </w:p>
    <w:p>
      <w:pPr>
        <w:spacing w:line="400" w:lineRule="exact"/>
        <w:ind w:firstLine="480"/>
      </w:pPr>
    </w:p>
    <w:p>
      <w:pPr>
        <w:spacing w:line="400" w:lineRule="exact"/>
        <w:ind w:firstLine="480"/>
      </w:pPr>
    </w:p>
    <w:p>
      <w:pPr>
        <w:spacing w:line="400" w:lineRule="exact"/>
        <w:ind w:firstLine="480"/>
      </w:pPr>
    </w:p>
    <w:p>
      <w:pPr>
        <w:spacing w:line="400" w:lineRule="exact"/>
        <w:ind w:firstLine="480"/>
      </w:pPr>
    </w:p>
    <w:p>
      <w:pPr>
        <w:spacing w:line="400" w:lineRule="exact"/>
        <w:ind w:firstLine="480"/>
      </w:pPr>
    </w:p>
    <w:p>
      <w:pPr>
        <w:spacing w:line="400" w:lineRule="exact"/>
        <w:ind w:firstLine="480"/>
      </w:pPr>
    </w:p>
    <w:p>
      <w:pPr>
        <w:spacing w:line="400" w:lineRule="exact"/>
        <w:ind w:firstLine="480"/>
      </w:pPr>
    </w:p>
    <w:p>
      <w:pPr>
        <w:spacing w:line="400" w:lineRule="exact"/>
        <w:ind w:firstLine="480"/>
      </w:pPr>
    </w:p>
    <w:p>
      <w:pPr>
        <w:spacing w:line="400" w:lineRule="exact"/>
        <w:ind w:firstLine="480"/>
      </w:pPr>
    </w:p>
    <w:p>
      <w:pPr>
        <w:widowControl/>
        <w:adjustRightInd/>
        <w:snapToGrid/>
        <w:spacing w:line="240" w:lineRule="auto"/>
        <w:ind w:firstLine="0" w:firstLineChars="0"/>
        <w:jc w:val="left"/>
      </w:pPr>
      <w:r>
        <w:br w:type="page"/>
      </w:r>
    </w:p>
    <w:p>
      <w:pPr>
        <w:spacing w:line="400" w:lineRule="exact"/>
        <w:ind w:firstLine="480"/>
      </w:pPr>
    </w:p>
    <w:p>
      <w:pPr>
        <w:pStyle w:val="3"/>
        <w:spacing w:before="120"/>
      </w:pPr>
      <w:bookmarkStart w:id="103" w:name="_Toc81472831"/>
      <w:bookmarkStart w:id="104" w:name="_Toc527560963"/>
      <w:bookmarkStart w:id="105" w:name="_Toc510370158"/>
      <w:r>
        <w:rPr>
          <w:rFonts w:hint="eastAsia"/>
        </w:rPr>
        <w:t>二、报价部分</w:t>
      </w:r>
      <w:bookmarkEnd w:id="103"/>
      <w:bookmarkEnd w:id="104"/>
      <w:bookmarkEnd w:id="105"/>
    </w:p>
    <w:p>
      <w:pPr>
        <w:ind w:firstLine="480"/>
      </w:pPr>
      <w:r>
        <w:rPr>
          <w:rFonts w:hint="eastAsia"/>
        </w:rPr>
        <w:t>1.报价说明</w:t>
      </w:r>
    </w:p>
    <w:p>
      <w:pPr>
        <w:ind w:firstLine="480"/>
      </w:pPr>
      <w:r>
        <w:rPr>
          <w:rFonts w:hint="eastAsia"/>
        </w:rPr>
        <w:t>1.1 本说明应与供应商须知、合同条款等文件一起参照阅读。</w:t>
      </w:r>
    </w:p>
    <w:p>
      <w:pPr>
        <w:ind w:firstLine="480"/>
      </w:pPr>
      <w:r>
        <w:rPr>
          <w:rFonts w:hint="eastAsia"/>
        </w:rPr>
        <w:t>1.2 除合同另有规定外，报价应包括供应商为完成本合同规定的工作所承担的全部费用，包括成本、税金、利润等，并考虑了应由供应商承担的义务、责任和风险所发生的费用。</w:t>
      </w:r>
    </w:p>
    <w:p>
      <w:pPr>
        <w:ind w:firstLine="480"/>
      </w:pPr>
      <w:bookmarkStart w:id="106" w:name="_Toc354089004"/>
      <w:r>
        <w:rPr>
          <w:rFonts w:hint="eastAsia"/>
        </w:rPr>
        <w:t>2</w:t>
      </w:r>
      <w:r>
        <w:t>.</w:t>
      </w:r>
      <w:r>
        <w:rPr>
          <w:rFonts w:hint="eastAsia"/>
        </w:rPr>
        <w:t>响应报价表</w:t>
      </w:r>
      <w:bookmarkEnd w:id="106"/>
    </w:p>
    <w:p>
      <w:pPr>
        <w:ind w:firstLine="480"/>
      </w:pPr>
      <w:r>
        <w:rPr>
          <w:rFonts w:hint="eastAsia"/>
        </w:rPr>
        <w:t>2.1报价汇总表（格式）</w:t>
      </w:r>
    </w:p>
    <w:p>
      <w:pPr>
        <w:pStyle w:val="72"/>
        <w:tabs>
          <w:tab w:val="left" w:pos="0"/>
          <w:tab w:val="left" w:pos="240"/>
          <w:tab w:val="left" w:pos="840"/>
          <w:tab w:val="left" w:pos="1080"/>
        </w:tabs>
        <w:spacing w:line="360" w:lineRule="auto"/>
        <w:ind w:firstLine="0" w:firstLineChars="0"/>
        <w:jc w:val="center"/>
        <w:rPr>
          <w:rFonts w:ascii="宋体" w:hAnsi="宋体" w:cs="Arial"/>
          <w:sz w:val="21"/>
          <w:szCs w:val="21"/>
        </w:rPr>
      </w:pPr>
      <w:r>
        <w:rPr>
          <w:rFonts w:hint="eastAsia"/>
          <w:b/>
          <w:szCs w:val="21"/>
        </w:rPr>
        <w:t>报价表</w:t>
      </w:r>
    </w:p>
    <w:p>
      <w:pPr>
        <w:ind w:firstLine="420"/>
        <w:jc w:val="right"/>
        <w:rPr>
          <w:b/>
          <w:szCs w:val="21"/>
          <w:u w:val="single"/>
        </w:rPr>
      </w:pPr>
      <w:r>
        <w:rPr>
          <w:rFonts w:hint="eastAsia" w:cs="Arial"/>
          <w:sz w:val="21"/>
          <w:szCs w:val="21"/>
        </w:rPr>
        <w:t>单位：人民币元</w:t>
      </w:r>
    </w:p>
    <w:tbl>
      <w:tblPr>
        <w:tblStyle w:val="51"/>
        <w:tblW w:w="92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3"/>
        <w:gridCol w:w="4004"/>
        <w:gridCol w:w="2139"/>
        <w:gridCol w:w="2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73" w:type="dxa"/>
            <w:noWrap/>
            <w:vAlign w:val="center"/>
          </w:tcPr>
          <w:p>
            <w:pPr>
              <w:pStyle w:val="88"/>
            </w:pPr>
            <w:r>
              <w:rPr>
                <w:rFonts w:hint="eastAsia"/>
              </w:rPr>
              <w:t>序号</w:t>
            </w:r>
          </w:p>
        </w:tc>
        <w:tc>
          <w:tcPr>
            <w:tcW w:w="4004" w:type="dxa"/>
            <w:noWrap/>
            <w:vAlign w:val="center"/>
          </w:tcPr>
          <w:p>
            <w:pPr>
              <w:pStyle w:val="88"/>
              <w:jc w:val="center"/>
            </w:pPr>
            <w:r>
              <w:rPr>
                <w:rFonts w:hint="eastAsia"/>
              </w:rPr>
              <w:t>项目</w:t>
            </w:r>
          </w:p>
        </w:tc>
        <w:tc>
          <w:tcPr>
            <w:tcW w:w="2139" w:type="dxa"/>
            <w:noWrap/>
            <w:vAlign w:val="center"/>
          </w:tcPr>
          <w:p>
            <w:pPr>
              <w:pStyle w:val="88"/>
              <w:jc w:val="center"/>
            </w:pPr>
            <w:r>
              <w:rPr>
                <w:rFonts w:hint="eastAsia"/>
              </w:rPr>
              <w:t>报价</w:t>
            </w:r>
          </w:p>
          <w:p>
            <w:pPr>
              <w:pStyle w:val="88"/>
              <w:jc w:val="center"/>
            </w:pPr>
            <w:r>
              <w:rPr>
                <w:rFonts w:hint="eastAsia"/>
              </w:rPr>
              <w:t>（元）</w:t>
            </w:r>
          </w:p>
        </w:tc>
        <w:tc>
          <w:tcPr>
            <w:tcW w:w="2327" w:type="dxa"/>
            <w:noWrap/>
            <w:vAlign w:val="center"/>
          </w:tcPr>
          <w:p>
            <w:pPr>
              <w:pStyle w:val="88"/>
              <w:jc w:val="center"/>
            </w:pPr>
            <w:r>
              <w:rPr>
                <w:rFonts w:hint="eastAsia"/>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73" w:type="dxa"/>
            <w:noWrap/>
            <w:vAlign w:val="center"/>
          </w:tcPr>
          <w:p>
            <w:pPr>
              <w:pStyle w:val="88"/>
              <w:jc w:val="center"/>
            </w:pPr>
            <w:r>
              <w:rPr>
                <w:rFonts w:hint="eastAsia"/>
              </w:rPr>
              <w:t>1</w:t>
            </w:r>
          </w:p>
        </w:tc>
        <w:tc>
          <w:tcPr>
            <w:tcW w:w="4004" w:type="dxa"/>
            <w:noWrap/>
            <w:vAlign w:val="center"/>
          </w:tcPr>
          <w:p>
            <w:pPr>
              <w:pStyle w:val="88"/>
              <w:jc w:val="center"/>
            </w:pPr>
          </w:p>
        </w:tc>
        <w:tc>
          <w:tcPr>
            <w:tcW w:w="2139" w:type="dxa"/>
            <w:noWrap/>
            <w:vAlign w:val="center"/>
          </w:tcPr>
          <w:p>
            <w:pPr>
              <w:pStyle w:val="88"/>
              <w:jc w:val="center"/>
            </w:pPr>
          </w:p>
        </w:tc>
        <w:tc>
          <w:tcPr>
            <w:tcW w:w="2327" w:type="dxa"/>
            <w:noWrap/>
            <w:vAlign w:val="center"/>
          </w:tcPr>
          <w:p>
            <w:pPr>
              <w:pStyle w:val="88"/>
              <w:jc w:val="center"/>
            </w:pPr>
            <w:r>
              <w:rPr>
                <w:rFonts w:hint="eastAsia"/>
              </w:rPr>
              <w:t>报价为含税价</w:t>
            </w:r>
          </w:p>
          <w:p>
            <w:pPr>
              <w:pStyle w:val="88"/>
              <w:jc w:val="center"/>
            </w:pPr>
            <w:r>
              <w:rPr>
                <w:rFonts w:hint="eastAsia"/>
              </w:rPr>
              <w:t>税率13%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243" w:type="dxa"/>
            <w:gridSpan w:val="4"/>
            <w:noWrap/>
            <w:vAlign w:val="center"/>
          </w:tcPr>
          <w:p>
            <w:pPr>
              <w:pStyle w:val="88"/>
            </w:pPr>
            <w:r>
              <w:rPr>
                <w:rFonts w:hint="eastAsia"/>
              </w:rPr>
              <w:t>备注：报价含税费。</w:t>
            </w:r>
          </w:p>
        </w:tc>
      </w:tr>
    </w:tbl>
    <w:p>
      <w:pPr>
        <w:spacing w:line="360" w:lineRule="auto"/>
        <w:ind w:firstLine="480"/>
        <w:jc w:val="center"/>
        <w:rPr>
          <w:rFonts w:cs="Arial"/>
          <w:szCs w:val="21"/>
        </w:rPr>
      </w:pPr>
    </w:p>
    <w:p>
      <w:pPr>
        <w:spacing w:line="360" w:lineRule="auto"/>
        <w:ind w:firstLine="480"/>
        <w:jc w:val="center"/>
        <w:rPr>
          <w:rFonts w:cs="Arial"/>
          <w:szCs w:val="21"/>
        </w:rPr>
      </w:pPr>
    </w:p>
    <w:p>
      <w:pPr>
        <w:wordWrap w:val="0"/>
        <w:spacing w:line="360" w:lineRule="auto"/>
        <w:ind w:firstLine="480"/>
        <w:jc w:val="right"/>
        <w:rPr>
          <w:rFonts w:cs="Arial"/>
          <w:szCs w:val="21"/>
          <w:u w:val="single"/>
        </w:rPr>
      </w:pPr>
      <w:r>
        <w:rPr>
          <w:rFonts w:hint="eastAsia" w:cs="Arial"/>
          <w:szCs w:val="21"/>
        </w:rPr>
        <w:t>供应商名称：</w:t>
      </w:r>
      <w:r>
        <w:rPr>
          <w:rFonts w:hint="eastAsia" w:cs="Arial"/>
          <w:szCs w:val="21"/>
          <w:u w:val="single"/>
        </w:rPr>
        <w:t xml:space="preserve">（盖章） </w:t>
      </w:r>
    </w:p>
    <w:p>
      <w:pPr>
        <w:spacing w:line="360" w:lineRule="auto"/>
        <w:ind w:firstLine="480"/>
        <w:jc w:val="right"/>
        <w:rPr>
          <w:rFonts w:cs="Arial"/>
          <w:szCs w:val="21"/>
        </w:rPr>
      </w:pPr>
      <w:r>
        <w:rPr>
          <w:rFonts w:cs="Arial"/>
          <w:szCs w:val="21"/>
          <w:u w:val="single"/>
        </w:rPr>
        <w:t xml:space="preserve">      </w:t>
      </w:r>
      <w:r>
        <w:rPr>
          <w:rFonts w:hint="eastAsia" w:cs="Arial"/>
          <w:szCs w:val="21"/>
        </w:rPr>
        <w:t>年</w:t>
      </w:r>
      <w:r>
        <w:rPr>
          <w:rFonts w:hint="eastAsia" w:cs="Arial"/>
          <w:szCs w:val="21"/>
          <w:u w:val="single"/>
        </w:rPr>
        <w:t xml:space="preserve">     </w:t>
      </w:r>
      <w:r>
        <w:rPr>
          <w:rFonts w:hint="eastAsia" w:cs="Arial"/>
          <w:szCs w:val="21"/>
        </w:rPr>
        <w:t>月</w:t>
      </w:r>
      <w:r>
        <w:rPr>
          <w:rFonts w:hint="eastAsia" w:cs="Arial"/>
          <w:szCs w:val="21"/>
          <w:u w:val="single"/>
        </w:rPr>
        <w:t xml:space="preserve">     </w:t>
      </w:r>
      <w:r>
        <w:rPr>
          <w:rFonts w:hint="eastAsia" w:cs="Arial"/>
          <w:szCs w:val="21"/>
        </w:rPr>
        <w:t>日</w:t>
      </w: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ind w:firstLine="480"/>
      </w:pPr>
      <w:r>
        <w:rPr>
          <w:rFonts w:hint="eastAsia"/>
        </w:rPr>
        <w:t>2.2分项报价表</w:t>
      </w:r>
    </w:p>
    <w:tbl>
      <w:tblPr>
        <w:tblStyle w:val="51"/>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1316"/>
        <w:gridCol w:w="1950"/>
        <w:gridCol w:w="853"/>
        <w:gridCol w:w="693"/>
        <w:gridCol w:w="750"/>
        <w:gridCol w:w="888"/>
        <w:gridCol w:w="750"/>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410" w:type="dxa"/>
            <w:noWrap/>
            <w:vAlign w:val="center"/>
          </w:tcPr>
          <w:p>
            <w:pPr>
              <w:spacing w:line="240" w:lineRule="auto"/>
              <w:ind w:firstLine="0" w:firstLineChars="0"/>
              <w:jc w:val="center"/>
              <w:rPr>
                <w:rFonts w:hint="eastAsia"/>
                <w:sz w:val="16"/>
                <w:szCs w:val="16"/>
              </w:rPr>
            </w:pPr>
            <w:r>
              <w:rPr>
                <w:rFonts w:hint="eastAsia"/>
                <w:sz w:val="16"/>
                <w:szCs w:val="16"/>
              </w:rPr>
              <w:t>序号</w:t>
            </w:r>
          </w:p>
        </w:tc>
        <w:tc>
          <w:tcPr>
            <w:tcW w:w="1316" w:type="dxa"/>
            <w:noWrap/>
            <w:vAlign w:val="center"/>
          </w:tcPr>
          <w:p>
            <w:pPr>
              <w:spacing w:line="240" w:lineRule="auto"/>
              <w:ind w:firstLine="0" w:firstLineChars="0"/>
              <w:jc w:val="center"/>
              <w:rPr>
                <w:rFonts w:hint="eastAsia"/>
                <w:sz w:val="16"/>
                <w:szCs w:val="16"/>
              </w:rPr>
            </w:pPr>
            <w:r>
              <w:rPr>
                <w:rFonts w:hint="eastAsia"/>
                <w:sz w:val="16"/>
                <w:szCs w:val="16"/>
              </w:rPr>
              <w:t>物料描述</w:t>
            </w:r>
          </w:p>
        </w:tc>
        <w:tc>
          <w:tcPr>
            <w:tcW w:w="1950" w:type="dxa"/>
            <w:noWrap/>
            <w:vAlign w:val="center"/>
          </w:tcPr>
          <w:p>
            <w:pPr>
              <w:spacing w:line="240" w:lineRule="auto"/>
              <w:ind w:firstLine="0" w:firstLineChars="0"/>
              <w:jc w:val="center"/>
              <w:rPr>
                <w:rFonts w:hint="eastAsia"/>
                <w:sz w:val="16"/>
                <w:szCs w:val="16"/>
              </w:rPr>
            </w:pPr>
            <w:r>
              <w:rPr>
                <w:rFonts w:hint="eastAsia"/>
                <w:sz w:val="16"/>
                <w:szCs w:val="16"/>
              </w:rPr>
              <w:t>规格型号</w:t>
            </w:r>
          </w:p>
        </w:tc>
        <w:tc>
          <w:tcPr>
            <w:tcW w:w="853" w:type="dxa"/>
            <w:noWrap/>
            <w:vAlign w:val="center"/>
          </w:tcPr>
          <w:p>
            <w:pPr>
              <w:spacing w:line="240" w:lineRule="auto"/>
              <w:ind w:firstLine="0" w:firstLineChars="0"/>
              <w:jc w:val="center"/>
              <w:rPr>
                <w:rFonts w:hint="eastAsia"/>
                <w:sz w:val="16"/>
                <w:szCs w:val="16"/>
              </w:rPr>
            </w:pPr>
            <w:r>
              <w:rPr>
                <w:rFonts w:hint="eastAsia"/>
                <w:sz w:val="16"/>
                <w:szCs w:val="16"/>
              </w:rPr>
              <w:t>生产厂家</w:t>
            </w:r>
          </w:p>
        </w:tc>
        <w:tc>
          <w:tcPr>
            <w:tcW w:w="693" w:type="dxa"/>
            <w:noWrap/>
            <w:vAlign w:val="center"/>
          </w:tcPr>
          <w:p>
            <w:pPr>
              <w:spacing w:line="240" w:lineRule="auto"/>
              <w:ind w:firstLine="0" w:firstLineChars="0"/>
              <w:jc w:val="center"/>
              <w:rPr>
                <w:rFonts w:hint="eastAsia"/>
                <w:sz w:val="16"/>
                <w:szCs w:val="16"/>
              </w:rPr>
            </w:pPr>
            <w:r>
              <w:rPr>
                <w:rFonts w:hint="eastAsia"/>
                <w:sz w:val="16"/>
                <w:szCs w:val="16"/>
              </w:rPr>
              <w:t>单位</w:t>
            </w:r>
          </w:p>
        </w:tc>
        <w:tc>
          <w:tcPr>
            <w:tcW w:w="750" w:type="dxa"/>
            <w:noWrap/>
            <w:vAlign w:val="center"/>
          </w:tcPr>
          <w:p>
            <w:pPr>
              <w:spacing w:line="240" w:lineRule="auto"/>
              <w:ind w:firstLine="0" w:firstLineChars="0"/>
              <w:jc w:val="center"/>
              <w:rPr>
                <w:b/>
                <w:sz w:val="16"/>
                <w:szCs w:val="16"/>
              </w:rPr>
            </w:pPr>
            <w:r>
              <w:rPr>
                <w:rFonts w:hint="eastAsia"/>
                <w:sz w:val="16"/>
                <w:szCs w:val="16"/>
              </w:rPr>
              <w:t>数量</w:t>
            </w:r>
          </w:p>
        </w:tc>
        <w:tc>
          <w:tcPr>
            <w:tcW w:w="888" w:type="dxa"/>
            <w:noWrap/>
            <w:vAlign w:val="center"/>
          </w:tcPr>
          <w:p>
            <w:pPr>
              <w:spacing w:line="240" w:lineRule="auto"/>
              <w:ind w:firstLine="0" w:firstLineChars="0"/>
              <w:jc w:val="center"/>
              <w:rPr>
                <w:b/>
                <w:sz w:val="16"/>
                <w:szCs w:val="16"/>
              </w:rPr>
            </w:pPr>
            <w:r>
              <w:rPr>
                <w:rFonts w:hint="eastAsia"/>
                <w:sz w:val="16"/>
                <w:szCs w:val="16"/>
              </w:rPr>
              <w:t>单价（元）</w:t>
            </w:r>
          </w:p>
        </w:tc>
        <w:tc>
          <w:tcPr>
            <w:tcW w:w="750" w:type="dxa"/>
            <w:noWrap/>
            <w:vAlign w:val="center"/>
          </w:tcPr>
          <w:p>
            <w:pPr>
              <w:spacing w:line="240" w:lineRule="auto"/>
              <w:ind w:firstLine="0" w:firstLineChars="0"/>
              <w:jc w:val="center"/>
              <w:rPr>
                <w:b/>
                <w:sz w:val="16"/>
                <w:szCs w:val="16"/>
              </w:rPr>
            </w:pPr>
            <w:r>
              <w:rPr>
                <w:rFonts w:hint="eastAsia"/>
                <w:sz w:val="16"/>
                <w:szCs w:val="16"/>
              </w:rPr>
              <w:t>总合计</w:t>
            </w:r>
          </w:p>
        </w:tc>
        <w:tc>
          <w:tcPr>
            <w:tcW w:w="1324" w:type="dxa"/>
            <w:vAlign w:val="center"/>
          </w:tcPr>
          <w:p>
            <w:pPr>
              <w:spacing w:line="240" w:lineRule="auto"/>
              <w:ind w:firstLine="0" w:firstLineChars="0"/>
              <w:jc w:val="center"/>
              <w:rPr>
                <w:sz w:val="16"/>
                <w:szCs w:val="16"/>
              </w:rPr>
            </w:pPr>
            <w:r>
              <w:rPr>
                <w:rFonts w:hint="eastAsia"/>
                <w:sz w:val="16"/>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10" w:type="dxa"/>
            <w:noWrap/>
            <w:vAlign w:val="center"/>
          </w:tcPr>
          <w:p>
            <w:pPr>
              <w:numPr>
                <w:ilvl w:val="0"/>
                <w:numId w:val="2"/>
              </w:numPr>
              <w:spacing w:line="240" w:lineRule="auto"/>
              <w:ind w:left="425" w:leftChars="0" w:hanging="425" w:firstLineChars="0"/>
              <w:jc w:val="center"/>
              <w:rPr>
                <w:rFonts w:hint="default"/>
                <w:sz w:val="18"/>
                <w:szCs w:val="18"/>
                <w:lang w:val="en-US" w:eastAsia="zh-CN"/>
              </w:rPr>
            </w:pPr>
          </w:p>
        </w:tc>
        <w:tc>
          <w:tcPr>
            <w:tcW w:w="1316"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其他胶粘剂</w:t>
            </w:r>
          </w:p>
        </w:tc>
        <w:tc>
          <w:tcPr>
            <w:tcW w:w="19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耐磨防护剂\PC7218\10KG</w:t>
            </w:r>
          </w:p>
        </w:tc>
        <w:tc>
          <w:tcPr>
            <w:tcW w:w="85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p>
        </w:tc>
        <w:tc>
          <w:tcPr>
            <w:tcW w:w="69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桶</w:t>
            </w:r>
          </w:p>
        </w:tc>
        <w:tc>
          <w:tcPr>
            <w:tcW w:w="7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1</w:t>
            </w:r>
            <w:r>
              <w:rPr>
                <w:rFonts w:hint="eastAsia" w:ascii="Arial" w:hAnsi="Arial" w:cs="Arial"/>
                <w:i w:val="0"/>
                <w:color w:val="000000"/>
                <w:kern w:val="0"/>
                <w:sz w:val="16"/>
                <w:szCs w:val="16"/>
                <w:u w:val="none"/>
                <w:lang w:val="en-US" w:eastAsia="zh-CN" w:bidi="ar"/>
              </w:rPr>
              <w:t xml:space="preserve"> </w:t>
            </w:r>
          </w:p>
        </w:tc>
        <w:tc>
          <w:tcPr>
            <w:tcW w:w="888"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750"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1324"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Arial" w:hAnsi="Arial" w:eastAsia="宋体" w:cs="Arial"/>
                <w:i w:val="0"/>
                <w:color w:val="000000"/>
                <w:kern w:val="2"/>
                <w:sz w:val="16"/>
                <w:szCs w:val="16"/>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10" w:type="dxa"/>
            <w:noWrap/>
            <w:vAlign w:val="center"/>
          </w:tcPr>
          <w:p>
            <w:pPr>
              <w:numPr>
                <w:ilvl w:val="0"/>
                <w:numId w:val="2"/>
              </w:numPr>
              <w:spacing w:line="240" w:lineRule="auto"/>
              <w:ind w:left="425" w:leftChars="0" w:hanging="425" w:firstLineChars="0"/>
              <w:jc w:val="center"/>
              <w:rPr>
                <w:rFonts w:hint="eastAsia"/>
                <w:sz w:val="18"/>
                <w:szCs w:val="18"/>
                <w:lang w:val="en-US" w:eastAsia="zh-CN"/>
              </w:rPr>
            </w:pPr>
          </w:p>
        </w:tc>
        <w:tc>
          <w:tcPr>
            <w:tcW w:w="1316"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电力电缆</w:t>
            </w:r>
          </w:p>
        </w:tc>
        <w:tc>
          <w:tcPr>
            <w:tcW w:w="19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\BVR\2.5MM2\450/750V</w:t>
            </w:r>
          </w:p>
        </w:tc>
        <w:tc>
          <w:tcPr>
            <w:tcW w:w="85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p>
        </w:tc>
        <w:tc>
          <w:tcPr>
            <w:tcW w:w="69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米</w:t>
            </w:r>
          </w:p>
        </w:tc>
        <w:tc>
          <w:tcPr>
            <w:tcW w:w="7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200</w:t>
            </w:r>
            <w:r>
              <w:rPr>
                <w:rFonts w:hint="eastAsia" w:ascii="Arial" w:hAnsi="Arial" w:cs="Arial"/>
                <w:i w:val="0"/>
                <w:color w:val="000000"/>
                <w:kern w:val="0"/>
                <w:sz w:val="16"/>
                <w:szCs w:val="16"/>
                <w:u w:val="none"/>
                <w:lang w:val="en-US" w:eastAsia="zh-CN" w:bidi="ar"/>
              </w:rPr>
              <w:t xml:space="preserve"> </w:t>
            </w:r>
          </w:p>
        </w:tc>
        <w:tc>
          <w:tcPr>
            <w:tcW w:w="888"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750"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1324"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Arial" w:hAnsi="Arial" w:eastAsia="宋体" w:cs="Arial"/>
                <w:i w:val="0"/>
                <w:color w:val="000000"/>
                <w:kern w:val="2"/>
                <w:sz w:val="16"/>
                <w:szCs w:val="16"/>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10" w:type="dxa"/>
            <w:noWrap/>
            <w:vAlign w:val="center"/>
          </w:tcPr>
          <w:p>
            <w:pPr>
              <w:numPr>
                <w:ilvl w:val="0"/>
                <w:numId w:val="2"/>
              </w:numPr>
              <w:spacing w:line="240" w:lineRule="auto"/>
              <w:ind w:left="425" w:leftChars="0" w:hanging="425" w:firstLineChars="0"/>
              <w:jc w:val="center"/>
              <w:rPr>
                <w:rFonts w:hint="eastAsia"/>
                <w:sz w:val="18"/>
                <w:szCs w:val="18"/>
                <w:lang w:val="en-US" w:eastAsia="zh-CN"/>
              </w:rPr>
            </w:pPr>
          </w:p>
        </w:tc>
        <w:tc>
          <w:tcPr>
            <w:tcW w:w="1316"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家用风扇</w:t>
            </w:r>
          </w:p>
        </w:tc>
        <w:tc>
          <w:tcPr>
            <w:tcW w:w="19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换气扇\APB25-5-A\36W</w:t>
            </w:r>
          </w:p>
        </w:tc>
        <w:tc>
          <w:tcPr>
            <w:tcW w:w="85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p>
        </w:tc>
        <w:tc>
          <w:tcPr>
            <w:tcW w:w="69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件</w:t>
            </w:r>
          </w:p>
        </w:tc>
        <w:tc>
          <w:tcPr>
            <w:tcW w:w="7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5</w:t>
            </w:r>
            <w:r>
              <w:rPr>
                <w:rFonts w:hint="eastAsia" w:ascii="Arial" w:hAnsi="Arial" w:cs="Arial"/>
                <w:i w:val="0"/>
                <w:color w:val="000000"/>
                <w:kern w:val="0"/>
                <w:sz w:val="16"/>
                <w:szCs w:val="16"/>
                <w:u w:val="none"/>
                <w:lang w:val="en-US" w:eastAsia="zh-CN" w:bidi="ar"/>
              </w:rPr>
              <w:t xml:space="preserve"> </w:t>
            </w:r>
          </w:p>
        </w:tc>
        <w:tc>
          <w:tcPr>
            <w:tcW w:w="888"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750"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1324"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Arial" w:hAnsi="Arial" w:eastAsia="宋体" w:cs="Arial"/>
                <w:i w:val="0"/>
                <w:color w:val="000000"/>
                <w:kern w:val="2"/>
                <w:sz w:val="16"/>
                <w:szCs w:val="16"/>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10" w:type="dxa"/>
            <w:noWrap/>
            <w:vAlign w:val="center"/>
          </w:tcPr>
          <w:p>
            <w:pPr>
              <w:numPr>
                <w:ilvl w:val="0"/>
                <w:numId w:val="2"/>
              </w:numPr>
              <w:spacing w:line="240" w:lineRule="auto"/>
              <w:ind w:left="425" w:leftChars="0" w:hanging="425" w:firstLineChars="0"/>
              <w:jc w:val="center"/>
              <w:rPr>
                <w:rFonts w:hint="eastAsia"/>
                <w:sz w:val="18"/>
                <w:szCs w:val="18"/>
              </w:rPr>
            </w:pPr>
          </w:p>
        </w:tc>
        <w:tc>
          <w:tcPr>
            <w:tcW w:w="1316"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电力电缆</w:t>
            </w:r>
          </w:p>
        </w:tc>
        <w:tc>
          <w:tcPr>
            <w:tcW w:w="19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BVR\4MM2\450／750V</w:t>
            </w:r>
          </w:p>
        </w:tc>
        <w:tc>
          <w:tcPr>
            <w:tcW w:w="85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p>
        </w:tc>
        <w:tc>
          <w:tcPr>
            <w:tcW w:w="69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米</w:t>
            </w:r>
          </w:p>
        </w:tc>
        <w:tc>
          <w:tcPr>
            <w:tcW w:w="7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200</w:t>
            </w:r>
            <w:r>
              <w:rPr>
                <w:rFonts w:hint="eastAsia" w:ascii="Arial" w:hAnsi="Arial" w:cs="Arial"/>
                <w:i w:val="0"/>
                <w:color w:val="000000"/>
                <w:kern w:val="0"/>
                <w:sz w:val="16"/>
                <w:szCs w:val="16"/>
                <w:u w:val="none"/>
                <w:lang w:val="en-US" w:eastAsia="zh-CN" w:bidi="ar"/>
              </w:rPr>
              <w:t xml:space="preserve"> </w:t>
            </w:r>
          </w:p>
        </w:tc>
        <w:tc>
          <w:tcPr>
            <w:tcW w:w="888"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750"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1324"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Arial" w:hAnsi="Arial" w:eastAsia="宋体" w:cs="Arial"/>
                <w:i w:val="0"/>
                <w:color w:val="000000"/>
                <w:kern w:val="2"/>
                <w:sz w:val="16"/>
                <w:szCs w:val="16"/>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10" w:type="dxa"/>
            <w:noWrap/>
            <w:vAlign w:val="center"/>
          </w:tcPr>
          <w:p>
            <w:pPr>
              <w:numPr>
                <w:ilvl w:val="0"/>
                <w:numId w:val="2"/>
              </w:numPr>
              <w:spacing w:line="240" w:lineRule="auto"/>
              <w:ind w:left="425" w:leftChars="0" w:hanging="425" w:firstLineChars="0"/>
              <w:jc w:val="center"/>
              <w:rPr>
                <w:rFonts w:hint="eastAsia"/>
                <w:sz w:val="18"/>
                <w:szCs w:val="18"/>
              </w:rPr>
            </w:pPr>
          </w:p>
        </w:tc>
        <w:tc>
          <w:tcPr>
            <w:tcW w:w="1316"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电力电缆</w:t>
            </w:r>
          </w:p>
        </w:tc>
        <w:tc>
          <w:tcPr>
            <w:tcW w:w="19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BV\1*4MM2\450／750V</w:t>
            </w:r>
          </w:p>
        </w:tc>
        <w:tc>
          <w:tcPr>
            <w:tcW w:w="85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p>
        </w:tc>
        <w:tc>
          <w:tcPr>
            <w:tcW w:w="69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米</w:t>
            </w:r>
          </w:p>
        </w:tc>
        <w:tc>
          <w:tcPr>
            <w:tcW w:w="7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200</w:t>
            </w:r>
            <w:r>
              <w:rPr>
                <w:rFonts w:hint="eastAsia" w:ascii="Arial" w:hAnsi="Arial" w:cs="Arial"/>
                <w:i w:val="0"/>
                <w:color w:val="000000"/>
                <w:kern w:val="0"/>
                <w:sz w:val="16"/>
                <w:szCs w:val="16"/>
                <w:u w:val="none"/>
                <w:lang w:val="en-US" w:eastAsia="zh-CN" w:bidi="ar"/>
              </w:rPr>
              <w:t xml:space="preserve"> </w:t>
            </w:r>
          </w:p>
        </w:tc>
        <w:tc>
          <w:tcPr>
            <w:tcW w:w="888"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750"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1324"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Arial" w:hAnsi="Arial" w:eastAsia="宋体" w:cs="Arial"/>
                <w:i w:val="0"/>
                <w:color w:val="000000"/>
                <w:kern w:val="2"/>
                <w:sz w:val="16"/>
                <w:szCs w:val="16"/>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10" w:type="dxa"/>
            <w:noWrap/>
            <w:vAlign w:val="center"/>
          </w:tcPr>
          <w:p>
            <w:pPr>
              <w:numPr>
                <w:ilvl w:val="0"/>
                <w:numId w:val="2"/>
              </w:numPr>
              <w:spacing w:line="240" w:lineRule="auto"/>
              <w:ind w:left="425" w:leftChars="0" w:hanging="425" w:firstLineChars="0"/>
              <w:jc w:val="center"/>
              <w:rPr>
                <w:rFonts w:hint="eastAsia"/>
                <w:sz w:val="18"/>
                <w:szCs w:val="18"/>
              </w:rPr>
            </w:pPr>
          </w:p>
        </w:tc>
        <w:tc>
          <w:tcPr>
            <w:tcW w:w="1316"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电力电缆</w:t>
            </w:r>
          </w:p>
        </w:tc>
        <w:tc>
          <w:tcPr>
            <w:tcW w:w="19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BVR\1.5MM2\450／750V</w:t>
            </w:r>
          </w:p>
        </w:tc>
        <w:tc>
          <w:tcPr>
            <w:tcW w:w="85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p>
        </w:tc>
        <w:tc>
          <w:tcPr>
            <w:tcW w:w="69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米</w:t>
            </w:r>
          </w:p>
        </w:tc>
        <w:tc>
          <w:tcPr>
            <w:tcW w:w="7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200</w:t>
            </w:r>
            <w:r>
              <w:rPr>
                <w:rFonts w:hint="eastAsia" w:ascii="Arial" w:hAnsi="Arial" w:cs="Arial"/>
                <w:i w:val="0"/>
                <w:color w:val="000000"/>
                <w:kern w:val="0"/>
                <w:sz w:val="16"/>
                <w:szCs w:val="16"/>
                <w:u w:val="none"/>
                <w:lang w:val="en-US" w:eastAsia="zh-CN" w:bidi="ar"/>
              </w:rPr>
              <w:t xml:space="preserve"> </w:t>
            </w:r>
          </w:p>
        </w:tc>
        <w:tc>
          <w:tcPr>
            <w:tcW w:w="888"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750"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1324"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Arial" w:hAnsi="Arial" w:eastAsia="宋体" w:cs="Arial"/>
                <w:i w:val="0"/>
                <w:color w:val="000000"/>
                <w:kern w:val="2"/>
                <w:sz w:val="16"/>
                <w:szCs w:val="16"/>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10" w:type="dxa"/>
            <w:noWrap/>
            <w:vAlign w:val="center"/>
          </w:tcPr>
          <w:p>
            <w:pPr>
              <w:numPr>
                <w:ilvl w:val="0"/>
                <w:numId w:val="2"/>
              </w:numPr>
              <w:spacing w:line="240" w:lineRule="auto"/>
              <w:ind w:left="425" w:leftChars="0" w:hanging="425" w:firstLineChars="0"/>
              <w:jc w:val="center"/>
              <w:rPr>
                <w:rFonts w:hint="eastAsia"/>
                <w:sz w:val="18"/>
                <w:szCs w:val="18"/>
              </w:rPr>
            </w:pPr>
          </w:p>
        </w:tc>
        <w:tc>
          <w:tcPr>
            <w:tcW w:w="1316"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气体继电器</w:t>
            </w:r>
          </w:p>
        </w:tc>
        <w:tc>
          <w:tcPr>
            <w:tcW w:w="19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QJ3-80\220VDC</w:t>
            </w:r>
          </w:p>
        </w:tc>
        <w:tc>
          <w:tcPr>
            <w:tcW w:w="85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p>
        </w:tc>
        <w:tc>
          <w:tcPr>
            <w:tcW w:w="69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件</w:t>
            </w:r>
          </w:p>
        </w:tc>
        <w:tc>
          <w:tcPr>
            <w:tcW w:w="7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2</w:t>
            </w:r>
            <w:r>
              <w:rPr>
                <w:rFonts w:hint="eastAsia" w:ascii="Arial" w:hAnsi="Arial" w:cs="Arial"/>
                <w:i w:val="0"/>
                <w:color w:val="000000"/>
                <w:kern w:val="0"/>
                <w:sz w:val="16"/>
                <w:szCs w:val="16"/>
                <w:u w:val="none"/>
                <w:lang w:val="en-US" w:eastAsia="zh-CN" w:bidi="ar"/>
              </w:rPr>
              <w:t xml:space="preserve"> </w:t>
            </w:r>
          </w:p>
        </w:tc>
        <w:tc>
          <w:tcPr>
            <w:tcW w:w="888"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750"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1324"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Arial" w:hAnsi="Arial" w:eastAsia="宋体" w:cs="Arial"/>
                <w:i w:val="0"/>
                <w:color w:val="000000"/>
                <w:kern w:val="2"/>
                <w:sz w:val="16"/>
                <w:szCs w:val="16"/>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10" w:type="dxa"/>
            <w:noWrap/>
            <w:vAlign w:val="center"/>
          </w:tcPr>
          <w:p>
            <w:pPr>
              <w:numPr>
                <w:ilvl w:val="0"/>
                <w:numId w:val="2"/>
              </w:numPr>
              <w:spacing w:line="240" w:lineRule="auto"/>
              <w:ind w:left="425" w:leftChars="0" w:hanging="425" w:firstLineChars="0"/>
              <w:jc w:val="center"/>
              <w:rPr>
                <w:rFonts w:hint="eastAsia"/>
                <w:sz w:val="18"/>
                <w:szCs w:val="18"/>
              </w:rPr>
            </w:pPr>
          </w:p>
        </w:tc>
        <w:tc>
          <w:tcPr>
            <w:tcW w:w="1316"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断路器操作装置</w:t>
            </w:r>
          </w:p>
        </w:tc>
        <w:tc>
          <w:tcPr>
            <w:tcW w:w="19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KWS-XS-5803\220V</w:t>
            </w:r>
          </w:p>
        </w:tc>
        <w:tc>
          <w:tcPr>
            <w:tcW w:w="85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p>
        </w:tc>
        <w:tc>
          <w:tcPr>
            <w:tcW w:w="69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件</w:t>
            </w:r>
          </w:p>
        </w:tc>
        <w:tc>
          <w:tcPr>
            <w:tcW w:w="7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1</w:t>
            </w:r>
            <w:r>
              <w:rPr>
                <w:rFonts w:hint="eastAsia" w:ascii="Arial" w:hAnsi="Arial" w:cs="Arial"/>
                <w:i w:val="0"/>
                <w:color w:val="000000"/>
                <w:kern w:val="0"/>
                <w:sz w:val="16"/>
                <w:szCs w:val="16"/>
                <w:u w:val="none"/>
                <w:lang w:val="en-US" w:eastAsia="zh-CN" w:bidi="ar"/>
              </w:rPr>
              <w:t xml:space="preserve"> </w:t>
            </w:r>
          </w:p>
        </w:tc>
        <w:tc>
          <w:tcPr>
            <w:tcW w:w="888"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750"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1324"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Arial" w:hAnsi="Arial" w:eastAsia="宋体" w:cs="Arial"/>
                <w:i w:val="0"/>
                <w:color w:val="000000"/>
                <w:kern w:val="2"/>
                <w:sz w:val="16"/>
                <w:szCs w:val="16"/>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10" w:type="dxa"/>
            <w:noWrap/>
            <w:vAlign w:val="center"/>
          </w:tcPr>
          <w:p>
            <w:pPr>
              <w:numPr>
                <w:ilvl w:val="0"/>
                <w:numId w:val="2"/>
              </w:numPr>
              <w:spacing w:line="240" w:lineRule="auto"/>
              <w:ind w:left="425" w:leftChars="0" w:hanging="425" w:firstLineChars="0"/>
              <w:jc w:val="center"/>
              <w:rPr>
                <w:rFonts w:hint="eastAsia"/>
                <w:sz w:val="18"/>
                <w:szCs w:val="18"/>
              </w:rPr>
            </w:pPr>
          </w:p>
        </w:tc>
        <w:tc>
          <w:tcPr>
            <w:tcW w:w="1316"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转换开关</w:t>
            </w:r>
          </w:p>
        </w:tc>
        <w:tc>
          <w:tcPr>
            <w:tcW w:w="19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LW-20-P.12.32\380VAC</w:t>
            </w:r>
          </w:p>
        </w:tc>
        <w:tc>
          <w:tcPr>
            <w:tcW w:w="85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p>
        </w:tc>
        <w:tc>
          <w:tcPr>
            <w:tcW w:w="69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件</w:t>
            </w:r>
          </w:p>
        </w:tc>
        <w:tc>
          <w:tcPr>
            <w:tcW w:w="7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4</w:t>
            </w:r>
            <w:r>
              <w:rPr>
                <w:rFonts w:hint="eastAsia" w:ascii="Arial" w:hAnsi="Arial" w:cs="Arial"/>
                <w:i w:val="0"/>
                <w:color w:val="000000"/>
                <w:kern w:val="0"/>
                <w:sz w:val="16"/>
                <w:szCs w:val="16"/>
                <w:u w:val="none"/>
                <w:lang w:val="en-US" w:eastAsia="zh-CN" w:bidi="ar"/>
              </w:rPr>
              <w:t xml:space="preserve"> </w:t>
            </w:r>
          </w:p>
        </w:tc>
        <w:tc>
          <w:tcPr>
            <w:tcW w:w="888"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750"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1324"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Arial" w:hAnsi="Arial" w:eastAsia="宋体" w:cs="Arial"/>
                <w:i w:val="0"/>
                <w:color w:val="000000"/>
                <w:kern w:val="2"/>
                <w:sz w:val="16"/>
                <w:szCs w:val="16"/>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410" w:type="dxa"/>
            <w:noWrap/>
            <w:vAlign w:val="center"/>
          </w:tcPr>
          <w:p>
            <w:pPr>
              <w:numPr>
                <w:ilvl w:val="0"/>
                <w:numId w:val="2"/>
              </w:numPr>
              <w:spacing w:line="240" w:lineRule="auto"/>
              <w:ind w:left="425" w:leftChars="0" w:hanging="425" w:firstLineChars="0"/>
              <w:jc w:val="center"/>
              <w:rPr>
                <w:rFonts w:hint="eastAsia"/>
                <w:sz w:val="18"/>
                <w:szCs w:val="18"/>
              </w:rPr>
            </w:pPr>
          </w:p>
        </w:tc>
        <w:tc>
          <w:tcPr>
            <w:tcW w:w="1316"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胶带</w:t>
            </w:r>
          </w:p>
        </w:tc>
        <w:tc>
          <w:tcPr>
            <w:tcW w:w="19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自粘胶带\100MM*12M／黑色</w:t>
            </w:r>
          </w:p>
        </w:tc>
        <w:tc>
          <w:tcPr>
            <w:tcW w:w="85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p>
        </w:tc>
        <w:tc>
          <w:tcPr>
            <w:tcW w:w="69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卷</w:t>
            </w:r>
          </w:p>
        </w:tc>
        <w:tc>
          <w:tcPr>
            <w:tcW w:w="7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100</w:t>
            </w:r>
            <w:r>
              <w:rPr>
                <w:rFonts w:hint="eastAsia" w:ascii="Arial" w:hAnsi="Arial" w:cs="Arial"/>
                <w:i w:val="0"/>
                <w:color w:val="000000"/>
                <w:kern w:val="0"/>
                <w:sz w:val="16"/>
                <w:szCs w:val="16"/>
                <w:u w:val="none"/>
                <w:lang w:val="en-US" w:eastAsia="zh-CN" w:bidi="ar"/>
              </w:rPr>
              <w:t xml:space="preserve"> </w:t>
            </w:r>
          </w:p>
        </w:tc>
        <w:tc>
          <w:tcPr>
            <w:tcW w:w="888"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750"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1324"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Arial" w:hAnsi="Arial" w:eastAsia="宋体" w:cs="Arial"/>
                <w:i w:val="0"/>
                <w:color w:val="000000"/>
                <w:kern w:val="2"/>
                <w:sz w:val="16"/>
                <w:szCs w:val="16"/>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10" w:type="dxa"/>
            <w:noWrap/>
            <w:vAlign w:val="center"/>
          </w:tcPr>
          <w:p>
            <w:pPr>
              <w:numPr>
                <w:ilvl w:val="0"/>
                <w:numId w:val="2"/>
              </w:numPr>
              <w:spacing w:line="240" w:lineRule="auto"/>
              <w:ind w:left="425" w:leftChars="0" w:hanging="425" w:firstLineChars="0"/>
              <w:jc w:val="center"/>
              <w:rPr>
                <w:rFonts w:hint="eastAsia"/>
                <w:sz w:val="18"/>
                <w:szCs w:val="18"/>
              </w:rPr>
            </w:pPr>
          </w:p>
        </w:tc>
        <w:tc>
          <w:tcPr>
            <w:tcW w:w="1316"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挂锁</w:t>
            </w:r>
          </w:p>
        </w:tc>
        <w:tc>
          <w:tcPr>
            <w:tcW w:w="19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挂锁\60MM\不锈钢\普通型</w:t>
            </w:r>
          </w:p>
        </w:tc>
        <w:tc>
          <w:tcPr>
            <w:tcW w:w="85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p>
        </w:tc>
        <w:tc>
          <w:tcPr>
            <w:tcW w:w="69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件</w:t>
            </w:r>
          </w:p>
        </w:tc>
        <w:tc>
          <w:tcPr>
            <w:tcW w:w="7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3</w:t>
            </w:r>
            <w:r>
              <w:rPr>
                <w:rFonts w:hint="eastAsia" w:ascii="Arial" w:hAnsi="Arial" w:cs="Arial"/>
                <w:i w:val="0"/>
                <w:color w:val="000000"/>
                <w:kern w:val="0"/>
                <w:sz w:val="16"/>
                <w:szCs w:val="16"/>
                <w:u w:val="none"/>
                <w:lang w:val="en-US" w:eastAsia="zh-CN" w:bidi="ar"/>
              </w:rPr>
              <w:t xml:space="preserve"> </w:t>
            </w:r>
          </w:p>
        </w:tc>
        <w:tc>
          <w:tcPr>
            <w:tcW w:w="888"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750"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1324"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Arial" w:hAnsi="Arial" w:eastAsia="宋体" w:cs="Arial"/>
                <w:i w:val="0"/>
                <w:color w:val="000000"/>
                <w:kern w:val="2"/>
                <w:sz w:val="16"/>
                <w:szCs w:val="16"/>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10" w:type="dxa"/>
            <w:noWrap/>
            <w:vAlign w:val="center"/>
          </w:tcPr>
          <w:p>
            <w:pPr>
              <w:numPr>
                <w:ilvl w:val="0"/>
                <w:numId w:val="2"/>
              </w:numPr>
              <w:spacing w:line="240" w:lineRule="auto"/>
              <w:ind w:left="425" w:leftChars="0" w:hanging="425" w:firstLineChars="0"/>
              <w:jc w:val="center"/>
              <w:rPr>
                <w:rFonts w:hint="eastAsia"/>
                <w:sz w:val="18"/>
                <w:szCs w:val="18"/>
              </w:rPr>
            </w:pPr>
          </w:p>
        </w:tc>
        <w:tc>
          <w:tcPr>
            <w:tcW w:w="1316"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冷却剂</w:t>
            </w:r>
          </w:p>
        </w:tc>
        <w:tc>
          <w:tcPr>
            <w:tcW w:w="19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R22\22KG</w:t>
            </w:r>
          </w:p>
        </w:tc>
        <w:tc>
          <w:tcPr>
            <w:tcW w:w="85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p>
        </w:tc>
        <w:tc>
          <w:tcPr>
            <w:tcW w:w="69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桶</w:t>
            </w:r>
          </w:p>
        </w:tc>
        <w:tc>
          <w:tcPr>
            <w:tcW w:w="7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2</w:t>
            </w:r>
            <w:r>
              <w:rPr>
                <w:rFonts w:hint="eastAsia" w:ascii="Arial" w:hAnsi="Arial" w:cs="Arial"/>
                <w:i w:val="0"/>
                <w:color w:val="000000"/>
                <w:kern w:val="0"/>
                <w:sz w:val="16"/>
                <w:szCs w:val="16"/>
                <w:u w:val="none"/>
                <w:lang w:val="en-US" w:eastAsia="zh-CN" w:bidi="ar"/>
              </w:rPr>
              <w:t xml:space="preserve"> </w:t>
            </w:r>
          </w:p>
        </w:tc>
        <w:tc>
          <w:tcPr>
            <w:tcW w:w="888"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750"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1324"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Arial" w:hAnsi="Arial" w:eastAsia="宋体" w:cs="Arial"/>
                <w:i w:val="0"/>
                <w:color w:val="000000"/>
                <w:kern w:val="2"/>
                <w:sz w:val="16"/>
                <w:szCs w:val="16"/>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10" w:type="dxa"/>
            <w:noWrap/>
            <w:vAlign w:val="center"/>
          </w:tcPr>
          <w:p>
            <w:pPr>
              <w:numPr>
                <w:ilvl w:val="0"/>
                <w:numId w:val="2"/>
              </w:numPr>
              <w:spacing w:line="240" w:lineRule="auto"/>
              <w:ind w:left="425" w:leftChars="0" w:hanging="425" w:firstLineChars="0"/>
              <w:jc w:val="center"/>
              <w:rPr>
                <w:rFonts w:hint="eastAsia"/>
                <w:sz w:val="18"/>
                <w:szCs w:val="18"/>
              </w:rPr>
            </w:pPr>
          </w:p>
        </w:tc>
        <w:tc>
          <w:tcPr>
            <w:tcW w:w="1316"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金属丝刷</w:t>
            </w:r>
          </w:p>
        </w:tc>
        <w:tc>
          <w:tcPr>
            <w:tcW w:w="19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金属丝刷\铜丝刷\25MM</w:t>
            </w:r>
          </w:p>
        </w:tc>
        <w:tc>
          <w:tcPr>
            <w:tcW w:w="85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default" w:ascii="Arial" w:hAnsi="Arial" w:eastAsia="宋体" w:cs="Arial"/>
                <w:i w:val="0"/>
                <w:color w:val="000000"/>
                <w:kern w:val="2"/>
                <w:sz w:val="16"/>
                <w:szCs w:val="16"/>
                <w:u w:val="none"/>
                <w:lang w:val="en-US" w:eastAsia="zh-CN" w:bidi="ar-SA"/>
              </w:rPr>
            </w:pPr>
          </w:p>
        </w:tc>
        <w:tc>
          <w:tcPr>
            <w:tcW w:w="693"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件</w:t>
            </w:r>
          </w:p>
        </w:tc>
        <w:tc>
          <w:tcPr>
            <w:tcW w:w="750" w:type="dxa"/>
            <w:noWrap/>
            <w:vAlign w:val="center"/>
          </w:tcPr>
          <w:p>
            <w:pPr>
              <w:keepNext w:val="0"/>
              <w:keepLines w:val="0"/>
              <w:pageBreakBefore w:val="0"/>
              <w:widowControl/>
              <w:suppressLineNumbers w:val="0"/>
              <w:kinsoku/>
              <w:wordWrap/>
              <w:overflowPunct/>
              <w:topLinePunct w:val="0"/>
              <w:autoSpaceDE/>
              <w:autoSpaceDN/>
              <w:bidi w:val="0"/>
              <w:ind w:firstLine="0" w:firstLineChars="0"/>
              <w:jc w:val="center"/>
              <w:textAlignment w:val="center"/>
              <w:rPr>
                <w:rFonts w:hint="eastAsia" w:ascii="Arial" w:hAnsi="Arial" w:eastAsia="宋体" w:cs="Arial"/>
                <w:i w:val="0"/>
                <w:color w:val="000000"/>
                <w:kern w:val="2"/>
                <w:sz w:val="16"/>
                <w:szCs w:val="16"/>
                <w:u w:val="none"/>
                <w:lang w:val="en-US" w:eastAsia="zh-CN" w:bidi="ar-SA"/>
              </w:rPr>
            </w:pPr>
            <w:r>
              <w:rPr>
                <w:rFonts w:hint="default" w:ascii="Arial" w:hAnsi="Arial" w:eastAsia="宋体" w:cs="Arial"/>
                <w:i w:val="0"/>
                <w:color w:val="000000"/>
                <w:kern w:val="0"/>
                <w:sz w:val="16"/>
                <w:szCs w:val="16"/>
                <w:u w:val="none"/>
                <w:lang w:val="en-US" w:eastAsia="zh-CN" w:bidi="ar"/>
              </w:rPr>
              <w:t>10</w:t>
            </w:r>
            <w:r>
              <w:rPr>
                <w:rFonts w:hint="eastAsia" w:ascii="Arial" w:hAnsi="Arial" w:cs="Arial"/>
                <w:i w:val="0"/>
                <w:color w:val="000000"/>
                <w:kern w:val="0"/>
                <w:sz w:val="16"/>
                <w:szCs w:val="16"/>
                <w:u w:val="none"/>
                <w:lang w:val="en-US" w:eastAsia="zh-CN" w:bidi="ar"/>
              </w:rPr>
              <w:t xml:space="preserve"> </w:t>
            </w:r>
          </w:p>
        </w:tc>
        <w:tc>
          <w:tcPr>
            <w:tcW w:w="888"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750" w:type="dxa"/>
            <w:noWrap/>
            <w:vAlign w:val="center"/>
          </w:tcPr>
          <w:p>
            <w:pPr>
              <w:pStyle w:val="72"/>
              <w:tabs>
                <w:tab w:val="left" w:pos="0"/>
                <w:tab w:val="left" w:pos="240"/>
                <w:tab w:val="left" w:pos="840"/>
                <w:tab w:val="left" w:pos="1080"/>
              </w:tabs>
              <w:spacing w:line="240" w:lineRule="auto"/>
              <w:ind w:firstLine="422"/>
              <w:jc w:val="center"/>
              <w:rPr>
                <w:rFonts w:ascii="宋体" w:hAnsi="宋体"/>
                <w:b/>
                <w:sz w:val="16"/>
                <w:szCs w:val="16"/>
              </w:rPr>
            </w:pPr>
          </w:p>
        </w:tc>
        <w:tc>
          <w:tcPr>
            <w:tcW w:w="1324"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Arial" w:hAnsi="Arial" w:eastAsia="宋体" w:cs="Arial"/>
                <w:i w:val="0"/>
                <w:color w:val="000000"/>
                <w:kern w:val="2"/>
                <w:sz w:val="16"/>
                <w:szCs w:val="16"/>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410" w:type="dxa"/>
            <w:noWrap/>
            <w:vAlign w:val="center"/>
          </w:tcPr>
          <w:p>
            <w:pPr>
              <w:spacing w:line="240" w:lineRule="auto"/>
              <w:ind w:firstLine="0" w:firstLineChars="0"/>
              <w:jc w:val="center"/>
              <w:rPr>
                <w:highlight w:val="yellow"/>
              </w:rPr>
            </w:pPr>
          </w:p>
        </w:tc>
        <w:tc>
          <w:tcPr>
            <w:tcW w:w="8524" w:type="dxa"/>
            <w:gridSpan w:val="8"/>
            <w:noWrap/>
            <w:vAlign w:val="center"/>
          </w:tcPr>
          <w:p>
            <w:pPr>
              <w:pStyle w:val="72"/>
              <w:tabs>
                <w:tab w:val="left" w:pos="0"/>
                <w:tab w:val="left" w:pos="240"/>
                <w:tab w:val="left" w:pos="840"/>
                <w:tab w:val="left" w:pos="1080"/>
              </w:tabs>
              <w:spacing w:line="240" w:lineRule="auto"/>
              <w:ind w:firstLine="0" w:firstLineChars="0"/>
              <w:jc w:val="center"/>
            </w:pPr>
            <w:r>
              <w:rPr>
                <w:rFonts w:hint="eastAsia"/>
              </w:rPr>
              <w:t>含税总价（税率</w:t>
            </w:r>
            <w:r>
              <w:rPr>
                <w:rFonts w:hint="eastAsia"/>
                <w:u w:val="single"/>
              </w:rPr>
              <w:t xml:space="preserve"> 13 </w:t>
            </w:r>
            <w:r>
              <w:rPr>
                <w:rFonts w:hint="eastAsia"/>
              </w:rPr>
              <w:t>%）:小写：     大写：</w:t>
            </w:r>
          </w:p>
        </w:tc>
      </w:tr>
    </w:tbl>
    <w:p>
      <w:pPr>
        <w:spacing w:line="360" w:lineRule="auto"/>
        <w:ind w:firstLine="0" w:firstLineChars="0"/>
        <w:rPr>
          <w:rFonts w:cs="Arial"/>
          <w:szCs w:val="21"/>
        </w:rPr>
      </w:pPr>
      <w:r>
        <w:rPr>
          <w:rFonts w:hint="eastAsia" w:cs="Arial"/>
          <w:szCs w:val="21"/>
        </w:rPr>
        <w:t>上述报价含现场技术服务及运费</w:t>
      </w:r>
    </w:p>
    <w:p>
      <w:pPr>
        <w:wordWrap w:val="0"/>
        <w:spacing w:line="360" w:lineRule="auto"/>
        <w:ind w:firstLine="480"/>
        <w:jc w:val="right"/>
        <w:rPr>
          <w:rFonts w:cs="Arial"/>
          <w:szCs w:val="21"/>
          <w:u w:val="single"/>
        </w:rPr>
      </w:pPr>
      <w:r>
        <w:rPr>
          <w:rFonts w:hint="eastAsia" w:cs="Arial"/>
          <w:szCs w:val="21"/>
        </w:rPr>
        <w:t>供应商名称：</w:t>
      </w:r>
      <w:r>
        <w:rPr>
          <w:rFonts w:hint="eastAsia" w:cs="Arial"/>
          <w:szCs w:val="21"/>
          <w:u w:val="single"/>
        </w:rPr>
        <w:t xml:space="preserve"> </w:t>
      </w:r>
      <w:r>
        <w:rPr>
          <w:rFonts w:cs="Arial"/>
          <w:szCs w:val="21"/>
          <w:u w:val="single"/>
        </w:rPr>
        <w:t xml:space="preserve">  </w:t>
      </w:r>
      <w:r>
        <w:rPr>
          <w:rFonts w:hint="eastAsia" w:cs="Arial"/>
          <w:szCs w:val="21"/>
          <w:u w:val="single"/>
        </w:rPr>
        <w:t xml:space="preserve">（盖章） </w:t>
      </w:r>
      <w:r>
        <w:rPr>
          <w:rFonts w:cs="Arial"/>
          <w:szCs w:val="21"/>
          <w:u w:val="single"/>
        </w:rPr>
        <w:t xml:space="preserve">  </w:t>
      </w:r>
    </w:p>
    <w:p>
      <w:pPr>
        <w:spacing w:line="360" w:lineRule="auto"/>
        <w:ind w:right="360" w:rightChars="150" w:firstLine="480"/>
        <w:jc w:val="right"/>
        <w:rPr>
          <w:rFonts w:ascii="宋体" w:hAnsi="宋体" w:cs="Arial"/>
          <w:szCs w:val="24"/>
        </w:rPr>
      </w:pPr>
      <w:r>
        <w:rPr>
          <w:rFonts w:cs="Arial"/>
          <w:szCs w:val="21"/>
          <w:u w:val="single"/>
        </w:rPr>
        <w:t xml:space="preserve">      </w:t>
      </w:r>
      <w:r>
        <w:rPr>
          <w:rFonts w:hint="eastAsia" w:cs="Arial"/>
          <w:szCs w:val="21"/>
        </w:rPr>
        <w:t>年</w:t>
      </w:r>
      <w:r>
        <w:rPr>
          <w:rFonts w:hint="eastAsia" w:cs="Arial"/>
          <w:szCs w:val="21"/>
          <w:u w:val="single"/>
        </w:rPr>
        <w:t xml:space="preserve">     </w:t>
      </w:r>
      <w:r>
        <w:rPr>
          <w:rFonts w:hint="eastAsia" w:cs="Arial"/>
          <w:szCs w:val="21"/>
        </w:rPr>
        <w:t>月</w:t>
      </w:r>
      <w:r>
        <w:rPr>
          <w:rFonts w:hint="eastAsia" w:cs="Arial"/>
          <w:szCs w:val="21"/>
          <w:u w:val="single"/>
        </w:rPr>
        <w:t xml:space="preserve">     </w:t>
      </w:r>
      <w:r>
        <w:rPr>
          <w:rFonts w:hint="eastAsia" w:cs="Arial"/>
          <w:szCs w:val="21"/>
        </w:rPr>
        <w:t>日</w:t>
      </w:r>
    </w:p>
    <w:p>
      <w:pPr>
        <w:ind w:firstLine="0" w:firstLineChars="0"/>
        <w:sectPr>
          <w:pgSz w:w="11907" w:h="16839"/>
          <w:pgMar w:top="1560" w:right="1440" w:bottom="1276" w:left="1440" w:header="567" w:footer="567" w:gutter="0"/>
          <w:pgBorders>
            <w:top w:val="none" w:sz="0" w:space="0"/>
            <w:left w:val="none" w:sz="0" w:space="0"/>
            <w:bottom w:val="none" w:sz="0" w:space="0"/>
            <w:right w:val="none" w:sz="0" w:space="0"/>
          </w:pgBorders>
          <w:cols w:space="425" w:num="1"/>
          <w:docGrid w:linePitch="326" w:charSpace="0"/>
        </w:sectPr>
      </w:pPr>
    </w:p>
    <w:p>
      <w:pPr>
        <w:widowControl/>
        <w:tabs>
          <w:tab w:val="left" w:pos="3846"/>
          <w:tab w:val="left" w:pos="5376"/>
          <w:tab w:val="left" w:pos="7077"/>
          <w:tab w:val="left" w:pos="8636"/>
        </w:tabs>
        <w:ind w:firstLine="4819" w:firstLineChars="2008"/>
      </w:pPr>
      <w:r>
        <w:rPr>
          <w:rFonts w:cs="宋体"/>
          <w:color w:val="000000"/>
          <w:kern w:val="0"/>
          <w:szCs w:val="24"/>
        </w:rPr>
        <w:tab/>
      </w:r>
      <w:r>
        <w:rPr>
          <w:rFonts w:cs="宋体"/>
          <w:b/>
          <w:color w:val="000000"/>
          <w:kern w:val="0"/>
          <w:sz w:val="22"/>
        </w:rPr>
        <w:tab/>
      </w:r>
      <w:r>
        <w:rPr>
          <w:rFonts w:cs="宋体"/>
          <w:b/>
          <w:color w:val="000000"/>
          <w:kern w:val="0"/>
          <w:sz w:val="22"/>
        </w:rPr>
        <w:tab/>
      </w:r>
    </w:p>
    <w:p>
      <w:pPr>
        <w:pStyle w:val="3"/>
        <w:spacing w:before="120"/>
      </w:pPr>
      <w:bookmarkStart w:id="107" w:name="_Toc81472832"/>
      <w:r>
        <w:rPr>
          <w:rFonts w:hint="eastAsia"/>
        </w:rPr>
        <w:t>三、</w:t>
      </w:r>
      <w:r>
        <w:t>偏差表</w:t>
      </w:r>
      <w:bookmarkEnd w:id="107"/>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843"/>
        <w:gridCol w:w="1559"/>
        <w:gridCol w:w="3175"/>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ind w:firstLine="0" w:firstLineChars="0"/>
              <w:rPr>
                <w:rFonts w:cs="宋体"/>
                <w:color w:val="000000"/>
                <w:kern w:val="0"/>
                <w:sz w:val="20"/>
              </w:rPr>
            </w:pPr>
            <w:r>
              <w:rPr>
                <w:rFonts w:hint="eastAsia" w:cs="宋体"/>
                <w:color w:val="000000"/>
                <w:kern w:val="0"/>
                <w:sz w:val="20"/>
              </w:rPr>
              <w:t>序号</w:t>
            </w:r>
          </w:p>
        </w:tc>
        <w:tc>
          <w:tcPr>
            <w:tcW w:w="1843" w:type="dxa"/>
            <w:shd w:val="clear" w:color="auto" w:fill="auto"/>
          </w:tcPr>
          <w:p>
            <w:pPr>
              <w:ind w:firstLine="700" w:firstLineChars="350"/>
              <w:rPr>
                <w:rFonts w:cs="宋体"/>
                <w:color w:val="000000"/>
                <w:kern w:val="0"/>
                <w:sz w:val="20"/>
              </w:rPr>
            </w:pPr>
            <w:r>
              <w:rPr>
                <w:rFonts w:hint="eastAsia" w:cs="宋体"/>
                <w:color w:val="000000"/>
                <w:kern w:val="0"/>
                <w:sz w:val="20"/>
              </w:rPr>
              <w:t>项   目</w:t>
            </w:r>
          </w:p>
        </w:tc>
        <w:tc>
          <w:tcPr>
            <w:tcW w:w="1559" w:type="dxa"/>
            <w:shd w:val="clear" w:color="auto" w:fill="auto"/>
          </w:tcPr>
          <w:p>
            <w:pPr>
              <w:ind w:firstLine="0" w:firstLineChars="0"/>
              <w:rPr>
                <w:rFonts w:cs="宋体"/>
                <w:color w:val="000000"/>
                <w:kern w:val="0"/>
                <w:sz w:val="20"/>
              </w:rPr>
            </w:pPr>
            <w:r>
              <w:rPr>
                <w:rFonts w:hint="eastAsia" w:cs="宋体"/>
                <w:color w:val="000000"/>
                <w:kern w:val="0"/>
                <w:sz w:val="20"/>
              </w:rPr>
              <w:t>条款</w:t>
            </w:r>
            <w:r>
              <w:rPr>
                <w:rFonts w:cs="宋体"/>
                <w:color w:val="000000"/>
                <w:kern w:val="0"/>
                <w:sz w:val="20"/>
              </w:rPr>
              <w:t>编号</w:t>
            </w:r>
          </w:p>
        </w:tc>
        <w:tc>
          <w:tcPr>
            <w:tcW w:w="3175" w:type="dxa"/>
            <w:shd w:val="clear" w:color="auto" w:fill="auto"/>
          </w:tcPr>
          <w:p>
            <w:pPr>
              <w:ind w:firstLine="0" w:firstLineChars="0"/>
              <w:rPr>
                <w:rFonts w:cs="宋体"/>
                <w:color w:val="000000"/>
                <w:kern w:val="0"/>
                <w:sz w:val="20"/>
              </w:rPr>
            </w:pPr>
            <w:r>
              <w:rPr>
                <w:rFonts w:hint="eastAsia" w:cs="宋体"/>
                <w:color w:val="000000"/>
                <w:kern w:val="0"/>
                <w:sz w:val="20"/>
              </w:rPr>
              <w:t>偏差</w:t>
            </w:r>
            <w:r>
              <w:rPr>
                <w:rFonts w:cs="宋体"/>
                <w:color w:val="000000"/>
                <w:kern w:val="0"/>
                <w:sz w:val="20"/>
              </w:rPr>
              <w:t>内容</w:t>
            </w:r>
          </w:p>
        </w:tc>
        <w:tc>
          <w:tcPr>
            <w:tcW w:w="1849" w:type="dxa"/>
            <w:shd w:val="clear" w:color="auto" w:fill="auto"/>
          </w:tcPr>
          <w:p>
            <w:pPr>
              <w:ind w:firstLineChars="100"/>
              <w:rPr>
                <w:rFonts w:cs="宋体"/>
                <w:color w:val="000000"/>
                <w:kern w:val="0"/>
                <w:sz w:val="20"/>
              </w:rPr>
            </w:pPr>
            <w:r>
              <w:rPr>
                <w:rFonts w:hint="eastAsia" w:cs="宋体"/>
                <w:color w:val="000000"/>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ind w:firstLine="0" w:firstLineChars="0"/>
              <w:rPr>
                <w:rFonts w:cs="宋体"/>
                <w:color w:val="000000"/>
                <w:kern w:val="0"/>
                <w:sz w:val="20"/>
              </w:rPr>
            </w:pPr>
          </w:p>
        </w:tc>
        <w:tc>
          <w:tcPr>
            <w:tcW w:w="1843" w:type="dxa"/>
            <w:shd w:val="clear" w:color="auto" w:fill="auto"/>
          </w:tcPr>
          <w:p>
            <w:pPr>
              <w:ind w:firstLine="0" w:firstLineChars="0"/>
              <w:rPr>
                <w:rFonts w:cs="宋体"/>
                <w:color w:val="000000"/>
                <w:kern w:val="0"/>
                <w:sz w:val="20"/>
              </w:rPr>
            </w:pPr>
            <w:r>
              <w:rPr>
                <w:rFonts w:hint="eastAsia" w:cs="宋体"/>
                <w:color w:val="000000"/>
                <w:kern w:val="0"/>
                <w:sz w:val="20"/>
              </w:rPr>
              <w:t>商务</w:t>
            </w:r>
          </w:p>
        </w:tc>
        <w:tc>
          <w:tcPr>
            <w:tcW w:w="1559" w:type="dxa"/>
            <w:shd w:val="clear" w:color="auto" w:fill="auto"/>
          </w:tcPr>
          <w:p>
            <w:pPr>
              <w:ind w:firstLine="0" w:firstLineChars="0"/>
              <w:rPr>
                <w:rFonts w:cs="宋体"/>
                <w:color w:val="000000"/>
                <w:kern w:val="0"/>
                <w:sz w:val="20"/>
              </w:rPr>
            </w:pPr>
          </w:p>
        </w:tc>
        <w:tc>
          <w:tcPr>
            <w:tcW w:w="3175" w:type="dxa"/>
            <w:shd w:val="clear" w:color="auto" w:fill="auto"/>
          </w:tcPr>
          <w:p>
            <w:pPr>
              <w:ind w:firstLine="0" w:firstLineChars="0"/>
              <w:rPr>
                <w:rFonts w:cs="宋体"/>
                <w:color w:val="000000"/>
                <w:kern w:val="0"/>
                <w:sz w:val="20"/>
              </w:rPr>
            </w:pPr>
          </w:p>
        </w:tc>
        <w:tc>
          <w:tcPr>
            <w:tcW w:w="1849" w:type="dxa"/>
            <w:shd w:val="clear" w:color="auto" w:fill="auto"/>
          </w:tcPr>
          <w:p>
            <w:pPr>
              <w:ind w:firstLine="0" w:firstLineChars="0"/>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ind w:firstLine="0" w:firstLineChars="0"/>
              <w:rPr>
                <w:rFonts w:cs="宋体"/>
                <w:color w:val="000000"/>
                <w:kern w:val="0"/>
                <w:sz w:val="20"/>
              </w:rPr>
            </w:pPr>
          </w:p>
        </w:tc>
        <w:tc>
          <w:tcPr>
            <w:tcW w:w="1843" w:type="dxa"/>
            <w:shd w:val="clear" w:color="auto" w:fill="auto"/>
          </w:tcPr>
          <w:p>
            <w:pPr>
              <w:ind w:firstLine="0" w:firstLineChars="0"/>
              <w:rPr>
                <w:rFonts w:cs="宋体"/>
                <w:color w:val="000000"/>
                <w:kern w:val="0"/>
                <w:sz w:val="20"/>
              </w:rPr>
            </w:pPr>
            <w:r>
              <w:rPr>
                <w:rFonts w:hint="eastAsia" w:cs="宋体"/>
                <w:color w:val="000000"/>
                <w:kern w:val="0"/>
                <w:sz w:val="20"/>
              </w:rPr>
              <w:t>技术</w:t>
            </w:r>
          </w:p>
        </w:tc>
        <w:tc>
          <w:tcPr>
            <w:tcW w:w="1559" w:type="dxa"/>
            <w:shd w:val="clear" w:color="auto" w:fill="auto"/>
          </w:tcPr>
          <w:p>
            <w:pPr>
              <w:ind w:firstLine="0" w:firstLineChars="0"/>
              <w:rPr>
                <w:rFonts w:cs="宋体"/>
                <w:color w:val="000000"/>
                <w:kern w:val="0"/>
                <w:sz w:val="20"/>
              </w:rPr>
            </w:pPr>
          </w:p>
        </w:tc>
        <w:tc>
          <w:tcPr>
            <w:tcW w:w="3175" w:type="dxa"/>
            <w:shd w:val="clear" w:color="auto" w:fill="auto"/>
          </w:tcPr>
          <w:p>
            <w:pPr>
              <w:ind w:firstLine="0" w:firstLineChars="0"/>
              <w:rPr>
                <w:rFonts w:cs="宋体"/>
                <w:color w:val="000000"/>
                <w:kern w:val="0"/>
                <w:sz w:val="20"/>
              </w:rPr>
            </w:pPr>
          </w:p>
        </w:tc>
        <w:tc>
          <w:tcPr>
            <w:tcW w:w="1849" w:type="dxa"/>
            <w:shd w:val="clear" w:color="auto" w:fill="auto"/>
          </w:tcPr>
          <w:p>
            <w:pPr>
              <w:ind w:firstLine="0" w:firstLineChars="0"/>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ind w:firstLine="0" w:firstLineChars="0"/>
              <w:rPr>
                <w:rFonts w:cs="宋体"/>
                <w:color w:val="000000"/>
                <w:kern w:val="0"/>
                <w:sz w:val="20"/>
              </w:rPr>
            </w:pPr>
          </w:p>
        </w:tc>
        <w:tc>
          <w:tcPr>
            <w:tcW w:w="1843" w:type="dxa"/>
            <w:shd w:val="clear" w:color="auto" w:fill="auto"/>
          </w:tcPr>
          <w:p>
            <w:pPr>
              <w:ind w:firstLine="0" w:firstLineChars="0"/>
              <w:rPr>
                <w:rFonts w:cs="宋体"/>
                <w:color w:val="000000"/>
                <w:kern w:val="0"/>
                <w:sz w:val="20"/>
              </w:rPr>
            </w:pPr>
          </w:p>
        </w:tc>
        <w:tc>
          <w:tcPr>
            <w:tcW w:w="1559" w:type="dxa"/>
            <w:shd w:val="clear" w:color="auto" w:fill="auto"/>
          </w:tcPr>
          <w:p>
            <w:pPr>
              <w:ind w:firstLine="0" w:firstLineChars="0"/>
              <w:rPr>
                <w:rFonts w:cs="宋体"/>
                <w:color w:val="000000"/>
                <w:kern w:val="0"/>
                <w:sz w:val="20"/>
              </w:rPr>
            </w:pPr>
          </w:p>
        </w:tc>
        <w:tc>
          <w:tcPr>
            <w:tcW w:w="3175" w:type="dxa"/>
            <w:shd w:val="clear" w:color="auto" w:fill="auto"/>
          </w:tcPr>
          <w:p>
            <w:pPr>
              <w:ind w:firstLine="0" w:firstLineChars="0"/>
              <w:rPr>
                <w:rFonts w:cs="宋体"/>
                <w:color w:val="000000"/>
                <w:kern w:val="0"/>
                <w:sz w:val="20"/>
              </w:rPr>
            </w:pPr>
          </w:p>
        </w:tc>
        <w:tc>
          <w:tcPr>
            <w:tcW w:w="1849" w:type="dxa"/>
            <w:shd w:val="clear" w:color="auto" w:fill="auto"/>
          </w:tcPr>
          <w:p>
            <w:pPr>
              <w:ind w:firstLine="0" w:firstLineChars="0"/>
              <w:rPr>
                <w:rFonts w:cs="宋体"/>
                <w:color w:val="000000"/>
                <w:kern w:val="0"/>
                <w:sz w:val="20"/>
              </w:rPr>
            </w:pPr>
          </w:p>
        </w:tc>
      </w:tr>
    </w:tbl>
    <w:p>
      <w:pPr>
        <w:ind w:firstLine="166" w:firstLineChars="83"/>
        <w:rPr>
          <w:rFonts w:cs="宋体"/>
          <w:color w:val="FF0000"/>
          <w:kern w:val="0"/>
          <w:sz w:val="20"/>
        </w:rPr>
      </w:pPr>
      <w:r>
        <w:rPr>
          <w:rFonts w:hint="eastAsia" w:cs="宋体"/>
          <w:color w:val="FF0000"/>
          <w:kern w:val="0"/>
          <w:sz w:val="20"/>
        </w:rPr>
        <w:t>如</w:t>
      </w:r>
      <w:r>
        <w:rPr>
          <w:rFonts w:cs="宋体"/>
          <w:color w:val="FF0000"/>
          <w:kern w:val="0"/>
          <w:sz w:val="20"/>
        </w:rPr>
        <w:t>无</w:t>
      </w:r>
      <w:r>
        <w:rPr>
          <w:rFonts w:hint="eastAsia" w:cs="宋体"/>
          <w:color w:val="FF0000"/>
          <w:kern w:val="0"/>
          <w:sz w:val="20"/>
        </w:rPr>
        <w:t>偏差</w:t>
      </w:r>
      <w:r>
        <w:rPr>
          <w:rFonts w:cs="宋体"/>
          <w:color w:val="FF0000"/>
          <w:kern w:val="0"/>
          <w:sz w:val="20"/>
        </w:rPr>
        <w:t>，必须填写“</w:t>
      </w:r>
      <w:r>
        <w:rPr>
          <w:rFonts w:hint="eastAsia" w:cs="宋体"/>
          <w:color w:val="FF0000"/>
          <w:kern w:val="0"/>
          <w:sz w:val="20"/>
        </w:rPr>
        <w:t>无</w:t>
      </w:r>
      <w:r>
        <w:rPr>
          <w:rFonts w:cs="宋体"/>
          <w:color w:val="FF0000"/>
          <w:kern w:val="0"/>
          <w:sz w:val="20"/>
        </w:rPr>
        <w:t>”</w:t>
      </w:r>
      <w:r>
        <w:rPr>
          <w:rFonts w:hint="eastAsia" w:cs="宋体"/>
          <w:color w:val="FF0000"/>
          <w:kern w:val="0"/>
          <w:sz w:val="20"/>
        </w:rPr>
        <w:t>。</w:t>
      </w:r>
    </w:p>
    <w:p>
      <w:pPr>
        <w:spacing w:line="360" w:lineRule="auto"/>
        <w:ind w:right="360" w:rightChars="150" w:firstLine="480"/>
        <w:jc w:val="center"/>
        <w:rPr>
          <w:rFonts w:ascii="宋体" w:hAnsi="宋体" w:cs="Arial"/>
          <w:szCs w:val="24"/>
        </w:rPr>
      </w:pPr>
    </w:p>
    <w:p>
      <w:pPr>
        <w:spacing w:line="360" w:lineRule="auto"/>
        <w:ind w:right="360" w:rightChars="150" w:firstLine="480"/>
        <w:jc w:val="center"/>
        <w:rPr>
          <w:rFonts w:ascii="宋体" w:hAnsi="宋体" w:cs="Arial"/>
          <w:szCs w:val="24"/>
        </w:rPr>
      </w:pPr>
    </w:p>
    <w:p>
      <w:pPr>
        <w:spacing w:line="360" w:lineRule="auto"/>
        <w:ind w:firstLine="480"/>
        <w:jc w:val="center"/>
        <w:rPr>
          <w:rFonts w:cs="Arial"/>
          <w:szCs w:val="21"/>
        </w:rPr>
      </w:pPr>
    </w:p>
    <w:p>
      <w:pPr>
        <w:wordWrap w:val="0"/>
        <w:spacing w:line="360" w:lineRule="auto"/>
        <w:ind w:firstLine="480"/>
        <w:jc w:val="right"/>
        <w:rPr>
          <w:rFonts w:cs="Arial"/>
          <w:szCs w:val="21"/>
          <w:u w:val="single"/>
        </w:rPr>
      </w:pPr>
      <w:r>
        <w:rPr>
          <w:rFonts w:hint="eastAsia" w:cs="Arial"/>
          <w:szCs w:val="21"/>
        </w:rPr>
        <w:t>供应商名称：</w:t>
      </w:r>
      <w:r>
        <w:rPr>
          <w:rFonts w:hint="eastAsia" w:cs="Arial"/>
          <w:szCs w:val="21"/>
          <w:u w:val="single"/>
        </w:rPr>
        <w:t xml:space="preserve"> </w:t>
      </w:r>
      <w:r>
        <w:rPr>
          <w:rFonts w:cs="Arial"/>
          <w:szCs w:val="21"/>
          <w:u w:val="single"/>
        </w:rPr>
        <w:t xml:space="preserve">  </w:t>
      </w:r>
      <w:r>
        <w:rPr>
          <w:rFonts w:hint="eastAsia" w:cs="Arial"/>
          <w:szCs w:val="21"/>
          <w:u w:val="single"/>
        </w:rPr>
        <w:t xml:space="preserve">（盖章） </w:t>
      </w:r>
      <w:r>
        <w:rPr>
          <w:rFonts w:cs="Arial"/>
          <w:szCs w:val="21"/>
          <w:u w:val="single"/>
        </w:rPr>
        <w:t xml:space="preserve">  </w:t>
      </w:r>
    </w:p>
    <w:p>
      <w:pPr>
        <w:spacing w:line="360" w:lineRule="auto"/>
        <w:ind w:right="360" w:rightChars="150" w:firstLine="480"/>
        <w:jc w:val="right"/>
        <w:rPr>
          <w:rFonts w:ascii="宋体" w:hAnsi="宋体" w:cs="Arial"/>
          <w:szCs w:val="24"/>
        </w:rPr>
      </w:pPr>
      <w:r>
        <w:rPr>
          <w:rFonts w:cs="Arial"/>
          <w:szCs w:val="21"/>
          <w:u w:val="single"/>
        </w:rPr>
        <w:t xml:space="preserve">      </w:t>
      </w:r>
      <w:r>
        <w:rPr>
          <w:rFonts w:hint="eastAsia" w:cs="Arial"/>
          <w:szCs w:val="21"/>
        </w:rPr>
        <w:t>年</w:t>
      </w:r>
      <w:r>
        <w:rPr>
          <w:rFonts w:hint="eastAsia" w:cs="Arial"/>
          <w:szCs w:val="21"/>
          <w:u w:val="single"/>
        </w:rPr>
        <w:t xml:space="preserve">     </w:t>
      </w:r>
      <w:r>
        <w:rPr>
          <w:rFonts w:hint="eastAsia" w:cs="Arial"/>
          <w:szCs w:val="21"/>
        </w:rPr>
        <w:t>月</w:t>
      </w:r>
      <w:r>
        <w:rPr>
          <w:rFonts w:hint="eastAsia" w:cs="Arial"/>
          <w:szCs w:val="21"/>
          <w:u w:val="single"/>
        </w:rPr>
        <w:t xml:space="preserve">     </w:t>
      </w:r>
      <w:r>
        <w:rPr>
          <w:rFonts w:hint="eastAsia" w:cs="Arial"/>
          <w:szCs w:val="21"/>
        </w:rPr>
        <w:t>日</w:t>
      </w:r>
    </w:p>
    <w:p>
      <w:pPr>
        <w:ind w:firstLine="0" w:firstLineChars="0"/>
        <w:rPr>
          <w:rFonts w:ascii="宋体" w:hAnsi="宋体" w:cs="Arial"/>
          <w:szCs w:val="24"/>
        </w:rPr>
      </w:pPr>
    </w:p>
    <w:sectPr>
      <w:pgSz w:w="11907" w:h="16839"/>
      <w:pgMar w:top="993" w:right="1440" w:bottom="1843" w:left="1440" w:header="1135" w:footer="992" w:gutter="0"/>
      <w:pgBorders>
        <w:top w:val="none" w:sz="0" w:space="0"/>
        <w:left w:val="none" w:sz="0" w:space="0"/>
        <w:bottom w:val="none" w:sz="0" w:space="0"/>
        <w:right w:val="none" w:sz="0" w:space="0"/>
      </w:pgBorders>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entury Gothic">
    <w:altName w:val="Yu Gothic UI"/>
    <w:panose1 w:val="020B0502020202020204"/>
    <w:charset w:val="00"/>
    <w:family w:val="swiss"/>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firstLine="360"/>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lang w:val="zh-CN"/>
      </w:rPr>
      <w:t>1</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firstLine="360"/>
      <w:jc w:val="center"/>
    </w:pPr>
    <w:r>
      <w:rPr>
        <w:rStyle w:val="55"/>
      </w:rPr>
      <w:fldChar w:fldCharType="begin"/>
    </w:r>
    <w:r>
      <w:rPr>
        <w:rStyle w:val="55"/>
      </w:rPr>
      <w:instrText xml:space="preserve"> PAGE </w:instrText>
    </w:r>
    <w:r>
      <w:rPr>
        <w:rStyle w:val="55"/>
      </w:rPr>
      <w:fldChar w:fldCharType="separate"/>
    </w:r>
    <w:r>
      <w:rPr>
        <w:rStyle w:val="55"/>
      </w:rPr>
      <w:t>3</w:t>
    </w:r>
    <w:r>
      <w:rPr>
        <w:rStyle w:val="5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0" w:firstLineChars="0"/>
      <w:jc w:val="left"/>
      <w:rPr>
        <w:rFonts w:ascii="宋体" w:hAnsi="宋体"/>
        <w:szCs w:val="18"/>
      </w:rPr>
    </w:pPr>
    <w:r>
      <w:rPr>
        <w:rFonts w:ascii="宋体" w:hAnsi="宋体"/>
        <w:szCs w:val="18"/>
      </w:rPr>
      <w:drawing>
        <wp:inline distT="0" distB="0" distL="114300" distR="114300">
          <wp:extent cx="226060" cy="237490"/>
          <wp:effectExtent l="0" t="0" r="2540" b="10160"/>
          <wp:docPr id="2"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7" descr="标志2"/>
                  <pic:cNvPicPr>
                    <a:picLocks noChangeAspect="1"/>
                  </pic:cNvPicPr>
                </pic:nvPicPr>
                <pic:blipFill>
                  <a:blip r:embed="rId1"/>
                  <a:stretch>
                    <a:fillRect/>
                  </a:stretch>
                </pic:blipFill>
                <pic:spPr>
                  <a:xfrm>
                    <a:off x="0" y="0"/>
                    <a:ext cx="226060" cy="237490"/>
                  </a:xfrm>
                  <a:prstGeom prst="rect">
                    <a:avLst/>
                  </a:prstGeom>
                  <a:noFill/>
                  <a:ln>
                    <a:noFill/>
                  </a:ln>
                </pic:spPr>
              </pic:pic>
            </a:graphicData>
          </a:graphic>
        </wp:inline>
      </w:drawing>
    </w:r>
    <w:r>
      <w:rPr>
        <w:rFonts w:hint="eastAsia" w:ascii="宋体" w:hAnsi="宋体"/>
        <w:szCs w:val="18"/>
      </w:rPr>
      <w:t>中国华能集团有限公司简明标准询价采购文件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83BE38"/>
    <w:multiLevelType w:val="singleLevel"/>
    <w:tmpl w:val="C383BE38"/>
    <w:lvl w:ilvl="0" w:tentative="0">
      <w:start w:val="1"/>
      <w:numFmt w:val="decimal"/>
      <w:lvlText w:val="%1"/>
      <w:lvlJc w:val="left"/>
      <w:pPr>
        <w:tabs>
          <w:tab w:val="left" w:pos="420"/>
        </w:tabs>
        <w:ind w:left="425" w:leftChars="0" w:hanging="425" w:firstLineChars="0"/>
      </w:pPr>
      <w:rPr>
        <w:rFonts w:hint="default"/>
      </w:rPr>
    </w:lvl>
  </w:abstractNum>
  <w:abstractNum w:abstractNumId="1">
    <w:nsid w:val="4727B123"/>
    <w:multiLevelType w:val="singleLevel"/>
    <w:tmpl w:val="4727B123"/>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5"/>
  <w:drawingGridHorizontalSpacing w:val="120"/>
  <w:drawingGridVerticalSpacing w:val="16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05988"/>
    <w:rsid w:val="000070CC"/>
    <w:rsid w:val="00007F52"/>
    <w:rsid w:val="00010102"/>
    <w:rsid w:val="000108F2"/>
    <w:rsid w:val="00012027"/>
    <w:rsid w:val="000125E2"/>
    <w:rsid w:val="0001388C"/>
    <w:rsid w:val="00013C22"/>
    <w:rsid w:val="0001422E"/>
    <w:rsid w:val="00014D41"/>
    <w:rsid w:val="000157B7"/>
    <w:rsid w:val="00015DD1"/>
    <w:rsid w:val="00016C62"/>
    <w:rsid w:val="0001707A"/>
    <w:rsid w:val="000202FD"/>
    <w:rsid w:val="00022477"/>
    <w:rsid w:val="00022596"/>
    <w:rsid w:val="0002296E"/>
    <w:rsid w:val="00022FCB"/>
    <w:rsid w:val="00025507"/>
    <w:rsid w:val="00025F64"/>
    <w:rsid w:val="00026363"/>
    <w:rsid w:val="00027254"/>
    <w:rsid w:val="000272E0"/>
    <w:rsid w:val="000277D0"/>
    <w:rsid w:val="000313DF"/>
    <w:rsid w:val="00031B08"/>
    <w:rsid w:val="00031CB2"/>
    <w:rsid w:val="00033390"/>
    <w:rsid w:val="0003497E"/>
    <w:rsid w:val="0003497F"/>
    <w:rsid w:val="00035271"/>
    <w:rsid w:val="00035E2E"/>
    <w:rsid w:val="00036802"/>
    <w:rsid w:val="0003692C"/>
    <w:rsid w:val="00036F75"/>
    <w:rsid w:val="00037C12"/>
    <w:rsid w:val="0004018A"/>
    <w:rsid w:val="0004090B"/>
    <w:rsid w:val="00041363"/>
    <w:rsid w:val="00042DBE"/>
    <w:rsid w:val="0004626F"/>
    <w:rsid w:val="0004712B"/>
    <w:rsid w:val="000509D3"/>
    <w:rsid w:val="00051291"/>
    <w:rsid w:val="00051D29"/>
    <w:rsid w:val="00053234"/>
    <w:rsid w:val="000539BF"/>
    <w:rsid w:val="000539C1"/>
    <w:rsid w:val="00054490"/>
    <w:rsid w:val="000544D3"/>
    <w:rsid w:val="000558AD"/>
    <w:rsid w:val="00056707"/>
    <w:rsid w:val="000573DB"/>
    <w:rsid w:val="00060D36"/>
    <w:rsid w:val="00065AA5"/>
    <w:rsid w:val="000669E9"/>
    <w:rsid w:val="00071028"/>
    <w:rsid w:val="00072198"/>
    <w:rsid w:val="00073C12"/>
    <w:rsid w:val="000765CE"/>
    <w:rsid w:val="0007754E"/>
    <w:rsid w:val="000776BF"/>
    <w:rsid w:val="0008057D"/>
    <w:rsid w:val="000805D8"/>
    <w:rsid w:val="00081252"/>
    <w:rsid w:val="0008251F"/>
    <w:rsid w:val="00082C54"/>
    <w:rsid w:val="000830F3"/>
    <w:rsid w:val="00083780"/>
    <w:rsid w:val="00084708"/>
    <w:rsid w:val="00086C0F"/>
    <w:rsid w:val="000921B9"/>
    <w:rsid w:val="0009338C"/>
    <w:rsid w:val="00093726"/>
    <w:rsid w:val="00093728"/>
    <w:rsid w:val="00095FBD"/>
    <w:rsid w:val="00095FEE"/>
    <w:rsid w:val="00096F03"/>
    <w:rsid w:val="000A0036"/>
    <w:rsid w:val="000A04E6"/>
    <w:rsid w:val="000A2A7D"/>
    <w:rsid w:val="000A4DB5"/>
    <w:rsid w:val="000A50FB"/>
    <w:rsid w:val="000A73D1"/>
    <w:rsid w:val="000A77B4"/>
    <w:rsid w:val="000B062D"/>
    <w:rsid w:val="000B1CE0"/>
    <w:rsid w:val="000B2F31"/>
    <w:rsid w:val="000B3011"/>
    <w:rsid w:val="000B365A"/>
    <w:rsid w:val="000B4793"/>
    <w:rsid w:val="000B4A82"/>
    <w:rsid w:val="000B4CCE"/>
    <w:rsid w:val="000B4E3B"/>
    <w:rsid w:val="000B4F8E"/>
    <w:rsid w:val="000B5D7E"/>
    <w:rsid w:val="000B681A"/>
    <w:rsid w:val="000B6E31"/>
    <w:rsid w:val="000B7877"/>
    <w:rsid w:val="000C1918"/>
    <w:rsid w:val="000C2204"/>
    <w:rsid w:val="000C2C38"/>
    <w:rsid w:val="000C2C74"/>
    <w:rsid w:val="000C447A"/>
    <w:rsid w:val="000C45EB"/>
    <w:rsid w:val="000C4679"/>
    <w:rsid w:val="000C4A6B"/>
    <w:rsid w:val="000C4F77"/>
    <w:rsid w:val="000C6186"/>
    <w:rsid w:val="000C6FE0"/>
    <w:rsid w:val="000D0598"/>
    <w:rsid w:val="000D25EA"/>
    <w:rsid w:val="000D2EC6"/>
    <w:rsid w:val="000D539B"/>
    <w:rsid w:val="000D5618"/>
    <w:rsid w:val="000D6D94"/>
    <w:rsid w:val="000E273A"/>
    <w:rsid w:val="000E41C8"/>
    <w:rsid w:val="000E4B8A"/>
    <w:rsid w:val="000E4CAC"/>
    <w:rsid w:val="000E70DF"/>
    <w:rsid w:val="000E76E2"/>
    <w:rsid w:val="000E78F2"/>
    <w:rsid w:val="000E7F0A"/>
    <w:rsid w:val="000F05D2"/>
    <w:rsid w:val="000F2551"/>
    <w:rsid w:val="000F25E3"/>
    <w:rsid w:val="000F2F1F"/>
    <w:rsid w:val="000F4CD8"/>
    <w:rsid w:val="000F5D86"/>
    <w:rsid w:val="000F74F6"/>
    <w:rsid w:val="00100D3A"/>
    <w:rsid w:val="001024E2"/>
    <w:rsid w:val="00103C02"/>
    <w:rsid w:val="00103D56"/>
    <w:rsid w:val="00104A34"/>
    <w:rsid w:val="00105FD1"/>
    <w:rsid w:val="00106E31"/>
    <w:rsid w:val="001102A5"/>
    <w:rsid w:val="001107C2"/>
    <w:rsid w:val="00110DD3"/>
    <w:rsid w:val="0011371C"/>
    <w:rsid w:val="00114528"/>
    <w:rsid w:val="001164E5"/>
    <w:rsid w:val="00116912"/>
    <w:rsid w:val="0011711F"/>
    <w:rsid w:val="001174EE"/>
    <w:rsid w:val="00117C7C"/>
    <w:rsid w:val="0012003A"/>
    <w:rsid w:val="00120B61"/>
    <w:rsid w:val="0012180F"/>
    <w:rsid w:val="00122121"/>
    <w:rsid w:val="00122555"/>
    <w:rsid w:val="0012297A"/>
    <w:rsid w:val="001233AD"/>
    <w:rsid w:val="00123794"/>
    <w:rsid w:val="001248E1"/>
    <w:rsid w:val="0012494A"/>
    <w:rsid w:val="0012551E"/>
    <w:rsid w:val="001258D7"/>
    <w:rsid w:val="00125C65"/>
    <w:rsid w:val="00125E16"/>
    <w:rsid w:val="0012682D"/>
    <w:rsid w:val="0012795D"/>
    <w:rsid w:val="00127C49"/>
    <w:rsid w:val="00130B3D"/>
    <w:rsid w:val="0013224E"/>
    <w:rsid w:val="001331EF"/>
    <w:rsid w:val="0013509E"/>
    <w:rsid w:val="00136456"/>
    <w:rsid w:val="001369DE"/>
    <w:rsid w:val="001369F2"/>
    <w:rsid w:val="00136B17"/>
    <w:rsid w:val="00137D85"/>
    <w:rsid w:val="00140167"/>
    <w:rsid w:val="00141AAC"/>
    <w:rsid w:val="00141EE3"/>
    <w:rsid w:val="001432D3"/>
    <w:rsid w:val="00144AFF"/>
    <w:rsid w:val="00145533"/>
    <w:rsid w:val="00146909"/>
    <w:rsid w:val="00151212"/>
    <w:rsid w:val="00152359"/>
    <w:rsid w:val="0015282A"/>
    <w:rsid w:val="00152AA6"/>
    <w:rsid w:val="0015359E"/>
    <w:rsid w:val="001549ED"/>
    <w:rsid w:val="0015513E"/>
    <w:rsid w:val="0015686C"/>
    <w:rsid w:val="00157915"/>
    <w:rsid w:val="00160F3E"/>
    <w:rsid w:val="001619FD"/>
    <w:rsid w:val="00162292"/>
    <w:rsid w:val="00166B07"/>
    <w:rsid w:val="00167EDF"/>
    <w:rsid w:val="0017018A"/>
    <w:rsid w:val="00170667"/>
    <w:rsid w:val="001706BB"/>
    <w:rsid w:val="001715F2"/>
    <w:rsid w:val="00172A27"/>
    <w:rsid w:val="00172DF8"/>
    <w:rsid w:val="00173232"/>
    <w:rsid w:val="001765A0"/>
    <w:rsid w:val="0018203D"/>
    <w:rsid w:val="0018285C"/>
    <w:rsid w:val="00182C43"/>
    <w:rsid w:val="00184CD6"/>
    <w:rsid w:val="001850F5"/>
    <w:rsid w:val="00185AD6"/>
    <w:rsid w:val="00186477"/>
    <w:rsid w:val="0018660B"/>
    <w:rsid w:val="00186685"/>
    <w:rsid w:val="00192123"/>
    <w:rsid w:val="00193505"/>
    <w:rsid w:val="00194B3F"/>
    <w:rsid w:val="00195146"/>
    <w:rsid w:val="0019565D"/>
    <w:rsid w:val="001978CC"/>
    <w:rsid w:val="001A0DBF"/>
    <w:rsid w:val="001A0FD2"/>
    <w:rsid w:val="001A3ADE"/>
    <w:rsid w:val="001A49BA"/>
    <w:rsid w:val="001A53CA"/>
    <w:rsid w:val="001A5553"/>
    <w:rsid w:val="001A55C0"/>
    <w:rsid w:val="001A5D87"/>
    <w:rsid w:val="001A5FD7"/>
    <w:rsid w:val="001A71DB"/>
    <w:rsid w:val="001A7404"/>
    <w:rsid w:val="001B0377"/>
    <w:rsid w:val="001B12B4"/>
    <w:rsid w:val="001B132A"/>
    <w:rsid w:val="001B1EE0"/>
    <w:rsid w:val="001B228A"/>
    <w:rsid w:val="001B32C8"/>
    <w:rsid w:val="001B3676"/>
    <w:rsid w:val="001B422E"/>
    <w:rsid w:val="001B47BE"/>
    <w:rsid w:val="001B57E4"/>
    <w:rsid w:val="001B67DE"/>
    <w:rsid w:val="001B6D8A"/>
    <w:rsid w:val="001B7061"/>
    <w:rsid w:val="001B7BE9"/>
    <w:rsid w:val="001C14CF"/>
    <w:rsid w:val="001C299F"/>
    <w:rsid w:val="001C2BD0"/>
    <w:rsid w:val="001C3B0D"/>
    <w:rsid w:val="001C511D"/>
    <w:rsid w:val="001C56C6"/>
    <w:rsid w:val="001C6006"/>
    <w:rsid w:val="001C6391"/>
    <w:rsid w:val="001C7CCE"/>
    <w:rsid w:val="001D15EE"/>
    <w:rsid w:val="001D1BC6"/>
    <w:rsid w:val="001D2221"/>
    <w:rsid w:val="001D23F8"/>
    <w:rsid w:val="001D27AC"/>
    <w:rsid w:val="001D35F1"/>
    <w:rsid w:val="001D3E90"/>
    <w:rsid w:val="001D3E97"/>
    <w:rsid w:val="001D4053"/>
    <w:rsid w:val="001D512D"/>
    <w:rsid w:val="001D5253"/>
    <w:rsid w:val="001D5321"/>
    <w:rsid w:val="001D6523"/>
    <w:rsid w:val="001E1FCD"/>
    <w:rsid w:val="001E286B"/>
    <w:rsid w:val="001E2D2B"/>
    <w:rsid w:val="001E2DB4"/>
    <w:rsid w:val="001E2E83"/>
    <w:rsid w:val="001E4D20"/>
    <w:rsid w:val="001E674A"/>
    <w:rsid w:val="001E6BA6"/>
    <w:rsid w:val="001E6CA2"/>
    <w:rsid w:val="001F1707"/>
    <w:rsid w:val="001F19B9"/>
    <w:rsid w:val="001F1C91"/>
    <w:rsid w:val="001F380C"/>
    <w:rsid w:val="001F39C1"/>
    <w:rsid w:val="001F465D"/>
    <w:rsid w:val="001F484F"/>
    <w:rsid w:val="001F4BAE"/>
    <w:rsid w:val="001F7519"/>
    <w:rsid w:val="001F7663"/>
    <w:rsid w:val="00200C02"/>
    <w:rsid w:val="002012C9"/>
    <w:rsid w:val="00202298"/>
    <w:rsid w:val="00203715"/>
    <w:rsid w:val="00203CE2"/>
    <w:rsid w:val="00204B94"/>
    <w:rsid w:val="00205341"/>
    <w:rsid w:val="00206BEF"/>
    <w:rsid w:val="00207C0F"/>
    <w:rsid w:val="00210914"/>
    <w:rsid w:val="00210B44"/>
    <w:rsid w:val="00212FF2"/>
    <w:rsid w:val="0021450D"/>
    <w:rsid w:val="0021516B"/>
    <w:rsid w:val="00215EA4"/>
    <w:rsid w:val="00215F93"/>
    <w:rsid w:val="0021670A"/>
    <w:rsid w:val="00216BB5"/>
    <w:rsid w:val="0022054E"/>
    <w:rsid w:val="002206D1"/>
    <w:rsid w:val="00220B3B"/>
    <w:rsid w:val="00220BD0"/>
    <w:rsid w:val="00221107"/>
    <w:rsid w:val="002212CE"/>
    <w:rsid w:val="002214CF"/>
    <w:rsid w:val="00222CC9"/>
    <w:rsid w:val="00222DB1"/>
    <w:rsid w:val="002241FD"/>
    <w:rsid w:val="00225C9F"/>
    <w:rsid w:val="00225DC9"/>
    <w:rsid w:val="002264D2"/>
    <w:rsid w:val="00226888"/>
    <w:rsid w:val="00226890"/>
    <w:rsid w:val="0022783A"/>
    <w:rsid w:val="0023068F"/>
    <w:rsid w:val="00232EA3"/>
    <w:rsid w:val="002338C9"/>
    <w:rsid w:val="00233FAE"/>
    <w:rsid w:val="00234C0A"/>
    <w:rsid w:val="002371C4"/>
    <w:rsid w:val="002375CE"/>
    <w:rsid w:val="00240482"/>
    <w:rsid w:val="00241CD3"/>
    <w:rsid w:val="0024308F"/>
    <w:rsid w:val="00243337"/>
    <w:rsid w:val="00246F70"/>
    <w:rsid w:val="00247291"/>
    <w:rsid w:val="00247395"/>
    <w:rsid w:val="00247C74"/>
    <w:rsid w:val="002518D3"/>
    <w:rsid w:val="00251ECE"/>
    <w:rsid w:val="002526F2"/>
    <w:rsid w:val="00254633"/>
    <w:rsid w:val="00256345"/>
    <w:rsid w:val="00262ACD"/>
    <w:rsid w:val="00262B9C"/>
    <w:rsid w:val="00262D40"/>
    <w:rsid w:val="00266AFA"/>
    <w:rsid w:val="002673C7"/>
    <w:rsid w:val="00270BD1"/>
    <w:rsid w:val="00272535"/>
    <w:rsid w:val="002739FC"/>
    <w:rsid w:val="00275F81"/>
    <w:rsid w:val="002767C4"/>
    <w:rsid w:val="00276848"/>
    <w:rsid w:val="002770A8"/>
    <w:rsid w:val="00277BDB"/>
    <w:rsid w:val="00280A31"/>
    <w:rsid w:val="00281AEB"/>
    <w:rsid w:val="00281DC0"/>
    <w:rsid w:val="00284DEF"/>
    <w:rsid w:val="00287015"/>
    <w:rsid w:val="00287455"/>
    <w:rsid w:val="00287F2B"/>
    <w:rsid w:val="00290DB3"/>
    <w:rsid w:val="00292968"/>
    <w:rsid w:val="00293035"/>
    <w:rsid w:val="0029407F"/>
    <w:rsid w:val="002942AF"/>
    <w:rsid w:val="00295DB3"/>
    <w:rsid w:val="002964A5"/>
    <w:rsid w:val="00297B75"/>
    <w:rsid w:val="002A0CED"/>
    <w:rsid w:val="002A2768"/>
    <w:rsid w:val="002A2D55"/>
    <w:rsid w:val="002A49D6"/>
    <w:rsid w:val="002A4E9B"/>
    <w:rsid w:val="002A6778"/>
    <w:rsid w:val="002A6ED5"/>
    <w:rsid w:val="002A7BFD"/>
    <w:rsid w:val="002A7F39"/>
    <w:rsid w:val="002B0D0C"/>
    <w:rsid w:val="002B57AB"/>
    <w:rsid w:val="002B65D6"/>
    <w:rsid w:val="002C09AC"/>
    <w:rsid w:val="002C12ED"/>
    <w:rsid w:val="002C1AC2"/>
    <w:rsid w:val="002C2478"/>
    <w:rsid w:val="002C43A3"/>
    <w:rsid w:val="002C4E1F"/>
    <w:rsid w:val="002C5477"/>
    <w:rsid w:val="002C76EA"/>
    <w:rsid w:val="002C7E11"/>
    <w:rsid w:val="002D0088"/>
    <w:rsid w:val="002D01BF"/>
    <w:rsid w:val="002D0636"/>
    <w:rsid w:val="002D0936"/>
    <w:rsid w:val="002D1098"/>
    <w:rsid w:val="002D16ED"/>
    <w:rsid w:val="002D2539"/>
    <w:rsid w:val="002D32CB"/>
    <w:rsid w:val="002D3E4C"/>
    <w:rsid w:val="002D48D5"/>
    <w:rsid w:val="002D5CDB"/>
    <w:rsid w:val="002D635B"/>
    <w:rsid w:val="002D7179"/>
    <w:rsid w:val="002E12CE"/>
    <w:rsid w:val="002E19C4"/>
    <w:rsid w:val="002E2743"/>
    <w:rsid w:val="002E31F0"/>
    <w:rsid w:val="002E3692"/>
    <w:rsid w:val="002E39E8"/>
    <w:rsid w:val="002E4D99"/>
    <w:rsid w:val="002E56C8"/>
    <w:rsid w:val="002E7110"/>
    <w:rsid w:val="002E740D"/>
    <w:rsid w:val="002F05B5"/>
    <w:rsid w:val="002F090E"/>
    <w:rsid w:val="002F1E2C"/>
    <w:rsid w:val="002F1E44"/>
    <w:rsid w:val="002F1E72"/>
    <w:rsid w:val="002F3200"/>
    <w:rsid w:val="002F3B0B"/>
    <w:rsid w:val="002F497E"/>
    <w:rsid w:val="002F4B50"/>
    <w:rsid w:val="002F51FC"/>
    <w:rsid w:val="002F705A"/>
    <w:rsid w:val="002F70C9"/>
    <w:rsid w:val="003018FE"/>
    <w:rsid w:val="00301D5E"/>
    <w:rsid w:val="00302751"/>
    <w:rsid w:val="00302E29"/>
    <w:rsid w:val="00303D65"/>
    <w:rsid w:val="00303EB2"/>
    <w:rsid w:val="00305609"/>
    <w:rsid w:val="003067CB"/>
    <w:rsid w:val="003117CC"/>
    <w:rsid w:val="00312714"/>
    <w:rsid w:val="00314672"/>
    <w:rsid w:val="00314C71"/>
    <w:rsid w:val="00314CB6"/>
    <w:rsid w:val="0031598B"/>
    <w:rsid w:val="0031648C"/>
    <w:rsid w:val="00316DCD"/>
    <w:rsid w:val="00316E0C"/>
    <w:rsid w:val="00317B1A"/>
    <w:rsid w:val="00317E72"/>
    <w:rsid w:val="0032024F"/>
    <w:rsid w:val="00320B62"/>
    <w:rsid w:val="003224E2"/>
    <w:rsid w:val="0032365B"/>
    <w:rsid w:val="0032500A"/>
    <w:rsid w:val="00325A18"/>
    <w:rsid w:val="00327667"/>
    <w:rsid w:val="003308A4"/>
    <w:rsid w:val="00330BCB"/>
    <w:rsid w:val="00330EA4"/>
    <w:rsid w:val="00331046"/>
    <w:rsid w:val="00331C60"/>
    <w:rsid w:val="00333519"/>
    <w:rsid w:val="0033396F"/>
    <w:rsid w:val="0033648E"/>
    <w:rsid w:val="00336B22"/>
    <w:rsid w:val="00336C51"/>
    <w:rsid w:val="003374D6"/>
    <w:rsid w:val="0034023A"/>
    <w:rsid w:val="0034159D"/>
    <w:rsid w:val="00343846"/>
    <w:rsid w:val="00343C27"/>
    <w:rsid w:val="00344E6B"/>
    <w:rsid w:val="003465C2"/>
    <w:rsid w:val="0035003C"/>
    <w:rsid w:val="00350E3A"/>
    <w:rsid w:val="00354C68"/>
    <w:rsid w:val="00355E43"/>
    <w:rsid w:val="00356206"/>
    <w:rsid w:val="003563C4"/>
    <w:rsid w:val="003616A2"/>
    <w:rsid w:val="003619B3"/>
    <w:rsid w:val="0036206B"/>
    <w:rsid w:val="003637B2"/>
    <w:rsid w:val="0036386D"/>
    <w:rsid w:val="00363FD7"/>
    <w:rsid w:val="00364DCA"/>
    <w:rsid w:val="00365AA6"/>
    <w:rsid w:val="00367C08"/>
    <w:rsid w:val="003701DC"/>
    <w:rsid w:val="00371A7C"/>
    <w:rsid w:val="0037346F"/>
    <w:rsid w:val="003736F7"/>
    <w:rsid w:val="00374F15"/>
    <w:rsid w:val="00375E19"/>
    <w:rsid w:val="00381036"/>
    <w:rsid w:val="0038118A"/>
    <w:rsid w:val="00382F12"/>
    <w:rsid w:val="003832CE"/>
    <w:rsid w:val="00383EAA"/>
    <w:rsid w:val="00386134"/>
    <w:rsid w:val="00386686"/>
    <w:rsid w:val="00387265"/>
    <w:rsid w:val="00387303"/>
    <w:rsid w:val="00387FAE"/>
    <w:rsid w:val="00390547"/>
    <w:rsid w:val="0039118D"/>
    <w:rsid w:val="00391199"/>
    <w:rsid w:val="003916C3"/>
    <w:rsid w:val="00395988"/>
    <w:rsid w:val="00395AC8"/>
    <w:rsid w:val="0039620A"/>
    <w:rsid w:val="003968ED"/>
    <w:rsid w:val="0039696A"/>
    <w:rsid w:val="00396FEA"/>
    <w:rsid w:val="00397643"/>
    <w:rsid w:val="003977BF"/>
    <w:rsid w:val="003A219B"/>
    <w:rsid w:val="003A2FDA"/>
    <w:rsid w:val="003A3007"/>
    <w:rsid w:val="003A613E"/>
    <w:rsid w:val="003A6277"/>
    <w:rsid w:val="003A73BE"/>
    <w:rsid w:val="003A7B5F"/>
    <w:rsid w:val="003B336A"/>
    <w:rsid w:val="003B38EA"/>
    <w:rsid w:val="003B66EC"/>
    <w:rsid w:val="003C0498"/>
    <w:rsid w:val="003C18C1"/>
    <w:rsid w:val="003C19A5"/>
    <w:rsid w:val="003C3139"/>
    <w:rsid w:val="003C46D8"/>
    <w:rsid w:val="003C5593"/>
    <w:rsid w:val="003C77E4"/>
    <w:rsid w:val="003C7A80"/>
    <w:rsid w:val="003C7E9B"/>
    <w:rsid w:val="003D0691"/>
    <w:rsid w:val="003D2093"/>
    <w:rsid w:val="003D2922"/>
    <w:rsid w:val="003D2D18"/>
    <w:rsid w:val="003D4641"/>
    <w:rsid w:val="003D534E"/>
    <w:rsid w:val="003D58A4"/>
    <w:rsid w:val="003D67E9"/>
    <w:rsid w:val="003D7173"/>
    <w:rsid w:val="003D76C7"/>
    <w:rsid w:val="003E08B1"/>
    <w:rsid w:val="003E11AB"/>
    <w:rsid w:val="003E1364"/>
    <w:rsid w:val="003E19FD"/>
    <w:rsid w:val="003E1C20"/>
    <w:rsid w:val="003E1CDF"/>
    <w:rsid w:val="003E1F82"/>
    <w:rsid w:val="003E2B72"/>
    <w:rsid w:val="003E5162"/>
    <w:rsid w:val="003E589B"/>
    <w:rsid w:val="003E6881"/>
    <w:rsid w:val="003E6E4A"/>
    <w:rsid w:val="003E747A"/>
    <w:rsid w:val="003F01C7"/>
    <w:rsid w:val="003F26DB"/>
    <w:rsid w:val="003F2F07"/>
    <w:rsid w:val="003F4D17"/>
    <w:rsid w:val="003F541F"/>
    <w:rsid w:val="003F56AF"/>
    <w:rsid w:val="003F62D8"/>
    <w:rsid w:val="003F70C0"/>
    <w:rsid w:val="00400898"/>
    <w:rsid w:val="00400CBE"/>
    <w:rsid w:val="0040127E"/>
    <w:rsid w:val="0040251F"/>
    <w:rsid w:val="004025BF"/>
    <w:rsid w:val="00404F96"/>
    <w:rsid w:val="004050AA"/>
    <w:rsid w:val="00405AAC"/>
    <w:rsid w:val="00405D3A"/>
    <w:rsid w:val="00406656"/>
    <w:rsid w:val="00407009"/>
    <w:rsid w:val="004078C0"/>
    <w:rsid w:val="004104CC"/>
    <w:rsid w:val="00414CA9"/>
    <w:rsid w:val="00416577"/>
    <w:rsid w:val="004179EC"/>
    <w:rsid w:val="0042004B"/>
    <w:rsid w:val="00420DA9"/>
    <w:rsid w:val="00420ED3"/>
    <w:rsid w:val="004228B8"/>
    <w:rsid w:val="00423D0A"/>
    <w:rsid w:val="0042549E"/>
    <w:rsid w:val="00425611"/>
    <w:rsid w:val="00425C60"/>
    <w:rsid w:val="00425F7B"/>
    <w:rsid w:val="00426B8E"/>
    <w:rsid w:val="00427A29"/>
    <w:rsid w:val="00431016"/>
    <w:rsid w:val="004313F2"/>
    <w:rsid w:val="004320A5"/>
    <w:rsid w:val="00435C52"/>
    <w:rsid w:val="004366CB"/>
    <w:rsid w:val="00440720"/>
    <w:rsid w:val="004417CA"/>
    <w:rsid w:val="0044187E"/>
    <w:rsid w:val="004429DF"/>
    <w:rsid w:val="00442A94"/>
    <w:rsid w:val="00444E16"/>
    <w:rsid w:val="004456E1"/>
    <w:rsid w:val="0044580E"/>
    <w:rsid w:val="00446680"/>
    <w:rsid w:val="0044693A"/>
    <w:rsid w:val="00446D75"/>
    <w:rsid w:val="00447E90"/>
    <w:rsid w:val="0045097B"/>
    <w:rsid w:val="00452596"/>
    <w:rsid w:val="004536F3"/>
    <w:rsid w:val="004562AC"/>
    <w:rsid w:val="00457247"/>
    <w:rsid w:val="00461F8E"/>
    <w:rsid w:val="0046219D"/>
    <w:rsid w:val="00462258"/>
    <w:rsid w:val="00463D34"/>
    <w:rsid w:val="00464B34"/>
    <w:rsid w:val="00464C03"/>
    <w:rsid w:val="00464CD5"/>
    <w:rsid w:val="00464F26"/>
    <w:rsid w:val="004659D1"/>
    <w:rsid w:val="00466506"/>
    <w:rsid w:val="00466907"/>
    <w:rsid w:val="00466A60"/>
    <w:rsid w:val="00467ACF"/>
    <w:rsid w:val="00467C7D"/>
    <w:rsid w:val="00470401"/>
    <w:rsid w:val="00472666"/>
    <w:rsid w:val="004737E2"/>
    <w:rsid w:val="004738C4"/>
    <w:rsid w:val="00473A21"/>
    <w:rsid w:val="00473CFE"/>
    <w:rsid w:val="00474B53"/>
    <w:rsid w:val="0047634C"/>
    <w:rsid w:val="00476C9E"/>
    <w:rsid w:val="00476CFC"/>
    <w:rsid w:val="00477756"/>
    <w:rsid w:val="004818CF"/>
    <w:rsid w:val="00482D1B"/>
    <w:rsid w:val="004840FD"/>
    <w:rsid w:val="004854FB"/>
    <w:rsid w:val="00490DDD"/>
    <w:rsid w:val="00490F06"/>
    <w:rsid w:val="00491453"/>
    <w:rsid w:val="0049220B"/>
    <w:rsid w:val="00493FA1"/>
    <w:rsid w:val="00496FD1"/>
    <w:rsid w:val="00497925"/>
    <w:rsid w:val="004A0231"/>
    <w:rsid w:val="004A0866"/>
    <w:rsid w:val="004A1380"/>
    <w:rsid w:val="004A1541"/>
    <w:rsid w:val="004A1924"/>
    <w:rsid w:val="004A1997"/>
    <w:rsid w:val="004A2971"/>
    <w:rsid w:val="004A389C"/>
    <w:rsid w:val="004A38DE"/>
    <w:rsid w:val="004A4C7C"/>
    <w:rsid w:val="004A60CD"/>
    <w:rsid w:val="004A7156"/>
    <w:rsid w:val="004A7C43"/>
    <w:rsid w:val="004B0649"/>
    <w:rsid w:val="004B0688"/>
    <w:rsid w:val="004B0FF5"/>
    <w:rsid w:val="004B38F2"/>
    <w:rsid w:val="004B3C87"/>
    <w:rsid w:val="004B4473"/>
    <w:rsid w:val="004B57E7"/>
    <w:rsid w:val="004B6A61"/>
    <w:rsid w:val="004C11D3"/>
    <w:rsid w:val="004C2D93"/>
    <w:rsid w:val="004C3C65"/>
    <w:rsid w:val="004C3F61"/>
    <w:rsid w:val="004D158E"/>
    <w:rsid w:val="004D2DFC"/>
    <w:rsid w:val="004D2EF6"/>
    <w:rsid w:val="004D3253"/>
    <w:rsid w:val="004D597E"/>
    <w:rsid w:val="004D60D7"/>
    <w:rsid w:val="004D6808"/>
    <w:rsid w:val="004D70B4"/>
    <w:rsid w:val="004E4AEA"/>
    <w:rsid w:val="004E5633"/>
    <w:rsid w:val="004E7859"/>
    <w:rsid w:val="004F31C5"/>
    <w:rsid w:val="004F570F"/>
    <w:rsid w:val="004F6E4D"/>
    <w:rsid w:val="004F7EC5"/>
    <w:rsid w:val="00501C34"/>
    <w:rsid w:val="005061B6"/>
    <w:rsid w:val="005064D4"/>
    <w:rsid w:val="00506F55"/>
    <w:rsid w:val="00512A33"/>
    <w:rsid w:val="00513BDA"/>
    <w:rsid w:val="00513C07"/>
    <w:rsid w:val="00514BCD"/>
    <w:rsid w:val="00514D19"/>
    <w:rsid w:val="00515622"/>
    <w:rsid w:val="00516423"/>
    <w:rsid w:val="00516A65"/>
    <w:rsid w:val="005215E0"/>
    <w:rsid w:val="00521B68"/>
    <w:rsid w:val="005223ED"/>
    <w:rsid w:val="005229CC"/>
    <w:rsid w:val="00523A2A"/>
    <w:rsid w:val="0052402A"/>
    <w:rsid w:val="00525393"/>
    <w:rsid w:val="00526CF0"/>
    <w:rsid w:val="005305F9"/>
    <w:rsid w:val="0053205F"/>
    <w:rsid w:val="00532A99"/>
    <w:rsid w:val="0053372F"/>
    <w:rsid w:val="0053445B"/>
    <w:rsid w:val="00537F11"/>
    <w:rsid w:val="0054323D"/>
    <w:rsid w:val="005450B6"/>
    <w:rsid w:val="00545F27"/>
    <w:rsid w:val="00546092"/>
    <w:rsid w:val="00546C1B"/>
    <w:rsid w:val="00551073"/>
    <w:rsid w:val="005521AD"/>
    <w:rsid w:val="0055221E"/>
    <w:rsid w:val="00552A5B"/>
    <w:rsid w:val="0055644E"/>
    <w:rsid w:val="00556784"/>
    <w:rsid w:val="00557240"/>
    <w:rsid w:val="00560E28"/>
    <w:rsid w:val="00561A1C"/>
    <w:rsid w:val="00564C7F"/>
    <w:rsid w:val="00565977"/>
    <w:rsid w:val="005665E6"/>
    <w:rsid w:val="00566C21"/>
    <w:rsid w:val="005700D3"/>
    <w:rsid w:val="00570DC0"/>
    <w:rsid w:val="00572F2E"/>
    <w:rsid w:val="00573CBA"/>
    <w:rsid w:val="00573DFF"/>
    <w:rsid w:val="00573FAD"/>
    <w:rsid w:val="0057401F"/>
    <w:rsid w:val="00574EA5"/>
    <w:rsid w:val="0057558C"/>
    <w:rsid w:val="0058125B"/>
    <w:rsid w:val="00581839"/>
    <w:rsid w:val="0058292F"/>
    <w:rsid w:val="00584136"/>
    <w:rsid w:val="005864FD"/>
    <w:rsid w:val="00587CB3"/>
    <w:rsid w:val="00592464"/>
    <w:rsid w:val="005943C0"/>
    <w:rsid w:val="00594463"/>
    <w:rsid w:val="0059617D"/>
    <w:rsid w:val="00596602"/>
    <w:rsid w:val="00596C42"/>
    <w:rsid w:val="00596CFB"/>
    <w:rsid w:val="0059701E"/>
    <w:rsid w:val="005974F6"/>
    <w:rsid w:val="00597605"/>
    <w:rsid w:val="00597C3A"/>
    <w:rsid w:val="005A091C"/>
    <w:rsid w:val="005A45F4"/>
    <w:rsid w:val="005A4B24"/>
    <w:rsid w:val="005A4E54"/>
    <w:rsid w:val="005A4F95"/>
    <w:rsid w:val="005A53EC"/>
    <w:rsid w:val="005A66E2"/>
    <w:rsid w:val="005A672F"/>
    <w:rsid w:val="005B22F3"/>
    <w:rsid w:val="005B2669"/>
    <w:rsid w:val="005B29CE"/>
    <w:rsid w:val="005B2CF3"/>
    <w:rsid w:val="005B30F3"/>
    <w:rsid w:val="005B382E"/>
    <w:rsid w:val="005B4035"/>
    <w:rsid w:val="005B51AB"/>
    <w:rsid w:val="005B5335"/>
    <w:rsid w:val="005B694F"/>
    <w:rsid w:val="005B7FC2"/>
    <w:rsid w:val="005C17CB"/>
    <w:rsid w:val="005C351D"/>
    <w:rsid w:val="005C3D54"/>
    <w:rsid w:val="005C40D5"/>
    <w:rsid w:val="005C4559"/>
    <w:rsid w:val="005C4C90"/>
    <w:rsid w:val="005C585F"/>
    <w:rsid w:val="005C677F"/>
    <w:rsid w:val="005D2202"/>
    <w:rsid w:val="005D2A00"/>
    <w:rsid w:val="005D3699"/>
    <w:rsid w:val="005D3E03"/>
    <w:rsid w:val="005D3F5B"/>
    <w:rsid w:val="005D50C3"/>
    <w:rsid w:val="005E0517"/>
    <w:rsid w:val="005E0D1F"/>
    <w:rsid w:val="005E1732"/>
    <w:rsid w:val="005E1863"/>
    <w:rsid w:val="005E211C"/>
    <w:rsid w:val="005E3626"/>
    <w:rsid w:val="005E3AE9"/>
    <w:rsid w:val="005E4ABA"/>
    <w:rsid w:val="005E7B7E"/>
    <w:rsid w:val="005F0512"/>
    <w:rsid w:val="005F1CD6"/>
    <w:rsid w:val="005F21E8"/>
    <w:rsid w:val="005F241C"/>
    <w:rsid w:val="005F2887"/>
    <w:rsid w:val="005F3320"/>
    <w:rsid w:val="005F379F"/>
    <w:rsid w:val="005F645E"/>
    <w:rsid w:val="006000A4"/>
    <w:rsid w:val="00600A54"/>
    <w:rsid w:val="00601047"/>
    <w:rsid w:val="00601316"/>
    <w:rsid w:val="006016E8"/>
    <w:rsid w:val="00604003"/>
    <w:rsid w:val="006053D6"/>
    <w:rsid w:val="00605739"/>
    <w:rsid w:val="00605CF4"/>
    <w:rsid w:val="00606C72"/>
    <w:rsid w:val="00612BA7"/>
    <w:rsid w:val="006133F6"/>
    <w:rsid w:val="0061348D"/>
    <w:rsid w:val="00613BAF"/>
    <w:rsid w:val="00613E5D"/>
    <w:rsid w:val="006146F2"/>
    <w:rsid w:val="00614E57"/>
    <w:rsid w:val="00615DCD"/>
    <w:rsid w:val="006178EE"/>
    <w:rsid w:val="006204C9"/>
    <w:rsid w:val="006209E8"/>
    <w:rsid w:val="0062113F"/>
    <w:rsid w:val="00621DD9"/>
    <w:rsid w:val="00622492"/>
    <w:rsid w:val="00622C96"/>
    <w:rsid w:val="00622DAD"/>
    <w:rsid w:val="0062440F"/>
    <w:rsid w:val="00624D3F"/>
    <w:rsid w:val="00625ADE"/>
    <w:rsid w:val="00625DCA"/>
    <w:rsid w:val="00626D4D"/>
    <w:rsid w:val="006270B4"/>
    <w:rsid w:val="00630BA7"/>
    <w:rsid w:val="00632E5E"/>
    <w:rsid w:val="00634BB3"/>
    <w:rsid w:val="00634C82"/>
    <w:rsid w:val="00634EC6"/>
    <w:rsid w:val="00635366"/>
    <w:rsid w:val="006357D2"/>
    <w:rsid w:val="00635D45"/>
    <w:rsid w:val="0063726E"/>
    <w:rsid w:val="00637515"/>
    <w:rsid w:val="00640A53"/>
    <w:rsid w:val="00641922"/>
    <w:rsid w:val="00641B0A"/>
    <w:rsid w:val="00641FFF"/>
    <w:rsid w:val="006437E4"/>
    <w:rsid w:val="00645AB7"/>
    <w:rsid w:val="00650941"/>
    <w:rsid w:val="006509A5"/>
    <w:rsid w:val="00652457"/>
    <w:rsid w:val="0065337F"/>
    <w:rsid w:val="0065413D"/>
    <w:rsid w:val="006551B1"/>
    <w:rsid w:val="006553AB"/>
    <w:rsid w:val="00656779"/>
    <w:rsid w:val="00656BA9"/>
    <w:rsid w:val="00657767"/>
    <w:rsid w:val="00657B9D"/>
    <w:rsid w:val="006602E1"/>
    <w:rsid w:val="00660874"/>
    <w:rsid w:val="006614A1"/>
    <w:rsid w:val="00662BC7"/>
    <w:rsid w:val="00662D04"/>
    <w:rsid w:val="00667069"/>
    <w:rsid w:val="00670A0E"/>
    <w:rsid w:val="00670DE6"/>
    <w:rsid w:val="00671C60"/>
    <w:rsid w:val="006725A3"/>
    <w:rsid w:val="00672A57"/>
    <w:rsid w:val="00672FD3"/>
    <w:rsid w:val="00673775"/>
    <w:rsid w:val="00675E3D"/>
    <w:rsid w:val="0067637E"/>
    <w:rsid w:val="006776E7"/>
    <w:rsid w:val="0068011E"/>
    <w:rsid w:val="00686CF1"/>
    <w:rsid w:val="006916AF"/>
    <w:rsid w:val="00693D67"/>
    <w:rsid w:val="00694C75"/>
    <w:rsid w:val="00696640"/>
    <w:rsid w:val="0069681E"/>
    <w:rsid w:val="006A012A"/>
    <w:rsid w:val="006A134E"/>
    <w:rsid w:val="006A1D00"/>
    <w:rsid w:val="006A23A1"/>
    <w:rsid w:val="006A30D9"/>
    <w:rsid w:val="006A3CAC"/>
    <w:rsid w:val="006A4EA3"/>
    <w:rsid w:val="006A7345"/>
    <w:rsid w:val="006A742A"/>
    <w:rsid w:val="006A7F8E"/>
    <w:rsid w:val="006B05DC"/>
    <w:rsid w:val="006B0F71"/>
    <w:rsid w:val="006B2BEC"/>
    <w:rsid w:val="006B4185"/>
    <w:rsid w:val="006B4547"/>
    <w:rsid w:val="006B5A75"/>
    <w:rsid w:val="006B5FD6"/>
    <w:rsid w:val="006C07F3"/>
    <w:rsid w:val="006C3B54"/>
    <w:rsid w:val="006C40D9"/>
    <w:rsid w:val="006C489C"/>
    <w:rsid w:val="006C4A05"/>
    <w:rsid w:val="006C4EEE"/>
    <w:rsid w:val="006C64CF"/>
    <w:rsid w:val="006C6BA4"/>
    <w:rsid w:val="006C736B"/>
    <w:rsid w:val="006C7D3F"/>
    <w:rsid w:val="006D06BF"/>
    <w:rsid w:val="006D0F43"/>
    <w:rsid w:val="006D1BA9"/>
    <w:rsid w:val="006D1E2C"/>
    <w:rsid w:val="006D1FAE"/>
    <w:rsid w:val="006D3471"/>
    <w:rsid w:val="006D54BE"/>
    <w:rsid w:val="006D7697"/>
    <w:rsid w:val="006E1AB9"/>
    <w:rsid w:val="006E20B8"/>
    <w:rsid w:val="006E5AB8"/>
    <w:rsid w:val="006E6EA2"/>
    <w:rsid w:val="006E799A"/>
    <w:rsid w:val="006F2EB7"/>
    <w:rsid w:val="006F37CC"/>
    <w:rsid w:val="006F3B7B"/>
    <w:rsid w:val="006F4930"/>
    <w:rsid w:val="006F5769"/>
    <w:rsid w:val="006F7156"/>
    <w:rsid w:val="006F7D1F"/>
    <w:rsid w:val="006F7EAF"/>
    <w:rsid w:val="00702067"/>
    <w:rsid w:val="00703EC7"/>
    <w:rsid w:val="00704D79"/>
    <w:rsid w:val="00704DF9"/>
    <w:rsid w:val="00704F54"/>
    <w:rsid w:val="00705D96"/>
    <w:rsid w:val="00707373"/>
    <w:rsid w:val="007076B6"/>
    <w:rsid w:val="0070798B"/>
    <w:rsid w:val="007113ED"/>
    <w:rsid w:val="00711F94"/>
    <w:rsid w:val="00713051"/>
    <w:rsid w:val="0071334C"/>
    <w:rsid w:val="00713A1B"/>
    <w:rsid w:val="00713BA5"/>
    <w:rsid w:val="00713D5C"/>
    <w:rsid w:val="00714EE5"/>
    <w:rsid w:val="00715DDD"/>
    <w:rsid w:val="00715F81"/>
    <w:rsid w:val="0071673B"/>
    <w:rsid w:val="007176C9"/>
    <w:rsid w:val="00721627"/>
    <w:rsid w:val="00721A27"/>
    <w:rsid w:val="007220FD"/>
    <w:rsid w:val="0072228D"/>
    <w:rsid w:val="0072288B"/>
    <w:rsid w:val="00723241"/>
    <w:rsid w:val="007244E3"/>
    <w:rsid w:val="007263D2"/>
    <w:rsid w:val="0072651C"/>
    <w:rsid w:val="00727460"/>
    <w:rsid w:val="0072760C"/>
    <w:rsid w:val="00732D43"/>
    <w:rsid w:val="007346AD"/>
    <w:rsid w:val="0073512F"/>
    <w:rsid w:val="007366A3"/>
    <w:rsid w:val="00736A6B"/>
    <w:rsid w:val="00736F62"/>
    <w:rsid w:val="00737E65"/>
    <w:rsid w:val="00743106"/>
    <w:rsid w:val="007436AB"/>
    <w:rsid w:val="00744425"/>
    <w:rsid w:val="00744457"/>
    <w:rsid w:val="007446B3"/>
    <w:rsid w:val="007452DF"/>
    <w:rsid w:val="00745A03"/>
    <w:rsid w:val="00746078"/>
    <w:rsid w:val="00746949"/>
    <w:rsid w:val="00747E0F"/>
    <w:rsid w:val="0075061C"/>
    <w:rsid w:val="007506D2"/>
    <w:rsid w:val="00751066"/>
    <w:rsid w:val="00752C69"/>
    <w:rsid w:val="0075664E"/>
    <w:rsid w:val="0075674B"/>
    <w:rsid w:val="0075704C"/>
    <w:rsid w:val="00760E98"/>
    <w:rsid w:val="007610CE"/>
    <w:rsid w:val="00762D60"/>
    <w:rsid w:val="007635C4"/>
    <w:rsid w:val="007635D2"/>
    <w:rsid w:val="00763BDF"/>
    <w:rsid w:val="007646C2"/>
    <w:rsid w:val="007657D6"/>
    <w:rsid w:val="00765C2C"/>
    <w:rsid w:val="00772093"/>
    <w:rsid w:val="00772B98"/>
    <w:rsid w:val="00774060"/>
    <w:rsid w:val="0077532D"/>
    <w:rsid w:val="007759F8"/>
    <w:rsid w:val="00776079"/>
    <w:rsid w:val="0077647B"/>
    <w:rsid w:val="00776A92"/>
    <w:rsid w:val="00780086"/>
    <w:rsid w:val="007805F4"/>
    <w:rsid w:val="00780F50"/>
    <w:rsid w:val="00782699"/>
    <w:rsid w:val="0078284C"/>
    <w:rsid w:val="00782B67"/>
    <w:rsid w:val="00782D11"/>
    <w:rsid w:val="007830CF"/>
    <w:rsid w:val="0078319F"/>
    <w:rsid w:val="00783BB6"/>
    <w:rsid w:val="00783D25"/>
    <w:rsid w:val="00785731"/>
    <w:rsid w:val="00785DA9"/>
    <w:rsid w:val="00787021"/>
    <w:rsid w:val="00787977"/>
    <w:rsid w:val="00787BEA"/>
    <w:rsid w:val="00790DA7"/>
    <w:rsid w:val="00790DB7"/>
    <w:rsid w:val="007917D2"/>
    <w:rsid w:val="007938D2"/>
    <w:rsid w:val="007943AC"/>
    <w:rsid w:val="0079795F"/>
    <w:rsid w:val="007A25CA"/>
    <w:rsid w:val="007A274E"/>
    <w:rsid w:val="007A2ED0"/>
    <w:rsid w:val="007A3450"/>
    <w:rsid w:val="007A6009"/>
    <w:rsid w:val="007A6980"/>
    <w:rsid w:val="007A7856"/>
    <w:rsid w:val="007B0CBA"/>
    <w:rsid w:val="007B13EB"/>
    <w:rsid w:val="007B1AC5"/>
    <w:rsid w:val="007B2667"/>
    <w:rsid w:val="007B2D48"/>
    <w:rsid w:val="007B32D8"/>
    <w:rsid w:val="007B3C33"/>
    <w:rsid w:val="007B5617"/>
    <w:rsid w:val="007C07F5"/>
    <w:rsid w:val="007C1148"/>
    <w:rsid w:val="007C139C"/>
    <w:rsid w:val="007C3DC3"/>
    <w:rsid w:val="007C4025"/>
    <w:rsid w:val="007C6EBC"/>
    <w:rsid w:val="007D08CB"/>
    <w:rsid w:val="007D15F5"/>
    <w:rsid w:val="007D2C53"/>
    <w:rsid w:val="007D2D72"/>
    <w:rsid w:val="007D3168"/>
    <w:rsid w:val="007D3961"/>
    <w:rsid w:val="007D5D61"/>
    <w:rsid w:val="007D5E13"/>
    <w:rsid w:val="007D6635"/>
    <w:rsid w:val="007D6ABE"/>
    <w:rsid w:val="007D7570"/>
    <w:rsid w:val="007E1DC5"/>
    <w:rsid w:val="007E54C2"/>
    <w:rsid w:val="007E54FA"/>
    <w:rsid w:val="007E6140"/>
    <w:rsid w:val="007E67F6"/>
    <w:rsid w:val="007E7188"/>
    <w:rsid w:val="007E7408"/>
    <w:rsid w:val="007E777E"/>
    <w:rsid w:val="007F19E1"/>
    <w:rsid w:val="007F22C7"/>
    <w:rsid w:val="007F2710"/>
    <w:rsid w:val="007F3720"/>
    <w:rsid w:val="007F3BD4"/>
    <w:rsid w:val="007F473A"/>
    <w:rsid w:val="007F6898"/>
    <w:rsid w:val="007F6A39"/>
    <w:rsid w:val="007F6EDB"/>
    <w:rsid w:val="00800CF9"/>
    <w:rsid w:val="00801645"/>
    <w:rsid w:val="008025E1"/>
    <w:rsid w:val="0080275D"/>
    <w:rsid w:val="008034D6"/>
    <w:rsid w:val="00803AD7"/>
    <w:rsid w:val="00805F8B"/>
    <w:rsid w:val="00806866"/>
    <w:rsid w:val="008070EE"/>
    <w:rsid w:val="0081127A"/>
    <w:rsid w:val="0081293B"/>
    <w:rsid w:val="00812EC5"/>
    <w:rsid w:val="00812F3A"/>
    <w:rsid w:val="00813679"/>
    <w:rsid w:val="00813983"/>
    <w:rsid w:val="0081679A"/>
    <w:rsid w:val="00820B1C"/>
    <w:rsid w:val="00820CCB"/>
    <w:rsid w:val="008247B8"/>
    <w:rsid w:val="008250E1"/>
    <w:rsid w:val="00826D63"/>
    <w:rsid w:val="00830A66"/>
    <w:rsid w:val="00830AF9"/>
    <w:rsid w:val="008312CF"/>
    <w:rsid w:val="0083368D"/>
    <w:rsid w:val="00833B99"/>
    <w:rsid w:val="00834862"/>
    <w:rsid w:val="008351A8"/>
    <w:rsid w:val="00837907"/>
    <w:rsid w:val="00840C9B"/>
    <w:rsid w:val="008416CC"/>
    <w:rsid w:val="00843BF3"/>
    <w:rsid w:val="008440C7"/>
    <w:rsid w:val="00844E54"/>
    <w:rsid w:val="00845310"/>
    <w:rsid w:val="00845488"/>
    <w:rsid w:val="0084626F"/>
    <w:rsid w:val="00850890"/>
    <w:rsid w:val="00852F17"/>
    <w:rsid w:val="00853D3B"/>
    <w:rsid w:val="00856A17"/>
    <w:rsid w:val="008575CC"/>
    <w:rsid w:val="00857DF5"/>
    <w:rsid w:val="0086280E"/>
    <w:rsid w:val="00865020"/>
    <w:rsid w:val="00865C5A"/>
    <w:rsid w:val="00866C89"/>
    <w:rsid w:val="00867DD4"/>
    <w:rsid w:val="00867EA0"/>
    <w:rsid w:val="008705F8"/>
    <w:rsid w:val="00870983"/>
    <w:rsid w:val="00870B3D"/>
    <w:rsid w:val="00872B02"/>
    <w:rsid w:val="00873173"/>
    <w:rsid w:val="00874297"/>
    <w:rsid w:val="008751C9"/>
    <w:rsid w:val="0088324F"/>
    <w:rsid w:val="0088459D"/>
    <w:rsid w:val="00885034"/>
    <w:rsid w:val="008852DD"/>
    <w:rsid w:val="0088560D"/>
    <w:rsid w:val="0088766A"/>
    <w:rsid w:val="00890073"/>
    <w:rsid w:val="008914C6"/>
    <w:rsid w:val="00891AED"/>
    <w:rsid w:val="00891D67"/>
    <w:rsid w:val="0089515C"/>
    <w:rsid w:val="00897AAD"/>
    <w:rsid w:val="008A073E"/>
    <w:rsid w:val="008A14B6"/>
    <w:rsid w:val="008A2DA7"/>
    <w:rsid w:val="008A52D7"/>
    <w:rsid w:val="008A5CC4"/>
    <w:rsid w:val="008A6151"/>
    <w:rsid w:val="008B054C"/>
    <w:rsid w:val="008B3F85"/>
    <w:rsid w:val="008B4A82"/>
    <w:rsid w:val="008B5F85"/>
    <w:rsid w:val="008B7B3F"/>
    <w:rsid w:val="008B7E42"/>
    <w:rsid w:val="008C074C"/>
    <w:rsid w:val="008C183D"/>
    <w:rsid w:val="008C1DBD"/>
    <w:rsid w:val="008C4176"/>
    <w:rsid w:val="008C561B"/>
    <w:rsid w:val="008C66F8"/>
    <w:rsid w:val="008C68E0"/>
    <w:rsid w:val="008C6ACF"/>
    <w:rsid w:val="008C70EF"/>
    <w:rsid w:val="008D0408"/>
    <w:rsid w:val="008D078C"/>
    <w:rsid w:val="008D11C2"/>
    <w:rsid w:val="008D2634"/>
    <w:rsid w:val="008D2B27"/>
    <w:rsid w:val="008D2F39"/>
    <w:rsid w:val="008D32C3"/>
    <w:rsid w:val="008D3B24"/>
    <w:rsid w:val="008D45EA"/>
    <w:rsid w:val="008D521C"/>
    <w:rsid w:val="008D5CDE"/>
    <w:rsid w:val="008E1FE6"/>
    <w:rsid w:val="008E2BCE"/>
    <w:rsid w:val="008E2DB4"/>
    <w:rsid w:val="008E2DBD"/>
    <w:rsid w:val="008E45F7"/>
    <w:rsid w:val="008E49E5"/>
    <w:rsid w:val="008E5BB4"/>
    <w:rsid w:val="008E613F"/>
    <w:rsid w:val="008E666E"/>
    <w:rsid w:val="008E70C1"/>
    <w:rsid w:val="008E70FD"/>
    <w:rsid w:val="008E7315"/>
    <w:rsid w:val="008E7ABE"/>
    <w:rsid w:val="008F1F5E"/>
    <w:rsid w:val="008F430B"/>
    <w:rsid w:val="008F7A5C"/>
    <w:rsid w:val="009016BB"/>
    <w:rsid w:val="00901A7F"/>
    <w:rsid w:val="00901BB8"/>
    <w:rsid w:val="009029A1"/>
    <w:rsid w:val="009044AC"/>
    <w:rsid w:val="0090556A"/>
    <w:rsid w:val="0090572F"/>
    <w:rsid w:val="00905C38"/>
    <w:rsid w:val="00907261"/>
    <w:rsid w:val="009132C9"/>
    <w:rsid w:val="0091355B"/>
    <w:rsid w:val="00913E74"/>
    <w:rsid w:val="00914433"/>
    <w:rsid w:val="00916BFD"/>
    <w:rsid w:val="009176B8"/>
    <w:rsid w:val="00921361"/>
    <w:rsid w:val="0092200F"/>
    <w:rsid w:val="00923DA1"/>
    <w:rsid w:val="00923FC5"/>
    <w:rsid w:val="0092531E"/>
    <w:rsid w:val="00926C4B"/>
    <w:rsid w:val="00927158"/>
    <w:rsid w:val="00927619"/>
    <w:rsid w:val="0092799D"/>
    <w:rsid w:val="00927ED2"/>
    <w:rsid w:val="0093162F"/>
    <w:rsid w:val="00934202"/>
    <w:rsid w:val="00935812"/>
    <w:rsid w:val="00936B34"/>
    <w:rsid w:val="009375D4"/>
    <w:rsid w:val="009409C3"/>
    <w:rsid w:val="00941265"/>
    <w:rsid w:val="00942117"/>
    <w:rsid w:val="00943AB2"/>
    <w:rsid w:val="00944E92"/>
    <w:rsid w:val="00945D68"/>
    <w:rsid w:val="00945F03"/>
    <w:rsid w:val="00955D5D"/>
    <w:rsid w:val="0095640F"/>
    <w:rsid w:val="0095672D"/>
    <w:rsid w:val="00957682"/>
    <w:rsid w:val="0096123C"/>
    <w:rsid w:val="00962AB0"/>
    <w:rsid w:val="00962AC4"/>
    <w:rsid w:val="00965C28"/>
    <w:rsid w:val="00965EDA"/>
    <w:rsid w:val="0096715D"/>
    <w:rsid w:val="009672AE"/>
    <w:rsid w:val="00967778"/>
    <w:rsid w:val="00967CB3"/>
    <w:rsid w:val="0097067D"/>
    <w:rsid w:val="00970F50"/>
    <w:rsid w:val="00975935"/>
    <w:rsid w:val="00975948"/>
    <w:rsid w:val="00975D50"/>
    <w:rsid w:val="00977AEF"/>
    <w:rsid w:val="009805AF"/>
    <w:rsid w:val="00980E15"/>
    <w:rsid w:val="009818BE"/>
    <w:rsid w:val="00981F08"/>
    <w:rsid w:val="00981F59"/>
    <w:rsid w:val="00982699"/>
    <w:rsid w:val="00982B92"/>
    <w:rsid w:val="00985FCB"/>
    <w:rsid w:val="009875B5"/>
    <w:rsid w:val="00987B0A"/>
    <w:rsid w:val="009906EA"/>
    <w:rsid w:val="00993B26"/>
    <w:rsid w:val="009949B9"/>
    <w:rsid w:val="0099514F"/>
    <w:rsid w:val="00996543"/>
    <w:rsid w:val="009965AF"/>
    <w:rsid w:val="00996BFD"/>
    <w:rsid w:val="00997474"/>
    <w:rsid w:val="00997992"/>
    <w:rsid w:val="00997DBD"/>
    <w:rsid w:val="009A0C0B"/>
    <w:rsid w:val="009A15B9"/>
    <w:rsid w:val="009A28E8"/>
    <w:rsid w:val="009A342E"/>
    <w:rsid w:val="009A41B4"/>
    <w:rsid w:val="009A54C1"/>
    <w:rsid w:val="009A6174"/>
    <w:rsid w:val="009A6ECE"/>
    <w:rsid w:val="009B234E"/>
    <w:rsid w:val="009B5181"/>
    <w:rsid w:val="009B62CF"/>
    <w:rsid w:val="009B67D6"/>
    <w:rsid w:val="009B777B"/>
    <w:rsid w:val="009C12D6"/>
    <w:rsid w:val="009C3A04"/>
    <w:rsid w:val="009C4166"/>
    <w:rsid w:val="009C5942"/>
    <w:rsid w:val="009D1AC0"/>
    <w:rsid w:val="009D23F0"/>
    <w:rsid w:val="009D2F68"/>
    <w:rsid w:val="009D45D3"/>
    <w:rsid w:val="009D4E1A"/>
    <w:rsid w:val="009D62CC"/>
    <w:rsid w:val="009E01D8"/>
    <w:rsid w:val="009E0F34"/>
    <w:rsid w:val="009E1A96"/>
    <w:rsid w:val="009E2532"/>
    <w:rsid w:val="009E3D12"/>
    <w:rsid w:val="009E6D2D"/>
    <w:rsid w:val="009E6F9D"/>
    <w:rsid w:val="009E798F"/>
    <w:rsid w:val="009F0743"/>
    <w:rsid w:val="009F161A"/>
    <w:rsid w:val="009F269F"/>
    <w:rsid w:val="009F3332"/>
    <w:rsid w:val="009F4A18"/>
    <w:rsid w:val="009F50C0"/>
    <w:rsid w:val="009F556A"/>
    <w:rsid w:val="009F5E5F"/>
    <w:rsid w:val="009F609B"/>
    <w:rsid w:val="009F723F"/>
    <w:rsid w:val="00A007C2"/>
    <w:rsid w:val="00A01B0B"/>
    <w:rsid w:val="00A0209C"/>
    <w:rsid w:val="00A03669"/>
    <w:rsid w:val="00A04667"/>
    <w:rsid w:val="00A05E6A"/>
    <w:rsid w:val="00A06075"/>
    <w:rsid w:val="00A066C5"/>
    <w:rsid w:val="00A07C2C"/>
    <w:rsid w:val="00A10C3C"/>
    <w:rsid w:val="00A11FF6"/>
    <w:rsid w:val="00A126B8"/>
    <w:rsid w:val="00A144D3"/>
    <w:rsid w:val="00A1539C"/>
    <w:rsid w:val="00A15822"/>
    <w:rsid w:val="00A15A1A"/>
    <w:rsid w:val="00A15B7F"/>
    <w:rsid w:val="00A16C16"/>
    <w:rsid w:val="00A16ED9"/>
    <w:rsid w:val="00A170EB"/>
    <w:rsid w:val="00A176B8"/>
    <w:rsid w:val="00A17CAD"/>
    <w:rsid w:val="00A17D98"/>
    <w:rsid w:val="00A17DD9"/>
    <w:rsid w:val="00A205A4"/>
    <w:rsid w:val="00A21FA5"/>
    <w:rsid w:val="00A252D6"/>
    <w:rsid w:val="00A262C9"/>
    <w:rsid w:val="00A30488"/>
    <w:rsid w:val="00A305EC"/>
    <w:rsid w:val="00A30896"/>
    <w:rsid w:val="00A3135C"/>
    <w:rsid w:val="00A340FE"/>
    <w:rsid w:val="00A352B7"/>
    <w:rsid w:val="00A357F0"/>
    <w:rsid w:val="00A371AB"/>
    <w:rsid w:val="00A403FE"/>
    <w:rsid w:val="00A40CC4"/>
    <w:rsid w:val="00A4185B"/>
    <w:rsid w:val="00A42AF1"/>
    <w:rsid w:val="00A444D9"/>
    <w:rsid w:val="00A446EE"/>
    <w:rsid w:val="00A4510F"/>
    <w:rsid w:val="00A464C7"/>
    <w:rsid w:val="00A47CCE"/>
    <w:rsid w:val="00A5033C"/>
    <w:rsid w:val="00A504BF"/>
    <w:rsid w:val="00A51EB6"/>
    <w:rsid w:val="00A52194"/>
    <w:rsid w:val="00A524F3"/>
    <w:rsid w:val="00A529BE"/>
    <w:rsid w:val="00A55E45"/>
    <w:rsid w:val="00A56A4F"/>
    <w:rsid w:val="00A56A83"/>
    <w:rsid w:val="00A56EB4"/>
    <w:rsid w:val="00A57F22"/>
    <w:rsid w:val="00A6075D"/>
    <w:rsid w:val="00A60D56"/>
    <w:rsid w:val="00A61BBD"/>
    <w:rsid w:val="00A61C13"/>
    <w:rsid w:val="00A61C2A"/>
    <w:rsid w:val="00A627EC"/>
    <w:rsid w:val="00A635DA"/>
    <w:rsid w:val="00A6376F"/>
    <w:rsid w:val="00A648A2"/>
    <w:rsid w:val="00A65E9B"/>
    <w:rsid w:val="00A679D9"/>
    <w:rsid w:val="00A67AE7"/>
    <w:rsid w:val="00A7107B"/>
    <w:rsid w:val="00A72071"/>
    <w:rsid w:val="00A73BE6"/>
    <w:rsid w:val="00A73FA3"/>
    <w:rsid w:val="00A75B08"/>
    <w:rsid w:val="00A75D77"/>
    <w:rsid w:val="00A75E84"/>
    <w:rsid w:val="00A76003"/>
    <w:rsid w:val="00A7689E"/>
    <w:rsid w:val="00A77880"/>
    <w:rsid w:val="00A810C4"/>
    <w:rsid w:val="00A81893"/>
    <w:rsid w:val="00A82146"/>
    <w:rsid w:val="00A82A4C"/>
    <w:rsid w:val="00A82C75"/>
    <w:rsid w:val="00A834C4"/>
    <w:rsid w:val="00A835C6"/>
    <w:rsid w:val="00A83884"/>
    <w:rsid w:val="00A839EB"/>
    <w:rsid w:val="00A84527"/>
    <w:rsid w:val="00A84C87"/>
    <w:rsid w:val="00A850E8"/>
    <w:rsid w:val="00A8574D"/>
    <w:rsid w:val="00A85A44"/>
    <w:rsid w:val="00A85DCB"/>
    <w:rsid w:val="00A864B1"/>
    <w:rsid w:val="00A8658E"/>
    <w:rsid w:val="00A900C6"/>
    <w:rsid w:val="00A904AB"/>
    <w:rsid w:val="00A90DA3"/>
    <w:rsid w:val="00A924DC"/>
    <w:rsid w:val="00A92BE2"/>
    <w:rsid w:val="00A92EE3"/>
    <w:rsid w:val="00A92FF7"/>
    <w:rsid w:val="00A935F2"/>
    <w:rsid w:val="00A93911"/>
    <w:rsid w:val="00A93BB6"/>
    <w:rsid w:val="00A947FE"/>
    <w:rsid w:val="00A951AA"/>
    <w:rsid w:val="00A952F7"/>
    <w:rsid w:val="00A95661"/>
    <w:rsid w:val="00A9613C"/>
    <w:rsid w:val="00A977CE"/>
    <w:rsid w:val="00A97F45"/>
    <w:rsid w:val="00AA084A"/>
    <w:rsid w:val="00AA08AD"/>
    <w:rsid w:val="00AA2BE7"/>
    <w:rsid w:val="00AA567D"/>
    <w:rsid w:val="00AA6A69"/>
    <w:rsid w:val="00AA6B60"/>
    <w:rsid w:val="00AA76F4"/>
    <w:rsid w:val="00AA7CF3"/>
    <w:rsid w:val="00AB051E"/>
    <w:rsid w:val="00AB0FF8"/>
    <w:rsid w:val="00AB28B7"/>
    <w:rsid w:val="00AB2A00"/>
    <w:rsid w:val="00AB2BB8"/>
    <w:rsid w:val="00AB3821"/>
    <w:rsid w:val="00AB3EED"/>
    <w:rsid w:val="00AB590A"/>
    <w:rsid w:val="00AB7DC6"/>
    <w:rsid w:val="00AC00F6"/>
    <w:rsid w:val="00AC09D4"/>
    <w:rsid w:val="00AC2132"/>
    <w:rsid w:val="00AC21FB"/>
    <w:rsid w:val="00AC2538"/>
    <w:rsid w:val="00AC2BF9"/>
    <w:rsid w:val="00AC2C00"/>
    <w:rsid w:val="00AC3C97"/>
    <w:rsid w:val="00AC48C3"/>
    <w:rsid w:val="00AC533F"/>
    <w:rsid w:val="00AC650C"/>
    <w:rsid w:val="00AC7EF4"/>
    <w:rsid w:val="00AD15C8"/>
    <w:rsid w:val="00AD16BC"/>
    <w:rsid w:val="00AD16C9"/>
    <w:rsid w:val="00AD2ACC"/>
    <w:rsid w:val="00AD328B"/>
    <w:rsid w:val="00AD3A05"/>
    <w:rsid w:val="00AD4227"/>
    <w:rsid w:val="00AD43F8"/>
    <w:rsid w:val="00AD560C"/>
    <w:rsid w:val="00AD7869"/>
    <w:rsid w:val="00AE155F"/>
    <w:rsid w:val="00AE22DA"/>
    <w:rsid w:val="00AE3091"/>
    <w:rsid w:val="00AE3603"/>
    <w:rsid w:val="00AE3829"/>
    <w:rsid w:val="00AE4A86"/>
    <w:rsid w:val="00AE5D73"/>
    <w:rsid w:val="00AF3455"/>
    <w:rsid w:val="00AF3F35"/>
    <w:rsid w:val="00AF50C3"/>
    <w:rsid w:val="00AF5A78"/>
    <w:rsid w:val="00AF6A94"/>
    <w:rsid w:val="00AF7E62"/>
    <w:rsid w:val="00B05597"/>
    <w:rsid w:val="00B10041"/>
    <w:rsid w:val="00B102D1"/>
    <w:rsid w:val="00B10662"/>
    <w:rsid w:val="00B11370"/>
    <w:rsid w:val="00B1159A"/>
    <w:rsid w:val="00B1275A"/>
    <w:rsid w:val="00B13BF0"/>
    <w:rsid w:val="00B13DA4"/>
    <w:rsid w:val="00B14119"/>
    <w:rsid w:val="00B14BF9"/>
    <w:rsid w:val="00B15028"/>
    <w:rsid w:val="00B158C7"/>
    <w:rsid w:val="00B20425"/>
    <w:rsid w:val="00B2071F"/>
    <w:rsid w:val="00B20A1B"/>
    <w:rsid w:val="00B215AB"/>
    <w:rsid w:val="00B216A7"/>
    <w:rsid w:val="00B226BC"/>
    <w:rsid w:val="00B23016"/>
    <w:rsid w:val="00B23491"/>
    <w:rsid w:val="00B24455"/>
    <w:rsid w:val="00B244E6"/>
    <w:rsid w:val="00B254AD"/>
    <w:rsid w:val="00B272E2"/>
    <w:rsid w:val="00B27CCA"/>
    <w:rsid w:val="00B30059"/>
    <w:rsid w:val="00B3017F"/>
    <w:rsid w:val="00B305EE"/>
    <w:rsid w:val="00B30F5C"/>
    <w:rsid w:val="00B31096"/>
    <w:rsid w:val="00B317E0"/>
    <w:rsid w:val="00B331C0"/>
    <w:rsid w:val="00B339A7"/>
    <w:rsid w:val="00B345E0"/>
    <w:rsid w:val="00B3463F"/>
    <w:rsid w:val="00B3663D"/>
    <w:rsid w:val="00B37017"/>
    <w:rsid w:val="00B3703E"/>
    <w:rsid w:val="00B37095"/>
    <w:rsid w:val="00B3711D"/>
    <w:rsid w:val="00B37BFD"/>
    <w:rsid w:val="00B37CBF"/>
    <w:rsid w:val="00B405BB"/>
    <w:rsid w:val="00B4113D"/>
    <w:rsid w:val="00B414CB"/>
    <w:rsid w:val="00B42155"/>
    <w:rsid w:val="00B444A2"/>
    <w:rsid w:val="00B51313"/>
    <w:rsid w:val="00B518CA"/>
    <w:rsid w:val="00B519B5"/>
    <w:rsid w:val="00B51ACA"/>
    <w:rsid w:val="00B51FDC"/>
    <w:rsid w:val="00B52D9C"/>
    <w:rsid w:val="00B55FBB"/>
    <w:rsid w:val="00B56F49"/>
    <w:rsid w:val="00B605CB"/>
    <w:rsid w:val="00B62E48"/>
    <w:rsid w:val="00B62E85"/>
    <w:rsid w:val="00B63616"/>
    <w:rsid w:val="00B641C8"/>
    <w:rsid w:val="00B65BF6"/>
    <w:rsid w:val="00B6784D"/>
    <w:rsid w:val="00B67859"/>
    <w:rsid w:val="00B67AFC"/>
    <w:rsid w:val="00B7049A"/>
    <w:rsid w:val="00B713B6"/>
    <w:rsid w:val="00B7158A"/>
    <w:rsid w:val="00B71A67"/>
    <w:rsid w:val="00B723FC"/>
    <w:rsid w:val="00B72511"/>
    <w:rsid w:val="00B73CAD"/>
    <w:rsid w:val="00B74BCD"/>
    <w:rsid w:val="00B7520C"/>
    <w:rsid w:val="00B75AC7"/>
    <w:rsid w:val="00B77B8F"/>
    <w:rsid w:val="00B803D6"/>
    <w:rsid w:val="00B805A9"/>
    <w:rsid w:val="00B823E4"/>
    <w:rsid w:val="00B8245F"/>
    <w:rsid w:val="00B831AB"/>
    <w:rsid w:val="00B83259"/>
    <w:rsid w:val="00B840F7"/>
    <w:rsid w:val="00B85698"/>
    <w:rsid w:val="00B85D64"/>
    <w:rsid w:val="00B863A3"/>
    <w:rsid w:val="00B87DD5"/>
    <w:rsid w:val="00B90559"/>
    <w:rsid w:val="00B913F6"/>
    <w:rsid w:val="00B918CD"/>
    <w:rsid w:val="00B9212B"/>
    <w:rsid w:val="00B92291"/>
    <w:rsid w:val="00B9243E"/>
    <w:rsid w:val="00B927EB"/>
    <w:rsid w:val="00B92FCF"/>
    <w:rsid w:val="00B937BC"/>
    <w:rsid w:val="00B942D1"/>
    <w:rsid w:val="00B94A87"/>
    <w:rsid w:val="00B964C0"/>
    <w:rsid w:val="00B97102"/>
    <w:rsid w:val="00BA23E8"/>
    <w:rsid w:val="00BA2550"/>
    <w:rsid w:val="00BA2A70"/>
    <w:rsid w:val="00BA435C"/>
    <w:rsid w:val="00BA4E94"/>
    <w:rsid w:val="00BA5465"/>
    <w:rsid w:val="00BA5E5B"/>
    <w:rsid w:val="00BB006C"/>
    <w:rsid w:val="00BB012C"/>
    <w:rsid w:val="00BB1B44"/>
    <w:rsid w:val="00BB34BC"/>
    <w:rsid w:val="00BB3544"/>
    <w:rsid w:val="00BB375E"/>
    <w:rsid w:val="00BB5665"/>
    <w:rsid w:val="00BB579C"/>
    <w:rsid w:val="00BB5C2E"/>
    <w:rsid w:val="00BB7B9B"/>
    <w:rsid w:val="00BC0C1B"/>
    <w:rsid w:val="00BC0D40"/>
    <w:rsid w:val="00BC2FE3"/>
    <w:rsid w:val="00BC3B30"/>
    <w:rsid w:val="00BC4ED9"/>
    <w:rsid w:val="00BC532D"/>
    <w:rsid w:val="00BC604A"/>
    <w:rsid w:val="00BC66E2"/>
    <w:rsid w:val="00BC71FF"/>
    <w:rsid w:val="00BC7394"/>
    <w:rsid w:val="00BC761E"/>
    <w:rsid w:val="00BD1AB8"/>
    <w:rsid w:val="00BD2480"/>
    <w:rsid w:val="00BD2C41"/>
    <w:rsid w:val="00BD5F66"/>
    <w:rsid w:val="00BD6CE5"/>
    <w:rsid w:val="00BD6EE2"/>
    <w:rsid w:val="00BD7395"/>
    <w:rsid w:val="00BE0D44"/>
    <w:rsid w:val="00BE0E05"/>
    <w:rsid w:val="00BE252E"/>
    <w:rsid w:val="00BE365C"/>
    <w:rsid w:val="00BE43FE"/>
    <w:rsid w:val="00BE461D"/>
    <w:rsid w:val="00BE4D37"/>
    <w:rsid w:val="00BE5972"/>
    <w:rsid w:val="00BF04DF"/>
    <w:rsid w:val="00BF114E"/>
    <w:rsid w:val="00BF2F15"/>
    <w:rsid w:val="00BF3FDB"/>
    <w:rsid w:val="00BF4928"/>
    <w:rsid w:val="00BF4C5B"/>
    <w:rsid w:val="00BF58C8"/>
    <w:rsid w:val="00BF60C9"/>
    <w:rsid w:val="00BF681F"/>
    <w:rsid w:val="00BF7713"/>
    <w:rsid w:val="00C01D9C"/>
    <w:rsid w:val="00C0300A"/>
    <w:rsid w:val="00C04BB3"/>
    <w:rsid w:val="00C05DCB"/>
    <w:rsid w:val="00C076B4"/>
    <w:rsid w:val="00C1021E"/>
    <w:rsid w:val="00C119EC"/>
    <w:rsid w:val="00C14079"/>
    <w:rsid w:val="00C1549B"/>
    <w:rsid w:val="00C1618B"/>
    <w:rsid w:val="00C17A75"/>
    <w:rsid w:val="00C23005"/>
    <w:rsid w:val="00C23BB0"/>
    <w:rsid w:val="00C244EA"/>
    <w:rsid w:val="00C25850"/>
    <w:rsid w:val="00C25966"/>
    <w:rsid w:val="00C25AFE"/>
    <w:rsid w:val="00C25B4F"/>
    <w:rsid w:val="00C25B7A"/>
    <w:rsid w:val="00C26AE0"/>
    <w:rsid w:val="00C27CB2"/>
    <w:rsid w:val="00C314B1"/>
    <w:rsid w:val="00C315EC"/>
    <w:rsid w:val="00C32262"/>
    <w:rsid w:val="00C3254F"/>
    <w:rsid w:val="00C32EC0"/>
    <w:rsid w:val="00C33FE5"/>
    <w:rsid w:val="00C34964"/>
    <w:rsid w:val="00C34CB3"/>
    <w:rsid w:val="00C35265"/>
    <w:rsid w:val="00C35D84"/>
    <w:rsid w:val="00C36340"/>
    <w:rsid w:val="00C36840"/>
    <w:rsid w:val="00C36DA9"/>
    <w:rsid w:val="00C4025A"/>
    <w:rsid w:val="00C409DC"/>
    <w:rsid w:val="00C40CFB"/>
    <w:rsid w:val="00C41E69"/>
    <w:rsid w:val="00C4234F"/>
    <w:rsid w:val="00C42F3B"/>
    <w:rsid w:val="00C43BD1"/>
    <w:rsid w:val="00C43CA4"/>
    <w:rsid w:val="00C43F91"/>
    <w:rsid w:val="00C4451A"/>
    <w:rsid w:val="00C44FEC"/>
    <w:rsid w:val="00C45816"/>
    <w:rsid w:val="00C45E9D"/>
    <w:rsid w:val="00C461AD"/>
    <w:rsid w:val="00C47E0F"/>
    <w:rsid w:val="00C50107"/>
    <w:rsid w:val="00C529F5"/>
    <w:rsid w:val="00C54B43"/>
    <w:rsid w:val="00C54BCD"/>
    <w:rsid w:val="00C6136A"/>
    <w:rsid w:val="00C6165B"/>
    <w:rsid w:val="00C620B7"/>
    <w:rsid w:val="00C62DE5"/>
    <w:rsid w:val="00C63198"/>
    <w:rsid w:val="00C64F36"/>
    <w:rsid w:val="00C65782"/>
    <w:rsid w:val="00C65C46"/>
    <w:rsid w:val="00C66474"/>
    <w:rsid w:val="00C665F7"/>
    <w:rsid w:val="00C710C5"/>
    <w:rsid w:val="00C71ABA"/>
    <w:rsid w:val="00C71CC6"/>
    <w:rsid w:val="00C72F54"/>
    <w:rsid w:val="00C73D29"/>
    <w:rsid w:val="00C756A4"/>
    <w:rsid w:val="00C7571C"/>
    <w:rsid w:val="00C75FFA"/>
    <w:rsid w:val="00C766E8"/>
    <w:rsid w:val="00C76819"/>
    <w:rsid w:val="00C76ACF"/>
    <w:rsid w:val="00C77268"/>
    <w:rsid w:val="00C773B7"/>
    <w:rsid w:val="00C801EE"/>
    <w:rsid w:val="00C807E0"/>
    <w:rsid w:val="00C80AE1"/>
    <w:rsid w:val="00C83E42"/>
    <w:rsid w:val="00C84589"/>
    <w:rsid w:val="00C907E1"/>
    <w:rsid w:val="00C94668"/>
    <w:rsid w:val="00C94A54"/>
    <w:rsid w:val="00C95E67"/>
    <w:rsid w:val="00C96F0E"/>
    <w:rsid w:val="00C976B4"/>
    <w:rsid w:val="00CA204D"/>
    <w:rsid w:val="00CA2371"/>
    <w:rsid w:val="00CA2D08"/>
    <w:rsid w:val="00CA44C4"/>
    <w:rsid w:val="00CA4F0E"/>
    <w:rsid w:val="00CA55D6"/>
    <w:rsid w:val="00CA6C9A"/>
    <w:rsid w:val="00CA7064"/>
    <w:rsid w:val="00CA78A7"/>
    <w:rsid w:val="00CB0038"/>
    <w:rsid w:val="00CB4FA0"/>
    <w:rsid w:val="00CB54F5"/>
    <w:rsid w:val="00CB57A4"/>
    <w:rsid w:val="00CC049E"/>
    <w:rsid w:val="00CC21C6"/>
    <w:rsid w:val="00CC3C0D"/>
    <w:rsid w:val="00CC6CFC"/>
    <w:rsid w:val="00CC73D9"/>
    <w:rsid w:val="00CC769A"/>
    <w:rsid w:val="00CC7E35"/>
    <w:rsid w:val="00CC7F52"/>
    <w:rsid w:val="00CD028E"/>
    <w:rsid w:val="00CD1C9A"/>
    <w:rsid w:val="00CD3C93"/>
    <w:rsid w:val="00CD46C5"/>
    <w:rsid w:val="00CD4ABC"/>
    <w:rsid w:val="00CD50FB"/>
    <w:rsid w:val="00CD6DF4"/>
    <w:rsid w:val="00CE0908"/>
    <w:rsid w:val="00CE0A1C"/>
    <w:rsid w:val="00CE285B"/>
    <w:rsid w:val="00CE3271"/>
    <w:rsid w:val="00CE37C1"/>
    <w:rsid w:val="00CE5145"/>
    <w:rsid w:val="00CE759D"/>
    <w:rsid w:val="00CE785C"/>
    <w:rsid w:val="00CE7BBD"/>
    <w:rsid w:val="00CF00CA"/>
    <w:rsid w:val="00CF0E62"/>
    <w:rsid w:val="00CF4FD7"/>
    <w:rsid w:val="00CF5147"/>
    <w:rsid w:val="00D02E63"/>
    <w:rsid w:val="00D03530"/>
    <w:rsid w:val="00D0397B"/>
    <w:rsid w:val="00D03D66"/>
    <w:rsid w:val="00D04030"/>
    <w:rsid w:val="00D04211"/>
    <w:rsid w:val="00D04CC5"/>
    <w:rsid w:val="00D05A99"/>
    <w:rsid w:val="00D0674B"/>
    <w:rsid w:val="00D0731C"/>
    <w:rsid w:val="00D07891"/>
    <w:rsid w:val="00D07E57"/>
    <w:rsid w:val="00D134FB"/>
    <w:rsid w:val="00D140D3"/>
    <w:rsid w:val="00D153F5"/>
    <w:rsid w:val="00D160A0"/>
    <w:rsid w:val="00D1703C"/>
    <w:rsid w:val="00D17AF8"/>
    <w:rsid w:val="00D203B9"/>
    <w:rsid w:val="00D20F24"/>
    <w:rsid w:val="00D2188E"/>
    <w:rsid w:val="00D21D8D"/>
    <w:rsid w:val="00D21F7B"/>
    <w:rsid w:val="00D2351D"/>
    <w:rsid w:val="00D23B20"/>
    <w:rsid w:val="00D23DD7"/>
    <w:rsid w:val="00D271A9"/>
    <w:rsid w:val="00D27CE9"/>
    <w:rsid w:val="00D31256"/>
    <w:rsid w:val="00D313E6"/>
    <w:rsid w:val="00D315BC"/>
    <w:rsid w:val="00D32F93"/>
    <w:rsid w:val="00D33B3C"/>
    <w:rsid w:val="00D34728"/>
    <w:rsid w:val="00D35262"/>
    <w:rsid w:val="00D36611"/>
    <w:rsid w:val="00D36750"/>
    <w:rsid w:val="00D36E70"/>
    <w:rsid w:val="00D37714"/>
    <w:rsid w:val="00D41B02"/>
    <w:rsid w:val="00D42484"/>
    <w:rsid w:val="00D43221"/>
    <w:rsid w:val="00D43288"/>
    <w:rsid w:val="00D43529"/>
    <w:rsid w:val="00D4407A"/>
    <w:rsid w:val="00D44371"/>
    <w:rsid w:val="00D45C95"/>
    <w:rsid w:val="00D45FC0"/>
    <w:rsid w:val="00D460CA"/>
    <w:rsid w:val="00D4745D"/>
    <w:rsid w:val="00D5032B"/>
    <w:rsid w:val="00D50593"/>
    <w:rsid w:val="00D5180D"/>
    <w:rsid w:val="00D53621"/>
    <w:rsid w:val="00D53731"/>
    <w:rsid w:val="00D53BD4"/>
    <w:rsid w:val="00D60982"/>
    <w:rsid w:val="00D63663"/>
    <w:rsid w:val="00D63D58"/>
    <w:rsid w:val="00D64888"/>
    <w:rsid w:val="00D662A3"/>
    <w:rsid w:val="00D66FAC"/>
    <w:rsid w:val="00D67C90"/>
    <w:rsid w:val="00D71765"/>
    <w:rsid w:val="00D71C71"/>
    <w:rsid w:val="00D71CC2"/>
    <w:rsid w:val="00D721AF"/>
    <w:rsid w:val="00D721C9"/>
    <w:rsid w:val="00D72DE1"/>
    <w:rsid w:val="00D74392"/>
    <w:rsid w:val="00D81848"/>
    <w:rsid w:val="00D81F53"/>
    <w:rsid w:val="00D824AA"/>
    <w:rsid w:val="00D8265E"/>
    <w:rsid w:val="00D8468E"/>
    <w:rsid w:val="00D861B9"/>
    <w:rsid w:val="00D86496"/>
    <w:rsid w:val="00D86587"/>
    <w:rsid w:val="00D90B95"/>
    <w:rsid w:val="00D90F95"/>
    <w:rsid w:val="00D91D1E"/>
    <w:rsid w:val="00D923EE"/>
    <w:rsid w:val="00D932DC"/>
    <w:rsid w:val="00D9336A"/>
    <w:rsid w:val="00D94372"/>
    <w:rsid w:val="00D95D8A"/>
    <w:rsid w:val="00D96AF2"/>
    <w:rsid w:val="00D9713E"/>
    <w:rsid w:val="00DA0698"/>
    <w:rsid w:val="00DA211D"/>
    <w:rsid w:val="00DA2274"/>
    <w:rsid w:val="00DA2FFD"/>
    <w:rsid w:val="00DA3006"/>
    <w:rsid w:val="00DA333A"/>
    <w:rsid w:val="00DA5FC4"/>
    <w:rsid w:val="00DA7B7B"/>
    <w:rsid w:val="00DA7D42"/>
    <w:rsid w:val="00DA7D73"/>
    <w:rsid w:val="00DB29C9"/>
    <w:rsid w:val="00DB2A21"/>
    <w:rsid w:val="00DB3CFB"/>
    <w:rsid w:val="00DC0C68"/>
    <w:rsid w:val="00DC20C5"/>
    <w:rsid w:val="00DC2852"/>
    <w:rsid w:val="00DC33F6"/>
    <w:rsid w:val="00DC390C"/>
    <w:rsid w:val="00DC414F"/>
    <w:rsid w:val="00DC4A8C"/>
    <w:rsid w:val="00DC4BA9"/>
    <w:rsid w:val="00DC7016"/>
    <w:rsid w:val="00DC7464"/>
    <w:rsid w:val="00DD0E68"/>
    <w:rsid w:val="00DD1238"/>
    <w:rsid w:val="00DD1D23"/>
    <w:rsid w:val="00DD2B9E"/>
    <w:rsid w:val="00DD3460"/>
    <w:rsid w:val="00DD4AE5"/>
    <w:rsid w:val="00DD58A6"/>
    <w:rsid w:val="00DD5D05"/>
    <w:rsid w:val="00DD617B"/>
    <w:rsid w:val="00DD6D45"/>
    <w:rsid w:val="00DD6F92"/>
    <w:rsid w:val="00DD7239"/>
    <w:rsid w:val="00DD7887"/>
    <w:rsid w:val="00DD7B15"/>
    <w:rsid w:val="00DE0F96"/>
    <w:rsid w:val="00DE1C1E"/>
    <w:rsid w:val="00DE22AF"/>
    <w:rsid w:val="00DE2ACE"/>
    <w:rsid w:val="00DE35AA"/>
    <w:rsid w:val="00DE39E2"/>
    <w:rsid w:val="00DE420D"/>
    <w:rsid w:val="00DE53F9"/>
    <w:rsid w:val="00DE71B8"/>
    <w:rsid w:val="00DE7EF5"/>
    <w:rsid w:val="00DF082D"/>
    <w:rsid w:val="00DF1E46"/>
    <w:rsid w:val="00DF28F8"/>
    <w:rsid w:val="00DF2A15"/>
    <w:rsid w:val="00DF4148"/>
    <w:rsid w:val="00DF4F25"/>
    <w:rsid w:val="00DF534C"/>
    <w:rsid w:val="00DF7D00"/>
    <w:rsid w:val="00E01F1B"/>
    <w:rsid w:val="00E0291F"/>
    <w:rsid w:val="00E03874"/>
    <w:rsid w:val="00E03C64"/>
    <w:rsid w:val="00E0431A"/>
    <w:rsid w:val="00E052CA"/>
    <w:rsid w:val="00E05A2A"/>
    <w:rsid w:val="00E0719A"/>
    <w:rsid w:val="00E0769B"/>
    <w:rsid w:val="00E1027B"/>
    <w:rsid w:val="00E10FBC"/>
    <w:rsid w:val="00E11813"/>
    <w:rsid w:val="00E137FF"/>
    <w:rsid w:val="00E13F73"/>
    <w:rsid w:val="00E1410B"/>
    <w:rsid w:val="00E1553D"/>
    <w:rsid w:val="00E15EBB"/>
    <w:rsid w:val="00E15FBA"/>
    <w:rsid w:val="00E179A4"/>
    <w:rsid w:val="00E20002"/>
    <w:rsid w:val="00E22540"/>
    <w:rsid w:val="00E22A4D"/>
    <w:rsid w:val="00E22A63"/>
    <w:rsid w:val="00E23FCC"/>
    <w:rsid w:val="00E25A8E"/>
    <w:rsid w:val="00E2637F"/>
    <w:rsid w:val="00E27005"/>
    <w:rsid w:val="00E3004D"/>
    <w:rsid w:val="00E301F0"/>
    <w:rsid w:val="00E30EE8"/>
    <w:rsid w:val="00E31CA4"/>
    <w:rsid w:val="00E31ED9"/>
    <w:rsid w:val="00E32D62"/>
    <w:rsid w:val="00E33E27"/>
    <w:rsid w:val="00E34B49"/>
    <w:rsid w:val="00E34BA6"/>
    <w:rsid w:val="00E34BE3"/>
    <w:rsid w:val="00E373D4"/>
    <w:rsid w:val="00E37A5F"/>
    <w:rsid w:val="00E42F5F"/>
    <w:rsid w:val="00E42FC7"/>
    <w:rsid w:val="00E430EB"/>
    <w:rsid w:val="00E43974"/>
    <w:rsid w:val="00E4501E"/>
    <w:rsid w:val="00E46CF9"/>
    <w:rsid w:val="00E5009A"/>
    <w:rsid w:val="00E50249"/>
    <w:rsid w:val="00E5058F"/>
    <w:rsid w:val="00E50CCA"/>
    <w:rsid w:val="00E50E68"/>
    <w:rsid w:val="00E5220F"/>
    <w:rsid w:val="00E5357C"/>
    <w:rsid w:val="00E53A1E"/>
    <w:rsid w:val="00E53CA1"/>
    <w:rsid w:val="00E55205"/>
    <w:rsid w:val="00E55BE0"/>
    <w:rsid w:val="00E55C1B"/>
    <w:rsid w:val="00E561C6"/>
    <w:rsid w:val="00E57F06"/>
    <w:rsid w:val="00E60C0F"/>
    <w:rsid w:val="00E6109F"/>
    <w:rsid w:val="00E61CA5"/>
    <w:rsid w:val="00E630DA"/>
    <w:rsid w:val="00E644EA"/>
    <w:rsid w:val="00E66838"/>
    <w:rsid w:val="00E668F9"/>
    <w:rsid w:val="00E66EA6"/>
    <w:rsid w:val="00E67983"/>
    <w:rsid w:val="00E711C2"/>
    <w:rsid w:val="00E7219E"/>
    <w:rsid w:val="00E73525"/>
    <w:rsid w:val="00E7569D"/>
    <w:rsid w:val="00E763A6"/>
    <w:rsid w:val="00E76861"/>
    <w:rsid w:val="00E76B1F"/>
    <w:rsid w:val="00E76F24"/>
    <w:rsid w:val="00E822A7"/>
    <w:rsid w:val="00E824E1"/>
    <w:rsid w:val="00E8362C"/>
    <w:rsid w:val="00E847EE"/>
    <w:rsid w:val="00E86B05"/>
    <w:rsid w:val="00E92683"/>
    <w:rsid w:val="00E9291B"/>
    <w:rsid w:val="00E9324B"/>
    <w:rsid w:val="00E951BA"/>
    <w:rsid w:val="00E9528D"/>
    <w:rsid w:val="00E954AC"/>
    <w:rsid w:val="00E95724"/>
    <w:rsid w:val="00E95DCF"/>
    <w:rsid w:val="00E969E7"/>
    <w:rsid w:val="00E97DE3"/>
    <w:rsid w:val="00EA081B"/>
    <w:rsid w:val="00EA371E"/>
    <w:rsid w:val="00EA597A"/>
    <w:rsid w:val="00EA5FF5"/>
    <w:rsid w:val="00EA7ADC"/>
    <w:rsid w:val="00EB1098"/>
    <w:rsid w:val="00EB2783"/>
    <w:rsid w:val="00EB355B"/>
    <w:rsid w:val="00EB5273"/>
    <w:rsid w:val="00EB59EB"/>
    <w:rsid w:val="00EB704F"/>
    <w:rsid w:val="00EB784F"/>
    <w:rsid w:val="00EB7E03"/>
    <w:rsid w:val="00EC4D0B"/>
    <w:rsid w:val="00EC531F"/>
    <w:rsid w:val="00EC56AB"/>
    <w:rsid w:val="00EC6A88"/>
    <w:rsid w:val="00ED1E78"/>
    <w:rsid w:val="00ED41DD"/>
    <w:rsid w:val="00ED54D9"/>
    <w:rsid w:val="00ED6989"/>
    <w:rsid w:val="00ED6E23"/>
    <w:rsid w:val="00EE08F1"/>
    <w:rsid w:val="00EE0B07"/>
    <w:rsid w:val="00EE0F60"/>
    <w:rsid w:val="00EE4351"/>
    <w:rsid w:val="00EE43DB"/>
    <w:rsid w:val="00EE6B4F"/>
    <w:rsid w:val="00EE7392"/>
    <w:rsid w:val="00EF01F7"/>
    <w:rsid w:val="00EF433E"/>
    <w:rsid w:val="00EF475D"/>
    <w:rsid w:val="00EF5604"/>
    <w:rsid w:val="00EF58AD"/>
    <w:rsid w:val="00F005B1"/>
    <w:rsid w:val="00F00CBF"/>
    <w:rsid w:val="00F035E9"/>
    <w:rsid w:val="00F036C3"/>
    <w:rsid w:val="00F04C0F"/>
    <w:rsid w:val="00F050FF"/>
    <w:rsid w:val="00F05559"/>
    <w:rsid w:val="00F0747B"/>
    <w:rsid w:val="00F10100"/>
    <w:rsid w:val="00F12565"/>
    <w:rsid w:val="00F14109"/>
    <w:rsid w:val="00F15C33"/>
    <w:rsid w:val="00F16112"/>
    <w:rsid w:val="00F1757C"/>
    <w:rsid w:val="00F1796E"/>
    <w:rsid w:val="00F21562"/>
    <w:rsid w:val="00F2251E"/>
    <w:rsid w:val="00F22ED8"/>
    <w:rsid w:val="00F24BF9"/>
    <w:rsid w:val="00F276F2"/>
    <w:rsid w:val="00F3073E"/>
    <w:rsid w:val="00F309E6"/>
    <w:rsid w:val="00F31CBB"/>
    <w:rsid w:val="00F32104"/>
    <w:rsid w:val="00F3322D"/>
    <w:rsid w:val="00F33B94"/>
    <w:rsid w:val="00F34DB3"/>
    <w:rsid w:val="00F35829"/>
    <w:rsid w:val="00F37B82"/>
    <w:rsid w:val="00F4050A"/>
    <w:rsid w:val="00F40929"/>
    <w:rsid w:val="00F40FE4"/>
    <w:rsid w:val="00F4187D"/>
    <w:rsid w:val="00F43159"/>
    <w:rsid w:val="00F43CD7"/>
    <w:rsid w:val="00F44C42"/>
    <w:rsid w:val="00F4607C"/>
    <w:rsid w:val="00F4775F"/>
    <w:rsid w:val="00F50BA5"/>
    <w:rsid w:val="00F52862"/>
    <w:rsid w:val="00F52CE2"/>
    <w:rsid w:val="00F53560"/>
    <w:rsid w:val="00F53E0E"/>
    <w:rsid w:val="00F542C9"/>
    <w:rsid w:val="00F5523C"/>
    <w:rsid w:val="00F55425"/>
    <w:rsid w:val="00F55CAF"/>
    <w:rsid w:val="00F5741A"/>
    <w:rsid w:val="00F57A76"/>
    <w:rsid w:val="00F6149C"/>
    <w:rsid w:val="00F61DF5"/>
    <w:rsid w:val="00F621D4"/>
    <w:rsid w:val="00F624DF"/>
    <w:rsid w:val="00F6301B"/>
    <w:rsid w:val="00F6365C"/>
    <w:rsid w:val="00F64FB1"/>
    <w:rsid w:val="00F662AE"/>
    <w:rsid w:val="00F6768D"/>
    <w:rsid w:val="00F72F5F"/>
    <w:rsid w:val="00F72FA9"/>
    <w:rsid w:val="00F73060"/>
    <w:rsid w:val="00F743B5"/>
    <w:rsid w:val="00F76774"/>
    <w:rsid w:val="00F77AFB"/>
    <w:rsid w:val="00F77E30"/>
    <w:rsid w:val="00F80F5D"/>
    <w:rsid w:val="00F81DA9"/>
    <w:rsid w:val="00F8381B"/>
    <w:rsid w:val="00F83B28"/>
    <w:rsid w:val="00F84037"/>
    <w:rsid w:val="00F84440"/>
    <w:rsid w:val="00F84845"/>
    <w:rsid w:val="00F861B7"/>
    <w:rsid w:val="00F86408"/>
    <w:rsid w:val="00F864ED"/>
    <w:rsid w:val="00F86790"/>
    <w:rsid w:val="00F91E6A"/>
    <w:rsid w:val="00F927B0"/>
    <w:rsid w:val="00F928B7"/>
    <w:rsid w:val="00F930E4"/>
    <w:rsid w:val="00F93AD8"/>
    <w:rsid w:val="00F9444C"/>
    <w:rsid w:val="00F9561E"/>
    <w:rsid w:val="00F97837"/>
    <w:rsid w:val="00FA1774"/>
    <w:rsid w:val="00FA1A75"/>
    <w:rsid w:val="00FA2BE6"/>
    <w:rsid w:val="00FA2F8A"/>
    <w:rsid w:val="00FA40A0"/>
    <w:rsid w:val="00FA60FF"/>
    <w:rsid w:val="00FB101D"/>
    <w:rsid w:val="00FB1520"/>
    <w:rsid w:val="00FB28A8"/>
    <w:rsid w:val="00FB2A36"/>
    <w:rsid w:val="00FB6547"/>
    <w:rsid w:val="00FB7F17"/>
    <w:rsid w:val="00FB7FF1"/>
    <w:rsid w:val="00FC1431"/>
    <w:rsid w:val="00FC180F"/>
    <w:rsid w:val="00FC1B33"/>
    <w:rsid w:val="00FC261C"/>
    <w:rsid w:val="00FC2934"/>
    <w:rsid w:val="00FC2A8F"/>
    <w:rsid w:val="00FC4D71"/>
    <w:rsid w:val="00FC546F"/>
    <w:rsid w:val="00FC6E7D"/>
    <w:rsid w:val="00FD2A66"/>
    <w:rsid w:val="00FD493B"/>
    <w:rsid w:val="00FD5256"/>
    <w:rsid w:val="00FD6AA4"/>
    <w:rsid w:val="00FD6DF8"/>
    <w:rsid w:val="00FD7C6A"/>
    <w:rsid w:val="00FE0665"/>
    <w:rsid w:val="00FE1FC8"/>
    <w:rsid w:val="00FE2A97"/>
    <w:rsid w:val="00FE2EDA"/>
    <w:rsid w:val="00FE2F5E"/>
    <w:rsid w:val="00FE3535"/>
    <w:rsid w:val="00FE3C89"/>
    <w:rsid w:val="00FE3CFF"/>
    <w:rsid w:val="00FE47FD"/>
    <w:rsid w:val="00FE6F88"/>
    <w:rsid w:val="00FE715A"/>
    <w:rsid w:val="00FE7361"/>
    <w:rsid w:val="00FE73E8"/>
    <w:rsid w:val="00FF058F"/>
    <w:rsid w:val="00FF0B3B"/>
    <w:rsid w:val="00FF1581"/>
    <w:rsid w:val="00FF2406"/>
    <w:rsid w:val="00FF4A52"/>
    <w:rsid w:val="00FF5577"/>
    <w:rsid w:val="00FF5C4D"/>
    <w:rsid w:val="00FF607D"/>
    <w:rsid w:val="01625E2F"/>
    <w:rsid w:val="0667591B"/>
    <w:rsid w:val="0AE3660F"/>
    <w:rsid w:val="1026219A"/>
    <w:rsid w:val="10262B7A"/>
    <w:rsid w:val="121408D8"/>
    <w:rsid w:val="15673B0C"/>
    <w:rsid w:val="15A177D6"/>
    <w:rsid w:val="199764A5"/>
    <w:rsid w:val="1AA74596"/>
    <w:rsid w:val="1AE56340"/>
    <w:rsid w:val="220D6D2E"/>
    <w:rsid w:val="26706542"/>
    <w:rsid w:val="28CF63CC"/>
    <w:rsid w:val="2C8D580E"/>
    <w:rsid w:val="2D94377B"/>
    <w:rsid w:val="2F464175"/>
    <w:rsid w:val="329A22C1"/>
    <w:rsid w:val="3344756F"/>
    <w:rsid w:val="36F41B75"/>
    <w:rsid w:val="38940312"/>
    <w:rsid w:val="43FC66F6"/>
    <w:rsid w:val="46B15671"/>
    <w:rsid w:val="4A0E7154"/>
    <w:rsid w:val="4B3F21D6"/>
    <w:rsid w:val="4D0D3130"/>
    <w:rsid w:val="582D0A1D"/>
    <w:rsid w:val="58C21098"/>
    <w:rsid w:val="59350572"/>
    <w:rsid w:val="5B584588"/>
    <w:rsid w:val="5E9A7E8C"/>
    <w:rsid w:val="5EC432A9"/>
    <w:rsid w:val="633E6890"/>
    <w:rsid w:val="67954DBA"/>
    <w:rsid w:val="67A26645"/>
    <w:rsid w:val="6D2F5416"/>
    <w:rsid w:val="6DC812C5"/>
    <w:rsid w:val="6E071EBD"/>
    <w:rsid w:val="6F721423"/>
    <w:rsid w:val="70F204D8"/>
    <w:rsid w:val="74A86A9C"/>
    <w:rsid w:val="77274DFC"/>
    <w:rsid w:val="781145D0"/>
    <w:rsid w:val="7A574716"/>
    <w:rsid w:val="7C4533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qFormat="1" w:uiPriority="99"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40" w:lineRule="exact"/>
      <w:ind w:firstLine="200" w:firstLineChars="200"/>
      <w:jc w:val="both"/>
    </w:pPr>
    <w:rPr>
      <w:rFonts w:ascii="Times New Roman" w:hAnsi="Times New Roman" w:eastAsia="宋体" w:cs="Times New Roman"/>
      <w:kern w:val="2"/>
      <w:sz w:val="24"/>
      <w:lang w:val="en-US" w:eastAsia="zh-CN" w:bidi="ar-SA"/>
    </w:rPr>
  </w:style>
  <w:style w:type="paragraph" w:styleId="2">
    <w:name w:val="heading 1"/>
    <w:basedOn w:val="1"/>
    <w:next w:val="1"/>
    <w:link w:val="10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07"/>
    <w:qFormat/>
    <w:uiPriority w:val="0"/>
    <w:pPr>
      <w:keepNext/>
      <w:keepLines/>
      <w:spacing w:beforeLines="50" w:line="360" w:lineRule="auto"/>
      <w:ind w:firstLine="0" w:firstLineChars="0"/>
      <w:jc w:val="left"/>
      <w:outlineLvl w:val="1"/>
    </w:pPr>
    <w:rPr>
      <w:rFonts w:ascii="Arial" w:hAnsi="Arial" w:eastAsia="黑体"/>
      <w:bCs/>
      <w:kern w:val="0"/>
      <w:sz w:val="28"/>
      <w:szCs w:val="32"/>
    </w:rPr>
  </w:style>
  <w:style w:type="paragraph" w:styleId="4">
    <w:name w:val="heading 3"/>
    <w:basedOn w:val="1"/>
    <w:next w:val="1"/>
    <w:link w:val="101"/>
    <w:qFormat/>
    <w:uiPriority w:val="0"/>
    <w:pPr>
      <w:keepNext/>
      <w:keepLines/>
      <w:spacing w:before="120" w:after="120"/>
      <w:outlineLvl w:val="2"/>
    </w:pPr>
    <w:rPr>
      <w:b/>
      <w:bCs/>
      <w:sz w:val="21"/>
      <w:szCs w:val="32"/>
    </w:rPr>
  </w:style>
  <w:style w:type="paragraph" w:styleId="5">
    <w:name w:val="heading 4"/>
    <w:basedOn w:val="1"/>
    <w:next w:val="1"/>
    <w:link w:val="104"/>
    <w:qFormat/>
    <w:uiPriority w:val="0"/>
    <w:pPr>
      <w:keepNext/>
      <w:keepLines/>
      <w:spacing w:line="360" w:lineRule="auto"/>
      <w:jc w:val="left"/>
      <w:outlineLvl w:val="3"/>
    </w:pPr>
    <w:rPr>
      <w:rFonts w:ascii="Cambria" w:hAnsi="Cambria" w:eastAsia="黑体"/>
      <w:bCs/>
      <w:szCs w:val="28"/>
    </w:rPr>
  </w:style>
  <w:style w:type="paragraph" w:styleId="6">
    <w:name w:val="heading 5"/>
    <w:basedOn w:val="1"/>
    <w:next w:val="1"/>
    <w:link w:val="134"/>
    <w:qFormat/>
    <w:uiPriority w:val="0"/>
    <w:pPr>
      <w:keepNext/>
      <w:keepLines/>
      <w:snapToGrid/>
      <w:spacing w:before="280" w:after="290" w:line="376" w:lineRule="atLeast"/>
      <w:ind w:left="2125" w:hanging="425" w:firstLineChars="0"/>
      <w:jc w:val="left"/>
      <w:textAlignment w:val="baseline"/>
      <w:outlineLvl w:val="4"/>
    </w:pPr>
    <w:rPr>
      <w:b/>
      <w:kern w:val="0"/>
      <w:sz w:val="28"/>
    </w:rPr>
  </w:style>
  <w:style w:type="paragraph" w:styleId="7">
    <w:name w:val="heading 6"/>
    <w:basedOn w:val="1"/>
    <w:next w:val="1"/>
    <w:link w:val="135"/>
    <w:qFormat/>
    <w:uiPriority w:val="0"/>
    <w:pPr>
      <w:keepNext/>
      <w:keepLines/>
      <w:snapToGrid/>
      <w:spacing w:before="240" w:after="64" w:line="320" w:lineRule="atLeast"/>
      <w:ind w:left="2550" w:hanging="425" w:firstLineChars="0"/>
      <w:jc w:val="left"/>
      <w:textAlignment w:val="baseline"/>
      <w:outlineLvl w:val="5"/>
    </w:pPr>
    <w:rPr>
      <w:rFonts w:ascii="Arial" w:hAnsi="Arial" w:eastAsia="黑体"/>
      <w:b/>
      <w:kern w:val="0"/>
    </w:rPr>
  </w:style>
  <w:style w:type="paragraph" w:styleId="8">
    <w:name w:val="heading 7"/>
    <w:basedOn w:val="1"/>
    <w:next w:val="1"/>
    <w:link w:val="136"/>
    <w:qFormat/>
    <w:uiPriority w:val="0"/>
    <w:pPr>
      <w:keepNext/>
      <w:keepLines/>
      <w:snapToGrid/>
      <w:spacing w:before="240" w:after="64" w:line="320" w:lineRule="atLeast"/>
      <w:ind w:left="2975" w:hanging="425" w:firstLineChars="0"/>
      <w:jc w:val="left"/>
      <w:textAlignment w:val="baseline"/>
      <w:outlineLvl w:val="6"/>
    </w:pPr>
    <w:rPr>
      <w:b/>
      <w:kern w:val="0"/>
    </w:rPr>
  </w:style>
  <w:style w:type="paragraph" w:styleId="9">
    <w:name w:val="heading 8"/>
    <w:basedOn w:val="1"/>
    <w:next w:val="1"/>
    <w:link w:val="102"/>
    <w:qFormat/>
    <w:uiPriority w:val="0"/>
    <w:pPr>
      <w:keepNext/>
      <w:keepLines/>
      <w:spacing w:before="240" w:after="64" w:line="320" w:lineRule="auto"/>
      <w:outlineLvl w:val="7"/>
    </w:pPr>
    <w:rPr>
      <w:rFonts w:ascii="Cambria" w:hAnsi="Cambria"/>
      <w:szCs w:val="24"/>
    </w:rPr>
  </w:style>
  <w:style w:type="paragraph" w:styleId="10">
    <w:name w:val="heading 9"/>
    <w:basedOn w:val="1"/>
    <w:next w:val="1"/>
    <w:link w:val="137"/>
    <w:qFormat/>
    <w:uiPriority w:val="0"/>
    <w:pPr>
      <w:keepNext/>
      <w:keepLines/>
      <w:snapToGrid/>
      <w:spacing w:before="240" w:after="64" w:line="320" w:lineRule="atLeast"/>
      <w:ind w:left="3825" w:hanging="425" w:firstLineChars="0"/>
      <w:jc w:val="left"/>
      <w:textAlignment w:val="baseline"/>
      <w:outlineLvl w:val="8"/>
    </w:pPr>
    <w:rPr>
      <w:rFonts w:ascii="Arial" w:hAnsi="Arial" w:eastAsia="黑体"/>
      <w:kern w:val="0"/>
      <w:sz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adjustRightInd/>
      <w:snapToGrid/>
      <w:spacing w:line="240" w:lineRule="auto"/>
      <w:ind w:left="1260" w:firstLine="0" w:firstLineChars="0"/>
      <w:jc w:val="left"/>
    </w:pPr>
    <w:rPr>
      <w:sz w:val="21"/>
      <w:szCs w:val="21"/>
    </w:rPr>
  </w:style>
  <w:style w:type="paragraph" w:styleId="12">
    <w:name w:val="List Number 2"/>
    <w:basedOn w:val="1"/>
    <w:qFormat/>
    <w:uiPriority w:val="0"/>
    <w:pPr>
      <w:widowControl/>
      <w:tabs>
        <w:tab w:val="left" w:pos="720"/>
      </w:tabs>
      <w:adjustRightInd/>
      <w:snapToGrid/>
      <w:spacing w:line="240" w:lineRule="auto"/>
      <w:ind w:left="720" w:hanging="360" w:firstLineChars="0"/>
      <w:jc w:val="left"/>
    </w:pPr>
    <w:rPr>
      <w:kern w:val="0"/>
      <w:sz w:val="20"/>
      <w:szCs w:val="24"/>
    </w:rPr>
  </w:style>
  <w:style w:type="paragraph" w:styleId="13">
    <w:name w:val="List Bullet 4"/>
    <w:basedOn w:val="1"/>
    <w:qFormat/>
    <w:uiPriority w:val="0"/>
    <w:pPr>
      <w:widowControl/>
      <w:tabs>
        <w:tab w:val="left" w:pos="1440"/>
      </w:tabs>
      <w:adjustRightInd/>
      <w:snapToGrid/>
      <w:spacing w:line="240" w:lineRule="auto"/>
      <w:ind w:left="1440" w:hanging="360" w:firstLineChars="0"/>
      <w:jc w:val="left"/>
    </w:pPr>
    <w:rPr>
      <w:kern w:val="0"/>
      <w:sz w:val="20"/>
      <w:szCs w:val="24"/>
    </w:rPr>
  </w:style>
  <w:style w:type="paragraph" w:styleId="14">
    <w:name w:val="List Number"/>
    <w:basedOn w:val="1"/>
    <w:qFormat/>
    <w:uiPriority w:val="0"/>
    <w:pPr>
      <w:widowControl/>
      <w:tabs>
        <w:tab w:val="left" w:pos="360"/>
      </w:tabs>
      <w:adjustRightInd/>
      <w:snapToGrid/>
      <w:spacing w:line="240" w:lineRule="auto"/>
      <w:ind w:left="360" w:hanging="360" w:firstLineChars="0"/>
      <w:jc w:val="left"/>
    </w:pPr>
    <w:rPr>
      <w:kern w:val="0"/>
      <w:sz w:val="20"/>
      <w:szCs w:val="24"/>
    </w:rPr>
  </w:style>
  <w:style w:type="paragraph" w:styleId="15">
    <w:name w:val="Normal Indent"/>
    <w:basedOn w:val="1"/>
    <w:qFormat/>
    <w:uiPriority w:val="0"/>
    <w:pPr>
      <w:ind w:firstLine="420"/>
    </w:pPr>
  </w:style>
  <w:style w:type="paragraph" w:styleId="16">
    <w:name w:val="caption"/>
    <w:basedOn w:val="1"/>
    <w:next w:val="1"/>
    <w:link w:val="123"/>
    <w:qFormat/>
    <w:uiPriority w:val="0"/>
    <w:pPr>
      <w:spacing w:line="480" w:lineRule="auto"/>
    </w:pPr>
    <w:rPr>
      <w:rFonts w:ascii="华文中宋" w:hAnsi="华文中宋" w:eastAsia="华文中宋"/>
      <w:sz w:val="36"/>
    </w:rPr>
  </w:style>
  <w:style w:type="paragraph" w:styleId="17">
    <w:name w:val="List Bullet"/>
    <w:basedOn w:val="1"/>
    <w:qFormat/>
    <w:uiPriority w:val="0"/>
    <w:pPr>
      <w:widowControl/>
      <w:tabs>
        <w:tab w:val="left" w:pos="360"/>
      </w:tabs>
      <w:adjustRightInd/>
      <w:snapToGrid/>
      <w:spacing w:line="240" w:lineRule="auto"/>
      <w:ind w:left="360" w:hanging="360" w:firstLineChars="0"/>
      <w:jc w:val="left"/>
    </w:pPr>
    <w:rPr>
      <w:kern w:val="0"/>
      <w:sz w:val="20"/>
      <w:szCs w:val="24"/>
    </w:rPr>
  </w:style>
  <w:style w:type="paragraph" w:styleId="18">
    <w:name w:val="Document Map"/>
    <w:basedOn w:val="1"/>
    <w:qFormat/>
    <w:uiPriority w:val="0"/>
    <w:pPr>
      <w:shd w:val="clear" w:color="auto" w:fill="000080"/>
    </w:pPr>
  </w:style>
  <w:style w:type="paragraph" w:styleId="19">
    <w:name w:val="annotation text"/>
    <w:basedOn w:val="1"/>
    <w:link w:val="110"/>
    <w:qFormat/>
    <w:uiPriority w:val="99"/>
    <w:pPr>
      <w:jc w:val="left"/>
    </w:pPr>
    <w:rPr>
      <w:sz w:val="21"/>
    </w:rPr>
  </w:style>
  <w:style w:type="paragraph" w:styleId="20">
    <w:name w:val="Body Text 3"/>
    <w:basedOn w:val="1"/>
    <w:link w:val="113"/>
    <w:qFormat/>
    <w:uiPriority w:val="0"/>
    <w:pPr>
      <w:spacing w:after="120" w:line="360" w:lineRule="auto"/>
    </w:pPr>
    <w:rPr>
      <w:kern w:val="0"/>
      <w:sz w:val="16"/>
      <w:szCs w:val="16"/>
    </w:rPr>
  </w:style>
  <w:style w:type="paragraph" w:styleId="21">
    <w:name w:val="List Bullet 3"/>
    <w:basedOn w:val="1"/>
    <w:qFormat/>
    <w:uiPriority w:val="0"/>
    <w:pPr>
      <w:widowControl/>
      <w:tabs>
        <w:tab w:val="left" w:pos="1080"/>
      </w:tabs>
      <w:adjustRightInd/>
      <w:snapToGrid/>
      <w:spacing w:line="240" w:lineRule="auto"/>
      <w:ind w:left="1080" w:hanging="360" w:firstLineChars="0"/>
      <w:jc w:val="left"/>
    </w:pPr>
    <w:rPr>
      <w:kern w:val="0"/>
      <w:sz w:val="20"/>
      <w:szCs w:val="24"/>
    </w:rPr>
  </w:style>
  <w:style w:type="paragraph" w:styleId="22">
    <w:name w:val="Body Text"/>
    <w:basedOn w:val="1"/>
    <w:link w:val="116"/>
    <w:qFormat/>
    <w:uiPriority w:val="0"/>
    <w:pPr>
      <w:spacing w:line="360" w:lineRule="auto"/>
    </w:pPr>
  </w:style>
  <w:style w:type="paragraph" w:styleId="23">
    <w:name w:val="Body Text Indent"/>
    <w:basedOn w:val="1"/>
    <w:link w:val="132"/>
    <w:qFormat/>
    <w:uiPriority w:val="0"/>
    <w:pPr>
      <w:ind w:firstLine="444"/>
    </w:pPr>
    <w:rPr>
      <w:b/>
    </w:rPr>
  </w:style>
  <w:style w:type="paragraph" w:styleId="24">
    <w:name w:val="List Number 3"/>
    <w:basedOn w:val="1"/>
    <w:qFormat/>
    <w:uiPriority w:val="0"/>
    <w:pPr>
      <w:widowControl/>
      <w:tabs>
        <w:tab w:val="left" w:pos="1080"/>
      </w:tabs>
      <w:adjustRightInd/>
      <w:snapToGrid/>
      <w:spacing w:line="240" w:lineRule="auto"/>
      <w:ind w:left="1080" w:hanging="360" w:firstLineChars="0"/>
      <w:jc w:val="left"/>
    </w:pPr>
    <w:rPr>
      <w:kern w:val="0"/>
      <w:sz w:val="20"/>
      <w:szCs w:val="24"/>
    </w:rPr>
  </w:style>
  <w:style w:type="paragraph" w:styleId="25">
    <w:name w:val="List Bullet 2"/>
    <w:basedOn w:val="1"/>
    <w:qFormat/>
    <w:uiPriority w:val="0"/>
    <w:pPr>
      <w:widowControl/>
      <w:tabs>
        <w:tab w:val="left" w:pos="720"/>
      </w:tabs>
      <w:adjustRightInd/>
      <w:snapToGrid/>
      <w:spacing w:line="240" w:lineRule="auto"/>
      <w:ind w:left="720" w:hanging="360" w:firstLineChars="0"/>
      <w:jc w:val="left"/>
    </w:pPr>
    <w:rPr>
      <w:kern w:val="0"/>
      <w:sz w:val="20"/>
      <w:szCs w:val="24"/>
    </w:rPr>
  </w:style>
  <w:style w:type="paragraph" w:styleId="26">
    <w:name w:val="toc 5"/>
    <w:basedOn w:val="1"/>
    <w:next w:val="1"/>
    <w:qFormat/>
    <w:uiPriority w:val="0"/>
    <w:pPr>
      <w:adjustRightInd/>
      <w:snapToGrid/>
      <w:spacing w:line="240" w:lineRule="auto"/>
      <w:ind w:left="840" w:firstLine="0" w:firstLineChars="0"/>
      <w:jc w:val="left"/>
    </w:pPr>
    <w:rPr>
      <w:sz w:val="21"/>
      <w:szCs w:val="21"/>
    </w:rPr>
  </w:style>
  <w:style w:type="paragraph" w:styleId="27">
    <w:name w:val="toc 3"/>
    <w:basedOn w:val="1"/>
    <w:next w:val="1"/>
    <w:unhideWhenUsed/>
    <w:qFormat/>
    <w:uiPriority w:val="0"/>
    <w:pPr>
      <w:ind w:left="840" w:leftChars="400"/>
    </w:pPr>
  </w:style>
  <w:style w:type="paragraph" w:styleId="28">
    <w:name w:val="Plain Text"/>
    <w:basedOn w:val="1"/>
    <w:link w:val="117"/>
    <w:qFormat/>
    <w:uiPriority w:val="0"/>
    <w:rPr>
      <w:rFonts w:ascii="宋体" w:hAnsi="Courier New"/>
      <w:sz w:val="21"/>
    </w:rPr>
  </w:style>
  <w:style w:type="paragraph" w:styleId="29">
    <w:name w:val="List Bullet 5"/>
    <w:basedOn w:val="1"/>
    <w:qFormat/>
    <w:uiPriority w:val="0"/>
    <w:pPr>
      <w:widowControl/>
      <w:tabs>
        <w:tab w:val="left" w:pos="1800"/>
      </w:tabs>
      <w:adjustRightInd/>
      <w:snapToGrid/>
      <w:spacing w:line="240" w:lineRule="auto"/>
      <w:ind w:left="1800" w:hanging="360" w:firstLineChars="0"/>
      <w:jc w:val="left"/>
    </w:pPr>
    <w:rPr>
      <w:kern w:val="0"/>
      <w:sz w:val="20"/>
      <w:szCs w:val="24"/>
    </w:rPr>
  </w:style>
  <w:style w:type="paragraph" w:styleId="30">
    <w:name w:val="List Number 4"/>
    <w:basedOn w:val="1"/>
    <w:qFormat/>
    <w:uiPriority w:val="0"/>
    <w:pPr>
      <w:widowControl/>
      <w:tabs>
        <w:tab w:val="left" w:pos="1440"/>
      </w:tabs>
      <w:adjustRightInd/>
      <w:snapToGrid/>
      <w:spacing w:line="240" w:lineRule="auto"/>
      <w:ind w:left="1440" w:hanging="360" w:firstLineChars="0"/>
      <w:jc w:val="left"/>
    </w:pPr>
    <w:rPr>
      <w:kern w:val="0"/>
      <w:sz w:val="20"/>
      <w:szCs w:val="24"/>
    </w:rPr>
  </w:style>
  <w:style w:type="paragraph" w:styleId="31">
    <w:name w:val="toc 8"/>
    <w:basedOn w:val="1"/>
    <w:next w:val="1"/>
    <w:qFormat/>
    <w:uiPriority w:val="0"/>
    <w:pPr>
      <w:adjustRightInd/>
      <w:snapToGrid/>
      <w:spacing w:line="240" w:lineRule="auto"/>
      <w:ind w:left="1470" w:firstLine="0" w:firstLineChars="0"/>
      <w:jc w:val="left"/>
    </w:pPr>
    <w:rPr>
      <w:sz w:val="21"/>
      <w:szCs w:val="21"/>
    </w:rPr>
  </w:style>
  <w:style w:type="paragraph" w:styleId="32">
    <w:name w:val="Date"/>
    <w:basedOn w:val="1"/>
    <w:next w:val="1"/>
    <w:qFormat/>
    <w:uiPriority w:val="0"/>
  </w:style>
  <w:style w:type="paragraph" w:styleId="33">
    <w:name w:val="Body Text Indent 2"/>
    <w:basedOn w:val="1"/>
    <w:qFormat/>
    <w:uiPriority w:val="0"/>
    <w:pPr>
      <w:spacing w:line="360" w:lineRule="auto"/>
      <w:ind w:firstLine="420" w:firstLineChars="175"/>
    </w:pPr>
    <w:rPr>
      <w:rFonts w:ascii="宋体" w:hAnsi="宋体"/>
      <w:b/>
      <w:bCs/>
    </w:rPr>
  </w:style>
  <w:style w:type="paragraph" w:styleId="34">
    <w:name w:val="endnote text"/>
    <w:basedOn w:val="1"/>
    <w:link w:val="138"/>
    <w:qFormat/>
    <w:uiPriority w:val="0"/>
    <w:pPr>
      <w:widowControl/>
      <w:adjustRightInd/>
      <w:snapToGrid/>
      <w:spacing w:line="240" w:lineRule="auto"/>
      <w:ind w:firstLine="0" w:firstLineChars="0"/>
      <w:jc w:val="left"/>
    </w:pPr>
    <w:rPr>
      <w:rFonts w:ascii="Courier New" w:hAnsi="Courier New"/>
      <w:kern w:val="0"/>
      <w:szCs w:val="24"/>
    </w:rPr>
  </w:style>
  <w:style w:type="paragraph" w:styleId="35">
    <w:name w:val="Balloon Text"/>
    <w:basedOn w:val="1"/>
    <w:link w:val="103"/>
    <w:qFormat/>
    <w:uiPriority w:val="0"/>
    <w:rPr>
      <w:sz w:val="18"/>
      <w:szCs w:val="18"/>
    </w:rPr>
  </w:style>
  <w:style w:type="paragraph" w:styleId="36">
    <w:name w:val="footer"/>
    <w:basedOn w:val="1"/>
    <w:link w:val="99"/>
    <w:qFormat/>
    <w:uiPriority w:val="99"/>
    <w:pPr>
      <w:tabs>
        <w:tab w:val="center" w:pos="4153"/>
        <w:tab w:val="right" w:pos="8306"/>
      </w:tabs>
      <w:jc w:val="left"/>
    </w:pPr>
    <w:rPr>
      <w:sz w:val="18"/>
    </w:rPr>
  </w:style>
  <w:style w:type="paragraph" w:styleId="37">
    <w:name w:val="header"/>
    <w:basedOn w:val="1"/>
    <w:link w:val="112"/>
    <w:qFormat/>
    <w:uiPriority w:val="0"/>
    <w:pPr>
      <w:pBdr>
        <w:bottom w:val="single" w:color="auto" w:sz="6" w:space="1"/>
      </w:pBdr>
      <w:tabs>
        <w:tab w:val="center" w:pos="4153"/>
        <w:tab w:val="right" w:pos="8306"/>
      </w:tabs>
      <w:jc w:val="center"/>
    </w:pPr>
    <w:rPr>
      <w:sz w:val="18"/>
    </w:rPr>
  </w:style>
  <w:style w:type="paragraph" w:styleId="38">
    <w:name w:val="toc 1"/>
    <w:basedOn w:val="1"/>
    <w:next w:val="1"/>
    <w:qFormat/>
    <w:uiPriority w:val="39"/>
  </w:style>
  <w:style w:type="paragraph" w:styleId="39">
    <w:name w:val="toc 4"/>
    <w:basedOn w:val="1"/>
    <w:next w:val="1"/>
    <w:qFormat/>
    <w:uiPriority w:val="0"/>
    <w:pPr>
      <w:adjustRightInd/>
      <w:snapToGrid/>
      <w:spacing w:line="240" w:lineRule="auto"/>
      <w:ind w:left="630" w:firstLine="0" w:firstLineChars="0"/>
      <w:jc w:val="left"/>
    </w:pPr>
    <w:rPr>
      <w:sz w:val="21"/>
      <w:szCs w:val="21"/>
    </w:rPr>
  </w:style>
  <w:style w:type="paragraph" w:styleId="40">
    <w:name w:val="List Number 5"/>
    <w:basedOn w:val="1"/>
    <w:qFormat/>
    <w:uiPriority w:val="0"/>
    <w:pPr>
      <w:widowControl/>
      <w:tabs>
        <w:tab w:val="left" w:pos="1800"/>
      </w:tabs>
      <w:adjustRightInd/>
      <w:snapToGrid/>
      <w:spacing w:line="240" w:lineRule="auto"/>
      <w:ind w:left="1800" w:hanging="360" w:firstLineChars="0"/>
      <w:jc w:val="left"/>
    </w:pPr>
    <w:rPr>
      <w:kern w:val="0"/>
      <w:sz w:val="20"/>
      <w:szCs w:val="24"/>
    </w:rPr>
  </w:style>
  <w:style w:type="paragraph" w:styleId="41">
    <w:name w:val="toc 6"/>
    <w:basedOn w:val="1"/>
    <w:next w:val="1"/>
    <w:qFormat/>
    <w:uiPriority w:val="0"/>
    <w:pPr>
      <w:adjustRightInd/>
      <w:snapToGrid/>
      <w:spacing w:line="240" w:lineRule="auto"/>
      <w:ind w:left="1050" w:firstLine="0" w:firstLineChars="0"/>
      <w:jc w:val="left"/>
    </w:pPr>
    <w:rPr>
      <w:sz w:val="21"/>
      <w:szCs w:val="21"/>
    </w:rPr>
  </w:style>
  <w:style w:type="paragraph" w:styleId="42">
    <w:name w:val="List 5"/>
    <w:basedOn w:val="1"/>
    <w:unhideWhenUsed/>
    <w:qFormat/>
    <w:uiPriority w:val="99"/>
    <w:pPr>
      <w:widowControl/>
      <w:ind w:left="100" w:leftChars="800" w:hanging="200" w:hangingChars="200"/>
      <w:jc w:val="left"/>
    </w:pPr>
    <w:rPr>
      <w:rFonts w:ascii="宋体" w:hAnsi="宋体" w:cs="宋体"/>
      <w:kern w:val="0"/>
      <w:szCs w:val="24"/>
    </w:rPr>
  </w:style>
  <w:style w:type="paragraph" w:styleId="43">
    <w:name w:val="Body Text Indent 3"/>
    <w:basedOn w:val="1"/>
    <w:qFormat/>
    <w:uiPriority w:val="0"/>
    <w:pPr>
      <w:spacing w:afterLines="50"/>
      <w:ind w:firstLine="420"/>
    </w:pPr>
    <w:rPr>
      <w:szCs w:val="21"/>
    </w:rPr>
  </w:style>
  <w:style w:type="paragraph" w:styleId="44">
    <w:name w:val="toc 2"/>
    <w:basedOn w:val="1"/>
    <w:next w:val="1"/>
    <w:qFormat/>
    <w:uiPriority w:val="39"/>
    <w:pPr>
      <w:ind w:left="420" w:leftChars="200"/>
    </w:pPr>
  </w:style>
  <w:style w:type="paragraph" w:styleId="45">
    <w:name w:val="toc 9"/>
    <w:basedOn w:val="1"/>
    <w:next w:val="1"/>
    <w:qFormat/>
    <w:uiPriority w:val="0"/>
    <w:pPr>
      <w:adjustRightInd/>
      <w:snapToGrid/>
      <w:spacing w:line="240" w:lineRule="auto"/>
      <w:ind w:left="1680" w:firstLine="0" w:firstLineChars="0"/>
      <w:jc w:val="left"/>
    </w:pPr>
    <w:rPr>
      <w:sz w:val="21"/>
      <w:szCs w:val="21"/>
    </w:rPr>
  </w:style>
  <w:style w:type="paragraph" w:styleId="46">
    <w:name w:val="Normal (Web)"/>
    <w:basedOn w:val="1"/>
    <w:unhideWhenUsed/>
    <w:qFormat/>
    <w:uiPriority w:val="0"/>
    <w:pPr>
      <w:widowControl/>
      <w:spacing w:before="100" w:beforeAutospacing="1" w:after="100" w:afterAutospacing="1"/>
      <w:jc w:val="left"/>
    </w:pPr>
    <w:rPr>
      <w:rFonts w:ascii="宋体" w:hAnsi="宋体" w:cs="宋体"/>
      <w:kern w:val="0"/>
      <w:szCs w:val="24"/>
    </w:rPr>
  </w:style>
  <w:style w:type="paragraph" w:styleId="47">
    <w:name w:val="index 1"/>
    <w:basedOn w:val="1"/>
    <w:next w:val="1"/>
    <w:qFormat/>
    <w:uiPriority w:val="0"/>
    <w:pPr>
      <w:snapToGrid/>
      <w:spacing w:line="360" w:lineRule="atLeast"/>
      <w:ind w:firstLine="0" w:firstLineChars="0"/>
      <w:jc w:val="left"/>
      <w:textAlignment w:val="baseline"/>
    </w:pPr>
    <w:rPr>
      <w:kern w:val="0"/>
    </w:rPr>
  </w:style>
  <w:style w:type="paragraph" w:styleId="48">
    <w:name w:val="Title"/>
    <w:basedOn w:val="2"/>
    <w:next w:val="1"/>
    <w:link w:val="115"/>
    <w:qFormat/>
    <w:uiPriority w:val="0"/>
    <w:pPr>
      <w:spacing w:beforeLines="50" w:after="0" w:line="360" w:lineRule="auto"/>
      <w:ind w:firstLine="0" w:firstLineChars="0"/>
      <w:jc w:val="center"/>
    </w:pPr>
    <w:rPr>
      <w:rFonts w:ascii="Cambria" w:hAnsi="Cambria" w:eastAsia="黑体"/>
      <w:b w:val="0"/>
      <w:bCs w:val="0"/>
      <w:sz w:val="36"/>
      <w:szCs w:val="32"/>
    </w:rPr>
  </w:style>
  <w:style w:type="paragraph" w:styleId="49">
    <w:name w:val="annotation subject"/>
    <w:basedOn w:val="19"/>
    <w:next w:val="19"/>
    <w:link w:val="109"/>
    <w:qFormat/>
    <w:uiPriority w:val="0"/>
    <w:rPr>
      <w:b/>
      <w:bCs/>
    </w:rPr>
  </w:style>
  <w:style w:type="paragraph" w:styleId="50">
    <w:name w:val="Body Text First Indent 2"/>
    <w:basedOn w:val="23"/>
    <w:link w:val="133"/>
    <w:semiHidden/>
    <w:unhideWhenUsed/>
    <w:qFormat/>
    <w:uiPriority w:val="99"/>
    <w:pPr>
      <w:spacing w:after="120"/>
      <w:ind w:left="420" w:leftChars="200" w:firstLine="420"/>
    </w:pPr>
    <w:rPr>
      <w:b w:val="0"/>
    </w:rPr>
  </w:style>
  <w:style w:type="table" w:styleId="52">
    <w:name w:val="Table Grid"/>
    <w:basedOn w:val="5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qFormat/>
    <w:uiPriority w:val="0"/>
    <w:rPr>
      <w:color w:val="800080"/>
      <w:u w:val="single"/>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paragraph" w:customStyle="1" w:styleId="59">
    <w:name w:val="目录 71"/>
    <w:basedOn w:val="1"/>
    <w:next w:val="1"/>
    <w:qFormat/>
    <w:uiPriority w:val="0"/>
    <w:pPr>
      <w:ind w:left="1260"/>
      <w:jc w:val="left"/>
    </w:pPr>
    <w:rPr>
      <w:rFonts w:ascii="Calibri" w:hAnsi="Calibri" w:cs="Calibri"/>
      <w:sz w:val="18"/>
      <w:szCs w:val="18"/>
    </w:rPr>
  </w:style>
  <w:style w:type="paragraph" w:customStyle="1" w:styleId="60">
    <w:name w:val="正文1"/>
    <w:basedOn w:val="1"/>
    <w:qFormat/>
    <w:uiPriority w:val="0"/>
    <w:pPr>
      <w:spacing w:line="360" w:lineRule="atLeast"/>
      <w:jc w:val="left"/>
      <w:textAlignment w:val="baseline"/>
    </w:pPr>
    <w:rPr>
      <w:rFonts w:ascii="宋体"/>
      <w:b/>
      <w:kern w:val="0"/>
    </w:rPr>
  </w:style>
  <w:style w:type="paragraph" w:customStyle="1" w:styleId="61">
    <w:name w:val="_Style 41"/>
    <w:qFormat/>
    <w:uiPriority w:val="0"/>
    <w:rPr>
      <w:rFonts w:ascii="Times New Roman" w:hAnsi="Times New Roman" w:eastAsia="宋体" w:cs="Times New Roman"/>
      <w:kern w:val="2"/>
      <w:sz w:val="21"/>
      <w:lang w:val="en-US" w:eastAsia="zh-CN" w:bidi="ar-SA"/>
    </w:rPr>
  </w:style>
  <w:style w:type="paragraph" w:customStyle="1" w:styleId="62">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63">
    <w:name w:val="目录 31"/>
    <w:basedOn w:val="1"/>
    <w:next w:val="1"/>
    <w:qFormat/>
    <w:uiPriority w:val="39"/>
    <w:pPr>
      <w:ind w:left="420"/>
      <w:jc w:val="left"/>
    </w:pPr>
    <w:rPr>
      <w:rFonts w:ascii="Calibri" w:hAnsi="Calibri" w:cs="Calibri"/>
      <w:i/>
      <w:iCs/>
      <w:sz w:val="20"/>
    </w:rPr>
  </w:style>
  <w:style w:type="paragraph" w:customStyle="1" w:styleId="64">
    <w:name w:val="目录 51"/>
    <w:basedOn w:val="1"/>
    <w:next w:val="1"/>
    <w:qFormat/>
    <w:uiPriority w:val="0"/>
    <w:pPr>
      <w:ind w:left="840"/>
      <w:jc w:val="left"/>
    </w:pPr>
    <w:rPr>
      <w:rFonts w:ascii="Calibri" w:hAnsi="Calibri" w:cs="Calibri"/>
      <w:sz w:val="18"/>
      <w:szCs w:val="18"/>
    </w:rPr>
  </w:style>
  <w:style w:type="paragraph" w:customStyle="1" w:styleId="65">
    <w:name w:val="目录 91"/>
    <w:basedOn w:val="1"/>
    <w:next w:val="1"/>
    <w:qFormat/>
    <w:uiPriority w:val="0"/>
    <w:pPr>
      <w:ind w:left="1680"/>
      <w:jc w:val="left"/>
    </w:pPr>
    <w:rPr>
      <w:rFonts w:ascii="Calibri" w:hAnsi="Calibri" w:cs="Calibri"/>
      <w:sz w:val="18"/>
      <w:szCs w:val="18"/>
    </w:rPr>
  </w:style>
  <w:style w:type="paragraph" w:customStyle="1" w:styleId="66">
    <w:name w:val="目录 81"/>
    <w:basedOn w:val="1"/>
    <w:next w:val="1"/>
    <w:qFormat/>
    <w:uiPriority w:val="0"/>
    <w:pPr>
      <w:ind w:left="1470"/>
      <w:jc w:val="left"/>
    </w:pPr>
    <w:rPr>
      <w:rFonts w:ascii="Calibri" w:hAnsi="Calibri" w:cs="Calibri"/>
      <w:sz w:val="18"/>
      <w:szCs w:val="18"/>
    </w:rPr>
  </w:style>
  <w:style w:type="paragraph" w:customStyle="1" w:styleId="67">
    <w:name w:val="目录 21"/>
    <w:basedOn w:val="1"/>
    <w:next w:val="1"/>
    <w:qFormat/>
    <w:uiPriority w:val="39"/>
    <w:pPr>
      <w:ind w:left="210"/>
      <w:jc w:val="left"/>
    </w:pPr>
    <w:rPr>
      <w:rFonts w:ascii="Calibri" w:hAnsi="Calibri" w:cs="Calibri"/>
      <w:smallCaps/>
      <w:sz w:val="20"/>
    </w:rPr>
  </w:style>
  <w:style w:type="paragraph" w:customStyle="1" w:styleId="68">
    <w:name w:val="目录 61"/>
    <w:basedOn w:val="1"/>
    <w:next w:val="1"/>
    <w:qFormat/>
    <w:uiPriority w:val="0"/>
    <w:pPr>
      <w:ind w:left="1050"/>
      <w:jc w:val="left"/>
    </w:pPr>
    <w:rPr>
      <w:rFonts w:ascii="Calibri" w:hAnsi="Calibri" w:cs="Calibri"/>
      <w:sz w:val="18"/>
      <w:szCs w:val="18"/>
    </w:rPr>
  </w:style>
  <w:style w:type="paragraph" w:customStyle="1" w:styleId="69">
    <w:name w:val="目录 11"/>
    <w:basedOn w:val="1"/>
    <w:next w:val="1"/>
    <w:qFormat/>
    <w:uiPriority w:val="39"/>
    <w:pPr>
      <w:spacing w:before="120" w:after="120"/>
      <w:jc w:val="left"/>
    </w:pPr>
    <w:rPr>
      <w:rFonts w:ascii="Calibri" w:hAnsi="Calibri" w:cs="Calibri"/>
      <w:b/>
      <w:bCs/>
      <w:caps/>
      <w:sz w:val="20"/>
    </w:rPr>
  </w:style>
  <w:style w:type="paragraph" w:customStyle="1" w:styleId="70">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1">
    <w:name w:val="目录 41"/>
    <w:basedOn w:val="1"/>
    <w:next w:val="1"/>
    <w:qFormat/>
    <w:uiPriority w:val="0"/>
    <w:pPr>
      <w:ind w:left="630"/>
      <w:jc w:val="left"/>
    </w:pPr>
    <w:rPr>
      <w:rFonts w:ascii="Calibri" w:hAnsi="Calibri" w:cs="Calibri"/>
      <w:sz w:val="18"/>
      <w:szCs w:val="18"/>
    </w:rPr>
  </w:style>
  <w:style w:type="paragraph" w:customStyle="1" w:styleId="72">
    <w:name w:val="样式2"/>
    <w:basedOn w:val="1"/>
    <w:qFormat/>
    <w:uiPriority w:val="0"/>
    <w:pPr>
      <w:spacing w:line="410" w:lineRule="atLeast"/>
      <w:jc w:val="left"/>
      <w:textAlignment w:val="baseline"/>
    </w:pPr>
    <w:rPr>
      <w:kern w:val="0"/>
    </w:rPr>
  </w:style>
  <w:style w:type="paragraph" w:customStyle="1" w:styleId="73">
    <w:name w:val="55"/>
    <w:basedOn w:val="1"/>
    <w:qFormat/>
    <w:uiPriority w:val="0"/>
    <w:pPr>
      <w:spacing w:line="500" w:lineRule="exact"/>
      <w:ind w:firstLine="629"/>
    </w:pPr>
    <w:rPr>
      <w:rFonts w:ascii="仿宋_GB2312" w:eastAsia="仿宋_GB2312"/>
      <w:sz w:val="28"/>
      <w:szCs w:val="28"/>
    </w:rPr>
  </w:style>
  <w:style w:type="paragraph" w:customStyle="1" w:styleId="74">
    <w:name w:val="p0"/>
    <w:basedOn w:val="1"/>
    <w:qFormat/>
    <w:uiPriority w:val="0"/>
    <w:pPr>
      <w:widowControl/>
    </w:pPr>
    <w:rPr>
      <w:kern w:val="0"/>
    </w:rPr>
  </w:style>
  <w:style w:type="paragraph" w:customStyle="1" w:styleId="75">
    <w:name w:val="表格侧编号"/>
    <w:next w:val="1"/>
    <w:qFormat/>
    <w:uiPriority w:val="0"/>
    <w:pPr>
      <w:widowControl w:val="0"/>
      <w:jc w:val="center"/>
    </w:pPr>
    <w:rPr>
      <w:rFonts w:ascii="宋体" w:hAnsi="宋体" w:eastAsia="宋体" w:cs="Times New Roman"/>
      <w:kern w:val="2"/>
      <w:sz w:val="21"/>
      <w:lang w:val="en-US" w:eastAsia="zh-CN" w:bidi="ar-SA"/>
    </w:rPr>
  </w:style>
  <w:style w:type="paragraph" w:customStyle="1" w:styleId="76">
    <w:name w:val="附件"/>
    <w:basedOn w:val="1"/>
    <w:qFormat/>
    <w:uiPriority w:val="0"/>
    <w:pPr>
      <w:spacing w:before="120" w:after="60"/>
      <w:jc w:val="center"/>
      <w:textAlignment w:val="center"/>
    </w:pPr>
    <w:rPr>
      <w:rFonts w:ascii="黑体" w:eastAsia="黑体"/>
      <w:b/>
      <w:kern w:val="0"/>
      <w:sz w:val="32"/>
      <w:szCs w:val="32"/>
    </w:rPr>
  </w:style>
  <w:style w:type="paragraph" w:customStyle="1" w:styleId="77">
    <w:name w:val="表格"/>
    <w:basedOn w:val="1"/>
    <w:qFormat/>
    <w:uiPriority w:val="0"/>
    <w:pPr>
      <w:spacing w:before="60" w:after="60"/>
      <w:jc w:val="center"/>
      <w:textAlignment w:val="baseline"/>
    </w:pPr>
    <w:rPr>
      <w:rFonts w:ascii="宋体"/>
      <w:kern w:val="0"/>
    </w:rPr>
  </w:style>
  <w:style w:type="paragraph" w:customStyle="1" w:styleId="78">
    <w:name w:val="Char"/>
    <w:basedOn w:val="1"/>
    <w:qFormat/>
    <w:uiPriority w:val="0"/>
    <w:pPr>
      <w:spacing w:line="360" w:lineRule="auto"/>
    </w:pPr>
    <w:rPr>
      <w:kern w:val="0"/>
    </w:rPr>
  </w:style>
  <w:style w:type="paragraph" w:customStyle="1" w:styleId="79">
    <w:name w:val="1"/>
    <w:basedOn w:val="1"/>
    <w:qFormat/>
    <w:uiPriority w:val="0"/>
    <w:pPr>
      <w:spacing w:afterLines="50" w:line="360" w:lineRule="auto"/>
      <w:ind w:firstLine="3243" w:firstLineChars="1080"/>
    </w:pPr>
    <w:rPr>
      <w:rFonts w:ascii="宋体" w:hAnsi="宋体"/>
      <w:b/>
      <w:sz w:val="30"/>
      <w:szCs w:val="21"/>
    </w:rPr>
  </w:style>
  <w:style w:type="paragraph" w:customStyle="1" w:styleId="80">
    <w:name w:val="金正文1"/>
    <w:basedOn w:val="1"/>
    <w:qFormat/>
    <w:uiPriority w:val="0"/>
    <w:pPr>
      <w:spacing w:line="360" w:lineRule="auto"/>
      <w:jc w:val="left"/>
    </w:pPr>
  </w:style>
  <w:style w:type="paragraph" w:customStyle="1" w:styleId="81">
    <w:name w:val="默认段落字体 Para Char Char Char Char"/>
    <w:basedOn w:val="1"/>
    <w:qFormat/>
    <w:uiPriority w:val="0"/>
  </w:style>
  <w:style w:type="paragraph" w:customStyle="1" w:styleId="82">
    <w:name w:val="正文文本 31"/>
    <w:basedOn w:val="1"/>
    <w:qFormat/>
    <w:uiPriority w:val="0"/>
    <w:pPr>
      <w:spacing w:line="360" w:lineRule="auto"/>
      <w:jc w:val="center"/>
      <w:textAlignment w:val="baseline"/>
    </w:pPr>
    <w:rPr>
      <w:rFonts w:ascii="宋体"/>
      <w:b/>
      <w:color w:val="FF0000"/>
      <w:kern w:val="0"/>
      <w:u w:val="single"/>
    </w:rPr>
  </w:style>
  <w:style w:type="paragraph" w:customStyle="1" w:styleId="83">
    <w:name w:val="样式 55 + (西文) Times New Roman (中文) 宋体 五号 加粗 行距: 1.5 倍行距"/>
    <w:basedOn w:val="73"/>
    <w:qFormat/>
    <w:uiPriority w:val="0"/>
    <w:pPr>
      <w:spacing w:line="360" w:lineRule="auto"/>
      <w:ind w:firstLine="0"/>
    </w:pPr>
    <w:rPr>
      <w:rFonts w:ascii="Times New Roman" w:eastAsia="黑体" w:cs="宋体"/>
      <w:bCs/>
      <w:szCs w:val="20"/>
    </w:rPr>
  </w:style>
  <w:style w:type="paragraph" w:customStyle="1" w:styleId="84">
    <w:name w:val="标题2（新）"/>
    <w:basedOn w:val="3"/>
    <w:qFormat/>
    <w:uiPriority w:val="0"/>
    <w:pPr>
      <w:widowControl/>
      <w:spacing w:beforeLines="0" w:line="440" w:lineRule="exact"/>
    </w:pPr>
    <w:rPr>
      <w:rFonts w:ascii="宋体" w:eastAsia="宋体" w:cs="宋体"/>
      <w:szCs w:val="28"/>
    </w:rPr>
  </w:style>
  <w:style w:type="paragraph" w:customStyle="1" w:styleId="85">
    <w:name w:val="Char Char Char"/>
    <w:basedOn w:val="1"/>
    <w:qFormat/>
    <w:uiPriority w:val="0"/>
    <w:rPr>
      <w:rFonts w:ascii="Tahoma" w:hAnsi="Tahoma"/>
    </w:rPr>
  </w:style>
  <w:style w:type="paragraph" w:customStyle="1" w:styleId="86">
    <w:name w:val="_Style 66"/>
    <w:basedOn w:val="2"/>
    <w:next w:val="1"/>
    <w:qFormat/>
    <w:uiPriority w:val="39"/>
    <w:pPr>
      <w:widowControl/>
      <w:spacing w:before="480" w:afterLines="50" w:line="276" w:lineRule="auto"/>
      <w:jc w:val="left"/>
      <w:outlineLvl w:val="9"/>
    </w:pPr>
    <w:rPr>
      <w:rFonts w:ascii="Cambria" w:hAnsi="Cambria"/>
      <w:color w:val="365F91"/>
      <w:kern w:val="0"/>
      <w:sz w:val="28"/>
      <w:szCs w:val="28"/>
    </w:rPr>
  </w:style>
  <w:style w:type="paragraph" w:customStyle="1" w:styleId="87">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88">
    <w:name w:val="No Spacing"/>
    <w:link w:val="111"/>
    <w:qFormat/>
    <w:uiPriority w:val="1"/>
    <w:rPr>
      <w:rFonts w:ascii="Calibri" w:hAnsi="Calibri" w:eastAsia="宋体" w:cs="Times New Roman"/>
      <w:sz w:val="22"/>
      <w:szCs w:val="22"/>
      <w:lang w:val="en-US" w:eastAsia="zh-CN" w:bidi="ar-SA"/>
    </w:rPr>
  </w:style>
  <w:style w:type="paragraph" w:customStyle="1" w:styleId="89">
    <w:name w:val="表格文字"/>
    <w:basedOn w:val="22"/>
    <w:qFormat/>
    <w:uiPriority w:val="0"/>
    <w:pPr>
      <w:spacing w:before="20" w:after="20" w:line="360" w:lineRule="atLeast"/>
      <w:textAlignment w:val="baseline"/>
    </w:pPr>
    <w:rPr>
      <w:rFonts w:ascii="Century Gothic" w:hAnsi="Century Gothic"/>
      <w:sz w:val="20"/>
    </w:rPr>
  </w:style>
  <w:style w:type="paragraph" w:customStyle="1" w:styleId="90">
    <w:name w:val="列出段落1"/>
    <w:basedOn w:val="1"/>
    <w:qFormat/>
    <w:uiPriority w:val="34"/>
    <w:pPr>
      <w:ind w:firstLine="420"/>
    </w:pPr>
  </w:style>
  <w:style w:type="paragraph" w:customStyle="1" w:styleId="91">
    <w:name w:val="Normal_43_0"/>
    <w:qFormat/>
    <w:uiPriority w:val="0"/>
    <w:pPr>
      <w:spacing w:before="120" w:after="240"/>
      <w:jc w:val="both"/>
    </w:pPr>
    <w:rPr>
      <w:rFonts w:ascii="Calibri" w:hAnsi="Calibri" w:eastAsia="Calibri" w:cs="Times New Roman"/>
      <w:sz w:val="22"/>
      <w:szCs w:val="22"/>
      <w:lang w:val="en-US" w:eastAsia="en-US" w:bidi="ar-SA"/>
    </w:rPr>
  </w:style>
  <w:style w:type="paragraph" w:customStyle="1" w:styleId="92">
    <w:name w:val="列出段落11"/>
    <w:basedOn w:val="1"/>
    <w:qFormat/>
    <w:uiPriority w:val="34"/>
    <w:pPr>
      <w:ind w:firstLine="420"/>
    </w:pPr>
    <w:rPr>
      <w:rFonts w:ascii="Calibri" w:hAnsi="Calibri"/>
      <w:szCs w:val="22"/>
    </w:rPr>
  </w:style>
  <w:style w:type="paragraph" w:customStyle="1" w:styleId="93">
    <w:name w:val="目录1"/>
    <w:basedOn w:val="1"/>
    <w:qFormat/>
    <w:uiPriority w:val="0"/>
    <w:rPr>
      <w:rFonts w:ascii="黑体" w:eastAsia="黑体"/>
      <w:sz w:val="52"/>
      <w:szCs w:val="52"/>
    </w:rPr>
  </w:style>
  <w:style w:type="paragraph" w:customStyle="1" w:styleId="94">
    <w:name w:val="小标"/>
    <w:basedOn w:val="1"/>
    <w:qFormat/>
    <w:uiPriority w:val="0"/>
    <w:pPr>
      <w:adjustRightInd/>
      <w:snapToGrid/>
      <w:spacing w:line="360" w:lineRule="auto"/>
      <w:ind w:firstLine="0" w:firstLineChars="0"/>
    </w:pPr>
    <w:rPr>
      <w:b/>
      <w:szCs w:val="24"/>
    </w:rPr>
  </w:style>
  <w:style w:type="paragraph" w:styleId="95">
    <w:name w:val="List Paragraph"/>
    <w:basedOn w:val="1"/>
    <w:link w:val="128"/>
    <w:qFormat/>
    <w:uiPriority w:val="34"/>
    <w:pPr>
      <w:adjustRightInd/>
      <w:snapToGrid/>
      <w:spacing w:line="240" w:lineRule="auto"/>
      <w:ind w:firstLine="420"/>
    </w:pPr>
    <w:rPr>
      <w:sz w:val="21"/>
      <w:szCs w:val="21"/>
    </w:rPr>
  </w:style>
  <w:style w:type="paragraph" w:customStyle="1" w:styleId="96">
    <w:name w:val="标题3"/>
    <w:basedOn w:val="4"/>
    <w:qFormat/>
    <w:uiPriority w:val="0"/>
    <w:pPr>
      <w:keepLines w:val="0"/>
      <w:tabs>
        <w:tab w:val="left" w:pos="851"/>
      </w:tabs>
      <w:snapToGrid/>
      <w:spacing w:before="0" w:after="0" w:line="360" w:lineRule="auto"/>
      <w:ind w:firstLine="0" w:firstLineChars="0"/>
      <w:textAlignment w:val="baseline"/>
    </w:pPr>
    <w:rPr>
      <w:b w:val="0"/>
      <w:bCs w:val="0"/>
      <w:kern w:val="0"/>
      <w:sz w:val="24"/>
      <w:szCs w:val="20"/>
    </w:rPr>
  </w:style>
  <w:style w:type="paragraph" w:customStyle="1" w:styleId="97">
    <w:name w:val="样式1"/>
    <w:basedOn w:val="1"/>
    <w:qFormat/>
    <w:uiPriority w:val="0"/>
    <w:pPr>
      <w:snapToGrid/>
      <w:spacing w:line="420" w:lineRule="auto"/>
      <w:ind w:firstLine="0" w:firstLineChars="0"/>
      <w:jc w:val="center"/>
    </w:pPr>
    <w:rPr>
      <w:rFonts w:hint="eastAsia" w:ascii="宋体"/>
      <w:kern w:val="0"/>
    </w:rPr>
  </w:style>
  <w:style w:type="paragraph" w:customStyle="1" w:styleId="98">
    <w:name w:val="xl33"/>
    <w:basedOn w:val="1"/>
    <w:qFormat/>
    <w:uiPriority w:val="0"/>
    <w:pPr>
      <w:widowControl/>
      <w:pBdr>
        <w:bottom w:val="single" w:color="auto" w:sz="4" w:space="0"/>
      </w:pBdr>
      <w:adjustRightInd/>
      <w:snapToGrid/>
      <w:spacing w:before="100" w:after="100" w:line="240" w:lineRule="auto"/>
      <w:ind w:firstLine="0" w:firstLineChars="0"/>
      <w:jc w:val="center"/>
    </w:pPr>
    <w:rPr>
      <w:rFonts w:ascii="Arial Unicode MS" w:hAnsi="Arial Unicode MS" w:eastAsia="Arial Unicode MS"/>
      <w:kern w:val="0"/>
    </w:rPr>
  </w:style>
  <w:style w:type="character" w:customStyle="1" w:styleId="99">
    <w:name w:val="页脚 Char1"/>
    <w:link w:val="36"/>
    <w:qFormat/>
    <w:uiPriority w:val="99"/>
    <w:rPr>
      <w:kern w:val="2"/>
      <w:sz w:val="18"/>
    </w:rPr>
  </w:style>
  <w:style w:type="character" w:customStyle="1" w:styleId="100">
    <w:name w:val="标题 1 Char"/>
    <w:link w:val="2"/>
    <w:qFormat/>
    <w:uiPriority w:val="0"/>
    <w:rPr>
      <w:b/>
      <w:bCs/>
      <w:kern w:val="44"/>
      <w:sz w:val="44"/>
      <w:szCs w:val="44"/>
    </w:rPr>
  </w:style>
  <w:style w:type="character" w:customStyle="1" w:styleId="101">
    <w:name w:val="标题 3 Char"/>
    <w:link w:val="4"/>
    <w:qFormat/>
    <w:uiPriority w:val="0"/>
    <w:rPr>
      <w:b/>
      <w:bCs/>
      <w:kern w:val="2"/>
      <w:sz w:val="21"/>
      <w:szCs w:val="32"/>
    </w:rPr>
  </w:style>
  <w:style w:type="character" w:customStyle="1" w:styleId="102">
    <w:name w:val="标题 8 Char"/>
    <w:link w:val="9"/>
    <w:qFormat/>
    <w:uiPriority w:val="0"/>
    <w:rPr>
      <w:rFonts w:ascii="Cambria" w:hAnsi="Cambria" w:eastAsia="宋体" w:cs="Times New Roman"/>
      <w:kern w:val="2"/>
      <w:sz w:val="24"/>
      <w:szCs w:val="24"/>
    </w:rPr>
  </w:style>
  <w:style w:type="character" w:customStyle="1" w:styleId="103">
    <w:name w:val="批注框文本 Char"/>
    <w:link w:val="35"/>
    <w:qFormat/>
    <w:uiPriority w:val="0"/>
    <w:rPr>
      <w:kern w:val="2"/>
      <w:sz w:val="18"/>
      <w:szCs w:val="18"/>
    </w:rPr>
  </w:style>
  <w:style w:type="character" w:customStyle="1" w:styleId="104">
    <w:name w:val="标题 4 Char"/>
    <w:link w:val="5"/>
    <w:qFormat/>
    <w:uiPriority w:val="0"/>
    <w:rPr>
      <w:rFonts w:ascii="Cambria" w:hAnsi="Cambria" w:eastAsia="黑体"/>
      <w:bCs/>
      <w:kern w:val="2"/>
      <w:sz w:val="24"/>
      <w:szCs w:val="28"/>
    </w:rPr>
  </w:style>
  <w:style w:type="character" w:customStyle="1" w:styleId="105">
    <w:name w:val="unnamed11"/>
    <w:qFormat/>
    <w:uiPriority w:val="0"/>
    <w:rPr>
      <w:u w:val="none"/>
    </w:rPr>
  </w:style>
  <w:style w:type="character" w:customStyle="1" w:styleId="106">
    <w:name w:val="专用功能1"/>
    <w:qFormat/>
    <w:uiPriority w:val="0"/>
    <w:rPr>
      <w:color w:val="666666"/>
      <w:sz w:val="20"/>
    </w:rPr>
  </w:style>
  <w:style w:type="character" w:customStyle="1" w:styleId="107">
    <w:name w:val="标题 2 Char1"/>
    <w:link w:val="3"/>
    <w:qFormat/>
    <w:uiPriority w:val="0"/>
    <w:rPr>
      <w:rFonts w:ascii="Arial" w:hAnsi="Arial" w:eastAsia="黑体"/>
      <w:bCs/>
      <w:sz w:val="28"/>
      <w:szCs w:val="32"/>
    </w:rPr>
  </w:style>
  <w:style w:type="character" w:customStyle="1" w:styleId="108">
    <w:name w:val="标题 2 Char"/>
    <w:qFormat/>
    <w:uiPriority w:val="0"/>
    <w:rPr>
      <w:rFonts w:ascii="Arial" w:hAnsi="Arial" w:eastAsia="黑体"/>
      <w:b/>
      <w:bCs/>
      <w:sz w:val="32"/>
      <w:szCs w:val="32"/>
    </w:rPr>
  </w:style>
  <w:style w:type="character" w:customStyle="1" w:styleId="109">
    <w:name w:val="批注主题 Char"/>
    <w:link w:val="49"/>
    <w:qFormat/>
    <w:uiPriority w:val="0"/>
    <w:rPr>
      <w:b/>
      <w:bCs/>
      <w:kern w:val="2"/>
      <w:sz w:val="21"/>
    </w:rPr>
  </w:style>
  <w:style w:type="character" w:customStyle="1" w:styleId="110">
    <w:name w:val="批注文字 Char"/>
    <w:link w:val="19"/>
    <w:qFormat/>
    <w:uiPriority w:val="99"/>
    <w:rPr>
      <w:kern w:val="2"/>
      <w:sz w:val="21"/>
    </w:rPr>
  </w:style>
  <w:style w:type="character" w:customStyle="1" w:styleId="111">
    <w:name w:val="无间隔 Char"/>
    <w:link w:val="88"/>
    <w:qFormat/>
    <w:uiPriority w:val="1"/>
    <w:rPr>
      <w:rFonts w:ascii="Calibri" w:hAnsi="Calibri"/>
      <w:sz w:val="22"/>
      <w:szCs w:val="22"/>
      <w:lang w:val="en-US" w:eastAsia="zh-CN" w:bidi="ar-SA"/>
    </w:rPr>
  </w:style>
  <w:style w:type="character" w:customStyle="1" w:styleId="112">
    <w:name w:val="页眉 Char2"/>
    <w:link w:val="37"/>
    <w:qFormat/>
    <w:uiPriority w:val="99"/>
    <w:rPr>
      <w:kern w:val="2"/>
      <w:sz w:val="18"/>
    </w:rPr>
  </w:style>
  <w:style w:type="character" w:customStyle="1" w:styleId="113">
    <w:name w:val="正文文本 3 Char"/>
    <w:link w:val="20"/>
    <w:qFormat/>
    <w:uiPriority w:val="0"/>
    <w:rPr>
      <w:sz w:val="16"/>
      <w:szCs w:val="16"/>
    </w:rPr>
  </w:style>
  <w:style w:type="character" w:customStyle="1" w:styleId="114">
    <w:name w:val="正文文本 3 Char1"/>
    <w:semiHidden/>
    <w:qFormat/>
    <w:uiPriority w:val="99"/>
    <w:rPr>
      <w:kern w:val="2"/>
      <w:sz w:val="16"/>
      <w:szCs w:val="16"/>
    </w:rPr>
  </w:style>
  <w:style w:type="character" w:customStyle="1" w:styleId="115">
    <w:name w:val="标题 Char1"/>
    <w:link w:val="48"/>
    <w:qFormat/>
    <w:uiPriority w:val="0"/>
    <w:rPr>
      <w:rFonts w:ascii="Cambria" w:hAnsi="Cambria" w:eastAsia="黑体"/>
      <w:kern w:val="44"/>
      <w:sz w:val="36"/>
      <w:szCs w:val="32"/>
    </w:rPr>
  </w:style>
  <w:style w:type="character" w:customStyle="1" w:styleId="116">
    <w:name w:val="正文文本 Char"/>
    <w:link w:val="22"/>
    <w:qFormat/>
    <w:uiPriority w:val="0"/>
    <w:rPr>
      <w:kern w:val="2"/>
      <w:sz w:val="24"/>
    </w:rPr>
  </w:style>
  <w:style w:type="character" w:customStyle="1" w:styleId="117">
    <w:name w:val="纯文本 Char2"/>
    <w:link w:val="28"/>
    <w:qFormat/>
    <w:uiPriority w:val="99"/>
    <w:rPr>
      <w:rFonts w:ascii="宋体" w:hAnsi="Courier New"/>
      <w:kern w:val="2"/>
      <w:sz w:val="21"/>
    </w:rPr>
  </w:style>
  <w:style w:type="character" w:customStyle="1" w:styleId="118">
    <w:name w:val="无间隔 Char1"/>
    <w:qFormat/>
    <w:uiPriority w:val="1"/>
    <w:rPr>
      <w:rFonts w:ascii="Calibri" w:hAnsi="Calibri" w:eastAsia="宋体"/>
      <w:kern w:val="2"/>
      <w:sz w:val="21"/>
      <w:szCs w:val="22"/>
      <w:lang w:bidi="ar-SA"/>
    </w:rPr>
  </w:style>
  <w:style w:type="character" w:customStyle="1" w:styleId="119">
    <w:name w:val="纯文本 Char"/>
    <w:basedOn w:val="53"/>
    <w:qFormat/>
    <w:uiPriority w:val="0"/>
    <w:rPr>
      <w:rFonts w:ascii="宋体" w:hAnsi="Courier New" w:eastAsia="宋体"/>
      <w:kern w:val="2"/>
      <w:sz w:val="21"/>
      <w:lang w:val="en-US" w:eastAsia="zh-CN" w:bidi="ar-SA"/>
    </w:rPr>
  </w:style>
  <w:style w:type="character" w:customStyle="1" w:styleId="120">
    <w:name w:val="font61"/>
    <w:basedOn w:val="53"/>
    <w:qFormat/>
    <w:uiPriority w:val="0"/>
    <w:rPr>
      <w:rFonts w:hint="eastAsia" w:ascii="宋体" w:hAnsi="宋体" w:eastAsia="宋体" w:cs="宋体"/>
      <w:color w:val="000000"/>
      <w:sz w:val="20"/>
      <w:szCs w:val="20"/>
      <w:u w:val="none"/>
    </w:rPr>
  </w:style>
  <w:style w:type="character" w:customStyle="1" w:styleId="121">
    <w:name w:val="urtxtstd10"/>
    <w:basedOn w:val="53"/>
    <w:qFormat/>
    <w:uiPriority w:val="0"/>
    <w:rPr>
      <w:rFonts w:hint="default" w:ascii="Arial" w:hAnsi="Arial" w:cs="Arial"/>
      <w:sz w:val="17"/>
      <w:szCs w:val="17"/>
    </w:rPr>
  </w:style>
  <w:style w:type="character" w:customStyle="1" w:styleId="122">
    <w:name w:val="urtxtvalign"/>
    <w:basedOn w:val="53"/>
    <w:qFormat/>
    <w:uiPriority w:val="0"/>
  </w:style>
  <w:style w:type="character" w:customStyle="1" w:styleId="123">
    <w:name w:val="题注 Char"/>
    <w:link w:val="16"/>
    <w:qFormat/>
    <w:locked/>
    <w:uiPriority w:val="0"/>
    <w:rPr>
      <w:rFonts w:ascii="华文中宋" w:hAnsi="华文中宋" w:eastAsia="华文中宋"/>
      <w:kern w:val="2"/>
      <w:sz w:val="36"/>
    </w:rPr>
  </w:style>
  <w:style w:type="character" w:customStyle="1" w:styleId="124">
    <w:name w:val="页脚 Char"/>
    <w:basedOn w:val="53"/>
    <w:qFormat/>
    <w:uiPriority w:val="99"/>
    <w:rPr>
      <w:sz w:val="18"/>
      <w:szCs w:val="18"/>
    </w:rPr>
  </w:style>
  <w:style w:type="character" w:customStyle="1" w:styleId="125">
    <w:name w:val="纯文本 Char1"/>
    <w:qFormat/>
    <w:uiPriority w:val="0"/>
    <w:rPr>
      <w:rFonts w:ascii="宋体" w:hAnsi="Courier New"/>
      <w:kern w:val="2"/>
      <w:sz w:val="21"/>
    </w:rPr>
  </w:style>
  <w:style w:type="character" w:customStyle="1" w:styleId="126">
    <w:name w:val="标题 Char"/>
    <w:qFormat/>
    <w:uiPriority w:val="0"/>
    <w:rPr>
      <w:rFonts w:ascii="Cambria" w:hAnsi="Cambria" w:eastAsia="黑体"/>
      <w:kern w:val="44"/>
      <w:sz w:val="36"/>
      <w:szCs w:val="32"/>
    </w:rPr>
  </w:style>
  <w:style w:type="character" w:customStyle="1" w:styleId="127">
    <w:name w:val="页眉 Char"/>
    <w:basedOn w:val="53"/>
    <w:qFormat/>
    <w:uiPriority w:val="99"/>
    <w:rPr>
      <w:sz w:val="18"/>
      <w:szCs w:val="18"/>
    </w:rPr>
  </w:style>
  <w:style w:type="character" w:customStyle="1" w:styleId="128">
    <w:name w:val="列出段落 Char"/>
    <w:link w:val="95"/>
    <w:qFormat/>
    <w:uiPriority w:val="34"/>
    <w:rPr>
      <w:kern w:val="2"/>
      <w:sz w:val="21"/>
      <w:szCs w:val="21"/>
    </w:rPr>
  </w:style>
  <w:style w:type="character" w:customStyle="1" w:styleId="129">
    <w:name w:val="页眉 Char1"/>
    <w:semiHidden/>
    <w:qFormat/>
    <w:locked/>
    <w:uiPriority w:val="99"/>
    <w:rPr>
      <w:kern w:val="2"/>
      <w:sz w:val="18"/>
    </w:rPr>
  </w:style>
  <w:style w:type="paragraph" w:customStyle="1" w:styleId="130">
    <w:name w:val="_Style 110"/>
    <w:unhideWhenUsed/>
    <w:qFormat/>
    <w:uiPriority w:val="99"/>
    <w:pPr>
      <w:widowControl w:val="0"/>
      <w:spacing w:after="120"/>
      <w:ind w:left="420" w:leftChars="200" w:firstLine="420" w:firstLineChars="200"/>
      <w:jc w:val="both"/>
    </w:pPr>
    <w:rPr>
      <w:rFonts w:ascii="Times New Roman" w:hAnsi="Times New Roman" w:eastAsia="宋体" w:cs="Times New Roman"/>
      <w:kern w:val="2"/>
      <w:sz w:val="21"/>
      <w:szCs w:val="22"/>
      <w:lang w:val="en-US" w:eastAsia="zh-CN" w:bidi="ar-SA"/>
    </w:rPr>
  </w:style>
  <w:style w:type="character" w:customStyle="1" w:styleId="131">
    <w:name w:val="正文首行缩进 2 Char1"/>
    <w:semiHidden/>
    <w:qFormat/>
    <w:uiPriority w:val="99"/>
    <w:rPr>
      <w:kern w:val="2"/>
      <w:sz w:val="24"/>
    </w:rPr>
  </w:style>
  <w:style w:type="character" w:customStyle="1" w:styleId="132">
    <w:name w:val="正文文本缩进 Char"/>
    <w:basedOn w:val="53"/>
    <w:link w:val="23"/>
    <w:qFormat/>
    <w:uiPriority w:val="0"/>
    <w:rPr>
      <w:b/>
      <w:kern w:val="2"/>
      <w:sz w:val="24"/>
    </w:rPr>
  </w:style>
  <w:style w:type="character" w:customStyle="1" w:styleId="133">
    <w:name w:val="正文首行缩进 2 Char"/>
    <w:basedOn w:val="132"/>
    <w:link w:val="50"/>
    <w:qFormat/>
    <w:uiPriority w:val="0"/>
    <w:rPr>
      <w:kern w:val="2"/>
      <w:sz w:val="24"/>
    </w:rPr>
  </w:style>
  <w:style w:type="character" w:customStyle="1" w:styleId="134">
    <w:name w:val="标题 5 Char"/>
    <w:basedOn w:val="53"/>
    <w:link w:val="6"/>
    <w:qFormat/>
    <w:uiPriority w:val="0"/>
    <w:rPr>
      <w:b/>
      <w:sz w:val="28"/>
    </w:rPr>
  </w:style>
  <w:style w:type="character" w:customStyle="1" w:styleId="135">
    <w:name w:val="标题 6 Char"/>
    <w:basedOn w:val="53"/>
    <w:link w:val="7"/>
    <w:qFormat/>
    <w:uiPriority w:val="0"/>
    <w:rPr>
      <w:rFonts w:ascii="Arial" w:hAnsi="Arial" w:eastAsia="黑体"/>
      <w:b/>
      <w:sz w:val="24"/>
    </w:rPr>
  </w:style>
  <w:style w:type="character" w:customStyle="1" w:styleId="136">
    <w:name w:val="标题 7 Char"/>
    <w:basedOn w:val="53"/>
    <w:link w:val="8"/>
    <w:qFormat/>
    <w:uiPriority w:val="0"/>
    <w:rPr>
      <w:b/>
      <w:sz w:val="24"/>
    </w:rPr>
  </w:style>
  <w:style w:type="character" w:customStyle="1" w:styleId="137">
    <w:name w:val="标题 9 Char"/>
    <w:basedOn w:val="53"/>
    <w:link w:val="10"/>
    <w:qFormat/>
    <w:uiPriority w:val="0"/>
    <w:rPr>
      <w:rFonts w:ascii="Arial" w:hAnsi="Arial" w:eastAsia="黑体"/>
      <w:sz w:val="21"/>
    </w:rPr>
  </w:style>
  <w:style w:type="character" w:customStyle="1" w:styleId="138">
    <w:name w:val="尾注文本 Char"/>
    <w:basedOn w:val="53"/>
    <w:link w:val="34"/>
    <w:qFormat/>
    <w:uiPriority w:val="0"/>
    <w:rPr>
      <w:rFonts w:ascii="Courier New" w:hAnsi="Courier New"/>
      <w:sz w:val="24"/>
      <w:szCs w:val="24"/>
    </w:rPr>
  </w:style>
  <w:style w:type="paragraph" w:customStyle="1" w:styleId="139">
    <w:name w:val="标题4"/>
    <w:basedOn w:val="4"/>
    <w:next w:val="22"/>
    <w:qFormat/>
    <w:uiPriority w:val="0"/>
    <w:pPr>
      <w:keepNext w:val="0"/>
      <w:keepLines w:val="0"/>
      <w:tabs>
        <w:tab w:val="left" w:pos="680"/>
        <w:tab w:val="left" w:pos="907"/>
        <w:tab w:val="left" w:pos="1134"/>
        <w:tab w:val="left" w:pos="1361"/>
        <w:tab w:val="right" w:pos="6804"/>
        <w:tab w:val="left" w:pos="7088"/>
      </w:tabs>
      <w:snapToGrid/>
      <w:spacing w:after="0" w:line="360" w:lineRule="atLeast"/>
      <w:ind w:firstLine="0" w:firstLineChars="0"/>
      <w:jc w:val="left"/>
      <w:textAlignment w:val="baseline"/>
    </w:pPr>
    <w:rPr>
      <w:rFonts w:ascii="Arial" w:hAnsi="Arial"/>
      <w:b w:val="0"/>
      <w:bCs w:val="0"/>
      <w:kern w:val="0"/>
      <w:sz w:val="24"/>
      <w:szCs w:val="20"/>
    </w:rPr>
  </w:style>
  <w:style w:type="paragraph" w:customStyle="1" w:styleId="140">
    <w:name w:val="样式3"/>
    <w:basedOn w:val="6"/>
    <w:qFormat/>
    <w:uiPriority w:val="0"/>
    <w:pPr>
      <w:tabs>
        <w:tab w:val="left" w:pos="1116"/>
      </w:tabs>
      <w:spacing w:before="0" w:after="0" w:line="360" w:lineRule="auto"/>
      <w:ind w:left="1116" w:hanging="1116"/>
      <w:outlineLvl w:val="9"/>
    </w:pPr>
    <w:rPr>
      <w:b w:val="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305A07-7D2C-4FC4-B9B7-90D6863B9F8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24</Pages>
  <Words>2069</Words>
  <Characters>11795</Characters>
  <Lines>98</Lines>
  <Paragraphs>27</Paragraphs>
  <TotalTime>3</TotalTime>
  <ScaleCrop>false</ScaleCrop>
  <LinksUpToDate>false</LinksUpToDate>
  <CharactersWithSpaces>13837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2021-09-02T02:31:00Z</dcterms:created>
  <dc:creator>年越</dc:creator>
  <cp:lastModifiedBy>Administrator</cp:lastModifiedBy>
  <cp:lastPrinted>2021-08-18T08:18:00Z</cp:lastPrinted>
  <dcterms:modified xsi:type="dcterms:W3CDTF">2022-07-19T02:11:44Z</dcterms:modified>
  <dc:title>招标编号：</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