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宋体" w:eastAsia="仿宋_GB2312"/>
          <w:b/>
          <w:color w:val="000000"/>
          <w:sz w:val="36"/>
          <w:szCs w:val="36"/>
        </w:rPr>
      </w:pPr>
      <w:bookmarkStart w:id="0" w:name="_Toc529348884"/>
      <w:bookmarkStart w:id="1" w:name="_Toc11951317"/>
      <w:bookmarkStart w:id="2" w:name="_Toc532010002"/>
    </w:p>
    <w:p>
      <w:pPr>
        <w:jc w:val="center"/>
        <w:rPr>
          <w:rFonts w:ascii="仿宋_GB2312" w:hAnsi="宋体" w:eastAsia="仿宋_GB2312"/>
          <w:b/>
          <w:color w:val="000000"/>
          <w:sz w:val="36"/>
          <w:szCs w:val="36"/>
        </w:rPr>
      </w:pPr>
      <w:r>
        <w:rPr>
          <w:rFonts w:hint="eastAsia" w:ascii="仿宋_GB2312" w:hAnsi="宋体" w:eastAsia="仿宋_GB2312"/>
          <w:b/>
          <w:color w:val="000000"/>
          <w:sz w:val="36"/>
          <w:szCs w:val="36"/>
        </w:rPr>
        <w:t>华能重庆珞璜发电有限责任公司</w:t>
      </w:r>
    </w:p>
    <w:p>
      <w:pPr>
        <w:spacing w:line="360" w:lineRule="auto"/>
        <w:jc w:val="center"/>
        <w:rPr>
          <w:rFonts w:ascii="仿宋_GB2312" w:eastAsia="仿宋_GB2312"/>
          <w:b/>
          <w:sz w:val="36"/>
          <w:u w:val="single"/>
        </w:rPr>
      </w:pPr>
    </w:p>
    <w:p>
      <w:pPr>
        <w:jc w:val="center"/>
        <w:rPr>
          <w:rFonts w:hint="eastAsia" w:ascii="仿宋_GB2312" w:hAnsi="宋体" w:eastAsia="仿宋_GB2312" w:cs="Courier New"/>
          <w:b/>
          <w:bCs/>
          <w:color w:val="000000"/>
          <w:sz w:val="44"/>
          <w:szCs w:val="44"/>
          <w:lang w:val="en-US" w:eastAsia="zh-CN"/>
        </w:rPr>
      </w:pPr>
      <w:r>
        <w:rPr>
          <w:rFonts w:hint="eastAsia" w:ascii="仿宋_GB2312" w:hAnsi="宋体" w:eastAsia="仿宋_GB2312" w:cs="Courier New"/>
          <w:b/>
          <w:bCs/>
          <w:color w:val="000000"/>
          <w:sz w:val="44"/>
          <w:szCs w:val="44"/>
          <w:lang w:val="en-US" w:eastAsia="zh-CN"/>
        </w:rPr>
        <w:t>控制电缆、电力电缆</w:t>
      </w:r>
    </w:p>
    <w:p>
      <w:pPr>
        <w:jc w:val="center"/>
        <w:rPr>
          <w:rFonts w:ascii="仿宋_GB2312" w:hAnsi="宋体" w:eastAsia="仿宋_GB2312" w:cs="Courier New"/>
          <w:b/>
          <w:bCs/>
          <w:color w:val="000000"/>
          <w:sz w:val="44"/>
          <w:szCs w:val="44"/>
        </w:rPr>
      </w:pPr>
      <w:r>
        <w:rPr>
          <w:rFonts w:hint="eastAsia" w:ascii="仿宋_GB2312" w:hAnsi="宋体" w:eastAsia="仿宋_GB2312" w:cs="Courier New"/>
          <w:b/>
          <w:bCs/>
          <w:color w:val="000000"/>
          <w:sz w:val="44"/>
          <w:szCs w:val="44"/>
        </w:rPr>
        <w:t>采购技术规范书</w:t>
      </w:r>
    </w:p>
    <w:p>
      <w:pPr>
        <w:spacing w:line="360" w:lineRule="auto"/>
        <w:jc w:val="center"/>
        <w:rPr>
          <w:rFonts w:ascii="仿宋_GB2312" w:eastAsia="仿宋_GB2312"/>
          <w:b/>
          <w:sz w:val="44"/>
        </w:rPr>
      </w:pPr>
    </w:p>
    <w:p>
      <w:pPr>
        <w:spacing w:line="360" w:lineRule="auto"/>
        <w:jc w:val="center"/>
        <w:rPr>
          <w:rFonts w:ascii="仿宋_GB2312" w:eastAsia="仿宋_GB2312"/>
          <w:b/>
          <w:sz w:val="44"/>
        </w:rPr>
      </w:pPr>
    </w:p>
    <w:p>
      <w:pPr>
        <w:spacing w:line="360" w:lineRule="auto"/>
        <w:jc w:val="center"/>
        <w:rPr>
          <w:rFonts w:ascii="仿宋_GB2312" w:eastAsia="仿宋_GB2312"/>
          <w:b/>
          <w:sz w:val="44"/>
        </w:rPr>
      </w:pPr>
    </w:p>
    <w:p>
      <w:pPr>
        <w:spacing w:line="360" w:lineRule="auto"/>
        <w:jc w:val="center"/>
        <w:rPr>
          <w:rFonts w:ascii="仿宋_GB2312" w:eastAsia="仿宋_GB2312"/>
          <w:b/>
          <w:sz w:val="28"/>
          <w:szCs w:val="28"/>
        </w:rPr>
      </w:pPr>
    </w:p>
    <w:p>
      <w:pPr>
        <w:spacing w:line="360" w:lineRule="auto"/>
        <w:jc w:val="center"/>
        <w:rPr>
          <w:rFonts w:ascii="仿宋_GB2312" w:eastAsia="仿宋_GB2312"/>
          <w:b/>
          <w:sz w:val="28"/>
          <w:szCs w:val="28"/>
        </w:rPr>
      </w:pPr>
    </w:p>
    <w:tbl>
      <w:tblPr>
        <w:tblStyle w:val="7"/>
        <w:tblW w:w="5481" w:type="dxa"/>
        <w:jc w:val="center"/>
        <w:tblInd w:w="0" w:type="dxa"/>
        <w:tblLayout w:type="fixed"/>
        <w:tblCellMar>
          <w:top w:w="0" w:type="dxa"/>
          <w:left w:w="108" w:type="dxa"/>
          <w:bottom w:w="0" w:type="dxa"/>
          <w:right w:w="108" w:type="dxa"/>
        </w:tblCellMar>
      </w:tblPr>
      <w:tblGrid>
        <w:gridCol w:w="1950"/>
        <w:gridCol w:w="3531"/>
      </w:tblGrid>
      <w:tr>
        <w:tblPrEx>
          <w:tblLayout w:type="fixed"/>
          <w:tblCellMar>
            <w:top w:w="0" w:type="dxa"/>
            <w:left w:w="108" w:type="dxa"/>
            <w:bottom w:w="0" w:type="dxa"/>
            <w:right w:w="108" w:type="dxa"/>
          </w:tblCellMar>
        </w:tblPrEx>
        <w:trPr>
          <w:trHeight w:val="773" w:hRule="atLeast"/>
          <w:jc w:val="center"/>
        </w:trPr>
        <w:tc>
          <w:tcPr>
            <w:tcW w:w="1950" w:type="dxa"/>
            <w:vAlign w:val="bottom"/>
          </w:tcPr>
          <w:p>
            <w:pPr>
              <w:ind w:right="-119"/>
              <w:rPr>
                <w:rFonts w:ascii="仿宋_GB2312" w:hAnsi="宋体" w:eastAsia="仿宋_GB2312"/>
                <w:b/>
                <w:sz w:val="28"/>
                <w:szCs w:val="28"/>
              </w:rPr>
            </w:pPr>
            <w:r>
              <w:rPr>
                <w:rFonts w:hint="eastAsia" w:ascii="仿宋_GB2312" w:hAnsi="宋体" w:eastAsia="仿宋_GB2312"/>
                <w:b/>
                <w:sz w:val="28"/>
                <w:szCs w:val="28"/>
              </w:rPr>
              <w:t>批   准：</w:t>
            </w:r>
          </w:p>
        </w:tc>
        <w:tc>
          <w:tcPr>
            <w:tcW w:w="3531" w:type="dxa"/>
            <w:tcBorders>
              <w:bottom w:val="single" w:color="auto" w:sz="4" w:space="0"/>
            </w:tcBorders>
            <w:vAlign w:val="bottom"/>
          </w:tcPr>
          <w:p>
            <w:pPr>
              <w:spacing w:line="280" w:lineRule="atLeast"/>
              <w:jc w:val="center"/>
              <w:rPr>
                <w:rFonts w:ascii="仿宋_GB2312" w:hAnsi="宋体" w:eastAsia="仿宋_GB2312"/>
                <w:kern w:val="10"/>
                <w:position w:val="-50"/>
                <w:sz w:val="28"/>
                <w:szCs w:val="28"/>
              </w:rPr>
            </w:pPr>
          </w:p>
        </w:tc>
      </w:tr>
      <w:tr>
        <w:tblPrEx>
          <w:tblLayout w:type="fixed"/>
          <w:tblCellMar>
            <w:top w:w="0" w:type="dxa"/>
            <w:left w:w="108" w:type="dxa"/>
            <w:bottom w:w="0" w:type="dxa"/>
            <w:right w:w="108" w:type="dxa"/>
          </w:tblCellMar>
        </w:tblPrEx>
        <w:trPr>
          <w:trHeight w:val="773" w:hRule="atLeast"/>
          <w:jc w:val="center"/>
        </w:trPr>
        <w:tc>
          <w:tcPr>
            <w:tcW w:w="1950" w:type="dxa"/>
            <w:vAlign w:val="bottom"/>
          </w:tcPr>
          <w:p>
            <w:pPr>
              <w:ind w:right="-119"/>
              <w:rPr>
                <w:rFonts w:ascii="仿宋_GB2312" w:hAnsi="宋体" w:eastAsia="仿宋_GB2312"/>
                <w:b/>
                <w:sz w:val="28"/>
                <w:szCs w:val="28"/>
              </w:rPr>
            </w:pPr>
            <w:r>
              <w:rPr>
                <w:rFonts w:hint="eastAsia" w:ascii="仿宋_GB2312" w:hAnsi="宋体" w:eastAsia="仿宋_GB2312"/>
                <w:b/>
                <w:sz w:val="28"/>
                <w:szCs w:val="28"/>
              </w:rPr>
              <w:t>复   审：</w:t>
            </w:r>
          </w:p>
        </w:tc>
        <w:tc>
          <w:tcPr>
            <w:tcW w:w="3531" w:type="dxa"/>
            <w:tcBorders>
              <w:bottom w:val="single" w:color="auto" w:sz="4" w:space="0"/>
            </w:tcBorders>
            <w:vAlign w:val="bottom"/>
          </w:tcPr>
          <w:p>
            <w:pPr>
              <w:spacing w:line="280" w:lineRule="atLeast"/>
              <w:jc w:val="center"/>
              <w:rPr>
                <w:rFonts w:ascii="仿宋_GB2312" w:hAnsi="宋体" w:eastAsia="仿宋_GB2312"/>
                <w:kern w:val="10"/>
                <w:position w:val="-50"/>
                <w:sz w:val="28"/>
                <w:szCs w:val="28"/>
              </w:rPr>
            </w:pPr>
          </w:p>
        </w:tc>
      </w:tr>
      <w:tr>
        <w:tblPrEx>
          <w:tblLayout w:type="fixed"/>
          <w:tblCellMar>
            <w:top w:w="0" w:type="dxa"/>
            <w:left w:w="108" w:type="dxa"/>
            <w:bottom w:w="0" w:type="dxa"/>
            <w:right w:w="108" w:type="dxa"/>
          </w:tblCellMar>
        </w:tblPrEx>
        <w:trPr>
          <w:trHeight w:val="773" w:hRule="atLeast"/>
          <w:jc w:val="center"/>
        </w:trPr>
        <w:tc>
          <w:tcPr>
            <w:tcW w:w="1950" w:type="dxa"/>
            <w:vAlign w:val="bottom"/>
          </w:tcPr>
          <w:p>
            <w:pPr>
              <w:ind w:right="-119"/>
              <w:rPr>
                <w:rFonts w:ascii="仿宋_GB2312" w:hAnsi="宋体" w:eastAsia="仿宋_GB2312"/>
                <w:b/>
                <w:sz w:val="28"/>
                <w:szCs w:val="28"/>
              </w:rPr>
            </w:pPr>
            <w:r>
              <w:rPr>
                <w:rFonts w:hint="eastAsia" w:ascii="仿宋_GB2312" w:hAnsi="宋体" w:eastAsia="仿宋_GB2312"/>
                <w:b/>
                <w:sz w:val="28"/>
                <w:szCs w:val="28"/>
              </w:rPr>
              <w:t>初   审：</w:t>
            </w:r>
          </w:p>
        </w:tc>
        <w:tc>
          <w:tcPr>
            <w:tcW w:w="3531" w:type="dxa"/>
            <w:tcBorders>
              <w:bottom w:val="single" w:color="auto" w:sz="4" w:space="0"/>
            </w:tcBorders>
            <w:vAlign w:val="bottom"/>
          </w:tcPr>
          <w:p>
            <w:pPr>
              <w:spacing w:line="280" w:lineRule="atLeast"/>
              <w:jc w:val="center"/>
              <w:rPr>
                <w:rFonts w:ascii="仿宋_GB2312" w:hAnsi="宋体" w:eastAsia="仿宋_GB2312"/>
                <w:kern w:val="10"/>
                <w:position w:val="-50"/>
                <w:sz w:val="28"/>
                <w:szCs w:val="28"/>
              </w:rPr>
            </w:pPr>
          </w:p>
        </w:tc>
      </w:tr>
      <w:tr>
        <w:tblPrEx>
          <w:tblLayout w:type="fixed"/>
          <w:tblCellMar>
            <w:top w:w="0" w:type="dxa"/>
            <w:left w:w="108" w:type="dxa"/>
            <w:bottom w:w="0" w:type="dxa"/>
            <w:right w:w="108" w:type="dxa"/>
          </w:tblCellMar>
        </w:tblPrEx>
        <w:trPr>
          <w:trHeight w:val="773" w:hRule="atLeast"/>
          <w:jc w:val="center"/>
        </w:trPr>
        <w:tc>
          <w:tcPr>
            <w:tcW w:w="1950" w:type="dxa"/>
            <w:vAlign w:val="bottom"/>
          </w:tcPr>
          <w:p>
            <w:pPr>
              <w:ind w:right="-119"/>
              <w:rPr>
                <w:rFonts w:ascii="仿宋_GB2312" w:hAnsi="宋体" w:eastAsia="仿宋_GB2312"/>
                <w:b/>
                <w:sz w:val="28"/>
                <w:szCs w:val="28"/>
              </w:rPr>
            </w:pPr>
            <w:r>
              <w:rPr>
                <w:rFonts w:hint="eastAsia" w:ascii="仿宋_GB2312" w:hAnsi="宋体" w:eastAsia="仿宋_GB2312"/>
                <w:b/>
                <w:sz w:val="28"/>
                <w:szCs w:val="28"/>
              </w:rPr>
              <w:t>编   写：</w:t>
            </w:r>
          </w:p>
        </w:tc>
        <w:tc>
          <w:tcPr>
            <w:tcW w:w="3531" w:type="dxa"/>
            <w:tcBorders>
              <w:bottom w:val="single" w:color="auto" w:sz="4" w:space="0"/>
            </w:tcBorders>
            <w:vAlign w:val="bottom"/>
          </w:tcPr>
          <w:p>
            <w:pPr>
              <w:spacing w:line="280" w:lineRule="atLeast"/>
              <w:jc w:val="center"/>
              <w:rPr>
                <w:rFonts w:ascii="仿宋_GB2312" w:hAnsi="宋体" w:eastAsia="仿宋_GB2312"/>
                <w:kern w:val="10"/>
                <w:position w:val="-50"/>
                <w:sz w:val="28"/>
                <w:szCs w:val="28"/>
              </w:rPr>
            </w:pPr>
          </w:p>
        </w:tc>
      </w:tr>
    </w:tbl>
    <w:p>
      <w:pPr>
        <w:spacing w:line="360" w:lineRule="auto"/>
        <w:jc w:val="center"/>
        <w:rPr>
          <w:rFonts w:ascii="仿宋_GB2312" w:eastAsia="仿宋_GB2312"/>
          <w:bCs/>
          <w:sz w:val="28"/>
          <w:szCs w:val="28"/>
        </w:rPr>
      </w:pPr>
    </w:p>
    <w:p>
      <w:pPr>
        <w:spacing w:line="360" w:lineRule="auto"/>
        <w:jc w:val="center"/>
        <w:rPr>
          <w:rFonts w:ascii="仿宋_GB2312" w:eastAsia="仿宋_GB2312"/>
          <w:bCs/>
          <w:sz w:val="28"/>
          <w:szCs w:val="28"/>
        </w:rPr>
      </w:pPr>
    </w:p>
    <w:p>
      <w:pPr>
        <w:spacing w:line="360" w:lineRule="auto"/>
        <w:jc w:val="center"/>
        <w:rPr>
          <w:rFonts w:ascii="仿宋_GB2312" w:eastAsia="仿宋_GB2312"/>
          <w:bCs/>
          <w:sz w:val="28"/>
          <w:szCs w:val="28"/>
        </w:rPr>
      </w:pPr>
    </w:p>
    <w:p>
      <w:pPr>
        <w:spacing w:line="360" w:lineRule="auto"/>
        <w:jc w:val="center"/>
        <w:rPr>
          <w:rFonts w:ascii="仿宋_GB2312" w:eastAsia="仿宋_GB2312"/>
          <w:bCs/>
          <w:sz w:val="28"/>
          <w:szCs w:val="28"/>
        </w:rPr>
      </w:pPr>
    </w:p>
    <w:p>
      <w:pPr>
        <w:pStyle w:val="2"/>
        <w:jc w:val="center"/>
        <w:rPr>
          <w:rFonts w:hint="eastAsia" w:eastAsia="仿宋_GB2312" w:cs="Times New Roman"/>
          <w:sz w:val="28"/>
          <w:szCs w:val="28"/>
        </w:rPr>
        <w:sectPr>
          <w:headerReference r:id="rId4" w:type="first"/>
          <w:headerReference r:id="rId3" w:type="default"/>
          <w:pgSz w:w="11906" w:h="16838"/>
          <w:pgMar w:top="1440" w:right="1800" w:bottom="1440" w:left="1800" w:header="851" w:footer="992" w:gutter="0"/>
          <w:cols w:space="720" w:num="1"/>
          <w:docGrid w:type="lines" w:linePitch="312" w:charSpace="0"/>
        </w:sectPr>
      </w:pPr>
      <w:r>
        <w:rPr>
          <w:rFonts w:hint="eastAsia" w:eastAsia="仿宋_GB2312" w:cs="Times New Roman"/>
          <w:sz w:val="28"/>
          <w:szCs w:val="28"/>
        </w:rPr>
        <w:t>202</w:t>
      </w:r>
      <w:r>
        <w:rPr>
          <w:rFonts w:hint="eastAsia" w:eastAsia="仿宋_GB2312" w:cs="Times New Roman"/>
          <w:sz w:val="28"/>
          <w:szCs w:val="28"/>
          <w:lang w:val="en-US" w:eastAsia="zh-CN"/>
        </w:rPr>
        <w:t>2</w:t>
      </w:r>
      <w:r>
        <w:rPr>
          <w:rFonts w:hint="eastAsia" w:eastAsia="仿宋_GB2312" w:cs="Times New Roman"/>
          <w:sz w:val="28"/>
          <w:szCs w:val="28"/>
        </w:rPr>
        <w:t>年</w:t>
      </w:r>
      <w:r>
        <w:rPr>
          <w:rFonts w:hint="eastAsia" w:eastAsia="仿宋_GB2312" w:cs="Times New Roman"/>
          <w:sz w:val="28"/>
          <w:szCs w:val="28"/>
          <w:lang w:val="en-US" w:eastAsia="zh-CN"/>
        </w:rPr>
        <w:t>10</w:t>
      </w:r>
      <w:r>
        <w:rPr>
          <w:rFonts w:hint="eastAsia" w:eastAsia="仿宋_GB2312" w:cs="Times New Roman"/>
          <w:sz w:val="28"/>
          <w:szCs w:val="28"/>
        </w:rPr>
        <w:t>月</w:t>
      </w:r>
    </w:p>
    <w:p>
      <w:pPr>
        <w:numPr>
          <w:ilvl w:val="1"/>
          <w:numId w:val="1"/>
        </w:numPr>
        <w:adjustRightInd w:val="0"/>
        <w:snapToGrid w:val="0"/>
        <w:spacing w:line="360" w:lineRule="auto"/>
        <w:ind w:left="0" w:firstLine="0"/>
        <w:rPr>
          <w:rFonts w:eastAsia="仿宋_GB2312"/>
          <w:b/>
          <w:sz w:val="28"/>
          <w:szCs w:val="28"/>
        </w:rPr>
      </w:pPr>
      <w:r>
        <w:rPr>
          <w:rFonts w:eastAsia="仿宋_GB2312"/>
          <w:b/>
          <w:sz w:val="28"/>
          <w:szCs w:val="28"/>
        </w:rPr>
        <w:t>总 则</w:t>
      </w:r>
    </w:p>
    <w:p>
      <w:pPr>
        <w:numPr>
          <w:ilvl w:val="1"/>
          <w:numId w:val="2"/>
        </w:numPr>
        <w:adjustRightInd w:val="0"/>
        <w:snapToGrid w:val="0"/>
        <w:spacing w:line="360" w:lineRule="auto"/>
        <w:ind w:left="0" w:firstLine="0"/>
        <w:rPr>
          <w:rFonts w:eastAsia="仿宋_GB2312"/>
          <w:sz w:val="28"/>
          <w:szCs w:val="28"/>
        </w:rPr>
      </w:pPr>
      <w:r>
        <w:rPr>
          <w:rFonts w:eastAsia="仿宋_GB2312"/>
          <w:sz w:val="28"/>
          <w:szCs w:val="28"/>
        </w:rPr>
        <w:t>本技术规范书适用于华能重庆珞璜发电有限责任公司（以下简称采购人）</w:t>
      </w:r>
      <w:r>
        <w:rPr>
          <w:rFonts w:hint="eastAsia" w:eastAsia="仿宋_GB2312"/>
          <w:sz w:val="28"/>
          <w:szCs w:val="28"/>
        </w:rPr>
        <w:t>控制电缆、电力电缆</w:t>
      </w:r>
      <w:r>
        <w:rPr>
          <w:rFonts w:eastAsia="仿宋_GB2312"/>
          <w:sz w:val="28"/>
          <w:szCs w:val="28"/>
        </w:rPr>
        <w:t>，包括</w:t>
      </w:r>
      <w:r>
        <w:rPr>
          <w:rFonts w:hint="eastAsia" w:eastAsia="仿宋_GB2312"/>
          <w:sz w:val="28"/>
          <w:szCs w:val="28"/>
        </w:rPr>
        <w:t>采购</w:t>
      </w:r>
      <w:r>
        <w:rPr>
          <w:rFonts w:eastAsia="仿宋_GB2312"/>
          <w:sz w:val="28"/>
          <w:szCs w:val="28"/>
        </w:rPr>
        <w:t xml:space="preserve">范围、技术要求、检验标准等方面的相关要求。 </w:t>
      </w:r>
    </w:p>
    <w:p>
      <w:pPr>
        <w:numPr>
          <w:ilvl w:val="1"/>
          <w:numId w:val="2"/>
        </w:numPr>
        <w:adjustRightInd w:val="0"/>
        <w:snapToGrid w:val="0"/>
        <w:spacing w:line="360" w:lineRule="auto"/>
        <w:ind w:left="0" w:firstLine="0"/>
        <w:rPr>
          <w:rFonts w:eastAsia="仿宋_GB2312"/>
          <w:sz w:val="28"/>
          <w:szCs w:val="28"/>
        </w:rPr>
      </w:pPr>
      <w:r>
        <w:rPr>
          <w:rFonts w:eastAsia="仿宋_GB2312"/>
          <w:sz w:val="28"/>
          <w:szCs w:val="28"/>
        </w:rPr>
        <w:t xml:space="preserve"> 本技术规范书提出的是最低限度的技术要求，并未对一切的技术细节作出规定，也未充分引述有关标准和规范的条文，供应商保证提供符合本协议和国家有关最新标准的优质产品。</w:t>
      </w:r>
    </w:p>
    <w:p>
      <w:pPr>
        <w:numPr>
          <w:ilvl w:val="1"/>
          <w:numId w:val="2"/>
        </w:numPr>
        <w:adjustRightInd w:val="0"/>
        <w:snapToGrid w:val="0"/>
        <w:spacing w:line="360" w:lineRule="auto"/>
        <w:ind w:left="0" w:firstLine="0"/>
        <w:rPr>
          <w:rFonts w:eastAsia="仿宋_GB2312"/>
          <w:sz w:val="28"/>
          <w:szCs w:val="28"/>
        </w:rPr>
      </w:pPr>
      <w:r>
        <w:rPr>
          <w:rFonts w:eastAsia="仿宋_GB2312"/>
          <w:sz w:val="28"/>
          <w:szCs w:val="28"/>
        </w:rPr>
        <w:t xml:space="preserve"> 在签订合同之后，到供应商开始</w:t>
      </w:r>
      <w:r>
        <w:rPr>
          <w:rFonts w:hint="eastAsia" w:eastAsia="仿宋_GB2312"/>
          <w:sz w:val="28"/>
          <w:szCs w:val="28"/>
        </w:rPr>
        <w:t>供货</w:t>
      </w:r>
      <w:r>
        <w:rPr>
          <w:rFonts w:eastAsia="仿宋_GB2312"/>
          <w:sz w:val="28"/>
          <w:szCs w:val="28"/>
        </w:rPr>
        <w:t>之日的这段时间内，采购人有权提出因规范、标准和规程发生变化而产生的一些补充修改要求，供应商遵守这个要求，具体款项内容由供需双方共同商定。</w:t>
      </w:r>
      <w:r>
        <w:rPr>
          <w:rFonts w:hint="eastAsia" w:eastAsia="仿宋_GB2312"/>
          <w:sz w:val="28"/>
          <w:szCs w:val="28"/>
        </w:rPr>
        <w:t>设备制造及验收标准不得低于对应的行业标准或规范。</w:t>
      </w:r>
    </w:p>
    <w:p>
      <w:pPr>
        <w:numPr>
          <w:ilvl w:val="1"/>
          <w:numId w:val="2"/>
        </w:numPr>
        <w:adjustRightInd w:val="0"/>
        <w:snapToGrid w:val="0"/>
        <w:spacing w:line="360" w:lineRule="auto"/>
        <w:ind w:left="0" w:firstLine="0"/>
        <w:rPr>
          <w:rFonts w:eastAsia="仿宋_GB2312"/>
          <w:sz w:val="28"/>
          <w:szCs w:val="28"/>
        </w:rPr>
      </w:pPr>
      <w:r>
        <w:rPr>
          <w:rFonts w:eastAsia="仿宋_GB2312"/>
          <w:sz w:val="28"/>
          <w:szCs w:val="28"/>
        </w:rPr>
        <w:t xml:space="preserve"> 本技术规范书经双方确认后作为合同的技术附件，与合同正文具有同等法律效力。</w:t>
      </w:r>
    </w:p>
    <w:p>
      <w:pPr>
        <w:numPr>
          <w:ilvl w:val="1"/>
          <w:numId w:val="2"/>
        </w:numPr>
        <w:adjustRightInd w:val="0"/>
        <w:snapToGrid w:val="0"/>
        <w:spacing w:line="360" w:lineRule="auto"/>
        <w:ind w:left="0" w:firstLine="0"/>
        <w:rPr>
          <w:rFonts w:eastAsia="仿宋_GB2312"/>
          <w:sz w:val="28"/>
          <w:szCs w:val="28"/>
        </w:rPr>
      </w:pPr>
      <w:r>
        <w:rPr>
          <w:rFonts w:eastAsia="仿宋_GB2312"/>
          <w:sz w:val="28"/>
          <w:szCs w:val="28"/>
        </w:rPr>
        <w:t xml:space="preserve"> 本技术规范书未涉及到的条款，未尽事宜双方共同协商确定。</w:t>
      </w:r>
    </w:p>
    <w:p>
      <w:pPr>
        <w:adjustRightInd w:val="0"/>
        <w:snapToGrid w:val="0"/>
        <w:spacing w:line="360" w:lineRule="auto"/>
        <w:rPr>
          <w:rFonts w:eastAsia="仿宋_GB2312"/>
          <w:sz w:val="28"/>
          <w:szCs w:val="28"/>
        </w:rPr>
        <w:sectPr>
          <w:footerReference r:id="rId5" w:type="default"/>
          <w:pgSz w:w="11906" w:h="16838"/>
          <w:pgMar w:top="1440" w:right="1800" w:bottom="1440" w:left="1800" w:header="851" w:footer="992" w:gutter="0"/>
          <w:cols w:space="720" w:num="1"/>
          <w:docGrid w:type="lines" w:linePitch="312" w:charSpace="0"/>
        </w:sectPr>
      </w:pPr>
    </w:p>
    <w:p>
      <w:pPr>
        <w:numPr>
          <w:ilvl w:val="1"/>
          <w:numId w:val="1"/>
        </w:numPr>
        <w:adjustRightInd w:val="0"/>
        <w:snapToGrid w:val="0"/>
        <w:spacing w:line="360" w:lineRule="auto"/>
        <w:ind w:left="0" w:firstLine="0"/>
        <w:rPr>
          <w:rFonts w:eastAsia="仿宋_GB2312"/>
          <w:b/>
          <w:sz w:val="28"/>
          <w:szCs w:val="28"/>
        </w:rPr>
      </w:pPr>
      <w:r>
        <w:rPr>
          <w:rFonts w:hint="eastAsia" w:eastAsia="仿宋_GB2312"/>
          <w:b/>
          <w:sz w:val="28"/>
          <w:szCs w:val="28"/>
        </w:rPr>
        <w:t>采购</w:t>
      </w:r>
      <w:r>
        <w:rPr>
          <w:rFonts w:eastAsia="仿宋_GB2312"/>
          <w:b/>
          <w:sz w:val="28"/>
          <w:szCs w:val="28"/>
        </w:rPr>
        <w:t>范围</w:t>
      </w:r>
      <w:r>
        <w:rPr>
          <w:rFonts w:hint="eastAsia" w:eastAsia="仿宋_GB2312"/>
          <w:b/>
          <w:sz w:val="28"/>
          <w:szCs w:val="28"/>
        </w:rPr>
        <w:t>及技术要求</w:t>
      </w:r>
    </w:p>
    <w:tbl>
      <w:tblPr>
        <w:tblStyle w:val="7"/>
        <w:tblW w:w="1412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1"/>
        <w:gridCol w:w="1517"/>
        <w:gridCol w:w="1605"/>
        <w:gridCol w:w="975"/>
        <w:gridCol w:w="1875"/>
        <w:gridCol w:w="780"/>
        <w:gridCol w:w="5625"/>
        <w:gridCol w:w="8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jc w:val="center"/>
        </w:trPr>
        <w:tc>
          <w:tcPr>
            <w:tcW w:w="851" w:type="dxa"/>
            <w:vAlign w:val="center"/>
          </w:tcPr>
          <w:p>
            <w:pPr>
              <w:adjustRightInd w:val="0"/>
              <w:snapToGrid w:val="0"/>
              <w:jc w:val="center"/>
              <w:rPr>
                <w:rFonts w:eastAsia="仿宋_GB2312"/>
                <w:sz w:val="28"/>
                <w:szCs w:val="28"/>
              </w:rPr>
            </w:pPr>
            <w:r>
              <w:rPr>
                <w:rFonts w:eastAsia="仿宋_GB2312"/>
                <w:sz w:val="28"/>
                <w:szCs w:val="28"/>
              </w:rPr>
              <w:t>序号</w:t>
            </w:r>
          </w:p>
        </w:tc>
        <w:tc>
          <w:tcPr>
            <w:tcW w:w="1517" w:type="dxa"/>
            <w:vAlign w:val="center"/>
          </w:tcPr>
          <w:p>
            <w:pPr>
              <w:adjustRightInd w:val="0"/>
              <w:snapToGrid w:val="0"/>
              <w:jc w:val="center"/>
              <w:rPr>
                <w:rFonts w:hint="eastAsia" w:eastAsia="仿宋_GB2312"/>
                <w:sz w:val="28"/>
                <w:szCs w:val="28"/>
                <w:lang w:val="en-US" w:eastAsia="zh-CN"/>
              </w:rPr>
            </w:pPr>
            <w:r>
              <w:rPr>
                <w:rFonts w:hint="eastAsia" w:eastAsia="仿宋_GB2312"/>
                <w:sz w:val="28"/>
                <w:szCs w:val="28"/>
                <w:lang w:val="en-US" w:eastAsia="zh-CN"/>
              </w:rPr>
              <w:t>物料编码</w:t>
            </w:r>
          </w:p>
        </w:tc>
        <w:tc>
          <w:tcPr>
            <w:tcW w:w="1605" w:type="dxa"/>
            <w:vAlign w:val="center"/>
          </w:tcPr>
          <w:p>
            <w:pPr>
              <w:adjustRightInd w:val="0"/>
              <w:snapToGrid w:val="0"/>
              <w:jc w:val="center"/>
              <w:rPr>
                <w:rFonts w:eastAsia="仿宋_GB2312"/>
                <w:sz w:val="28"/>
                <w:szCs w:val="28"/>
              </w:rPr>
            </w:pPr>
            <w:r>
              <w:rPr>
                <w:rFonts w:eastAsia="仿宋_GB2312"/>
                <w:sz w:val="28"/>
                <w:szCs w:val="28"/>
              </w:rPr>
              <w:t>名称</w:t>
            </w:r>
          </w:p>
        </w:tc>
        <w:tc>
          <w:tcPr>
            <w:tcW w:w="975" w:type="dxa"/>
            <w:vAlign w:val="center"/>
          </w:tcPr>
          <w:p>
            <w:pPr>
              <w:adjustRightInd w:val="0"/>
              <w:snapToGrid w:val="0"/>
              <w:jc w:val="center"/>
              <w:rPr>
                <w:rFonts w:eastAsia="仿宋_GB2312"/>
                <w:sz w:val="28"/>
                <w:szCs w:val="28"/>
              </w:rPr>
            </w:pPr>
            <w:r>
              <w:rPr>
                <w:rFonts w:eastAsia="仿宋_GB2312"/>
                <w:sz w:val="28"/>
                <w:szCs w:val="28"/>
              </w:rPr>
              <w:t>数量</w:t>
            </w:r>
          </w:p>
        </w:tc>
        <w:tc>
          <w:tcPr>
            <w:tcW w:w="1875" w:type="dxa"/>
            <w:vAlign w:val="center"/>
          </w:tcPr>
          <w:p>
            <w:pPr>
              <w:adjustRightInd w:val="0"/>
              <w:snapToGrid w:val="0"/>
              <w:jc w:val="center"/>
              <w:rPr>
                <w:rFonts w:hint="eastAsia" w:eastAsia="仿宋_GB2312"/>
                <w:sz w:val="28"/>
                <w:szCs w:val="28"/>
              </w:rPr>
            </w:pPr>
            <w:r>
              <w:rPr>
                <w:rFonts w:eastAsia="仿宋_GB2312"/>
                <w:sz w:val="28"/>
                <w:szCs w:val="28"/>
              </w:rPr>
              <w:t>规格</w:t>
            </w:r>
            <w:r>
              <w:rPr>
                <w:rFonts w:hint="eastAsia" w:eastAsia="仿宋_GB2312"/>
                <w:sz w:val="28"/>
                <w:szCs w:val="28"/>
              </w:rPr>
              <w:t>型号</w:t>
            </w:r>
          </w:p>
        </w:tc>
        <w:tc>
          <w:tcPr>
            <w:tcW w:w="780" w:type="dxa"/>
            <w:vAlign w:val="center"/>
          </w:tcPr>
          <w:p>
            <w:pPr>
              <w:adjustRightInd w:val="0"/>
              <w:snapToGrid w:val="0"/>
              <w:jc w:val="center"/>
              <w:rPr>
                <w:rFonts w:hint="eastAsia" w:eastAsia="仿宋_GB2312"/>
                <w:sz w:val="28"/>
                <w:szCs w:val="28"/>
              </w:rPr>
            </w:pPr>
            <w:r>
              <w:rPr>
                <w:rFonts w:hint="eastAsia" w:eastAsia="仿宋_GB2312"/>
                <w:sz w:val="28"/>
                <w:szCs w:val="28"/>
              </w:rPr>
              <w:t>照片</w:t>
            </w:r>
          </w:p>
        </w:tc>
        <w:tc>
          <w:tcPr>
            <w:tcW w:w="5625" w:type="dxa"/>
            <w:vAlign w:val="center"/>
          </w:tcPr>
          <w:p>
            <w:pPr>
              <w:adjustRightInd w:val="0"/>
              <w:snapToGrid w:val="0"/>
              <w:jc w:val="center"/>
              <w:rPr>
                <w:rFonts w:hint="eastAsia" w:eastAsia="仿宋_GB2312"/>
                <w:sz w:val="28"/>
                <w:szCs w:val="28"/>
              </w:rPr>
            </w:pPr>
            <w:r>
              <w:rPr>
                <w:rFonts w:hint="eastAsia" w:eastAsia="仿宋_GB2312"/>
                <w:sz w:val="28"/>
                <w:szCs w:val="28"/>
              </w:rPr>
              <w:t>技术要求</w:t>
            </w:r>
          </w:p>
        </w:tc>
        <w:tc>
          <w:tcPr>
            <w:tcW w:w="897" w:type="dxa"/>
            <w:vAlign w:val="center"/>
          </w:tcPr>
          <w:p>
            <w:pPr>
              <w:adjustRightInd w:val="0"/>
              <w:snapToGrid w:val="0"/>
              <w:jc w:val="center"/>
              <w:rPr>
                <w:rFonts w:hint="eastAsia" w:eastAsia="仿宋_GB2312"/>
                <w:sz w:val="28"/>
                <w:szCs w:val="28"/>
              </w:rPr>
            </w:pPr>
            <w:r>
              <w:rPr>
                <w:rFonts w:hint="eastAsia" w:eastAsia="仿宋_GB2312"/>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86" w:hRule="atLeast"/>
          <w:jc w:val="center"/>
        </w:trPr>
        <w:tc>
          <w:tcPr>
            <w:tcW w:w="851" w:type="dxa"/>
            <w:vAlign w:val="center"/>
          </w:tcPr>
          <w:p>
            <w:pPr>
              <w:numPr>
                <w:ilvl w:val="0"/>
                <w:numId w:val="3"/>
              </w:numPr>
              <w:adjustRightInd w:val="0"/>
              <w:snapToGrid w:val="0"/>
              <w:jc w:val="center"/>
              <w:rPr>
                <w:rFonts w:eastAsia="仿宋_GB2312"/>
                <w:sz w:val="28"/>
                <w:szCs w:val="28"/>
              </w:rPr>
            </w:pPr>
          </w:p>
        </w:tc>
        <w:tc>
          <w:tcPr>
            <w:tcW w:w="1517" w:type="dxa"/>
            <w:vAlign w:val="center"/>
          </w:tcPr>
          <w:p>
            <w:pPr>
              <w:keepNext w:val="0"/>
              <w:keepLines w:val="0"/>
              <w:widowControl/>
              <w:suppressLineNumbers w:val="0"/>
              <w:jc w:val="left"/>
              <w:textAlignment w:val="center"/>
              <w:rPr>
                <w:rFonts w:hint="eastAsia" w:asciiTheme="minorEastAsia" w:hAnsiTheme="minorEastAsia" w:cstheme="minorEastAsia"/>
                <w:b w:val="0"/>
                <w:bCs w:val="0"/>
                <w:sz w:val="30"/>
                <w:szCs w:val="30"/>
              </w:rPr>
            </w:pPr>
            <w:r>
              <w:rPr>
                <w:rFonts w:hint="eastAsia" w:ascii="宋体" w:hAnsi="宋体" w:eastAsia="宋体" w:cs="宋体"/>
                <w:i w:val="0"/>
                <w:color w:val="000000"/>
                <w:kern w:val="0"/>
                <w:sz w:val="22"/>
                <w:szCs w:val="22"/>
                <w:u w:val="none"/>
                <w:lang w:val="en-US" w:eastAsia="zh-CN" w:bidi="ar"/>
              </w:rPr>
              <w:t>102482238</w:t>
            </w:r>
          </w:p>
        </w:tc>
        <w:tc>
          <w:tcPr>
            <w:tcW w:w="1605" w:type="dxa"/>
            <w:vAlign w:val="center"/>
          </w:tcPr>
          <w:p>
            <w:pPr>
              <w:adjustRightInd w:val="0"/>
              <w:snapToGrid w:val="0"/>
              <w:rPr>
                <w:rFonts w:hint="eastAsia" w:eastAsia="仿宋_GB2312"/>
                <w:sz w:val="28"/>
                <w:szCs w:val="28"/>
                <w:lang w:val="en-US" w:eastAsia="zh-CN"/>
              </w:rPr>
            </w:pPr>
            <w:r>
              <w:rPr>
                <w:rFonts w:hint="eastAsia" w:asciiTheme="minorEastAsia" w:hAnsiTheme="minorEastAsia" w:cstheme="minorEastAsia"/>
                <w:b w:val="0"/>
                <w:bCs w:val="0"/>
                <w:sz w:val="30"/>
                <w:szCs w:val="30"/>
              </w:rPr>
              <w:t>电力电缆</w:t>
            </w:r>
          </w:p>
        </w:tc>
        <w:tc>
          <w:tcPr>
            <w:tcW w:w="975" w:type="dxa"/>
            <w:vAlign w:val="center"/>
          </w:tcPr>
          <w:p>
            <w:pPr>
              <w:adjustRightInd w:val="0"/>
              <w:snapToGrid w:val="0"/>
              <w:rPr>
                <w:rFonts w:hint="eastAsia" w:eastAsia="仿宋_GB2312"/>
                <w:sz w:val="28"/>
                <w:szCs w:val="28"/>
                <w:lang w:val="en-US" w:eastAsia="zh-CN"/>
              </w:rPr>
            </w:pPr>
            <w:r>
              <w:rPr>
                <w:rFonts w:hint="eastAsia" w:eastAsia="仿宋_GB2312"/>
                <w:sz w:val="28"/>
                <w:szCs w:val="28"/>
                <w:lang w:val="en-US" w:eastAsia="zh-CN"/>
              </w:rPr>
              <w:t>135米</w:t>
            </w:r>
          </w:p>
        </w:tc>
        <w:tc>
          <w:tcPr>
            <w:tcW w:w="1875" w:type="dxa"/>
            <w:vAlign w:val="center"/>
          </w:tcPr>
          <w:p>
            <w:pPr>
              <w:adjustRightInd w:val="0"/>
              <w:snapToGrid w:val="0"/>
              <w:rPr>
                <w:rFonts w:hint="eastAsia" w:eastAsia="仿宋_GB2312"/>
                <w:sz w:val="28"/>
                <w:szCs w:val="28"/>
              </w:rPr>
            </w:pPr>
            <w:r>
              <w:rPr>
                <w:rFonts w:hint="eastAsia" w:asciiTheme="minorEastAsia" w:hAnsiTheme="minorEastAsia" w:cstheme="minorEastAsia"/>
                <w:b w:val="0"/>
                <w:bCs w:val="0"/>
                <w:sz w:val="30"/>
                <w:szCs w:val="30"/>
              </w:rPr>
              <w:t>DERUL32000\4*50MM2\0.6／1KV</w:t>
            </w:r>
          </w:p>
        </w:tc>
        <w:tc>
          <w:tcPr>
            <w:tcW w:w="780" w:type="dxa"/>
            <w:vAlign w:val="center"/>
          </w:tcPr>
          <w:p>
            <w:pPr>
              <w:adjustRightInd w:val="0"/>
              <w:snapToGrid w:val="0"/>
            </w:pPr>
            <w:r>
              <w:rPr>
                <w:rFonts w:hint="eastAsia" w:eastAsia="仿宋_GB2312"/>
                <w:sz w:val="28"/>
                <w:szCs w:val="28"/>
                <w:lang w:val="en-US" w:eastAsia="zh-CN"/>
              </w:rPr>
              <w:t>无</w:t>
            </w:r>
          </w:p>
        </w:tc>
        <w:tc>
          <w:tcPr>
            <w:tcW w:w="5625" w:type="dxa"/>
            <w:vAlign w:val="center"/>
          </w:tcPr>
          <w:p>
            <w:pPr>
              <w:numPr>
                <w:ilvl w:val="0"/>
                <w:numId w:val="4"/>
              </w:numPr>
              <w:ind w:left="425" w:leftChars="0" w:hanging="425"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电缆采用柔性圆形结构设计,须适用于翻车机等适合于频繁弯曲和往返运动的场合，可承受中等应力。</w:t>
            </w:r>
          </w:p>
          <w:p>
            <w:pPr>
              <w:numPr>
                <w:ilvl w:val="0"/>
                <w:numId w:val="4"/>
              </w:numPr>
              <w:ind w:left="425" w:leftChars="0" w:hanging="425"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电缆具备以下特性：柔性，可弯曲性；抗拉,抗撕裂，性能稳定；优良的耐油性，耐磨性，耐寒性，耐候性,耐酸碱，耐UV。</w:t>
            </w:r>
          </w:p>
          <w:p>
            <w:pPr>
              <w:numPr>
                <w:ilvl w:val="0"/>
                <w:numId w:val="4"/>
              </w:numPr>
              <w:ind w:left="425" w:leftChars="0" w:hanging="425"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电缆采用双层护套，护套采用耐磨、耐油的聚氨酯(PUR)护套。</w:t>
            </w:r>
          </w:p>
          <w:p>
            <w:pPr>
              <w:numPr>
                <w:ilvl w:val="0"/>
                <w:numId w:val="4"/>
              </w:numPr>
              <w:ind w:left="425" w:leftChars="0" w:hanging="425"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电缆的阻燃性，符合IEC60332-1。</w:t>
            </w:r>
          </w:p>
          <w:p>
            <w:pPr>
              <w:numPr>
                <w:ilvl w:val="0"/>
                <w:numId w:val="4"/>
              </w:numPr>
              <w:ind w:left="425" w:leftChars="0" w:hanging="425"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电缆可在干燥或潮湿的室内或室外使用。</w:t>
            </w:r>
          </w:p>
          <w:p>
            <w:pPr>
              <w:numPr>
                <w:ilvl w:val="0"/>
                <w:numId w:val="4"/>
              </w:numPr>
              <w:ind w:left="425" w:leftChars="0" w:hanging="425"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电缆用于易磨损环境,同时亦可在悬挂系统或作卷筒和拖曳电缆,随托轴或其它类似装置的导向进行收展运动，可运用于高机械应力并具有拉伸和扭转应力的应用场合。</w:t>
            </w:r>
          </w:p>
          <w:p>
            <w:pPr>
              <w:numPr>
                <w:ilvl w:val="0"/>
                <w:numId w:val="0"/>
              </w:numPr>
              <w:adjustRightInd w:val="0"/>
              <w:snapToGrid w:val="0"/>
              <w:ind w:leftChars="0"/>
              <w:rPr>
                <w:rFonts w:hint="eastAsia" w:eastAsia="仿宋_GB2312"/>
                <w:sz w:val="28"/>
                <w:szCs w:val="28"/>
                <w:lang w:val="en-US" w:eastAsia="zh-CN"/>
              </w:rPr>
            </w:pPr>
          </w:p>
        </w:tc>
        <w:tc>
          <w:tcPr>
            <w:tcW w:w="897" w:type="dxa"/>
            <w:vAlign w:val="center"/>
          </w:tcPr>
          <w:p>
            <w:pPr>
              <w:adjustRightInd w:val="0"/>
              <w:snapToGrid w:val="0"/>
              <w:rPr>
                <w:rFonts w:hint="eastAsia" w:ascii="宋体" w:hAnsi="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86" w:hRule="atLeast"/>
          <w:jc w:val="center"/>
        </w:trPr>
        <w:tc>
          <w:tcPr>
            <w:tcW w:w="851" w:type="dxa"/>
            <w:vAlign w:val="center"/>
          </w:tcPr>
          <w:p>
            <w:pPr>
              <w:numPr>
                <w:ilvl w:val="0"/>
                <w:numId w:val="3"/>
              </w:numPr>
              <w:adjustRightInd w:val="0"/>
              <w:snapToGrid w:val="0"/>
              <w:jc w:val="center"/>
              <w:rPr>
                <w:rFonts w:eastAsia="仿宋_GB2312"/>
                <w:sz w:val="28"/>
                <w:szCs w:val="28"/>
              </w:rPr>
            </w:pPr>
          </w:p>
        </w:tc>
        <w:tc>
          <w:tcPr>
            <w:tcW w:w="1517" w:type="dxa"/>
            <w:vAlign w:val="center"/>
          </w:tcPr>
          <w:p>
            <w:pPr>
              <w:keepNext w:val="0"/>
              <w:keepLines w:val="0"/>
              <w:widowControl/>
              <w:suppressLineNumbers w:val="0"/>
              <w:jc w:val="left"/>
              <w:textAlignment w:val="center"/>
              <w:rPr>
                <w:rFonts w:hint="eastAsia" w:asciiTheme="minorEastAsia" w:hAnsiTheme="minorEastAsia" w:cstheme="minorEastAsia"/>
                <w:b w:val="0"/>
                <w:bCs w:val="0"/>
                <w:sz w:val="30"/>
                <w:szCs w:val="30"/>
              </w:rPr>
            </w:pPr>
            <w:r>
              <w:rPr>
                <w:rFonts w:hint="eastAsia" w:ascii="宋体" w:hAnsi="宋体" w:eastAsia="宋体" w:cs="宋体"/>
                <w:i w:val="0"/>
                <w:color w:val="000000"/>
                <w:kern w:val="0"/>
                <w:sz w:val="22"/>
                <w:szCs w:val="22"/>
                <w:u w:val="none"/>
                <w:lang w:val="en-US" w:eastAsia="zh-CN" w:bidi="ar"/>
              </w:rPr>
              <w:t>102186103</w:t>
            </w:r>
          </w:p>
        </w:tc>
        <w:tc>
          <w:tcPr>
            <w:tcW w:w="1605" w:type="dxa"/>
            <w:vAlign w:val="center"/>
          </w:tcPr>
          <w:p>
            <w:pPr>
              <w:adjustRightInd w:val="0"/>
              <w:snapToGrid w:val="0"/>
              <w:rPr>
                <w:rFonts w:hint="eastAsia" w:eastAsia="仿宋_GB2312"/>
                <w:sz w:val="28"/>
                <w:szCs w:val="28"/>
                <w:lang w:val="en-US" w:eastAsia="zh-CN"/>
              </w:rPr>
            </w:pPr>
            <w:r>
              <w:rPr>
                <w:rFonts w:hint="eastAsia" w:asciiTheme="minorEastAsia" w:hAnsiTheme="minorEastAsia" w:cstheme="minorEastAsia"/>
                <w:b w:val="0"/>
                <w:bCs w:val="0"/>
                <w:sz w:val="30"/>
                <w:szCs w:val="30"/>
              </w:rPr>
              <w:t>电力电缆</w:t>
            </w:r>
          </w:p>
        </w:tc>
        <w:tc>
          <w:tcPr>
            <w:tcW w:w="975" w:type="dxa"/>
            <w:vAlign w:val="center"/>
          </w:tcPr>
          <w:p>
            <w:pPr>
              <w:adjustRightInd w:val="0"/>
              <w:snapToGrid w:val="0"/>
              <w:rPr>
                <w:rFonts w:hint="eastAsia" w:eastAsia="仿宋_GB2312"/>
                <w:sz w:val="28"/>
                <w:szCs w:val="28"/>
                <w:lang w:val="en-US" w:eastAsia="zh-CN"/>
              </w:rPr>
            </w:pPr>
            <w:r>
              <w:rPr>
                <w:rFonts w:hint="eastAsia" w:eastAsia="仿宋_GB2312"/>
                <w:sz w:val="28"/>
                <w:szCs w:val="28"/>
                <w:lang w:val="en-US" w:eastAsia="zh-CN"/>
              </w:rPr>
              <w:t>200米</w:t>
            </w:r>
          </w:p>
        </w:tc>
        <w:tc>
          <w:tcPr>
            <w:tcW w:w="1875" w:type="dxa"/>
            <w:vAlign w:val="center"/>
          </w:tcPr>
          <w:p>
            <w:pPr>
              <w:adjustRightInd w:val="0"/>
              <w:snapToGrid w:val="0"/>
              <w:rPr>
                <w:rFonts w:hint="eastAsia" w:eastAsia="仿宋_GB2312"/>
                <w:sz w:val="28"/>
                <w:szCs w:val="28"/>
              </w:rPr>
            </w:pPr>
            <w:r>
              <w:rPr>
                <w:rFonts w:hint="eastAsia" w:asciiTheme="minorEastAsia" w:hAnsiTheme="minorEastAsia" w:cstheme="minorEastAsia"/>
                <w:b w:val="0"/>
                <w:bCs w:val="0"/>
                <w:sz w:val="30"/>
                <w:szCs w:val="30"/>
              </w:rPr>
              <w:t>DERUL32000\4*6MM2\0.38／0.66KV</w:t>
            </w:r>
          </w:p>
        </w:tc>
        <w:tc>
          <w:tcPr>
            <w:tcW w:w="780" w:type="dxa"/>
            <w:vAlign w:val="center"/>
          </w:tcPr>
          <w:p>
            <w:pPr>
              <w:adjustRightInd w:val="0"/>
              <w:snapToGrid w:val="0"/>
            </w:pPr>
            <w:r>
              <w:rPr>
                <w:rFonts w:hint="eastAsia" w:eastAsia="仿宋_GB2312"/>
                <w:sz w:val="28"/>
                <w:szCs w:val="28"/>
                <w:lang w:val="en-US" w:eastAsia="zh-CN"/>
              </w:rPr>
              <w:t>无</w:t>
            </w:r>
          </w:p>
        </w:tc>
        <w:tc>
          <w:tcPr>
            <w:tcW w:w="5625" w:type="dxa"/>
            <w:vAlign w:val="center"/>
          </w:tcPr>
          <w:p>
            <w:pPr>
              <w:numPr>
                <w:ilvl w:val="0"/>
                <w:numId w:val="5"/>
              </w:numPr>
              <w:ind w:left="425" w:leftChars="0" w:hanging="425"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电缆采用柔性圆形结构设计,须适用于适合于频繁弯曲和往返运动的场合，可承受中等应力。</w:t>
            </w:r>
          </w:p>
          <w:p>
            <w:pPr>
              <w:numPr>
                <w:ilvl w:val="0"/>
                <w:numId w:val="5"/>
              </w:numPr>
              <w:ind w:left="425" w:leftChars="0" w:hanging="425"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电缆具备以下特性：柔性，可弯曲性；抗拉,抗撕裂，性能稳定；优良的耐油性，耐磨性，耐寒性，耐候性,耐酸碱，耐UV。</w:t>
            </w:r>
          </w:p>
          <w:p>
            <w:pPr>
              <w:numPr>
                <w:ilvl w:val="0"/>
                <w:numId w:val="5"/>
              </w:numPr>
              <w:ind w:left="425" w:leftChars="0" w:hanging="425"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电缆采用双层护套，护套采用耐磨、耐油的聚氨酯(PUR)护套。</w:t>
            </w:r>
          </w:p>
          <w:p>
            <w:pPr>
              <w:numPr>
                <w:ilvl w:val="0"/>
                <w:numId w:val="5"/>
              </w:numPr>
              <w:ind w:left="425" w:leftChars="0" w:hanging="425"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电缆的阻燃性，符合IEC60332-1。</w:t>
            </w:r>
          </w:p>
          <w:p>
            <w:pPr>
              <w:numPr>
                <w:ilvl w:val="0"/>
                <w:numId w:val="5"/>
              </w:numPr>
              <w:ind w:left="425" w:leftChars="0" w:hanging="425"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电缆可在干燥或潮湿的室内或室外使用。</w:t>
            </w:r>
          </w:p>
          <w:p>
            <w:pPr>
              <w:numPr>
                <w:ilvl w:val="0"/>
                <w:numId w:val="5"/>
              </w:numPr>
              <w:ind w:left="425" w:leftChars="0" w:hanging="425"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电缆用于易磨损环境,同时亦可在悬挂系统或作卷筒和拖曳电缆,随托轴或其它类似装置的导向进行收展运动，可运用于高机械应力并具有拉伸和扭转应力的应用场合。</w:t>
            </w:r>
          </w:p>
          <w:p>
            <w:pPr>
              <w:numPr>
                <w:ilvl w:val="0"/>
                <w:numId w:val="0"/>
              </w:numPr>
              <w:adjustRightInd w:val="0"/>
              <w:snapToGrid w:val="0"/>
              <w:ind w:leftChars="0"/>
              <w:rPr>
                <w:rFonts w:hint="eastAsia" w:eastAsia="仿宋_GB2312"/>
                <w:sz w:val="28"/>
                <w:szCs w:val="28"/>
                <w:lang w:val="en-US" w:eastAsia="zh-CN"/>
              </w:rPr>
            </w:pPr>
          </w:p>
        </w:tc>
        <w:tc>
          <w:tcPr>
            <w:tcW w:w="897" w:type="dxa"/>
            <w:vAlign w:val="center"/>
          </w:tcPr>
          <w:p>
            <w:pPr>
              <w:adjustRightInd w:val="0"/>
              <w:snapToGrid w:val="0"/>
              <w:rPr>
                <w:rFonts w:hint="eastAsia" w:ascii="宋体" w:hAnsi="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96" w:hRule="atLeast"/>
          <w:jc w:val="center"/>
        </w:trPr>
        <w:tc>
          <w:tcPr>
            <w:tcW w:w="851" w:type="dxa"/>
            <w:vAlign w:val="center"/>
          </w:tcPr>
          <w:p>
            <w:pPr>
              <w:numPr>
                <w:ilvl w:val="0"/>
                <w:numId w:val="3"/>
              </w:numPr>
              <w:adjustRightInd w:val="0"/>
              <w:snapToGrid w:val="0"/>
              <w:jc w:val="center"/>
              <w:rPr>
                <w:rFonts w:eastAsia="仿宋_GB2312"/>
                <w:sz w:val="28"/>
                <w:szCs w:val="28"/>
              </w:rPr>
            </w:pPr>
          </w:p>
        </w:tc>
        <w:tc>
          <w:tcPr>
            <w:tcW w:w="1517" w:type="dxa"/>
            <w:vAlign w:val="center"/>
          </w:tcPr>
          <w:p>
            <w:pPr>
              <w:keepNext w:val="0"/>
              <w:keepLines w:val="0"/>
              <w:widowControl/>
              <w:suppressLineNumbers w:val="0"/>
              <w:jc w:val="left"/>
              <w:textAlignment w:val="center"/>
              <w:rPr>
                <w:rFonts w:hint="eastAsia" w:asciiTheme="minorEastAsia" w:hAnsiTheme="minorEastAsia" w:cstheme="minorEastAsia"/>
                <w:b w:val="0"/>
                <w:bCs w:val="0"/>
                <w:sz w:val="30"/>
                <w:szCs w:val="30"/>
              </w:rPr>
            </w:pPr>
            <w:r>
              <w:rPr>
                <w:rFonts w:hint="eastAsia" w:ascii="宋体" w:hAnsi="宋体" w:eastAsia="宋体" w:cs="宋体"/>
                <w:i w:val="0"/>
                <w:color w:val="000000"/>
                <w:kern w:val="0"/>
                <w:sz w:val="22"/>
                <w:szCs w:val="22"/>
                <w:u w:val="none"/>
                <w:lang w:val="en-US" w:eastAsia="zh-CN" w:bidi="ar"/>
              </w:rPr>
              <w:t>101260796</w:t>
            </w:r>
          </w:p>
        </w:tc>
        <w:tc>
          <w:tcPr>
            <w:tcW w:w="1605" w:type="dxa"/>
            <w:vAlign w:val="center"/>
          </w:tcPr>
          <w:p>
            <w:pPr>
              <w:adjustRightInd w:val="0"/>
              <w:snapToGrid w:val="0"/>
              <w:rPr>
                <w:rFonts w:hint="eastAsia" w:asciiTheme="minorEastAsia" w:hAnsiTheme="minorEastAsia" w:cstheme="minorEastAsia"/>
                <w:b w:val="0"/>
                <w:bCs w:val="0"/>
                <w:sz w:val="30"/>
                <w:szCs w:val="30"/>
              </w:rPr>
            </w:pPr>
            <w:r>
              <w:rPr>
                <w:rFonts w:hint="eastAsia" w:asciiTheme="minorEastAsia" w:hAnsiTheme="minorEastAsia" w:cstheme="minorEastAsia"/>
                <w:b w:val="0"/>
                <w:bCs w:val="0"/>
                <w:sz w:val="30"/>
                <w:szCs w:val="30"/>
              </w:rPr>
              <w:t>控制电缆</w:t>
            </w:r>
          </w:p>
        </w:tc>
        <w:tc>
          <w:tcPr>
            <w:tcW w:w="975" w:type="dxa"/>
            <w:vAlign w:val="center"/>
          </w:tcPr>
          <w:p>
            <w:pPr>
              <w:adjustRightInd w:val="0"/>
              <w:snapToGrid w:val="0"/>
              <w:rPr>
                <w:rFonts w:hint="eastAsia" w:eastAsia="仿宋_GB2312"/>
                <w:sz w:val="28"/>
                <w:szCs w:val="28"/>
                <w:lang w:val="en-US" w:eastAsia="zh-CN"/>
              </w:rPr>
            </w:pPr>
            <w:r>
              <w:rPr>
                <w:rFonts w:hint="eastAsia" w:eastAsia="仿宋_GB2312"/>
                <w:sz w:val="28"/>
                <w:szCs w:val="28"/>
                <w:lang w:val="en-US" w:eastAsia="zh-CN"/>
              </w:rPr>
              <w:t>100米</w:t>
            </w:r>
          </w:p>
        </w:tc>
        <w:tc>
          <w:tcPr>
            <w:tcW w:w="1875" w:type="dxa"/>
            <w:vAlign w:val="center"/>
          </w:tcPr>
          <w:p>
            <w:pPr>
              <w:adjustRightInd w:val="0"/>
              <w:snapToGrid w:val="0"/>
              <w:rPr>
                <w:rFonts w:hint="eastAsia" w:asciiTheme="minorEastAsia" w:hAnsiTheme="minorEastAsia" w:cstheme="minorEastAsia"/>
                <w:b w:val="0"/>
                <w:bCs w:val="0"/>
                <w:sz w:val="30"/>
                <w:szCs w:val="30"/>
              </w:rPr>
            </w:pPr>
            <w:r>
              <w:rPr>
                <w:rFonts w:hint="eastAsia" w:asciiTheme="minorEastAsia" w:hAnsiTheme="minorEastAsia" w:cstheme="minorEastAsia"/>
                <w:b w:val="0"/>
                <w:bCs w:val="0"/>
                <w:sz w:val="30"/>
                <w:szCs w:val="30"/>
                <w:lang w:val="en-US" w:eastAsia="zh-CN"/>
              </w:rPr>
              <w:t>\DERUL32000\4*10MM2\0.6／1KV</w:t>
            </w:r>
          </w:p>
        </w:tc>
        <w:tc>
          <w:tcPr>
            <w:tcW w:w="780" w:type="dxa"/>
            <w:vAlign w:val="center"/>
          </w:tcPr>
          <w:p>
            <w:pPr>
              <w:adjustRightInd w:val="0"/>
              <w:snapToGrid w:val="0"/>
              <w:rPr>
                <w:rFonts w:hint="eastAsia" w:eastAsia="仿宋_GB2312"/>
                <w:sz w:val="28"/>
                <w:szCs w:val="28"/>
                <w:lang w:val="en-US" w:eastAsia="zh-CN"/>
              </w:rPr>
            </w:pPr>
            <w:r>
              <w:rPr>
                <w:rFonts w:hint="eastAsia" w:eastAsia="仿宋_GB2312"/>
                <w:sz w:val="28"/>
                <w:szCs w:val="28"/>
                <w:lang w:val="en-US" w:eastAsia="zh-CN"/>
              </w:rPr>
              <w:t>无</w:t>
            </w:r>
          </w:p>
        </w:tc>
        <w:tc>
          <w:tcPr>
            <w:tcW w:w="5625" w:type="dxa"/>
            <w:vAlign w:val="center"/>
          </w:tcPr>
          <w:p>
            <w:pPr>
              <w:numPr>
                <w:ilvl w:val="0"/>
                <w:numId w:val="6"/>
              </w:numPr>
              <w:ind w:left="425" w:leftChars="0" w:hanging="425"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电缆采用柔性圆形结构设计,须适用于翻车机等适合于频繁弯曲和往返运动的场合，可承受中等应力。</w:t>
            </w:r>
          </w:p>
          <w:p>
            <w:pPr>
              <w:numPr>
                <w:ilvl w:val="0"/>
                <w:numId w:val="6"/>
              </w:numPr>
              <w:ind w:left="425" w:leftChars="0" w:hanging="425"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电缆具备以下特性：柔性，可弯曲性；抗拉,抗撕裂，性能稳定；优良的耐油性，耐磨性，耐寒性，耐候性,耐酸碱，耐UV。</w:t>
            </w:r>
          </w:p>
          <w:p>
            <w:pPr>
              <w:numPr>
                <w:ilvl w:val="0"/>
                <w:numId w:val="6"/>
              </w:numPr>
              <w:ind w:left="425" w:leftChars="0" w:hanging="425"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电缆采用双层护套，护套采用耐磨、耐油的聚氨酯(PUR)护套。</w:t>
            </w:r>
          </w:p>
          <w:p>
            <w:pPr>
              <w:numPr>
                <w:ilvl w:val="0"/>
                <w:numId w:val="6"/>
              </w:numPr>
              <w:ind w:left="425" w:leftChars="0" w:hanging="425"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电缆的阻燃性，符合IEC60332-1。</w:t>
            </w:r>
          </w:p>
          <w:p>
            <w:pPr>
              <w:numPr>
                <w:ilvl w:val="0"/>
                <w:numId w:val="6"/>
              </w:numPr>
              <w:ind w:left="425" w:leftChars="0" w:hanging="425"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电缆可在干燥或潮湿的室内或室外使用。</w:t>
            </w:r>
          </w:p>
          <w:p>
            <w:pPr>
              <w:numPr>
                <w:ilvl w:val="0"/>
                <w:numId w:val="6"/>
              </w:numPr>
              <w:ind w:left="425" w:leftChars="0" w:hanging="425"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电缆采用铜屏蔽，确保了数据准确的传输并且保护电缆不受电磁干扰和影响。</w:t>
            </w:r>
          </w:p>
          <w:p>
            <w:pPr>
              <w:numPr>
                <w:ilvl w:val="0"/>
                <w:numId w:val="0"/>
              </w:numPr>
              <w:adjustRightInd w:val="0"/>
              <w:snapToGrid w:val="0"/>
              <w:ind w:leftChars="0"/>
              <w:rPr>
                <w:rFonts w:hint="eastAsia" w:eastAsia="仿宋_GB2312"/>
                <w:sz w:val="28"/>
                <w:szCs w:val="28"/>
                <w:lang w:val="en-US" w:eastAsia="zh-CN"/>
              </w:rPr>
            </w:pPr>
          </w:p>
        </w:tc>
        <w:tc>
          <w:tcPr>
            <w:tcW w:w="897" w:type="dxa"/>
            <w:vAlign w:val="center"/>
          </w:tcPr>
          <w:p>
            <w:pPr>
              <w:adjustRightInd w:val="0"/>
              <w:snapToGrid w:val="0"/>
              <w:rPr>
                <w:rFonts w:hint="eastAsia" w:ascii="宋体" w:hAnsi="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86" w:hRule="atLeast"/>
          <w:jc w:val="center"/>
        </w:trPr>
        <w:tc>
          <w:tcPr>
            <w:tcW w:w="851" w:type="dxa"/>
            <w:vAlign w:val="center"/>
          </w:tcPr>
          <w:p>
            <w:pPr>
              <w:numPr>
                <w:ilvl w:val="0"/>
                <w:numId w:val="3"/>
              </w:numPr>
              <w:adjustRightInd w:val="0"/>
              <w:snapToGrid w:val="0"/>
              <w:jc w:val="center"/>
              <w:rPr>
                <w:rFonts w:eastAsia="仿宋_GB2312"/>
                <w:sz w:val="28"/>
                <w:szCs w:val="28"/>
              </w:rPr>
            </w:pPr>
          </w:p>
        </w:tc>
        <w:tc>
          <w:tcPr>
            <w:tcW w:w="1517" w:type="dxa"/>
            <w:vAlign w:val="center"/>
          </w:tcPr>
          <w:p>
            <w:pPr>
              <w:keepNext w:val="0"/>
              <w:keepLines w:val="0"/>
              <w:widowControl/>
              <w:suppressLineNumbers w:val="0"/>
              <w:jc w:val="left"/>
              <w:textAlignment w:val="center"/>
              <w:rPr>
                <w:rFonts w:hint="eastAsia" w:asciiTheme="minorEastAsia" w:hAnsiTheme="minorEastAsia" w:cstheme="minorEastAsia"/>
                <w:b w:val="0"/>
                <w:bCs w:val="0"/>
                <w:sz w:val="30"/>
                <w:szCs w:val="30"/>
              </w:rPr>
            </w:pPr>
            <w:r>
              <w:rPr>
                <w:rFonts w:hint="eastAsia" w:ascii="宋体" w:hAnsi="宋体" w:eastAsia="宋体" w:cs="宋体"/>
                <w:i w:val="0"/>
                <w:color w:val="000000"/>
                <w:kern w:val="0"/>
                <w:sz w:val="22"/>
                <w:szCs w:val="22"/>
                <w:u w:val="none"/>
                <w:lang w:val="en-US" w:eastAsia="zh-CN" w:bidi="ar"/>
              </w:rPr>
              <w:t>101690120</w:t>
            </w:r>
          </w:p>
        </w:tc>
        <w:tc>
          <w:tcPr>
            <w:tcW w:w="1605" w:type="dxa"/>
            <w:vAlign w:val="center"/>
          </w:tcPr>
          <w:p>
            <w:pPr>
              <w:adjustRightInd w:val="0"/>
              <w:snapToGrid w:val="0"/>
              <w:rPr>
                <w:rFonts w:hint="eastAsia" w:asciiTheme="minorEastAsia" w:hAnsiTheme="minorEastAsia" w:cstheme="minorEastAsia"/>
                <w:b w:val="0"/>
                <w:bCs w:val="0"/>
                <w:sz w:val="30"/>
                <w:szCs w:val="30"/>
              </w:rPr>
            </w:pPr>
            <w:r>
              <w:rPr>
                <w:rFonts w:hint="eastAsia" w:asciiTheme="minorEastAsia" w:hAnsiTheme="minorEastAsia" w:cstheme="minorEastAsia"/>
                <w:b w:val="0"/>
                <w:bCs w:val="0"/>
                <w:sz w:val="30"/>
                <w:szCs w:val="30"/>
              </w:rPr>
              <w:t>控制电缆</w:t>
            </w:r>
          </w:p>
        </w:tc>
        <w:tc>
          <w:tcPr>
            <w:tcW w:w="975" w:type="dxa"/>
            <w:vAlign w:val="center"/>
          </w:tcPr>
          <w:p>
            <w:pPr>
              <w:adjustRightInd w:val="0"/>
              <w:snapToGrid w:val="0"/>
              <w:rPr>
                <w:rFonts w:hint="eastAsia" w:eastAsia="仿宋_GB2312"/>
                <w:sz w:val="28"/>
                <w:szCs w:val="28"/>
                <w:lang w:val="en-US" w:eastAsia="zh-CN"/>
              </w:rPr>
            </w:pPr>
            <w:r>
              <w:rPr>
                <w:rFonts w:hint="eastAsia" w:eastAsia="仿宋_GB2312"/>
                <w:sz w:val="28"/>
                <w:szCs w:val="28"/>
                <w:lang w:val="en-US" w:eastAsia="zh-CN"/>
              </w:rPr>
              <w:t>100米</w:t>
            </w:r>
          </w:p>
        </w:tc>
        <w:tc>
          <w:tcPr>
            <w:tcW w:w="1875" w:type="dxa"/>
            <w:vAlign w:val="center"/>
          </w:tcPr>
          <w:p>
            <w:pPr>
              <w:adjustRightInd w:val="0"/>
              <w:snapToGrid w:val="0"/>
              <w:rPr>
                <w:rFonts w:hint="eastAsia" w:asciiTheme="minorEastAsia" w:hAnsiTheme="minorEastAsia" w:cstheme="minorEastAsia"/>
                <w:b w:val="0"/>
                <w:bCs w:val="0"/>
                <w:sz w:val="30"/>
                <w:szCs w:val="30"/>
                <w:lang w:val="en-US" w:eastAsia="zh-CN"/>
              </w:rPr>
            </w:pPr>
            <w:r>
              <w:rPr>
                <w:rFonts w:hint="eastAsia" w:asciiTheme="minorEastAsia" w:hAnsiTheme="minorEastAsia" w:cstheme="minorEastAsia"/>
                <w:b w:val="0"/>
                <w:bCs w:val="0"/>
                <w:sz w:val="30"/>
                <w:szCs w:val="30"/>
                <w:lang w:val="en-US" w:eastAsia="zh-CN"/>
              </w:rPr>
              <w:t>\DERUL32373P\10*2.5MM2</w:t>
            </w:r>
          </w:p>
        </w:tc>
        <w:tc>
          <w:tcPr>
            <w:tcW w:w="780" w:type="dxa"/>
            <w:vAlign w:val="center"/>
          </w:tcPr>
          <w:p>
            <w:pPr>
              <w:adjustRightInd w:val="0"/>
              <w:snapToGrid w:val="0"/>
              <w:rPr>
                <w:rFonts w:hint="eastAsia" w:eastAsia="仿宋_GB2312"/>
                <w:sz w:val="28"/>
                <w:szCs w:val="28"/>
                <w:lang w:val="en-US" w:eastAsia="zh-CN"/>
              </w:rPr>
            </w:pPr>
            <w:r>
              <w:rPr>
                <w:rFonts w:hint="eastAsia" w:eastAsia="仿宋_GB2312"/>
                <w:sz w:val="28"/>
                <w:szCs w:val="28"/>
                <w:lang w:val="en-US" w:eastAsia="zh-CN"/>
              </w:rPr>
              <w:t>无</w:t>
            </w:r>
          </w:p>
        </w:tc>
        <w:tc>
          <w:tcPr>
            <w:tcW w:w="5625" w:type="dxa"/>
            <w:vAlign w:val="center"/>
          </w:tcPr>
          <w:p>
            <w:pPr>
              <w:numPr>
                <w:ilvl w:val="0"/>
                <w:numId w:val="7"/>
              </w:numPr>
              <w:ind w:left="425" w:leftChars="0" w:hanging="425"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电缆采用柔性圆形结构设计,须适用于翻车机等适合于频繁弯曲和往返运动的场合，可承受中等应力。</w:t>
            </w:r>
          </w:p>
          <w:p>
            <w:pPr>
              <w:numPr>
                <w:ilvl w:val="0"/>
                <w:numId w:val="7"/>
              </w:numPr>
              <w:ind w:left="425" w:leftChars="0" w:hanging="425"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电缆具备以下特性：柔性，可弯曲性；抗拉,抗撕裂，性能稳定；优良的耐油性，耐磨性，耐寒性，耐候性,耐酸碱，耐UV。</w:t>
            </w:r>
          </w:p>
          <w:p>
            <w:pPr>
              <w:numPr>
                <w:ilvl w:val="0"/>
                <w:numId w:val="7"/>
              </w:numPr>
              <w:ind w:left="425" w:leftChars="0" w:hanging="425"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电缆采用双层护套，护套采用耐磨、耐油的聚氨酯(PUR)护套。</w:t>
            </w:r>
          </w:p>
          <w:p>
            <w:pPr>
              <w:numPr>
                <w:ilvl w:val="0"/>
                <w:numId w:val="7"/>
              </w:numPr>
              <w:ind w:left="425" w:leftChars="0" w:hanging="425"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电缆的阻燃性，符合IEC60332-1。</w:t>
            </w:r>
          </w:p>
          <w:p>
            <w:pPr>
              <w:numPr>
                <w:ilvl w:val="0"/>
                <w:numId w:val="7"/>
              </w:numPr>
              <w:ind w:left="425" w:leftChars="0" w:hanging="425"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电缆可在干燥或潮湿的室内或室外使用。</w:t>
            </w:r>
          </w:p>
          <w:p>
            <w:pPr>
              <w:numPr>
                <w:ilvl w:val="0"/>
                <w:numId w:val="7"/>
              </w:numPr>
              <w:ind w:left="425" w:leftChars="0" w:hanging="425"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电缆采用铜屏蔽，确保了数据准确的传输并且保护电缆不受电磁干扰和影响。</w:t>
            </w:r>
          </w:p>
          <w:p>
            <w:pPr>
              <w:numPr>
                <w:ilvl w:val="0"/>
                <w:numId w:val="0"/>
              </w:numPr>
              <w:adjustRightInd w:val="0"/>
              <w:snapToGrid w:val="0"/>
              <w:ind w:leftChars="0"/>
              <w:rPr>
                <w:rFonts w:hint="eastAsia" w:eastAsia="仿宋_GB2312"/>
                <w:sz w:val="28"/>
                <w:szCs w:val="28"/>
                <w:lang w:val="en-US" w:eastAsia="zh-CN"/>
              </w:rPr>
            </w:pPr>
          </w:p>
        </w:tc>
        <w:tc>
          <w:tcPr>
            <w:tcW w:w="897" w:type="dxa"/>
            <w:vAlign w:val="center"/>
          </w:tcPr>
          <w:p>
            <w:pPr>
              <w:adjustRightInd w:val="0"/>
              <w:snapToGrid w:val="0"/>
              <w:rPr>
                <w:rFonts w:hint="eastAsia" w:ascii="宋体" w:hAnsi="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301" w:hRule="atLeast"/>
          <w:jc w:val="center"/>
        </w:trPr>
        <w:tc>
          <w:tcPr>
            <w:tcW w:w="851" w:type="dxa"/>
            <w:vAlign w:val="center"/>
          </w:tcPr>
          <w:p>
            <w:pPr>
              <w:numPr>
                <w:ilvl w:val="0"/>
                <w:numId w:val="3"/>
              </w:numPr>
              <w:adjustRightInd w:val="0"/>
              <w:snapToGrid w:val="0"/>
              <w:jc w:val="center"/>
              <w:rPr>
                <w:rFonts w:eastAsia="仿宋_GB2312"/>
                <w:sz w:val="28"/>
                <w:szCs w:val="28"/>
              </w:rPr>
            </w:pPr>
          </w:p>
        </w:tc>
        <w:tc>
          <w:tcPr>
            <w:tcW w:w="1517" w:type="dxa"/>
            <w:vAlign w:val="center"/>
          </w:tcPr>
          <w:p>
            <w:pPr>
              <w:keepNext w:val="0"/>
              <w:keepLines w:val="0"/>
              <w:widowControl/>
              <w:suppressLineNumbers w:val="0"/>
              <w:jc w:val="left"/>
              <w:textAlignment w:val="center"/>
              <w:rPr>
                <w:rFonts w:hint="eastAsia" w:asciiTheme="minorEastAsia" w:hAnsiTheme="minorEastAsia" w:cstheme="minorEastAsia"/>
                <w:b w:val="0"/>
                <w:bCs w:val="0"/>
                <w:sz w:val="30"/>
                <w:szCs w:val="30"/>
              </w:rPr>
            </w:pPr>
            <w:r>
              <w:rPr>
                <w:rFonts w:hint="eastAsia" w:ascii="宋体" w:hAnsi="宋体" w:eastAsia="宋体" w:cs="宋体"/>
                <w:i w:val="0"/>
                <w:color w:val="000000"/>
                <w:kern w:val="0"/>
                <w:sz w:val="22"/>
                <w:szCs w:val="22"/>
                <w:u w:val="none"/>
                <w:lang w:val="en-US" w:eastAsia="zh-CN" w:bidi="ar"/>
              </w:rPr>
              <w:t>101024939</w:t>
            </w:r>
          </w:p>
        </w:tc>
        <w:tc>
          <w:tcPr>
            <w:tcW w:w="1605" w:type="dxa"/>
            <w:vAlign w:val="center"/>
          </w:tcPr>
          <w:p>
            <w:pPr>
              <w:adjustRightInd w:val="0"/>
              <w:snapToGrid w:val="0"/>
              <w:rPr>
                <w:rFonts w:hint="eastAsia" w:asciiTheme="minorEastAsia" w:hAnsiTheme="minorEastAsia" w:cstheme="minorEastAsia"/>
                <w:b w:val="0"/>
                <w:bCs w:val="0"/>
                <w:sz w:val="30"/>
                <w:szCs w:val="30"/>
              </w:rPr>
            </w:pPr>
            <w:r>
              <w:rPr>
                <w:rFonts w:hint="eastAsia" w:asciiTheme="minorEastAsia" w:hAnsiTheme="minorEastAsia" w:cstheme="minorEastAsia"/>
                <w:b w:val="0"/>
                <w:bCs w:val="0"/>
                <w:sz w:val="30"/>
                <w:szCs w:val="30"/>
              </w:rPr>
              <w:t>控制电缆</w:t>
            </w:r>
          </w:p>
        </w:tc>
        <w:tc>
          <w:tcPr>
            <w:tcW w:w="975" w:type="dxa"/>
            <w:vAlign w:val="center"/>
          </w:tcPr>
          <w:p>
            <w:pPr>
              <w:adjustRightInd w:val="0"/>
              <w:snapToGrid w:val="0"/>
              <w:rPr>
                <w:rFonts w:hint="eastAsia" w:eastAsia="仿宋_GB2312"/>
                <w:sz w:val="28"/>
                <w:szCs w:val="28"/>
                <w:lang w:val="en-US" w:eastAsia="zh-CN"/>
              </w:rPr>
            </w:pPr>
            <w:r>
              <w:rPr>
                <w:rFonts w:hint="eastAsia" w:eastAsia="仿宋_GB2312"/>
                <w:sz w:val="28"/>
                <w:szCs w:val="28"/>
                <w:lang w:val="en-US" w:eastAsia="zh-CN"/>
              </w:rPr>
              <w:t>300米</w:t>
            </w:r>
          </w:p>
        </w:tc>
        <w:tc>
          <w:tcPr>
            <w:tcW w:w="1875" w:type="dxa"/>
            <w:vAlign w:val="center"/>
          </w:tcPr>
          <w:p>
            <w:pPr>
              <w:adjustRightInd w:val="0"/>
              <w:snapToGrid w:val="0"/>
              <w:rPr>
                <w:rFonts w:hint="eastAsia" w:asciiTheme="minorEastAsia" w:hAnsiTheme="minorEastAsia" w:cstheme="minorEastAsia"/>
                <w:b w:val="0"/>
                <w:bCs w:val="0"/>
                <w:sz w:val="30"/>
                <w:szCs w:val="30"/>
                <w:lang w:val="en-US" w:eastAsia="zh-CN"/>
              </w:rPr>
            </w:pPr>
            <w:r>
              <w:rPr>
                <w:rFonts w:hint="eastAsia" w:asciiTheme="minorEastAsia" w:hAnsiTheme="minorEastAsia" w:cstheme="minorEastAsia"/>
                <w:b w:val="0"/>
                <w:bCs w:val="0"/>
                <w:sz w:val="30"/>
                <w:szCs w:val="30"/>
                <w:lang w:val="en-US" w:eastAsia="zh-CN"/>
              </w:rPr>
              <w:t>\DERUL56000\18*2.5MM2+2*2*1.5MM2</w:t>
            </w:r>
          </w:p>
        </w:tc>
        <w:tc>
          <w:tcPr>
            <w:tcW w:w="780" w:type="dxa"/>
            <w:vAlign w:val="center"/>
          </w:tcPr>
          <w:p>
            <w:pPr>
              <w:adjustRightInd w:val="0"/>
              <w:snapToGrid w:val="0"/>
              <w:rPr>
                <w:rFonts w:hint="eastAsia" w:eastAsia="仿宋_GB2312"/>
                <w:sz w:val="28"/>
                <w:szCs w:val="28"/>
                <w:lang w:val="en-US" w:eastAsia="zh-CN"/>
              </w:rPr>
            </w:pPr>
            <w:r>
              <w:rPr>
                <w:rFonts w:hint="eastAsia" w:eastAsia="仿宋_GB2312"/>
                <w:sz w:val="28"/>
                <w:szCs w:val="28"/>
                <w:lang w:val="en-US" w:eastAsia="zh-CN"/>
              </w:rPr>
              <w:t>无</w:t>
            </w:r>
          </w:p>
        </w:tc>
        <w:tc>
          <w:tcPr>
            <w:tcW w:w="5625" w:type="dxa"/>
            <w:vAlign w:val="center"/>
          </w:tcPr>
          <w:p>
            <w:pPr>
              <w:numPr>
                <w:ilvl w:val="0"/>
                <w:numId w:val="8"/>
              </w:numPr>
              <w:ind w:left="425" w:leftChars="0" w:hanging="425"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电缆采用柔性圆形结构设计,须适用于翻车机等适合于频繁弯曲和往返运动的场合，可承受中等应力。</w:t>
            </w:r>
          </w:p>
          <w:p>
            <w:pPr>
              <w:numPr>
                <w:ilvl w:val="0"/>
                <w:numId w:val="8"/>
              </w:numPr>
              <w:ind w:left="425" w:leftChars="0" w:hanging="425"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电缆具备以下特性：柔性，可弯曲性；抗拉,抗撕裂，性能稳定；优良的耐油性，耐磨性，耐寒性，耐候性,耐酸碱，耐UV。</w:t>
            </w:r>
          </w:p>
          <w:p>
            <w:pPr>
              <w:numPr>
                <w:ilvl w:val="0"/>
                <w:numId w:val="8"/>
              </w:numPr>
              <w:ind w:left="425" w:leftChars="0" w:hanging="425"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电缆采用双层护套，护套采用耐磨、耐油的聚氨酯(PUR)护套。</w:t>
            </w:r>
          </w:p>
          <w:p>
            <w:pPr>
              <w:numPr>
                <w:ilvl w:val="0"/>
                <w:numId w:val="8"/>
              </w:numPr>
              <w:ind w:left="425" w:leftChars="0" w:hanging="425"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电缆的阻燃性，符合IEC60332-1。</w:t>
            </w:r>
          </w:p>
          <w:p>
            <w:pPr>
              <w:numPr>
                <w:ilvl w:val="0"/>
                <w:numId w:val="8"/>
              </w:numPr>
              <w:ind w:left="425" w:leftChars="0" w:hanging="425"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电缆可在干燥或潮湿的室内或室外使用。</w:t>
            </w:r>
          </w:p>
          <w:p>
            <w:pPr>
              <w:numPr>
                <w:ilvl w:val="0"/>
                <w:numId w:val="8"/>
              </w:numPr>
              <w:ind w:left="425" w:leftChars="0" w:hanging="425" w:firstLineChars="0"/>
              <w:jc w:val="both"/>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电缆采用铜屏蔽，确保了数据准确的传输并且保护电缆不受电磁干扰和影响。</w:t>
            </w:r>
          </w:p>
          <w:p>
            <w:pPr>
              <w:numPr>
                <w:ilvl w:val="0"/>
                <w:numId w:val="0"/>
              </w:numPr>
              <w:adjustRightInd w:val="0"/>
              <w:snapToGrid w:val="0"/>
              <w:ind w:leftChars="0"/>
              <w:rPr>
                <w:rFonts w:hint="eastAsia" w:eastAsia="仿宋_GB2312"/>
                <w:sz w:val="28"/>
                <w:szCs w:val="28"/>
                <w:lang w:val="en-US" w:eastAsia="zh-CN"/>
              </w:rPr>
            </w:pPr>
          </w:p>
        </w:tc>
        <w:tc>
          <w:tcPr>
            <w:tcW w:w="897" w:type="dxa"/>
            <w:vAlign w:val="center"/>
          </w:tcPr>
          <w:p>
            <w:pPr>
              <w:adjustRightInd w:val="0"/>
              <w:snapToGrid w:val="0"/>
              <w:rPr>
                <w:rFonts w:hint="eastAsia" w:ascii="宋体" w:hAnsi="宋体" w:cs="宋体"/>
                <w:sz w:val="24"/>
                <w:szCs w:val="24"/>
                <w:lang w:val="en-US" w:eastAsia="zh-CN"/>
              </w:rPr>
            </w:pPr>
          </w:p>
        </w:tc>
      </w:tr>
    </w:tbl>
    <w:p>
      <w:pPr>
        <w:numPr>
          <w:ilvl w:val="0"/>
          <w:numId w:val="0"/>
        </w:numPr>
        <w:adjustRightInd w:val="0"/>
        <w:snapToGrid w:val="0"/>
        <w:spacing w:line="360" w:lineRule="auto"/>
        <w:ind w:leftChars="0"/>
        <w:rPr>
          <w:rFonts w:eastAsia="仿宋_GB2312"/>
          <w:b/>
          <w:sz w:val="28"/>
          <w:szCs w:val="28"/>
        </w:rPr>
      </w:pPr>
    </w:p>
    <w:bookmarkEnd w:id="0"/>
    <w:bookmarkEnd w:id="1"/>
    <w:bookmarkEnd w:id="2"/>
    <w:p>
      <w:pPr>
        <w:adjustRightInd w:val="0"/>
        <w:snapToGrid w:val="0"/>
        <w:spacing w:line="360" w:lineRule="auto"/>
        <w:ind w:left="-437" w:leftChars="-208"/>
        <w:rPr>
          <w:rFonts w:eastAsia="仿宋_GB2312"/>
          <w:b/>
          <w:sz w:val="28"/>
          <w:szCs w:val="28"/>
        </w:rPr>
        <w:sectPr>
          <w:pgSz w:w="16838" w:h="11906" w:orient="landscape"/>
          <w:pgMar w:top="1803" w:right="1440" w:bottom="1803" w:left="1440" w:header="851" w:footer="992" w:gutter="0"/>
          <w:cols w:space="720" w:num="1"/>
          <w:docGrid w:type="lines" w:linePitch="319" w:charSpace="0"/>
        </w:sectPr>
      </w:pPr>
    </w:p>
    <w:p>
      <w:pPr>
        <w:numPr>
          <w:ilvl w:val="1"/>
          <w:numId w:val="1"/>
        </w:numPr>
        <w:adjustRightInd w:val="0"/>
        <w:snapToGrid w:val="0"/>
        <w:spacing w:line="360" w:lineRule="auto"/>
        <w:ind w:left="585" w:hanging="585" w:hangingChars="208"/>
        <w:rPr>
          <w:rFonts w:eastAsia="仿宋_GB2312"/>
          <w:b/>
          <w:sz w:val="28"/>
          <w:szCs w:val="28"/>
        </w:rPr>
      </w:pPr>
      <w:r>
        <w:rPr>
          <w:rFonts w:hint="eastAsia" w:eastAsia="仿宋_GB2312"/>
          <w:b/>
          <w:sz w:val="28"/>
          <w:szCs w:val="28"/>
        </w:rPr>
        <w:t>其他技术要求</w:t>
      </w:r>
    </w:p>
    <w:p>
      <w:pPr>
        <w:numPr>
          <w:ilvl w:val="0"/>
          <w:numId w:val="0"/>
        </w:numPr>
        <w:adjustRightInd w:val="0"/>
        <w:snapToGrid w:val="0"/>
        <w:spacing w:line="360" w:lineRule="auto"/>
        <w:ind w:firstLine="560" w:firstLineChars="200"/>
        <w:rPr>
          <w:rFonts w:hint="eastAsia" w:eastAsia="仿宋_GB2312"/>
          <w:sz w:val="28"/>
          <w:szCs w:val="28"/>
          <w:lang w:val="en-US" w:eastAsia="zh-CN"/>
        </w:rPr>
      </w:pPr>
      <w:r>
        <w:rPr>
          <w:rFonts w:hint="eastAsia" w:eastAsia="仿宋_GB2312"/>
          <w:sz w:val="28"/>
          <w:szCs w:val="28"/>
        </w:rPr>
        <w:t>3.1</w:t>
      </w:r>
      <w:r>
        <w:rPr>
          <w:rFonts w:hint="eastAsia" w:eastAsia="仿宋_GB2312"/>
          <w:sz w:val="28"/>
          <w:szCs w:val="28"/>
          <w:lang w:val="en-US" w:eastAsia="zh-CN"/>
        </w:rPr>
        <w:t xml:space="preserve"> </w:t>
      </w:r>
      <w:r>
        <w:rPr>
          <w:rFonts w:hint="eastAsia" w:eastAsia="仿宋_GB2312"/>
          <w:sz w:val="28"/>
          <w:szCs w:val="28"/>
        </w:rPr>
        <w:t>设备供货</w:t>
      </w:r>
      <w:r>
        <w:rPr>
          <w:rFonts w:hint="eastAsia" w:eastAsia="仿宋_GB2312"/>
          <w:sz w:val="28"/>
          <w:szCs w:val="28"/>
          <w:lang w:val="en-US" w:eastAsia="zh-CN"/>
        </w:rPr>
        <w:t xml:space="preserve">产品严格按照技术要求供货，同时提供所供产品在滑轨等频繁弯曲和往返运动的场合使用的业绩证明（如卸煤翻车机系统等），提供合同扫描件、现场使用照片等。                                                         </w:t>
      </w:r>
    </w:p>
    <w:p>
      <w:pPr>
        <w:tabs>
          <w:tab w:val="left" w:pos="0"/>
        </w:tabs>
        <w:adjustRightInd w:val="0"/>
        <w:snapToGrid w:val="0"/>
        <w:spacing w:line="360" w:lineRule="auto"/>
        <w:ind w:firstLine="560" w:firstLineChars="200"/>
        <w:rPr>
          <w:rFonts w:hint="eastAsia" w:eastAsia="仿宋_GB2312"/>
          <w:sz w:val="28"/>
          <w:szCs w:val="28"/>
        </w:rPr>
      </w:pPr>
      <w:r>
        <w:rPr>
          <w:rFonts w:hint="eastAsia" w:eastAsia="仿宋_GB2312"/>
          <w:sz w:val="28"/>
          <w:szCs w:val="28"/>
        </w:rPr>
        <w:t>3.2</w:t>
      </w:r>
      <w:r>
        <w:rPr>
          <w:rFonts w:hint="eastAsia" w:eastAsia="仿宋_GB2312"/>
          <w:sz w:val="28"/>
          <w:szCs w:val="28"/>
          <w:lang w:val="en-US" w:eastAsia="zh-CN"/>
        </w:rPr>
        <w:t xml:space="preserve"> </w:t>
      </w:r>
      <w:r>
        <w:rPr>
          <w:rFonts w:hint="eastAsia" w:eastAsia="仿宋_GB2312"/>
          <w:sz w:val="28"/>
          <w:szCs w:val="28"/>
        </w:rPr>
        <w:t>设备供货前需</w:t>
      </w:r>
      <w:r>
        <w:rPr>
          <w:rFonts w:eastAsia="仿宋_GB2312"/>
          <w:sz w:val="28"/>
          <w:szCs w:val="28"/>
        </w:rPr>
        <w:t>做</w:t>
      </w:r>
      <w:r>
        <w:rPr>
          <w:rFonts w:hint="eastAsia" w:eastAsia="仿宋_GB2312"/>
          <w:sz w:val="28"/>
          <w:szCs w:val="28"/>
        </w:rPr>
        <w:t>性能</w:t>
      </w:r>
      <w:r>
        <w:rPr>
          <w:rFonts w:eastAsia="仿宋_GB2312"/>
          <w:sz w:val="28"/>
          <w:szCs w:val="28"/>
        </w:rPr>
        <w:t>试验，供应商</w:t>
      </w:r>
      <w:r>
        <w:rPr>
          <w:rFonts w:hint="eastAsia" w:eastAsia="仿宋_GB2312"/>
          <w:sz w:val="28"/>
          <w:szCs w:val="28"/>
        </w:rPr>
        <w:t>需在供货时</w:t>
      </w:r>
      <w:r>
        <w:rPr>
          <w:rFonts w:eastAsia="仿宋_GB2312"/>
          <w:sz w:val="28"/>
          <w:szCs w:val="28"/>
        </w:rPr>
        <w:t>提供试验报告</w:t>
      </w:r>
      <w:r>
        <w:rPr>
          <w:rFonts w:hint="eastAsia" w:eastAsia="仿宋_GB2312"/>
          <w:sz w:val="28"/>
          <w:szCs w:val="28"/>
          <w:lang w:eastAsia="zh-CN"/>
        </w:rPr>
        <w:t>，</w:t>
      </w:r>
      <w:r>
        <w:rPr>
          <w:rFonts w:eastAsia="仿宋_GB2312"/>
          <w:sz w:val="28"/>
          <w:szCs w:val="28"/>
        </w:rPr>
        <w:t>提供</w:t>
      </w:r>
      <w:r>
        <w:rPr>
          <w:rFonts w:hint="eastAsia" w:eastAsia="仿宋_GB2312"/>
          <w:sz w:val="28"/>
          <w:szCs w:val="28"/>
        </w:rPr>
        <w:t>出厂</w:t>
      </w:r>
      <w:r>
        <w:rPr>
          <w:rFonts w:eastAsia="仿宋_GB2312"/>
          <w:sz w:val="28"/>
          <w:szCs w:val="28"/>
        </w:rPr>
        <w:t>报告、</w:t>
      </w:r>
      <w:r>
        <w:rPr>
          <w:rFonts w:hint="eastAsia" w:eastAsia="仿宋_GB2312"/>
          <w:sz w:val="28"/>
          <w:szCs w:val="28"/>
          <w:lang w:val="en-US" w:eastAsia="zh-CN"/>
        </w:rPr>
        <w:t>说明书、</w:t>
      </w:r>
      <w:r>
        <w:rPr>
          <w:rFonts w:hint="eastAsia" w:eastAsia="仿宋_GB2312"/>
          <w:sz w:val="28"/>
          <w:szCs w:val="28"/>
        </w:rPr>
        <w:t>合格证。</w:t>
      </w:r>
    </w:p>
    <w:p>
      <w:pPr>
        <w:tabs>
          <w:tab w:val="left" w:pos="0"/>
        </w:tabs>
        <w:adjustRightInd w:val="0"/>
        <w:snapToGrid w:val="0"/>
        <w:spacing w:line="360" w:lineRule="auto"/>
        <w:ind w:firstLine="560" w:firstLineChars="200"/>
        <w:rPr>
          <w:rFonts w:hint="eastAsia" w:eastAsia="仿宋_GB2312"/>
          <w:sz w:val="28"/>
          <w:szCs w:val="28"/>
          <w:lang w:val="en-US" w:eastAsia="zh-CN"/>
        </w:rPr>
      </w:pPr>
      <w:r>
        <w:rPr>
          <w:rFonts w:hint="eastAsia" w:eastAsia="仿宋_GB2312"/>
          <w:sz w:val="28"/>
          <w:szCs w:val="28"/>
          <w:lang w:val="en-US" w:eastAsia="zh-CN"/>
        </w:rPr>
        <w:t>3.3 设备品牌优于或相当于以下品牌：上海名耐电缆、上海德柔电缆、上海德汝电缆、上海耐沃电缆、上海甲郎电缆。</w:t>
      </w:r>
    </w:p>
    <w:p>
      <w:pPr>
        <w:numPr>
          <w:ilvl w:val="1"/>
          <w:numId w:val="1"/>
        </w:numPr>
        <w:adjustRightInd w:val="0"/>
        <w:snapToGrid w:val="0"/>
        <w:spacing w:line="360" w:lineRule="auto"/>
        <w:ind w:left="585" w:hanging="585" w:hangingChars="208"/>
        <w:rPr>
          <w:rFonts w:hint="eastAsia" w:eastAsia="仿宋_GB2312"/>
          <w:b/>
          <w:sz w:val="28"/>
          <w:szCs w:val="28"/>
        </w:rPr>
      </w:pPr>
      <w:r>
        <w:rPr>
          <w:rFonts w:hint="eastAsia" w:eastAsia="仿宋_GB2312"/>
          <w:b/>
          <w:sz w:val="28"/>
          <w:szCs w:val="28"/>
        </w:rPr>
        <w:t>供货期</w:t>
      </w:r>
    </w:p>
    <w:p>
      <w:pPr>
        <w:adjustRightInd w:val="0"/>
        <w:snapToGrid w:val="0"/>
        <w:spacing w:line="360" w:lineRule="auto"/>
        <w:ind w:firstLine="560" w:firstLineChars="200"/>
        <w:rPr>
          <w:rFonts w:hint="eastAsia" w:eastAsia="仿宋_GB2312"/>
          <w:sz w:val="28"/>
          <w:szCs w:val="28"/>
        </w:rPr>
      </w:pPr>
      <w:r>
        <w:rPr>
          <w:rFonts w:hint="eastAsia" w:eastAsia="仿宋_GB2312"/>
          <w:sz w:val="28"/>
          <w:szCs w:val="28"/>
        </w:rPr>
        <w:t>本设备供货期为签订合同或接到采购人通知后（以先到者计算）</w:t>
      </w:r>
      <w:r>
        <w:rPr>
          <w:rFonts w:hint="eastAsia" w:eastAsia="仿宋_GB2312"/>
          <w:sz w:val="28"/>
          <w:szCs w:val="28"/>
          <w:lang w:val="en-US" w:eastAsia="zh-CN"/>
        </w:rPr>
        <w:t>30</w:t>
      </w:r>
      <w:r>
        <w:rPr>
          <w:rFonts w:hint="eastAsia" w:eastAsia="仿宋_GB2312"/>
          <w:sz w:val="28"/>
          <w:szCs w:val="28"/>
        </w:rPr>
        <w:t>天。</w:t>
      </w:r>
    </w:p>
    <w:p>
      <w:pPr>
        <w:adjustRightInd w:val="0"/>
        <w:snapToGrid w:val="0"/>
        <w:spacing w:line="360" w:lineRule="auto"/>
        <w:ind w:firstLine="560" w:firstLineChars="200"/>
        <w:rPr>
          <w:rFonts w:hint="eastAsia" w:eastAsia="仿宋_GB2312"/>
          <w:sz w:val="28"/>
          <w:szCs w:val="28"/>
        </w:rPr>
      </w:pPr>
      <w:r>
        <w:rPr>
          <w:rFonts w:hint="eastAsia" w:eastAsia="仿宋_GB2312"/>
          <w:sz w:val="28"/>
          <w:szCs w:val="28"/>
        </w:rPr>
        <w:t>由于供应商责任导致设备的返修或换货而使合同设备的起动延误时，以该设备纠正缺陷后或在现场完成修好的日期计算实际供货期。</w:t>
      </w:r>
    </w:p>
    <w:p>
      <w:pPr>
        <w:numPr>
          <w:ilvl w:val="1"/>
          <w:numId w:val="1"/>
        </w:numPr>
        <w:adjustRightInd w:val="0"/>
        <w:snapToGrid w:val="0"/>
        <w:spacing w:line="360" w:lineRule="auto"/>
        <w:ind w:left="585" w:hanging="585" w:hangingChars="208"/>
        <w:rPr>
          <w:rFonts w:hint="eastAsia" w:eastAsia="仿宋_GB2312"/>
          <w:b/>
          <w:sz w:val="28"/>
          <w:szCs w:val="28"/>
        </w:rPr>
      </w:pPr>
      <w:r>
        <w:rPr>
          <w:rFonts w:hint="eastAsia" w:eastAsia="仿宋_GB2312"/>
          <w:b/>
          <w:sz w:val="28"/>
          <w:szCs w:val="28"/>
        </w:rPr>
        <w:t>质保期</w:t>
      </w:r>
    </w:p>
    <w:p>
      <w:pPr>
        <w:adjustRightInd w:val="0"/>
        <w:snapToGrid w:val="0"/>
        <w:spacing w:line="360" w:lineRule="auto"/>
        <w:ind w:firstLine="560" w:firstLineChars="200"/>
        <w:rPr>
          <w:rFonts w:hint="eastAsia" w:eastAsia="仿宋_GB2312"/>
          <w:sz w:val="28"/>
          <w:szCs w:val="28"/>
        </w:rPr>
      </w:pPr>
      <w:r>
        <w:rPr>
          <w:rFonts w:hint="eastAsia" w:eastAsia="仿宋_GB2312"/>
          <w:sz w:val="28"/>
          <w:szCs w:val="28"/>
        </w:rPr>
        <w:t>5.1本设备质保期为到货验收合格后</w:t>
      </w:r>
      <w:r>
        <w:rPr>
          <w:rFonts w:eastAsia="仿宋_GB2312"/>
          <w:sz w:val="28"/>
          <w:szCs w:val="28"/>
        </w:rPr>
        <w:t>18</w:t>
      </w:r>
      <w:r>
        <w:rPr>
          <w:rFonts w:hint="eastAsia" w:eastAsia="仿宋_GB2312"/>
          <w:sz w:val="28"/>
          <w:szCs w:val="28"/>
        </w:rPr>
        <w:t>个月或设备投入运行后1</w:t>
      </w:r>
      <w:r>
        <w:rPr>
          <w:rFonts w:eastAsia="仿宋_GB2312"/>
          <w:sz w:val="28"/>
          <w:szCs w:val="28"/>
        </w:rPr>
        <w:t>2</w:t>
      </w:r>
      <w:r>
        <w:rPr>
          <w:rFonts w:hint="eastAsia" w:eastAsia="仿宋_GB2312"/>
          <w:sz w:val="28"/>
          <w:szCs w:val="28"/>
        </w:rPr>
        <w:t>个月（以先到者计算）。</w:t>
      </w:r>
    </w:p>
    <w:p>
      <w:pPr>
        <w:adjustRightInd w:val="0"/>
        <w:snapToGrid w:val="0"/>
        <w:spacing w:line="360" w:lineRule="auto"/>
        <w:ind w:firstLine="560" w:firstLineChars="200"/>
        <w:rPr>
          <w:rFonts w:eastAsia="仿宋_GB2312"/>
          <w:sz w:val="28"/>
          <w:szCs w:val="28"/>
        </w:rPr>
      </w:pPr>
      <w:r>
        <w:rPr>
          <w:rFonts w:hint="eastAsia" w:eastAsia="仿宋_GB2312"/>
          <w:sz w:val="28"/>
          <w:szCs w:val="28"/>
        </w:rPr>
        <w:t>5.2</w:t>
      </w:r>
      <w:r>
        <w:rPr>
          <w:rFonts w:eastAsia="仿宋_GB2312"/>
          <w:sz w:val="28"/>
          <w:szCs w:val="28"/>
        </w:rPr>
        <w:t>在质保期内，因供应商原因引起的质量问题</w:t>
      </w:r>
      <w:r>
        <w:rPr>
          <w:rFonts w:hint="eastAsia" w:eastAsia="仿宋_GB2312"/>
          <w:sz w:val="28"/>
          <w:szCs w:val="28"/>
        </w:rPr>
        <w:t>，由供应商</w:t>
      </w:r>
      <w:r>
        <w:rPr>
          <w:rFonts w:eastAsia="仿宋_GB2312"/>
          <w:sz w:val="28"/>
          <w:szCs w:val="28"/>
        </w:rPr>
        <w:t>全面负责，包括但不限于</w:t>
      </w:r>
      <w:r>
        <w:rPr>
          <w:rFonts w:hint="eastAsia" w:eastAsia="仿宋_GB2312"/>
          <w:sz w:val="28"/>
          <w:szCs w:val="28"/>
        </w:rPr>
        <w:t>现场服务、</w:t>
      </w:r>
      <w:r>
        <w:rPr>
          <w:rFonts w:eastAsia="仿宋_GB2312"/>
          <w:sz w:val="28"/>
          <w:szCs w:val="28"/>
        </w:rPr>
        <w:t>维修、更换等</w:t>
      </w:r>
      <w:r>
        <w:rPr>
          <w:rFonts w:hint="eastAsia" w:eastAsia="仿宋_GB2312"/>
          <w:sz w:val="28"/>
          <w:szCs w:val="28"/>
        </w:rPr>
        <w:t>，</w:t>
      </w:r>
      <w:r>
        <w:rPr>
          <w:rFonts w:eastAsia="仿宋_GB2312"/>
          <w:sz w:val="28"/>
          <w:szCs w:val="28"/>
        </w:rPr>
        <w:t>所发生的</w:t>
      </w:r>
      <w:r>
        <w:rPr>
          <w:rFonts w:hint="eastAsia" w:eastAsia="仿宋_GB2312"/>
          <w:sz w:val="28"/>
          <w:szCs w:val="28"/>
        </w:rPr>
        <w:t>一切</w:t>
      </w:r>
      <w:r>
        <w:rPr>
          <w:rFonts w:eastAsia="仿宋_GB2312"/>
          <w:sz w:val="28"/>
          <w:szCs w:val="28"/>
        </w:rPr>
        <w:t>费用由供应商负责。</w:t>
      </w:r>
    </w:p>
    <w:p>
      <w:pPr>
        <w:adjustRightInd w:val="0"/>
        <w:snapToGrid w:val="0"/>
        <w:spacing w:line="360" w:lineRule="auto"/>
        <w:ind w:firstLine="560" w:firstLineChars="200"/>
        <w:rPr>
          <w:rFonts w:hint="eastAsia" w:eastAsia="仿宋_GB2312"/>
          <w:sz w:val="28"/>
          <w:szCs w:val="28"/>
        </w:rPr>
      </w:pPr>
      <w:r>
        <w:rPr>
          <w:rFonts w:hint="eastAsia" w:eastAsia="仿宋_GB2312"/>
          <w:sz w:val="28"/>
          <w:szCs w:val="28"/>
        </w:rPr>
        <w:t>5.3质保期内，供应商需</w:t>
      </w:r>
      <w:r>
        <w:rPr>
          <w:rFonts w:eastAsia="仿宋_GB2312"/>
          <w:sz w:val="28"/>
          <w:szCs w:val="28"/>
        </w:rPr>
        <w:t>在收到</w:t>
      </w:r>
      <w:r>
        <w:rPr>
          <w:rFonts w:hint="eastAsia" w:eastAsia="仿宋_GB2312"/>
          <w:sz w:val="28"/>
          <w:szCs w:val="28"/>
        </w:rPr>
        <w:t>采购人</w:t>
      </w:r>
      <w:r>
        <w:rPr>
          <w:rFonts w:eastAsia="仿宋_GB2312"/>
          <w:sz w:val="28"/>
          <w:szCs w:val="28"/>
        </w:rPr>
        <w:t>通知后 24 小时内做出响应，如需</w:t>
      </w:r>
      <w:r>
        <w:rPr>
          <w:rFonts w:hint="eastAsia" w:eastAsia="仿宋_GB2312"/>
          <w:sz w:val="28"/>
          <w:szCs w:val="28"/>
        </w:rPr>
        <w:t>供应商</w:t>
      </w:r>
      <w:r>
        <w:rPr>
          <w:rFonts w:eastAsia="仿宋_GB2312"/>
          <w:sz w:val="28"/>
          <w:szCs w:val="28"/>
        </w:rPr>
        <w:t>到设备现场，</w:t>
      </w:r>
      <w:r>
        <w:rPr>
          <w:rFonts w:hint="eastAsia" w:eastAsia="仿宋_GB2312"/>
          <w:sz w:val="28"/>
          <w:szCs w:val="28"/>
        </w:rPr>
        <w:t>供应商</w:t>
      </w:r>
      <w:r>
        <w:rPr>
          <w:rFonts w:eastAsia="仿宋_GB2312"/>
          <w:sz w:val="28"/>
          <w:szCs w:val="28"/>
        </w:rPr>
        <w:t>应在收到</w:t>
      </w:r>
      <w:r>
        <w:rPr>
          <w:rFonts w:hint="eastAsia" w:eastAsia="仿宋_GB2312"/>
          <w:sz w:val="28"/>
          <w:szCs w:val="28"/>
        </w:rPr>
        <w:t>采购人</w:t>
      </w:r>
      <w:r>
        <w:rPr>
          <w:rFonts w:eastAsia="仿宋_GB2312"/>
          <w:sz w:val="28"/>
          <w:szCs w:val="28"/>
        </w:rPr>
        <w:t>通知后 48 小时内到达，并在到达后 7 日内解决合同设备的故障(重大故障除外)。如果</w:t>
      </w:r>
      <w:r>
        <w:rPr>
          <w:rFonts w:hint="eastAsia" w:eastAsia="仿宋_GB2312"/>
          <w:sz w:val="28"/>
          <w:szCs w:val="28"/>
        </w:rPr>
        <w:t>供应商</w:t>
      </w:r>
      <w:r>
        <w:rPr>
          <w:rFonts w:eastAsia="仿宋_GB2312"/>
          <w:sz w:val="28"/>
          <w:szCs w:val="28"/>
        </w:rPr>
        <w:t>未在上述时间内作出响应，则</w:t>
      </w:r>
      <w:r>
        <w:rPr>
          <w:rFonts w:hint="eastAsia" w:eastAsia="仿宋_GB2312"/>
          <w:sz w:val="28"/>
          <w:szCs w:val="28"/>
        </w:rPr>
        <w:t>采购人</w:t>
      </w:r>
      <w:r>
        <w:rPr>
          <w:rFonts w:eastAsia="仿宋_GB2312"/>
          <w:sz w:val="28"/>
          <w:szCs w:val="28"/>
        </w:rPr>
        <w:t>有权自行或委托他人解决相关问题或查找和解决合同设备的故障，</w:t>
      </w:r>
      <w:r>
        <w:rPr>
          <w:rFonts w:hint="eastAsia" w:eastAsia="仿宋_GB2312"/>
          <w:sz w:val="28"/>
          <w:szCs w:val="28"/>
        </w:rPr>
        <w:t>供应商</w:t>
      </w:r>
      <w:r>
        <w:rPr>
          <w:rFonts w:eastAsia="仿宋_GB2312"/>
          <w:sz w:val="28"/>
          <w:szCs w:val="28"/>
        </w:rPr>
        <w:t>应承担由此发生的全部费用。</w:t>
      </w:r>
    </w:p>
    <w:p>
      <w:pPr>
        <w:numPr>
          <w:ilvl w:val="1"/>
          <w:numId w:val="1"/>
        </w:numPr>
        <w:adjustRightInd w:val="0"/>
        <w:snapToGrid w:val="0"/>
        <w:spacing w:line="360" w:lineRule="auto"/>
        <w:ind w:left="585" w:hanging="585" w:hangingChars="208"/>
        <w:rPr>
          <w:rFonts w:hint="eastAsia" w:eastAsia="仿宋_GB2312"/>
          <w:b/>
          <w:sz w:val="28"/>
          <w:szCs w:val="28"/>
        </w:rPr>
      </w:pPr>
      <w:r>
        <w:rPr>
          <w:rFonts w:hint="eastAsia" w:eastAsia="仿宋_GB2312"/>
          <w:b/>
          <w:sz w:val="28"/>
          <w:szCs w:val="28"/>
        </w:rPr>
        <w:t>罚则</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jc w:val="left"/>
        <w:textAlignment w:val="auto"/>
        <w:outlineLvl w:val="9"/>
        <w:rPr>
          <w:rFonts w:hint="eastAsia" w:eastAsia="仿宋_GB2312"/>
          <w:sz w:val="28"/>
          <w:szCs w:val="28"/>
        </w:rPr>
      </w:pPr>
      <w:r>
        <w:rPr>
          <w:rFonts w:hint="eastAsia" w:eastAsia="仿宋_GB2312"/>
          <w:sz w:val="28"/>
          <w:szCs w:val="28"/>
        </w:rPr>
        <w:t>6.1验收不合格的设备，采购人有权拒绝支付费用。</w:t>
      </w:r>
    </w:p>
    <w:p>
      <w:pPr>
        <w:adjustRightInd w:val="0"/>
        <w:snapToGrid w:val="0"/>
        <w:spacing w:line="360" w:lineRule="auto"/>
        <w:ind w:firstLine="560" w:firstLineChars="200"/>
        <w:rPr>
          <w:rFonts w:hint="eastAsia" w:eastAsia="仿宋_GB2312"/>
          <w:sz w:val="28"/>
          <w:szCs w:val="28"/>
          <w:lang w:eastAsia="zh-CN"/>
        </w:rPr>
      </w:pPr>
      <w:r>
        <w:rPr>
          <w:rFonts w:hint="eastAsia" w:eastAsia="仿宋_GB2312"/>
          <w:sz w:val="28"/>
          <w:szCs w:val="28"/>
        </w:rPr>
        <w:t>6.2设备质保期内出现的质量问题，采购人有权按</w:t>
      </w:r>
      <w:r>
        <w:rPr>
          <w:rFonts w:hint="eastAsia" w:eastAsia="仿宋_GB2312"/>
          <w:sz w:val="28"/>
          <w:szCs w:val="28"/>
          <w:lang w:val="en-US" w:eastAsia="zh-CN"/>
        </w:rPr>
        <w:t>以下情况</w:t>
      </w:r>
      <w:r>
        <w:rPr>
          <w:rFonts w:hint="eastAsia" w:eastAsia="仿宋_GB2312"/>
          <w:sz w:val="28"/>
          <w:szCs w:val="28"/>
        </w:rPr>
        <w:t>对供应商按</w:t>
      </w:r>
      <w:r>
        <w:rPr>
          <w:rFonts w:hint="eastAsia" w:eastAsia="仿宋_GB2312"/>
          <w:sz w:val="28"/>
          <w:szCs w:val="28"/>
          <w:lang w:val="en-US" w:eastAsia="zh-CN"/>
        </w:rPr>
        <w:t>进行要求</w:t>
      </w:r>
      <w:r>
        <w:rPr>
          <w:rFonts w:hint="eastAsia" w:eastAsia="仿宋_GB2312"/>
          <w:sz w:val="28"/>
          <w:szCs w:val="28"/>
          <w:lang w:eastAsia="zh-CN"/>
        </w:rPr>
        <w:t>：</w:t>
      </w:r>
    </w:p>
    <w:p>
      <w:pPr>
        <w:adjustRightInd w:val="0"/>
        <w:snapToGrid w:val="0"/>
        <w:spacing w:line="360" w:lineRule="auto"/>
        <w:ind w:firstLine="560" w:firstLineChars="200"/>
        <w:rPr>
          <w:rFonts w:hint="eastAsia" w:eastAsia="仿宋_GB2312"/>
          <w:sz w:val="28"/>
          <w:szCs w:val="28"/>
          <w:lang w:val="en-US" w:eastAsia="zh-CN"/>
        </w:rPr>
      </w:pPr>
      <w:r>
        <w:rPr>
          <w:rFonts w:hint="eastAsia" w:eastAsia="仿宋_GB2312"/>
          <w:sz w:val="28"/>
          <w:szCs w:val="28"/>
          <w:lang w:val="en-US" w:eastAsia="zh-CN"/>
        </w:rPr>
        <w:t>6.2.1 因质量问题出现电缆绝缘击穿、线芯断裂、拉断等情况，供应商需更换同样长度、规格型号、厂家的全新产品。</w:t>
      </w:r>
    </w:p>
    <w:p>
      <w:pPr>
        <w:adjustRightInd w:val="0"/>
        <w:snapToGrid w:val="0"/>
        <w:spacing w:line="360" w:lineRule="auto"/>
        <w:ind w:firstLine="560" w:firstLineChars="200"/>
        <w:rPr>
          <w:rFonts w:hint="eastAsia" w:eastAsia="仿宋_GB2312"/>
          <w:sz w:val="28"/>
          <w:szCs w:val="28"/>
          <w:lang w:val="en-US" w:eastAsia="zh-CN"/>
        </w:rPr>
      </w:pPr>
      <w:r>
        <w:rPr>
          <w:rFonts w:hint="eastAsia" w:eastAsia="仿宋_GB2312"/>
          <w:sz w:val="28"/>
          <w:szCs w:val="28"/>
          <w:lang w:val="en-US" w:eastAsia="zh-CN"/>
        </w:rPr>
        <w:t>6.2.2 因质量问题出现电缆绝缘不合格，供货商需进行处理至绝缘合格，经处理仍不合格的，供应商需更换同样长度、规格型号、厂家的全新产品。</w:t>
      </w:r>
    </w:p>
    <w:p>
      <w:pPr>
        <w:numPr>
          <w:ilvl w:val="1"/>
          <w:numId w:val="1"/>
        </w:numPr>
        <w:adjustRightInd w:val="0"/>
        <w:snapToGrid w:val="0"/>
        <w:spacing w:line="360" w:lineRule="auto"/>
        <w:ind w:left="585" w:hanging="585" w:hangingChars="208"/>
        <w:rPr>
          <w:rFonts w:hint="eastAsia" w:eastAsia="仿宋_GB2312"/>
          <w:b/>
          <w:sz w:val="28"/>
          <w:szCs w:val="28"/>
        </w:rPr>
      </w:pPr>
      <w:bookmarkStart w:id="3" w:name="_GoBack"/>
      <w:bookmarkEnd w:id="3"/>
      <w:r>
        <w:rPr>
          <w:rFonts w:hint="eastAsia" w:eastAsia="仿宋_GB2312"/>
          <w:b/>
          <w:sz w:val="28"/>
          <w:szCs w:val="28"/>
        </w:rPr>
        <w:t>偏差表</w:t>
      </w:r>
    </w:p>
    <w:p>
      <w:pPr>
        <w:adjustRightInd w:val="0"/>
        <w:ind w:firstLine="480"/>
        <w:rPr>
          <w:rFonts w:hint="eastAsia" w:eastAsia="仿宋_GB2312"/>
          <w:sz w:val="28"/>
          <w:szCs w:val="28"/>
        </w:rPr>
      </w:pPr>
      <w:r>
        <w:rPr>
          <w:rFonts w:hint="eastAsia" w:eastAsia="仿宋_GB2312"/>
          <w:sz w:val="28"/>
          <w:szCs w:val="28"/>
        </w:rPr>
        <w:t>供应商应将响应文件和规范书的技术条款差异之处汇集成表。供应商必须填写本表，如无偏差，则在此表中填写“无”。</w:t>
      </w:r>
    </w:p>
    <w:tbl>
      <w:tblPr>
        <w:tblStyle w:val="7"/>
        <w:tblW w:w="90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5"/>
        <w:gridCol w:w="2044"/>
        <w:gridCol w:w="2045"/>
        <w:gridCol w:w="2044"/>
        <w:gridCol w:w="2045"/>
      </w:tblGrid>
      <w:tr>
        <w:tblPrEx>
          <w:tblLayout w:type="fixed"/>
          <w:tblCellMar>
            <w:top w:w="0" w:type="dxa"/>
            <w:left w:w="0" w:type="dxa"/>
            <w:bottom w:w="0" w:type="dxa"/>
            <w:right w:w="0" w:type="dxa"/>
          </w:tblCellMar>
        </w:tblPrEx>
        <w:trPr>
          <w:jc w:val="center"/>
        </w:trPr>
        <w:tc>
          <w:tcPr>
            <w:tcW w:w="905" w:type="dxa"/>
            <w:vMerge w:val="restart"/>
            <w:tcMar>
              <w:top w:w="0" w:type="dxa"/>
              <w:left w:w="28" w:type="dxa"/>
              <w:bottom w:w="0" w:type="dxa"/>
              <w:right w:w="28" w:type="dxa"/>
            </w:tcMar>
            <w:vAlign w:val="center"/>
          </w:tcPr>
          <w:p>
            <w:pPr>
              <w:adjustRightInd w:val="0"/>
              <w:ind w:left="3"/>
              <w:jc w:val="center"/>
              <w:rPr>
                <w:rFonts w:ascii="宋体" w:hAnsi="宋体"/>
                <w:sz w:val="22"/>
              </w:rPr>
            </w:pPr>
            <w:r>
              <w:rPr>
                <w:rFonts w:hint="eastAsia" w:ascii="宋体" w:hAnsi="宋体"/>
                <w:sz w:val="22"/>
              </w:rPr>
              <w:t>序号</w:t>
            </w:r>
          </w:p>
        </w:tc>
        <w:tc>
          <w:tcPr>
            <w:tcW w:w="4089" w:type="dxa"/>
            <w:gridSpan w:val="2"/>
            <w:tcMar>
              <w:top w:w="0" w:type="dxa"/>
              <w:left w:w="28" w:type="dxa"/>
              <w:bottom w:w="0" w:type="dxa"/>
              <w:right w:w="28" w:type="dxa"/>
            </w:tcMar>
            <w:vAlign w:val="center"/>
          </w:tcPr>
          <w:p>
            <w:pPr>
              <w:adjustRightInd w:val="0"/>
              <w:ind w:left="3"/>
              <w:jc w:val="center"/>
              <w:rPr>
                <w:rFonts w:ascii="宋体" w:hAnsi="宋体"/>
                <w:sz w:val="22"/>
              </w:rPr>
            </w:pPr>
            <w:r>
              <w:rPr>
                <w:rFonts w:hint="eastAsia" w:ascii="宋体" w:hAnsi="宋体"/>
                <w:sz w:val="22"/>
              </w:rPr>
              <w:t>招标文件</w:t>
            </w:r>
          </w:p>
        </w:tc>
        <w:tc>
          <w:tcPr>
            <w:tcW w:w="4089" w:type="dxa"/>
            <w:gridSpan w:val="2"/>
            <w:tcMar>
              <w:top w:w="0" w:type="dxa"/>
              <w:left w:w="28" w:type="dxa"/>
              <w:bottom w:w="0" w:type="dxa"/>
              <w:right w:w="28" w:type="dxa"/>
            </w:tcMar>
            <w:vAlign w:val="center"/>
          </w:tcPr>
          <w:p>
            <w:pPr>
              <w:adjustRightInd w:val="0"/>
              <w:ind w:left="3"/>
              <w:jc w:val="center"/>
              <w:rPr>
                <w:rFonts w:ascii="宋体" w:hAnsi="宋体"/>
                <w:sz w:val="22"/>
              </w:rPr>
            </w:pPr>
            <w:r>
              <w:rPr>
                <w:rFonts w:hint="eastAsia" w:ascii="宋体" w:hAnsi="宋体"/>
                <w:sz w:val="22"/>
              </w:rPr>
              <w:t>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905" w:type="dxa"/>
            <w:vMerge w:val="continue"/>
            <w:tcMar>
              <w:top w:w="0" w:type="dxa"/>
              <w:left w:w="28" w:type="dxa"/>
              <w:bottom w:w="0" w:type="dxa"/>
              <w:right w:w="28" w:type="dxa"/>
            </w:tcMar>
            <w:vAlign w:val="center"/>
          </w:tcPr>
          <w:p>
            <w:pPr>
              <w:adjustRightInd w:val="0"/>
              <w:jc w:val="center"/>
              <w:rPr>
                <w:rFonts w:ascii="宋体" w:hAnsi="宋体"/>
                <w:sz w:val="22"/>
              </w:rPr>
            </w:pPr>
          </w:p>
        </w:tc>
        <w:tc>
          <w:tcPr>
            <w:tcW w:w="2044" w:type="dxa"/>
            <w:tcMar>
              <w:top w:w="0" w:type="dxa"/>
              <w:left w:w="28" w:type="dxa"/>
              <w:bottom w:w="0" w:type="dxa"/>
              <w:right w:w="28" w:type="dxa"/>
            </w:tcMar>
            <w:vAlign w:val="center"/>
          </w:tcPr>
          <w:p>
            <w:pPr>
              <w:adjustRightInd w:val="0"/>
              <w:jc w:val="center"/>
              <w:rPr>
                <w:rFonts w:ascii="宋体" w:hAnsi="宋体"/>
                <w:sz w:val="22"/>
              </w:rPr>
            </w:pPr>
            <w:r>
              <w:rPr>
                <w:rFonts w:hint="eastAsia" w:ascii="宋体" w:hAnsi="宋体"/>
                <w:sz w:val="22"/>
              </w:rPr>
              <w:t>条目</w:t>
            </w:r>
          </w:p>
        </w:tc>
        <w:tc>
          <w:tcPr>
            <w:tcW w:w="2045" w:type="dxa"/>
            <w:tcMar>
              <w:top w:w="0" w:type="dxa"/>
              <w:left w:w="28" w:type="dxa"/>
              <w:bottom w:w="0" w:type="dxa"/>
              <w:right w:w="28" w:type="dxa"/>
            </w:tcMar>
            <w:vAlign w:val="center"/>
          </w:tcPr>
          <w:p>
            <w:pPr>
              <w:adjustRightInd w:val="0"/>
              <w:jc w:val="center"/>
              <w:rPr>
                <w:rFonts w:ascii="宋体" w:hAnsi="宋体"/>
                <w:sz w:val="22"/>
              </w:rPr>
            </w:pPr>
            <w:r>
              <w:rPr>
                <w:rFonts w:hint="eastAsia" w:ascii="宋体" w:hAnsi="宋体"/>
                <w:sz w:val="22"/>
              </w:rPr>
              <w:t>简要内容</w:t>
            </w:r>
          </w:p>
        </w:tc>
        <w:tc>
          <w:tcPr>
            <w:tcW w:w="2044" w:type="dxa"/>
            <w:tcMar>
              <w:top w:w="0" w:type="dxa"/>
              <w:left w:w="28" w:type="dxa"/>
              <w:bottom w:w="0" w:type="dxa"/>
              <w:right w:w="28" w:type="dxa"/>
            </w:tcMar>
            <w:vAlign w:val="center"/>
          </w:tcPr>
          <w:p>
            <w:pPr>
              <w:adjustRightInd w:val="0"/>
              <w:jc w:val="center"/>
              <w:rPr>
                <w:rFonts w:ascii="宋体" w:hAnsi="宋体"/>
                <w:sz w:val="22"/>
              </w:rPr>
            </w:pPr>
            <w:r>
              <w:rPr>
                <w:rFonts w:hint="eastAsia" w:ascii="宋体" w:hAnsi="宋体"/>
                <w:sz w:val="22"/>
              </w:rPr>
              <w:t>条目</w:t>
            </w:r>
          </w:p>
        </w:tc>
        <w:tc>
          <w:tcPr>
            <w:tcW w:w="2045" w:type="dxa"/>
            <w:tcMar>
              <w:top w:w="0" w:type="dxa"/>
              <w:left w:w="28" w:type="dxa"/>
              <w:bottom w:w="0" w:type="dxa"/>
              <w:right w:w="28" w:type="dxa"/>
            </w:tcMar>
            <w:vAlign w:val="center"/>
          </w:tcPr>
          <w:p>
            <w:pPr>
              <w:adjustRightInd w:val="0"/>
              <w:jc w:val="center"/>
              <w:rPr>
                <w:rFonts w:ascii="宋体" w:hAnsi="宋体"/>
                <w:sz w:val="22"/>
              </w:rPr>
            </w:pPr>
            <w:r>
              <w:rPr>
                <w:rFonts w:hint="eastAsia" w:ascii="宋体" w:hAnsi="宋体"/>
                <w:sz w:val="22"/>
              </w:rPr>
              <w:t>简要内容</w:t>
            </w:r>
          </w:p>
        </w:tc>
      </w:tr>
      <w:tr>
        <w:tblPrEx>
          <w:tblLayout w:type="fixed"/>
          <w:tblCellMar>
            <w:top w:w="0" w:type="dxa"/>
            <w:left w:w="0" w:type="dxa"/>
            <w:bottom w:w="0" w:type="dxa"/>
            <w:right w:w="0" w:type="dxa"/>
          </w:tblCellMar>
        </w:tblPrEx>
        <w:trPr>
          <w:jc w:val="center"/>
        </w:trPr>
        <w:tc>
          <w:tcPr>
            <w:tcW w:w="905" w:type="dxa"/>
            <w:tcMar>
              <w:top w:w="0" w:type="dxa"/>
              <w:left w:w="28" w:type="dxa"/>
              <w:bottom w:w="0" w:type="dxa"/>
              <w:right w:w="28" w:type="dxa"/>
            </w:tcMar>
            <w:vAlign w:val="center"/>
          </w:tcPr>
          <w:p>
            <w:pPr>
              <w:adjustRightInd w:val="0"/>
              <w:jc w:val="center"/>
              <w:rPr>
                <w:rFonts w:ascii="宋体" w:hAnsi="宋体"/>
                <w:sz w:val="22"/>
              </w:rPr>
            </w:pPr>
          </w:p>
        </w:tc>
        <w:tc>
          <w:tcPr>
            <w:tcW w:w="2044" w:type="dxa"/>
            <w:tcMar>
              <w:top w:w="0" w:type="dxa"/>
              <w:left w:w="28" w:type="dxa"/>
              <w:bottom w:w="0" w:type="dxa"/>
              <w:right w:w="28" w:type="dxa"/>
            </w:tcMar>
            <w:vAlign w:val="center"/>
          </w:tcPr>
          <w:p>
            <w:pPr>
              <w:adjustRightInd w:val="0"/>
              <w:jc w:val="center"/>
              <w:rPr>
                <w:rFonts w:ascii="宋体" w:hAnsi="宋体"/>
                <w:sz w:val="22"/>
              </w:rPr>
            </w:pPr>
          </w:p>
        </w:tc>
        <w:tc>
          <w:tcPr>
            <w:tcW w:w="2045" w:type="dxa"/>
            <w:tcMar>
              <w:top w:w="0" w:type="dxa"/>
              <w:left w:w="28" w:type="dxa"/>
              <w:bottom w:w="0" w:type="dxa"/>
              <w:right w:w="28" w:type="dxa"/>
            </w:tcMar>
            <w:vAlign w:val="center"/>
          </w:tcPr>
          <w:p>
            <w:pPr>
              <w:adjustRightInd w:val="0"/>
              <w:jc w:val="center"/>
              <w:rPr>
                <w:rFonts w:ascii="宋体" w:hAnsi="宋体"/>
                <w:sz w:val="22"/>
              </w:rPr>
            </w:pPr>
          </w:p>
        </w:tc>
        <w:tc>
          <w:tcPr>
            <w:tcW w:w="2044" w:type="dxa"/>
            <w:tcMar>
              <w:top w:w="0" w:type="dxa"/>
              <w:left w:w="28" w:type="dxa"/>
              <w:bottom w:w="0" w:type="dxa"/>
              <w:right w:w="28" w:type="dxa"/>
            </w:tcMar>
            <w:vAlign w:val="center"/>
          </w:tcPr>
          <w:p>
            <w:pPr>
              <w:adjustRightInd w:val="0"/>
              <w:jc w:val="center"/>
              <w:rPr>
                <w:rFonts w:ascii="宋体" w:hAnsi="宋体"/>
                <w:sz w:val="22"/>
              </w:rPr>
            </w:pPr>
          </w:p>
        </w:tc>
        <w:tc>
          <w:tcPr>
            <w:tcW w:w="2045" w:type="dxa"/>
            <w:tcMar>
              <w:top w:w="0" w:type="dxa"/>
              <w:left w:w="28" w:type="dxa"/>
              <w:bottom w:w="0" w:type="dxa"/>
              <w:right w:w="28" w:type="dxa"/>
            </w:tcMar>
            <w:vAlign w:val="center"/>
          </w:tcPr>
          <w:p>
            <w:pPr>
              <w:adjustRightInd w:val="0"/>
              <w:jc w:val="center"/>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905" w:type="dxa"/>
            <w:tcMar>
              <w:top w:w="0" w:type="dxa"/>
              <w:left w:w="28" w:type="dxa"/>
              <w:bottom w:w="0" w:type="dxa"/>
              <w:right w:w="28" w:type="dxa"/>
            </w:tcMar>
            <w:vAlign w:val="center"/>
          </w:tcPr>
          <w:p>
            <w:pPr>
              <w:adjustRightInd w:val="0"/>
              <w:jc w:val="center"/>
              <w:rPr>
                <w:sz w:val="22"/>
              </w:rPr>
            </w:pPr>
          </w:p>
        </w:tc>
        <w:tc>
          <w:tcPr>
            <w:tcW w:w="2044" w:type="dxa"/>
            <w:tcMar>
              <w:top w:w="0" w:type="dxa"/>
              <w:left w:w="28" w:type="dxa"/>
              <w:bottom w:w="0" w:type="dxa"/>
              <w:right w:w="28" w:type="dxa"/>
            </w:tcMar>
            <w:vAlign w:val="center"/>
          </w:tcPr>
          <w:p>
            <w:pPr>
              <w:adjustRightInd w:val="0"/>
              <w:jc w:val="center"/>
              <w:rPr>
                <w:sz w:val="22"/>
              </w:rPr>
            </w:pPr>
          </w:p>
        </w:tc>
        <w:tc>
          <w:tcPr>
            <w:tcW w:w="2045" w:type="dxa"/>
            <w:tcMar>
              <w:top w:w="0" w:type="dxa"/>
              <w:left w:w="28" w:type="dxa"/>
              <w:bottom w:w="0" w:type="dxa"/>
              <w:right w:w="28" w:type="dxa"/>
            </w:tcMar>
            <w:vAlign w:val="center"/>
          </w:tcPr>
          <w:p>
            <w:pPr>
              <w:adjustRightInd w:val="0"/>
              <w:jc w:val="center"/>
              <w:rPr>
                <w:sz w:val="22"/>
              </w:rPr>
            </w:pPr>
          </w:p>
        </w:tc>
        <w:tc>
          <w:tcPr>
            <w:tcW w:w="2044" w:type="dxa"/>
            <w:tcMar>
              <w:top w:w="0" w:type="dxa"/>
              <w:left w:w="28" w:type="dxa"/>
              <w:bottom w:w="0" w:type="dxa"/>
              <w:right w:w="28" w:type="dxa"/>
            </w:tcMar>
            <w:vAlign w:val="center"/>
          </w:tcPr>
          <w:p>
            <w:pPr>
              <w:adjustRightInd w:val="0"/>
              <w:jc w:val="center"/>
              <w:rPr>
                <w:sz w:val="22"/>
              </w:rPr>
            </w:pPr>
          </w:p>
        </w:tc>
        <w:tc>
          <w:tcPr>
            <w:tcW w:w="2045" w:type="dxa"/>
            <w:tcMar>
              <w:top w:w="0" w:type="dxa"/>
              <w:left w:w="28" w:type="dxa"/>
              <w:bottom w:w="0" w:type="dxa"/>
              <w:right w:w="28" w:type="dxa"/>
            </w:tcMar>
            <w:vAlign w:val="center"/>
          </w:tcPr>
          <w:p>
            <w:pPr>
              <w:adjustRightInd w:val="0"/>
              <w:jc w:val="center"/>
              <w:rPr>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905" w:type="dxa"/>
            <w:tcMar>
              <w:top w:w="0" w:type="dxa"/>
              <w:left w:w="28" w:type="dxa"/>
              <w:bottom w:w="0" w:type="dxa"/>
              <w:right w:w="28" w:type="dxa"/>
            </w:tcMar>
            <w:vAlign w:val="center"/>
          </w:tcPr>
          <w:p>
            <w:pPr>
              <w:adjustRightInd w:val="0"/>
              <w:jc w:val="center"/>
              <w:rPr>
                <w:sz w:val="22"/>
              </w:rPr>
            </w:pPr>
          </w:p>
        </w:tc>
        <w:tc>
          <w:tcPr>
            <w:tcW w:w="2044" w:type="dxa"/>
            <w:tcMar>
              <w:top w:w="0" w:type="dxa"/>
              <w:left w:w="28" w:type="dxa"/>
              <w:bottom w:w="0" w:type="dxa"/>
              <w:right w:w="28" w:type="dxa"/>
            </w:tcMar>
            <w:vAlign w:val="center"/>
          </w:tcPr>
          <w:p>
            <w:pPr>
              <w:adjustRightInd w:val="0"/>
              <w:jc w:val="center"/>
              <w:rPr>
                <w:sz w:val="22"/>
              </w:rPr>
            </w:pPr>
          </w:p>
        </w:tc>
        <w:tc>
          <w:tcPr>
            <w:tcW w:w="2045" w:type="dxa"/>
            <w:tcMar>
              <w:top w:w="0" w:type="dxa"/>
              <w:left w:w="28" w:type="dxa"/>
              <w:bottom w:w="0" w:type="dxa"/>
              <w:right w:w="28" w:type="dxa"/>
            </w:tcMar>
            <w:vAlign w:val="center"/>
          </w:tcPr>
          <w:p>
            <w:pPr>
              <w:adjustRightInd w:val="0"/>
              <w:jc w:val="center"/>
              <w:rPr>
                <w:sz w:val="22"/>
              </w:rPr>
            </w:pPr>
          </w:p>
        </w:tc>
        <w:tc>
          <w:tcPr>
            <w:tcW w:w="2044" w:type="dxa"/>
            <w:tcMar>
              <w:top w:w="0" w:type="dxa"/>
              <w:left w:w="28" w:type="dxa"/>
              <w:bottom w:w="0" w:type="dxa"/>
              <w:right w:w="28" w:type="dxa"/>
            </w:tcMar>
            <w:vAlign w:val="center"/>
          </w:tcPr>
          <w:p>
            <w:pPr>
              <w:adjustRightInd w:val="0"/>
              <w:jc w:val="center"/>
              <w:rPr>
                <w:sz w:val="22"/>
              </w:rPr>
            </w:pPr>
          </w:p>
        </w:tc>
        <w:tc>
          <w:tcPr>
            <w:tcW w:w="2045" w:type="dxa"/>
            <w:tcMar>
              <w:top w:w="0" w:type="dxa"/>
              <w:left w:w="28" w:type="dxa"/>
              <w:bottom w:w="0" w:type="dxa"/>
              <w:right w:w="28" w:type="dxa"/>
            </w:tcMar>
            <w:vAlign w:val="center"/>
          </w:tcPr>
          <w:p>
            <w:pPr>
              <w:adjustRightInd w:val="0"/>
              <w:jc w:val="center"/>
              <w:rPr>
                <w:sz w:val="22"/>
              </w:rPr>
            </w:pPr>
          </w:p>
        </w:tc>
      </w:tr>
      <w:tr>
        <w:tblPrEx>
          <w:tblLayout w:type="fixed"/>
          <w:tblCellMar>
            <w:top w:w="0" w:type="dxa"/>
            <w:left w:w="0" w:type="dxa"/>
            <w:bottom w:w="0" w:type="dxa"/>
            <w:right w:w="0" w:type="dxa"/>
          </w:tblCellMar>
        </w:tblPrEx>
        <w:trPr>
          <w:jc w:val="center"/>
        </w:trPr>
        <w:tc>
          <w:tcPr>
            <w:tcW w:w="905" w:type="dxa"/>
            <w:tcMar>
              <w:top w:w="0" w:type="dxa"/>
              <w:left w:w="28" w:type="dxa"/>
              <w:bottom w:w="0" w:type="dxa"/>
              <w:right w:w="28" w:type="dxa"/>
            </w:tcMar>
            <w:vAlign w:val="center"/>
          </w:tcPr>
          <w:p>
            <w:pPr>
              <w:adjustRightInd w:val="0"/>
              <w:jc w:val="center"/>
              <w:rPr>
                <w:sz w:val="22"/>
              </w:rPr>
            </w:pPr>
          </w:p>
        </w:tc>
        <w:tc>
          <w:tcPr>
            <w:tcW w:w="2044" w:type="dxa"/>
            <w:tcMar>
              <w:top w:w="0" w:type="dxa"/>
              <w:left w:w="28" w:type="dxa"/>
              <w:bottom w:w="0" w:type="dxa"/>
              <w:right w:w="28" w:type="dxa"/>
            </w:tcMar>
            <w:vAlign w:val="center"/>
          </w:tcPr>
          <w:p>
            <w:pPr>
              <w:adjustRightInd w:val="0"/>
              <w:jc w:val="center"/>
              <w:rPr>
                <w:sz w:val="22"/>
              </w:rPr>
            </w:pPr>
          </w:p>
        </w:tc>
        <w:tc>
          <w:tcPr>
            <w:tcW w:w="2045" w:type="dxa"/>
            <w:tcMar>
              <w:top w:w="0" w:type="dxa"/>
              <w:left w:w="28" w:type="dxa"/>
              <w:bottom w:w="0" w:type="dxa"/>
              <w:right w:w="28" w:type="dxa"/>
            </w:tcMar>
            <w:vAlign w:val="center"/>
          </w:tcPr>
          <w:p>
            <w:pPr>
              <w:adjustRightInd w:val="0"/>
              <w:jc w:val="center"/>
              <w:rPr>
                <w:sz w:val="22"/>
              </w:rPr>
            </w:pPr>
          </w:p>
        </w:tc>
        <w:tc>
          <w:tcPr>
            <w:tcW w:w="2044" w:type="dxa"/>
            <w:tcMar>
              <w:top w:w="0" w:type="dxa"/>
              <w:left w:w="28" w:type="dxa"/>
              <w:bottom w:w="0" w:type="dxa"/>
              <w:right w:w="28" w:type="dxa"/>
            </w:tcMar>
            <w:vAlign w:val="center"/>
          </w:tcPr>
          <w:p>
            <w:pPr>
              <w:adjustRightInd w:val="0"/>
              <w:jc w:val="center"/>
              <w:rPr>
                <w:sz w:val="22"/>
              </w:rPr>
            </w:pPr>
          </w:p>
        </w:tc>
        <w:tc>
          <w:tcPr>
            <w:tcW w:w="2045" w:type="dxa"/>
            <w:tcMar>
              <w:top w:w="0" w:type="dxa"/>
              <w:left w:w="28" w:type="dxa"/>
              <w:bottom w:w="0" w:type="dxa"/>
              <w:right w:w="28" w:type="dxa"/>
            </w:tcMar>
            <w:vAlign w:val="center"/>
          </w:tcPr>
          <w:p>
            <w:pPr>
              <w:adjustRightInd w:val="0"/>
              <w:jc w:val="center"/>
              <w:rPr>
                <w:sz w:val="22"/>
              </w:rPr>
            </w:pPr>
          </w:p>
        </w:tc>
      </w:tr>
    </w:tbl>
    <w:p>
      <w:pPr>
        <w:rPr>
          <w:rFonts w:ascii="宋体" w:hAnsi="宋体" w:eastAsia="宋体" w:cs="宋体"/>
          <w:sz w:val="24"/>
          <w:szCs w:val="24"/>
        </w:rPr>
      </w:pPr>
    </w:p>
    <w:p/>
    <w:p/>
    <w:p/>
    <w:sectPr>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rPr>
    </w:pPr>
    <w:r>
      <w:fldChar w:fldCharType="begin"/>
    </w:r>
    <w:r>
      <w:rPr>
        <w:rStyle w:val="6"/>
      </w:rPr>
      <w:instrText xml:space="preserve"> PAGE </w:instrText>
    </w:r>
    <w:r>
      <w:fldChar w:fldCharType="separate"/>
    </w:r>
    <w:r>
      <w:rPr>
        <w:rStyle w:val="6"/>
      </w:rPr>
      <w:t>6</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6" w:space="0"/>
      </w:pBdr>
      <w:jc w:val="left"/>
    </w:pPr>
    <w:r>
      <w:drawing>
        <wp:inline distT="0" distB="0" distL="114300" distR="114300">
          <wp:extent cx="1829435" cy="249555"/>
          <wp:effectExtent l="0" t="0" r="18415" b="171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stretch>
                    <a:fillRect/>
                  </a:stretch>
                </pic:blipFill>
                <pic:spPr>
                  <a:xfrm>
                    <a:off x="0" y="0"/>
                    <a:ext cx="1829435" cy="249555"/>
                  </a:xfrm>
                  <a:prstGeom prst="rect">
                    <a:avLst/>
                  </a:prstGeom>
                  <a:noFill/>
                  <a:ln w="9525">
                    <a:noFill/>
                  </a:ln>
                </pic:spPr>
              </pic:pic>
            </a:graphicData>
          </a:graphic>
        </wp:inline>
      </w:drawing>
    </w:r>
    <w:r>
      <w:rPr>
        <w:rFonts w:hint="eastAsia"/>
      </w:rP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after="48" w:line="420" w:lineRule="exact"/>
      <w:ind w:left="637" w:hanging="637"/>
      <w:rPr>
        <w:rFonts w:ascii="仿宋_GB2312" w:eastAsia="仿宋_GB2312"/>
        <w:sz w:val="21"/>
        <w:szCs w:val="21"/>
      </w:rPr>
    </w:pPr>
    <w:r>
      <w:drawing>
        <wp:inline distT="0" distB="0" distL="114300" distR="114300">
          <wp:extent cx="1718310" cy="254635"/>
          <wp:effectExtent l="0" t="0" r="15240" b="1206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18310" cy="254635"/>
                  </a:xfrm>
                  <a:prstGeom prst="rect">
                    <a:avLst/>
                  </a:prstGeom>
                  <a:noFill/>
                  <a:ln w="9525">
                    <a:noFill/>
                  </a:ln>
                </pic:spPr>
              </pic:pic>
            </a:graphicData>
          </a:graphic>
        </wp:inline>
      </w:drawing>
    </w:r>
    <w:r>
      <w:rPr>
        <w:rFonts w:hint="eastAsia" w:ascii="方正小标宋_GBK" w:eastAsia="方正小标宋_GBK"/>
      </w:rPr>
      <w:t xml:space="preserve">                 </w:t>
    </w:r>
    <w:r>
      <w:rPr>
        <w:rFonts w:ascii="方正小标宋_GBK" w:eastAsia="方正小标宋_GBK"/>
      </w:rPr>
      <w:t xml:space="preserve">       </w:t>
    </w:r>
    <w:r>
      <w:rPr>
        <w:rFonts w:hint="eastAsia" w:ascii="仿宋_GB2312" w:eastAsia="仿宋_GB2312"/>
        <w:szCs w:val="21"/>
      </w:rPr>
      <w:t>三期柴油</w:t>
    </w:r>
    <w:r>
      <w:rPr>
        <w:rFonts w:ascii="仿宋_GB2312" w:eastAsia="仿宋_GB2312"/>
        <w:szCs w:val="21"/>
      </w:rPr>
      <w:t>消防泵</w:t>
    </w:r>
    <w:r>
      <w:rPr>
        <w:rFonts w:hint="eastAsia" w:ascii="仿宋_GB2312" w:eastAsia="仿宋_GB2312"/>
        <w:szCs w:val="21"/>
      </w:rPr>
      <w:t>柴油机</w:t>
    </w:r>
    <w:r>
      <w:rPr>
        <w:rFonts w:ascii="仿宋_GB2312" w:eastAsia="仿宋_GB2312"/>
        <w:szCs w:val="21"/>
      </w:rPr>
      <w:t>解体</w:t>
    </w:r>
    <w:r>
      <w:rPr>
        <w:rFonts w:hint="eastAsia" w:ascii="仿宋_GB2312" w:eastAsia="仿宋_GB2312"/>
        <w:szCs w:val="21"/>
      </w:rPr>
      <w:t>大修技术规范书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264E33"/>
    <w:multiLevelType w:val="singleLevel"/>
    <w:tmpl w:val="94264E33"/>
    <w:lvl w:ilvl="0" w:tentative="0">
      <w:start w:val="1"/>
      <w:numFmt w:val="decimal"/>
      <w:lvlText w:val="%1."/>
      <w:lvlJc w:val="left"/>
      <w:pPr>
        <w:ind w:left="425" w:hanging="425"/>
      </w:pPr>
      <w:rPr>
        <w:rFonts w:hint="default"/>
      </w:rPr>
    </w:lvl>
  </w:abstractNum>
  <w:abstractNum w:abstractNumId="1">
    <w:nsid w:val="D4C246E2"/>
    <w:multiLevelType w:val="singleLevel"/>
    <w:tmpl w:val="D4C246E2"/>
    <w:lvl w:ilvl="0" w:tentative="0">
      <w:start w:val="1"/>
      <w:numFmt w:val="decimal"/>
      <w:lvlText w:val="%1."/>
      <w:lvlJc w:val="left"/>
      <w:pPr>
        <w:ind w:left="425" w:hanging="425"/>
      </w:pPr>
      <w:rPr>
        <w:rFonts w:hint="default"/>
      </w:rPr>
    </w:lvl>
  </w:abstractNum>
  <w:abstractNum w:abstractNumId="2">
    <w:nsid w:val="112CFD59"/>
    <w:multiLevelType w:val="singleLevel"/>
    <w:tmpl w:val="112CFD59"/>
    <w:lvl w:ilvl="0" w:tentative="0">
      <w:start w:val="1"/>
      <w:numFmt w:val="decimal"/>
      <w:lvlText w:val="%1."/>
      <w:lvlJc w:val="left"/>
      <w:pPr>
        <w:ind w:left="425" w:hanging="425"/>
      </w:pPr>
      <w:rPr>
        <w:rFonts w:hint="default"/>
      </w:rPr>
    </w:lvl>
  </w:abstractNum>
  <w:abstractNum w:abstractNumId="3">
    <w:nsid w:val="2BB16B05"/>
    <w:multiLevelType w:val="multilevel"/>
    <w:tmpl w:val="2BB16B05"/>
    <w:lvl w:ilvl="0" w:tentative="0">
      <w:start w:val="1"/>
      <w:numFmt w:val="decimal"/>
      <w:lvlText w:val="%1."/>
      <w:lvlJc w:val="left"/>
      <w:pPr>
        <w:ind w:left="420" w:hanging="420"/>
      </w:pPr>
    </w:lvl>
    <w:lvl w:ilvl="1" w:tentative="0">
      <w:start w:val="1"/>
      <w:numFmt w:val="decimal"/>
      <w:isLgl/>
      <w:lvlText w:val="%2."/>
      <w:lvlJc w:val="left"/>
      <w:pPr>
        <w:ind w:left="855" w:hanging="435"/>
      </w:pPr>
      <w:rPr>
        <w:rFonts w:hint="default" w:ascii="Times New Roman" w:hAnsi="Times New Roman" w:eastAsia="宋体" w:cs="Times New Roman"/>
        <w:b w:val="0"/>
      </w:rPr>
    </w:lvl>
    <w:lvl w:ilvl="2" w:tentative="0">
      <w:start w:val="1"/>
      <w:numFmt w:val="decimal"/>
      <w:isLgl/>
      <w:lvlText w:val="%1.%2.%3"/>
      <w:lvlJc w:val="left"/>
      <w:pPr>
        <w:ind w:left="1560" w:hanging="720"/>
      </w:pPr>
      <w:rPr>
        <w:rFonts w:hint="default" w:ascii="Arial" w:hAnsi="Arial" w:eastAsia="黑体" w:cs="Arial"/>
        <w:b w:val="0"/>
        <w:color w:val="auto"/>
      </w:rPr>
    </w:lvl>
    <w:lvl w:ilvl="3" w:tentative="0">
      <w:start w:val="1"/>
      <w:numFmt w:val="decimal"/>
      <w:isLgl/>
      <w:lvlText w:val="%1.%2.%3.%4"/>
      <w:lvlJc w:val="left"/>
      <w:pPr>
        <w:ind w:left="2340" w:hanging="1080"/>
      </w:pPr>
      <w:rPr>
        <w:rFonts w:hint="default" w:ascii="Arial" w:hAnsi="Arial" w:eastAsia="黑体" w:cs="Arial"/>
        <w:b/>
      </w:rPr>
    </w:lvl>
    <w:lvl w:ilvl="4" w:tentative="0">
      <w:start w:val="1"/>
      <w:numFmt w:val="decimal"/>
      <w:isLgl/>
      <w:lvlText w:val="%1.%2.%3.%4.%5"/>
      <w:lvlJc w:val="left"/>
      <w:pPr>
        <w:ind w:left="2760" w:hanging="1080"/>
      </w:pPr>
      <w:rPr>
        <w:rFonts w:hint="default" w:ascii="Arial" w:hAnsi="Arial" w:eastAsia="黑体" w:cs="Arial"/>
        <w:b/>
      </w:rPr>
    </w:lvl>
    <w:lvl w:ilvl="5" w:tentative="0">
      <w:start w:val="1"/>
      <w:numFmt w:val="decimal"/>
      <w:isLgl/>
      <w:lvlText w:val="%1.%2.%3.%4.%5.%6"/>
      <w:lvlJc w:val="left"/>
      <w:pPr>
        <w:ind w:left="3540" w:hanging="1440"/>
      </w:pPr>
      <w:rPr>
        <w:rFonts w:hint="default" w:ascii="Arial" w:hAnsi="Arial" w:eastAsia="黑体" w:cs="Arial"/>
        <w:b/>
      </w:rPr>
    </w:lvl>
    <w:lvl w:ilvl="6" w:tentative="0">
      <w:start w:val="1"/>
      <w:numFmt w:val="decimal"/>
      <w:isLgl/>
      <w:lvlText w:val="%1.%2.%3.%4.%5.%6.%7"/>
      <w:lvlJc w:val="left"/>
      <w:pPr>
        <w:ind w:left="3960" w:hanging="1440"/>
      </w:pPr>
      <w:rPr>
        <w:rFonts w:hint="default" w:ascii="Arial" w:hAnsi="Arial" w:eastAsia="黑体" w:cs="Arial"/>
        <w:b/>
      </w:rPr>
    </w:lvl>
    <w:lvl w:ilvl="7" w:tentative="0">
      <w:start w:val="1"/>
      <w:numFmt w:val="decimal"/>
      <w:isLgl/>
      <w:lvlText w:val="%1.%2.%3.%4.%5.%6.%7.%8"/>
      <w:lvlJc w:val="left"/>
      <w:pPr>
        <w:ind w:left="4740" w:hanging="1800"/>
      </w:pPr>
      <w:rPr>
        <w:rFonts w:hint="default" w:ascii="Arial" w:hAnsi="Arial" w:eastAsia="黑体" w:cs="Arial"/>
        <w:b/>
      </w:rPr>
    </w:lvl>
    <w:lvl w:ilvl="8" w:tentative="0">
      <w:start w:val="1"/>
      <w:numFmt w:val="decimal"/>
      <w:isLgl/>
      <w:lvlText w:val="%1.%2.%3.%4.%5.%6.%7.%8.%9"/>
      <w:lvlJc w:val="left"/>
      <w:pPr>
        <w:ind w:left="5160" w:hanging="1800"/>
      </w:pPr>
      <w:rPr>
        <w:rFonts w:hint="default" w:ascii="Arial" w:hAnsi="Arial" w:eastAsia="黑体" w:cs="Arial"/>
        <w:b/>
      </w:rPr>
    </w:lvl>
  </w:abstractNum>
  <w:abstractNum w:abstractNumId="4">
    <w:nsid w:val="302A8CC3"/>
    <w:multiLevelType w:val="singleLevel"/>
    <w:tmpl w:val="302A8CC3"/>
    <w:lvl w:ilvl="0" w:tentative="0">
      <w:start w:val="1"/>
      <w:numFmt w:val="decimal"/>
      <w:lvlText w:val="%1."/>
      <w:lvlJc w:val="left"/>
      <w:pPr>
        <w:ind w:left="425" w:hanging="425"/>
      </w:pPr>
      <w:rPr>
        <w:rFonts w:hint="default"/>
      </w:rPr>
    </w:lvl>
  </w:abstractNum>
  <w:abstractNum w:abstractNumId="5">
    <w:nsid w:val="476E0DE9"/>
    <w:multiLevelType w:val="multilevel"/>
    <w:tmpl w:val="476E0DE9"/>
    <w:lvl w:ilvl="0" w:tentative="0">
      <w:start w:val="1"/>
      <w:numFmt w:val="decimal"/>
      <w:lvlText w:val="%1"/>
      <w:lvlJc w:val="left"/>
      <w:pPr>
        <w:tabs>
          <w:tab w:val="left" w:pos="425"/>
        </w:tabs>
        <w:ind w:left="425" w:hanging="425"/>
      </w:pPr>
      <w:rPr>
        <w:rFonts w:hint="eastAsia"/>
      </w:rPr>
    </w:lvl>
    <w:lvl w:ilvl="1" w:tentative="0">
      <w:start w:val="1"/>
      <w:numFmt w:val="decimal"/>
      <w:suff w:val="nothing"/>
      <w:lvlText w:val="%1.%2"/>
      <w:lvlJc w:val="left"/>
      <w:pPr>
        <w:ind w:left="992" w:hanging="567"/>
      </w:pPr>
      <w:rPr>
        <w:rFonts w:hint="default"/>
        <w:sz w:val="24"/>
      </w:rPr>
    </w:lvl>
    <w:lvl w:ilvl="2" w:tentative="0">
      <w:start w:val="1"/>
      <w:numFmt w:val="decimal"/>
      <w:lvlText w:val="%1.%2.%3"/>
      <w:lvlJc w:val="left"/>
      <w:pPr>
        <w:tabs>
          <w:tab w:val="left" w:pos="720"/>
        </w:tabs>
        <w:ind w:left="567" w:hanging="567"/>
      </w:pPr>
      <w:rPr>
        <w:rFonts w:hint="default"/>
      </w:rPr>
    </w:lvl>
    <w:lvl w:ilvl="3" w:tentative="0">
      <w:start w:val="1"/>
      <w:numFmt w:val="decimal"/>
      <w:lvlText w:val="%1.%2.%3.%4"/>
      <w:lvlJc w:val="left"/>
      <w:pPr>
        <w:tabs>
          <w:tab w:val="left" w:pos="1080"/>
        </w:tabs>
        <w:ind w:left="708" w:hanging="708"/>
      </w:pPr>
      <w:rPr>
        <w:rFonts w:hint="default"/>
      </w:rPr>
    </w:lvl>
    <w:lvl w:ilvl="4" w:tentative="0">
      <w:start w:val="1"/>
      <w:numFmt w:val="decimal"/>
      <w:lvlText w:val="%1.%2.%3.%4.%5"/>
      <w:lvlJc w:val="left"/>
      <w:pPr>
        <w:tabs>
          <w:tab w:val="left" w:pos="2781"/>
        </w:tabs>
        <w:ind w:left="2551" w:hanging="850"/>
      </w:pPr>
      <w:rPr>
        <w:rFonts w:hint="default"/>
      </w:rPr>
    </w:lvl>
    <w:lvl w:ilvl="5" w:tentative="0">
      <w:start w:val="1"/>
      <w:numFmt w:val="decimal"/>
      <w:lvlText w:val="%1.%2.%3.%4.%5.%6"/>
      <w:lvlJc w:val="left"/>
      <w:pPr>
        <w:tabs>
          <w:tab w:val="left" w:pos="3566"/>
        </w:tabs>
        <w:ind w:left="3260" w:hanging="1134"/>
      </w:pPr>
      <w:rPr>
        <w:rFonts w:hint="default"/>
      </w:rPr>
    </w:lvl>
    <w:lvl w:ilvl="6" w:tentative="0">
      <w:start w:val="1"/>
      <w:numFmt w:val="decimal"/>
      <w:lvlText w:val="%1.%2.%3.%4.%5.%6.%7"/>
      <w:lvlJc w:val="left"/>
      <w:pPr>
        <w:tabs>
          <w:tab w:val="left" w:pos="4351"/>
        </w:tabs>
        <w:ind w:left="3827" w:hanging="1276"/>
      </w:pPr>
      <w:rPr>
        <w:rFonts w:hint="default"/>
      </w:rPr>
    </w:lvl>
    <w:lvl w:ilvl="7" w:tentative="0">
      <w:start w:val="1"/>
      <w:numFmt w:val="decimal"/>
      <w:lvlText w:val="%1.%2.%3.%4.%5.%6.%7.%8"/>
      <w:lvlJc w:val="left"/>
      <w:pPr>
        <w:tabs>
          <w:tab w:val="left" w:pos="4776"/>
        </w:tabs>
        <w:ind w:left="4394" w:hanging="1418"/>
      </w:pPr>
      <w:rPr>
        <w:rFonts w:hint="default"/>
      </w:rPr>
    </w:lvl>
    <w:lvl w:ilvl="8" w:tentative="0">
      <w:start w:val="1"/>
      <w:numFmt w:val="decimal"/>
      <w:lvlText w:val="%1.%2.%3.%4.%5.%6.%7.%8.%9"/>
      <w:lvlJc w:val="left"/>
      <w:pPr>
        <w:tabs>
          <w:tab w:val="left" w:pos="5562"/>
        </w:tabs>
        <w:ind w:left="5102" w:hanging="1700"/>
      </w:pPr>
      <w:rPr>
        <w:rFonts w:hint="default"/>
      </w:rPr>
    </w:lvl>
  </w:abstractNum>
  <w:abstractNum w:abstractNumId="6">
    <w:nsid w:val="48EB1591"/>
    <w:multiLevelType w:val="multilevel"/>
    <w:tmpl w:val="48EB159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5EA3F69"/>
    <w:multiLevelType w:val="singleLevel"/>
    <w:tmpl w:val="65EA3F69"/>
    <w:lvl w:ilvl="0" w:tentative="0">
      <w:start w:val="1"/>
      <w:numFmt w:val="decimal"/>
      <w:lvlText w:val="%1."/>
      <w:lvlJc w:val="left"/>
      <w:pPr>
        <w:ind w:left="425" w:hanging="425"/>
      </w:pPr>
      <w:rPr>
        <w:rFonts w:hint="default"/>
      </w:rPr>
    </w:lvl>
  </w:abstractNum>
  <w:num w:numId="1">
    <w:abstractNumId w:val="3"/>
  </w:num>
  <w:num w:numId="2">
    <w:abstractNumId w:val="5"/>
  </w:num>
  <w:num w:numId="3">
    <w:abstractNumId w:val="6"/>
  </w:num>
  <w:num w:numId="4">
    <w:abstractNumId w:val="1"/>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C955BB"/>
    <w:rsid w:val="171928BF"/>
    <w:rsid w:val="37BE4E1B"/>
    <w:rsid w:val="3A27218D"/>
    <w:rsid w:val="446432B0"/>
    <w:rsid w:val="44B36184"/>
    <w:rsid w:val="4A593B18"/>
    <w:rsid w:val="58D12931"/>
    <w:rsid w:val="59965FB7"/>
    <w:rsid w:val="6FC639C3"/>
    <w:rsid w:val="7AEC1BA8"/>
    <w:rsid w:val="7DC955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Date"/>
    <w:basedOn w:val="1"/>
    <w:next w:val="1"/>
    <w:qFormat/>
    <w:uiPriority w:val="0"/>
    <w:pPr>
      <w:wordWrap w:val="0"/>
      <w:overflowPunct w:val="0"/>
      <w:autoSpaceDE w:val="0"/>
      <w:autoSpaceDN w:val="0"/>
      <w:adjustRightInd w:val="0"/>
      <w:spacing w:line="360" w:lineRule="auto"/>
      <w:textAlignment w:val="baseline"/>
    </w:pPr>
    <w:rPr>
      <w:rFonts w:ascii="Arial" w:hAnsi="Arial" w:eastAsia="楷体_GB2312"/>
      <w:b/>
      <w:kern w:val="0"/>
      <w:sz w:val="30"/>
      <w:szCs w:val="20"/>
    </w:rPr>
  </w:style>
  <w:style w:type="paragraph" w:styleId="3">
    <w:name w:val="footer"/>
    <w:basedOn w:val="1"/>
    <w:qFormat/>
    <w:uiPriority w:val="0"/>
    <w:pPr>
      <w:tabs>
        <w:tab w:val="center" w:pos="4153"/>
        <w:tab w:val="right" w:pos="8306"/>
      </w:tabs>
      <w:snapToGrid w:val="0"/>
      <w:jc w:val="left"/>
    </w:pPr>
    <w:rPr>
      <w:sz w:val="18"/>
      <w:szCs w:val="20"/>
    </w:rPr>
  </w:style>
  <w:style w:type="paragraph" w:styleId="4">
    <w:name w:val="header"/>
    <w:basedOn w:val="1"/>
    <w:qFormat/>
    <w:uiPriority w:val="0"/>
    <w:pPr>
      <w:pBdr>
        <w:bottom w:val="single" w:color="auto" w:sz="6" w:space="1"/>
      </w:pBdr>
      <w:tabs>
        <w:tab w:val="center" w:pos="4153"/>
        <w:tab w:val="right" w:pos="8306"/>
      </w:tabs>
      <w:adjustRightInd w:val="0"/>
      <w:snapToGrid w:val="0"/>
      <w:spacing w:line="240" w:lineRule="atLeast"/>
      <w:jc w:val="center"/>
      <w:textAlignment w:val="baseline"/>
    </w:pPr>
    <w:rPr>
      <w:kern w:val="0"/>
      <w:sz w:val="18"/>
      <w:szCs w:val="20"/>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2022-10-08T05:02:00Z</dcterms:created>
  <dc:creator>drjxb.lh</dc:creator>
  <cp:lastModifiedBy>yuxiaohong.lh</cp:lastModifiedBy>
  <dcterms:modified xsi:type="dcterms:W3CDTF">2022-10-11T03:09:29Z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