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auto"/>
          <w:sz w:val="56"/>
          <w:szCs w:val="56"/>
          <w:highlight w:val="none"/>
        </w:rPr>
      </w:pPr>
      <w:r>
        <w:rPr>
          <w:rFonts w:hint="eastAsia" w:ascii="宋体" w:hAnsi="宋体" w:eastAsia="宋体" w:cs="宋体"/>
          <w:b/>
          <w:color w:val="auto"/>
          <w:sz w:val="56"/>
          <w:szCs w:val="56"/>
          <w:highlight w:val="none"/>
          <w:lang w:eastAsia="zh-CN"/>
        </w:rPr>
        <w:t>慈溪市交通场站经营有限公司充电桩配套电缆</w:t>
      </w:r>
      <w:r>
        <w:rPr>
          <w:rFonts w:hint="eastAsia" w:ascii="宋体" w:hAnsi="宋体" w:eastAsia="宋体" w:cs="宋体"/>
          <w:b/>
          <w:color w:val="auto"/>
          <w:sz w:val="56"/>
          <w:szCs w:val="56"/>
          <w:highlight w:val="none"/>
        </w:rPr>
        <w:t>采购项目</w:t>
      </w:r>
    </w:p>
    <w:p>
      <w:pPr>
        <w:jc w:val="center"/>
        <w:rPr>
          <w:rFonts w:ascii="宋体" w:hAnsi="宋体" w:eastAsia="宋体" w:cs="宋体"/>
          <w:b/>
          <w:color w:val="auto"/>
          <w:sz w:val="48"/>
          <w:szCs w:val="48"/>
          <w:highlight w:val="none"/>
        </w:rPr>
      </w:pPr>
    </w:p>
    <w:p>
      <w:pPr>
        <w:spacing w:line="380" w:lineRule="exact"/>
        <w:ind w:firstLine="480" w:firstLineChars="200"/>
        <w:rPr>
          <w:rFonts w:ascii="宋体" w:hAnsi="宋体" w:eastAsia="宋体" w:cs="宋体"/>
          <w:color w:val="auto"/>
          <w:sz w:val="24"/>
          <w:szCs w:val="20"/>
          <w:highlight w:val="none"/>
        </w:rPr>
      </w:pPr>
    </w:p>
    <w:p>
      <w:pPr>
        <w:spacing w:line="380" w:lineRule="exact"/>
        <w:ind w:firstLine="480" w:firstLineChars="200"/>
        <w:rPr>
          <w:rFonts w:ascii="宋体" w:hAnsi="宋体" w:eastAsia="宋体" w:cs="宋体"/>
          <w:color w:val="auto"/>
          <w:sz w:val="24"/>
          <w:szCs w:val="20"/>
          <w:highlight w:val="none"/>
        </w:rPr>
      </w:pPr>
    </w:p>
    <w:p>
      <w:pPr>
        <w:ind w:firstLine="2400" w:firstLineChars="800"/>
        <w:rPr>
          <w:rFonts w:ascii="宋体" w:hAnsi="宋体" w:eastAsia="宋体" w:cs="宋体"/>
          <w:b/>
          <w:color w:val="auto"/>
          <w:sz w:val="36"/>
          <w:szCs w:val="36"/>
          <w:highlight w:val="none"/>
        </w:rPr>
      </w:pPr>
      <w:r>
        <w:rPr>
          <w:rFonts w:hint="eastAsia" w:ascii="宋体" w:hAnsi="宋体" w:eastAsia="宋体" w:cs="宋体"/>
          <w:bCs/>
          <w:color w:val="auto"/>
          <w:sz w:val="30"/>
          <w:szCs w:val="30"/>
          <w:highlight w:val="none"/>
        </w:rPr>
        <w:t>（招标编号：</w:t>
      </w:r>
      <w:r>
        <w:rPr>
          <w:rFonts w:hint="eastAsia" w:ascii="宋体" w:hAnsi="宋体" w:eastAsia="宋体" w:cs="宋体"/>
          <w:bCs/>
          <w:color w:val="auto"/>
          <w:sz w:val="30"/>
          <w:szCs w:val="30"/>
          <w:highlight w:val="none"/>
          <w:lang w:eastAsia="zh-CN"/>
        </w:rPr>
        <w:t>QTGGZY202324</w:t>
      </w:r>
      <w:r>
        <w:rPr>
          <w:rFonts w:hint="eastAsia" w:ascii="宋体" w:hAnsi="宋体" w:eastAsia="宋体" w:cs="宋体"/>
          <w:bCs/>
          <w:color w:val="auto"/>
          <w:sz w:val="30"/>
          <w:szCs w:val="30"/>
          <w:highlight w:val="none"/>
        </w:rPr>
        <w:t>）</w:t>
      </w:r>
    </w:p>
    <w:p>
      <w:pPr>
        <w:rPr>
          <w:rFonts w:ascii="宋体" w:hAnsi="宋体" w:eastAsia="宋体" w:cs="宋体"/>
          <w:b/>
          <w:color w:val="auto"/>
          <w:szCs w:val="21"/>
          <w:highlight w:val="none"/>
        </w:rPr>
      </w:pPr>
      <w:r>
        <w:rPr>
          <w:rFonts w:hint="eastAsia" w:ascii="宋体" w:hAnsi="宋体" w:eastAsia="宋体" w:cs="宋体"/>
          <w:b/>
          <w:color w:val="auto"/>
          <w:szCs w:val="21"/>
          <w:highlight w:val="none"/>
        </w:rPr>
        <w:t xml:space="preserve">   </w:t>
      </w:r>
    </w:p>
    <w:p>
      <w:pPr>
        <w:rPr>
          <w:rFonts w:ascii="宋体" w:hAnsi="宋体" w:eastAsia="宋体" w:cs="宋体"/>
          <w:b/>
          <w:bCs/>
          <w:color w:val="auto"/>
          <w:szCs w:val="21"/>
          <w:highlight w:val="none"/>
        </w:rPr>
      </w:pPr>
    </w:p>
    <w:p>
      <w:pPr>
        <w:spacing w:line="380" w:lineRule="exact"/>
        <w:ind w:firstLine="720" w:firstLineChars="200"/>
        <w:rPr>
          <w:rFonts w:ascii="宋体" w:hAnsi="宋体" w:eastAsia="宋体" w:cs="宋体"/>
          <w:color w:val="auto"/>
          <w:sz w:val="24"/>
          <w:szCs w:val="20"/>
          <w:highlight w:val="none"/>
        </w:rPr>
      </w:pPr>
      <w:r>
        <w:rPr>
          <w:rFonts w:hint="eastAsia" w:ascii="宋体" w:hAnsi="宋体" w:eastAsia="宋体" w:cs="宋体"/>
          <w:color w:val="auto"/>
          <w:sz w:val="36"/>
          <w:szCs w:val="24"/>
          <w:highlight w:val="none"/>
        </w:rPr>
        <w:t xml:space="preserve"> </w:t>
      </w:r>
    </w:p>
    <w:p>
      <w:pPr>
        <w:jc w:val="center"/>
        <w:rPr>
          <w:rFonts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公</w:t>
      </w:r>
    </w:p>
    <w:p>
      <w:pPr>
        <w:jc w:val="center"/>
        <w:rPr>
          <w:rFonts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开</w:t>
      </w:r>
    </w:p>
    <w:p>
      <w:pPr>
        <w:jc w:val="center"/>
        <w:rPr>
          <w:rFonts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jc w:val="center"/>
        <w:rPr>
          <w:rFonts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jc w:val="center"/>
        <w:rPr>
          <w:rFonts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jc w:val="center"/>
        <w:rPr>
          <w:rFonts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件</w:t>
      </w:r>
    </w:p>
    <w:p>
      <w:pPr>
        <w:spacing w:line="380" w:lineRule="exact"/>
        <w:ind w:firstLine="1446" w:firstLineChars="200"/>
        <w:rPr>
          <w:rFonts w:ascii="宋体" w:hAnsi="宋体" w:eastAsia="宋体" w:cs="宋体"/>
          <w:b/>
          <w:bCs/>
          <w:color w:val="auto"/>
          <w:sz w:val="72"/>
          <w:szCs w:val="72"/>
          <w:highlight w:val="none"/>
        </w:rPr>
      </w:pPr>
    </w:p>
    <w:p>
      <w:pPr>
        <w:spacing w:line="380" w:lineRule="exact"/>
        <w:ind w:firstLine="1446" w:firstLineChars="200"/>
        <w:rPr>
          <w:rFonts w:ascii="宋体" w:hAnsi="宋体" w:eastAsia="宋体" w:cs="宋体"/>
          <w:b/>
          <w:bCs/>
          <w:color w:val="auto"/>
          <w:sz w:val="72"/>
          <w:szCs w:val="72"/>
          <w:highlight w:val="none"/>
        </w:rPr>
      </w:pPr>
    </w:p>
    <w:p>
      <w:pPr>
        <w:adjustRightInd w:val="0"/>
        <w:snapToGrid w:val="0"/>
        <w:spacing w:line="700" w:lineRule="exact"/>
        <w:rPr>
          <w:rFonts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招 标 人：慈溪市交通场站经营有限公司</w:t>
      </w:r>
    </w:p>
    <w:p>
      <w:pPr>
        <w:adjustRightInd w:val="0"/>
        <w:snapToGrid w:val="0"/>
        <w:spacing w:line="700" w:lineRule="exact"/>
        <w:rPr>
          <w:rFonts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代理机构：宁波永敬工程造价咨询有限公司</w:t>
      </w:r>
    </w:p>
    <w:p>
      <w:pPr>
        <w:adjustRightInd w:val="0"/>
        <w:snapToGrid w:val="0"/>
        <w:spacing w:line="700" w:lineRule="exact"/>
        <w:ind w:firstLine="280" w:firstLineChars="93"/>
        <w:rPr>
          <w:rFonts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编制日期：202</w:t>
      </w:r>
      <w:r>
        <w:rPr>
          <w:rFonts w:hint="eastAsia" w:ascii="宋体" w:hAnsi="宋体" w:eastAsia="宋体" w:cs="宋体"/>
          <w:b/>
          <w:bCs/>
          <w:color w:val="auto"/>
          <w:sz w:val="30"/>
          <w:szCs w:val="30"/>
          <w:highlight w:val="none"/>
          <w:lang w:val="en-US" w:eastAsia="zh-CN"/>
        </w:rPr>
        <w:t>3</w:t>
      </w:r>
      <w:r>
        <w:rPr>
          <w:rFonts w:hint="eastAsia" w:ascii="宋体" w:hAnsi="宋体" w:eastAsia="宋体" w:cs="宋体"/>
          <w:b/>
          <w:bCs/>
          <w:color w:val="auto"/>
          <w:sz w:val="30"/>
          <w:szCs w:val="30"/>
          <w:highlight w:val="none"/>
        </w:rPr>
        <w:t>年</w:t>
      </w:r>
      <w:r>
        <w:rPr>
          <w:rFonts w:hint="eastAsia" w:ascii="宋体" w:hAnsi="宋体" w:eastAsia="宋体" w:cs="宋体"/>
          <w:b/>
          <w:bCs/>
          <w:color w:val="auto"/>
          <w:sz w:val="30"/>
          <w:szCs w:val="30"/>
          <w:highlight w:val="none"/>
          <w:lang w:val="en-US" w:eastAsia="zh-CN"/>
        </w:rPr>
        <w:t>2</w:t>
      </w:r>
      <w:r>
        <w:rPr>
          <w:rFonts w:hint="eastAsia" w:ascii="宋体" w:hAnsi="宋体" w:eastAsia="宋体" w:cs="宋体"/>
          <w:b/>
          <w:bCs/>
          <w:color w:val="auto"/>
          <w:sz w:val="30"/>
          <w:szCs w:val="30"/>
          <w:highlight w:val="none"/>
        </w:rPr>
        <w:t>月</w:t>
      </w:r>
    </w:p>
    <w:p>
      <w:pPr>
        <w:spacing w:line="360" w:lineRule="auto"/>
        <w:jc w:val="center"/>
        <w:rPr>
          <w:rFonts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 xml:space="preserve">  </w:t>
      </w:r>
    </w:p>
    <w:p>
      <w:pPr>
        <w:widowControl/>
        <w:spacing w:line="360" w:lineRule="auto"/>
        <w:jc w:val="left"/>
        <w:rPr>
          <w:rFonts w:ascii="宋体" w:hAnsi="宋体" w:eastAsia="宋体" w:cs="宋体"/>
          <w:b/>
          <w:bCs/>
          <w:color w:val="auto"/>
          <w:sz w:val="24"/>
          <w:szCs w:val="24"/>
          <w:highlight w:val="none"/>
          <w:u w:val="single"/>
        </w:rPr>
        <w:sectPr>
          <w:pgSz w:w="11906" w:h="16838"/>
          <w:pgMar w:top="1701" w:right="1418" w:bottom="1134" w:left="1418" w:header="851" w:footer="992" w:gutter="0"/>
          <w:pgNumType w:start="1"/>
          <w:cols w:space="720" w:num="1"/>
        </w:sectPr>
      </w:pPr>
    </w:p>
    <w:p>
      <w:pPr>
        <w:spacing w:line="1000" w:lineRule="exact"/>
        <w:jc w:val="center"/>
        <w:rPr>
          <w:rFonts w:ascii="宋体" w:hAnsi="宋体" w:eastAsia="宋体" w:cs="宋体"/>
          <w:b/>
          <w:color w:val="auto"/>
          <w:sz w:val="52"/>
          <w:szCs w:val="52"/>
          <w:highlight w:val="none"/>
        </w:rPr>
      </w:pPr>
    </w:p>
    <w:p>
      <w:pPr>
        <w:spacing w:line="1000" w:lineRule="exact"/>
        <w:jc w:val="center"/>
        <w:rPr>
          <w:rFonts w:ascii="宋体" w:hAnsi="宋体" w:eastAsia="宋体" w:cs="宋体"/>
          <w:color w:val="auto"/>
          <w:sz w:val="48"/>
          <w:szCs w:val="48"/>
          <w:highlight w:val="none"/>
        </w:rPr>
      </w:pPr>
      <w:r>
        <w:rPr>
          <w:rFonts w:hint="eastAsia" w:ascii="宋体" w:hAnsi="宋体" w:eastAsia="宋体" w:cs="宋体"/>
          <w:b/>
          <w:color w:val="auto"/>
          <w:sz w:val="48"/>
          <w:szCs w:val="48"/>
          <w:highlight w:val="none"/>
          <w:lang w:bidi="ar"/>
        </w:rPr>
        <w:t>温馨提醒</w:t>
      </w:r>
    </w:p>
    <w:p>
      <w:pPr>
        <w:spacing w:line="1000" w:lineRule="exact"/>
        <w:jc w:val="center"/>
        <w:rPr>
          <w:rFonts w:ascii="宋体" w:hAnsi="宋体" w:eastAsia="宋体" w:cs="宋体"/>
          <w:color w:val="auto"/>
          <w:sz w:val="32"/>
          <w:szCs w:val="32"/>
          <w:highlight w:val="none"/>
        </w:rPr>
      </w:pPr>
    </w:p>
    <w:p>
      <w:pPr>
        <w:spacing w:line="360" w:lineRule="auto"/>
        <w:ind w:firstLine="602" w:firstLineChars="200"/>
        <w:jc w:val="left"/>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lang w:bidi="ar"/>
        </w:rPr>
        <w:t>1、招标人可以对已发出的招标文件进行必要的澄清或者修改，将以“变更公告”的形式发布在政采云平台，供应商应及时登录政采云平台，进行浏览并下载，未及时浏览下载的责任自负。</w:t>
      </w:r>
    </w:p>
    <w:p>
      <w:pPr>
        <w:spacing w:line="360" w:lineRule="auto"/>
        <w:ind w:firstLine="602" w:firstLineChars="200"/>
        <w:jc w:val="left"/>
        <w:rPr>
          <w:rFonts w:ascii="宋体" w:hAnsi="宋体" w:eastAsia="宋体" w:cs="宋体"/>
          <w:b/>
          <w:color w:val="auto"/>
          <w:sz w:val="30"/>
          <w:szCs w:val="30"/>
          <w:highlight w:val="none"/>
          <w:lang w:bidi="ar"/>
        </w:rPr>
      </w:pPr>
      <w:r>
        <w:rPr>
          <w:rFonts w:hint="eastAsia" w:ascii="宋体" w:hAnsi="宋体" w:eastAsia="宋体" w:cs="宋体"/>
          <w:b/>
          <w:color w:val="auto"/>
          <w:sz w:val="30"/>
          <w:szCs w:val="30"/>
          <w:highlight w:val="none"/>
          <w:lang w:bidi="ar"/>
        </w:rPr>
        <w:t>2、疫情防控期间，请各投标单位遵守各项防疫措施规定。</w:t>
      </w: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spacing w:line="380" w:lineRule="exact"/>
        <w:ind w:firstLine="720" w:firstLineChars="200"/>
        <w:rPr>
          <w:rFonts w:ascii="宋体" w:hAnsi="宋体" w:eastAsia="宋体" w:cs="宋体"/>
          <w:color w:val="auto"/>
          <w:sz w:val="36"/>
          <w:szCs w:val="36"/>
          <w:highlight w:val="none"/>
        </w:rPr>
      </w:pPr>
    </w:p>
    <w:p>
      <w:pPr>
        <w:rPr>
          <w:rFonts w:ascii="宋体" w:hAnsi="宋体" w:eastAsia="宋体" w:cs="宋体"/>
          <w:color w:val="auto"/>
          <w:sz w:val="36"/>
          <w:szCs w:val="36"/>
          <w:highlight w:val="none"/>
        </w:rPr>
      </w:pPr>
    </w:p>
    <w:p>
      <w:pPr>
        <w:spacing w:line="380" w:lineRule="exact"/>
        <w:ind w:firstLine="480" w:firstLineChars="200"/>
        <w:rPr>
          <w:rFonts w:ascii="宋体" w:hAnsi="宋体" w:eastAsia="宋体" w:cs="宋体"/>
          <w:color w:val="auto"/>
          <w:sz w:val="24"/>
          <w:szCs w:val="20"/>
          <w:highlight w:val="none"/>
        </w:rPr>
      </w:pPr>
    </w:p>
    <w:p>
      <w:pPr>
        <w:widowControl/>
        <w:spacing w:line="360" w:lineRule="auto"/>
        <w:jc w:val="left"/>
        <w:rPr>
          <w:rFonts w:ascii="宋体" w:hAnsi="宋体" w:eastAsia="宋体" w:cs="宋体"/>
          <w:b/>
          <w:bCs/>
          <w:color w:val="auto"/>
          <w:kern w:val="44"/>
          <w:sz w:val="36"/>
          <w:szCs w:val="36"/>
          <w:highlight w:val="none"/>
        </w:rPr>
        <w:sectPr>
          <w:footerReference r:id="rId3" w:type="default"/>
          <w:type w:val="nextColumn"/>
          <w:pgSz w:w="11906" w:h="16838"/>
          <w:pgMar w:top="1134" w:right="1418" w:bottom="1134" w:left="1418" w:header="851" w:footer="992" w:gutter="0"/>
          <w:pgNumType w:start="1"/>
          <w:cols w:space="720" w:num="1"/>
        </w:sectPr>
      </w:pPr>
    </w:p>
    <w:p>
      <w:pPr>
        <w:tabs>
          <w:tab w:val="center" w:pos="4365"/>
        </w:tabs>
        <w:spacing w:line="480" w:lineRule="auto"/>
        <w:jc w:val="center"/>
        <w:rPr>
          <w:rFonts w:ascii="宋体" w:hAnsi="宋体" w:eastAsia="宋体" w:cs="宋体"/>
          <w:b/>
          <w:color w:val="auto"/>
          <w:sz w:val="52"/>
          <w:szCs w:val="52"/>
          <w:highlight w:val="none"/>
        </w:rPr>
      </w:pPr>
      <w:r>
        <w:rPr>
          <w:rFonts w:hint="eastAsia" w:ascii="宋体" w:hAnsi="宋体" w:eastAsia="宋体" w:cs="宋体"/>
          <w:b/>
          <w:color w:val="auto"/>
          <w:sz w:val="36"/>
          <w:szCs w:val="36"/>
          <w:highlight w:val="none"/>
        </w:rPr>
        <w:t>目    录</w:t>
      </w:r>
    </w:p>
    <w:p>
      <w:pPr>
        <w:tabs>
          <w:tab w:val="right" w:leader="dot" w:pos="9073"/>
        </w:tabs>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TOC \o "1-3" \h \z \u </w:instrText>
      </w:r>
      <w:r>
        <w:rPr>
          <w:rFonts w:hint="eastAsia" w:ascii="宋体" w:hAnsi="宋体" w:eastAsia="宋体" w:cs="宋体"/>
          <w:color w:val="auto"/>
          <w:szCs w:val="21"/>
          <w:highlight w:val="none"/>
        </w:rPr>
        <w:fldChar w:fldCharType="separate"/>
      </w:r>
      <w:r>
        <w:rPr>
          <w:color w:val="auto"/>
          <w:highlight w:val="none"/>
        </w:rPr>
        <w:fldChar w:fldCharType="begin"/>
      </w:r>
      <w:r>
        <w:rPr>
          <w:color w:val="auto"/>
          <w:highlight w:val="none"/>
        </w:rPr>
        <w:instrText xml:space="preserve"> HYPERLINK "file:///C:\\Users\\Administrator\\Desktop\\电缆\\慈溪市2022年民生实事项目配套充电桩配套电缆采购项目招标文件9.6.doc" \l "_Toc29951" </w:instrText>
      </w:r>
      <w:r>
        <w:rPr>
          <w:color w:val="auto"/>
          <w:highlight w:val="none"/>
        </w:rPr>
        <w:fldChar w:fldCharType="separate"/>
      </w:r>
      <w:r>
        <w:rPr>
          <w:rFonts w:hint="eastAsia" w:ascii="宋体" w:hAnsi="宋体" w:eastAsia="宋体" w:cs="宋体"/>
          <w:color w:val="auto"/>
          <w:szCs w:val="21"/>
          <w:highlight w:val="none"/>
          <w:lang w:eastAsia="en-US"/>
        </w:rPr>
        <w:t>第一章  招标公告</w:t>
      </w:r>
      <w:r>
        <w:rPr>
          <w:rFonts w:hint="eastAsia" w:ascii="宋体" w:hAnsi="宋体" w:eastAsia="宋体" w:cs="宋体"/>
          <w:color w:val="auto"/>
          <w:szCs w:val="21"/>
          <w:highlight w:val="none"/>
          <w:lang w:eastAsia="en-US"/>
        </w:rPr>
        <w:tab/>
      </w:r>
      <w:r>
        <w:rPr>
          <w:rFonts w:hint="eastAsia" w:ascii="宋体" w:hAnsi="宋体" w:eastAsia="宋体" w:cs="宋体"/>
          <w:color w:val="auto"/>
          <w:szCs w:val="21"/>
          <w:highlight w:val="none"/>
          <w:lang w:eastAsia="en-US"/>
        </w:rPr>
        <w:fldChar w:fldCharType="begin"/>
      </w:r>
      <w:r>
        <w:rPr>
          <w:rFonts w:hint="eastAsia" w:ascii="宋体" w:hAnsi="宋体" w:eastAsia="宋体" w:cs="宋体"/>
          <w:color w:val="auto"/>
          <w:szCs w:val="21"/>
          <w:highlight w:val="none"/>
          <w:lang w:eastAsia="en-US"/>
        </w:rPr>
        <w:instrText xml:space="preserve"> PAGEREF _Toc29951 </w:instrText>
      </w:r>
      <w:r>
        <w:rPr>
          <w:rFonts w:hint="eastAsia" w:ascii="宋体" w:hAnsi="宋体" w:eastAsia="宋体" w:cs="宋体"/>
          <w:color w:val="auto"/>
          <w:szCs w:val="21"/>
          <w:highlight w:val="none"/>
          <w:lang w:eastAsia="en-US"/>
        </w:rPr>
        <w:fldChar w:fldCharType="separate"/>
      </w:r>
      <w:r>
        <w:rPr>
          <w:rFonts w:hint="eastAsia" w:ascii="宋体" w:hAnsi="宋体" w:eastAsia="宋体" w:cs="宋体"/>
          <w:color w:val="auto"/>
          <w:szCs w:val="21"/>
          <w:highlight w:val="none"/>
          <w:lang w:eastAsia="en-US"/>
        </w:rPr>
        <w:t>2</w:t>
      </w:r>
      <w:r>
        <w:rPr>
          <w:rFonts w:hint="eastAsia" w:ascii="宋体" w:hAnsi="宋体" w:eastAsia="宋体" w:cs="宋体"/>
          <w:color w:val="auto"/>
          <w:szCs w:val="21"/>
          <w:highlight w:val="none"/>
          <w:lang w:eastAsia="en-US"/>
        </w:rPr>
        <w:fldChar w:fldCharType="end"/>
      </w:r>
      <w:r>
        <w:rPr>
          <w:rFonts w:hint="eastAsia" w:ascii="宋体" w:hAnsi="宋体" w:eastAsia="宋体" w:cs="宋体"/>
          <w:color w:val="auto"/>
          <w:szCs w:val="21"/>
          <w:highlight w:val="none"/>
          <w:lang w:eastAsia="en-US"/>
        </w:rPr>
        <w:fldChar w:fldCharType="end"/>
      </w:r>
    </w:p>
    <w:p>
      <w:pPr>
        <w:tabs>
          <w:tab w:val="right" w:leader="dot" w:pos="9073"/>
        </w:tabs>
        <w:spacing w:line="360" w:lineRule="auto"/>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"file:///C:\\Users\\Administrator\\Desktop\\电缆\\慈溪市2022年民生实事项目配套充电桩配套电缆采购项目招标文件9.6.doc" \l "_Toc23064" </w:instrText>
      </w:r>
      <w:r>
        <w:rPr>
          <w:color w:val="auto"/>
          <w:highlight w:val="none"/>
        </w:rPr>
        <w:fldChar w:fldCharType="separate"/>
      </w:r>
      <w:r>
        <w:rPr>
          <w:rFonts w:hint="eastAsia" w:ascii="宋体" w:hAnsi="宋体" w:eastAsia="宋体" w:cs="宋体"/>
          <w:color w:val="auto"/>
          <w:szCs w:val="21"/>
          <w:highlight w:val="none"/>
          <w:lang w:eastAsia="en-US"/>
        </w:rPr>
        <w:t>第二章  投标须知</w:t>
      </w:r>
      <w:r>
        <w:rPr>
          <w:rFonts w:hint="eastAsia" w:ascii="宋体" w:hAnsi="宋体" w:eastAsia="宋体" w:cs="宋体"/>
          <w:color w:val="auto"/>
          <w:szCs w:val="21"/>
          <w:highlight w:val="none"/>
          <w:lang w:eastAsia="en-US"/>
        </w:rPr>
        <w:tab/>
      </w:r>
      <w:r>
        <w:rPr>
          <w:rFonts w:hint="eastAsia" w:ascii="宋体" w:hAnsi="宋体" w:eastAsia="宋体" w:cs="宋体"/>
          <w:color w:val="auto"/>
          <w:szCs w:val="21"/>
          <w:highlight w:val="none"/>
          <w:lang w:eastAsia="en-US"/>
        </w:rPr>
        <w:fldChar w:fldCharType="begin"/>
      </w:r>
      <w:r>
        <w:rPr>
          <w:rFonts w:hint="eastAsia" w:ascii="宋体" w:hAnsi="宋体" w:eastAsia="宋体" w:cs="宋体"/>
          <w:color w:val="auto"/>
          <w:szCs w:val="21"/>
          <w:highlight w:val="none"/>
          <w:lang w:eastAsia="en-US"/>
        </w:rPr>
        <w:instrText xml:space="preserve"> PAGEREF _Toc23064 </w:instrText>
      </w:r>
      <w:r>
        <w:rPr>
          <w:rFonts w:hint="eastAsia" w:ascii="宋体" w:hAnsi="宋体" w:eastAsia="宋体" w:cs="宋体"/>
          <w:color w:val="auto"/>
          <w:szCs w:val="21"/>
          <w:highlight w:val="none"/>
          <w:lang w:eastAsia="en-US"/>
        </w:rPr>
        <w:fldChar w:fldCharType="separate"/>
      </w:r>
      <w:r>
        <w:rPr>
          <w:rFonts w:hint="eastAsia" w:ascii="宋体" w:hAnsi="宋体" w:eastAsia="宋体" w:cs="宋体"/>
          <w:color w:val="auto"/>
          <w:szCs w:val="21"/>
          <w:highlight w:val="none"/>
          <w:lang w:eastAsia="en-US"/>
        </w:rPr>
        <w:t>5</w:t>
      </w:r>
      <w:r>
        <w:rPr>
          <w:rFonts w:hint="eastAsia" w:ascii="宋体" w:hAnsi="宋体" w:eastAsia="宋体" w:cs="宋体"/>
          <w:color w:val="auto"/>
          <w:szCs w:val="21"/>
          <w:highlight w:val="none"/>
          <w:lang w:eastAsia="en-US"/>
        </w:rPr>
        <w:fldChar w:fldCharType="end"/>
      </w:r>
      <w:r>
        <w:rPr>
          <w:rFonts w:hint="eastAsia" w:ascii="宋体" w:hAnsi="宋体" w:eastAsia="宋体" w:cs="宋体"/>
          <w:color w:val="auto"/>
          <w:szCs w:val="21"/>
          <w:highlight w:val="none"/>
          <w:lang w:eastAsia="en-US"/>
        </w:rPr>
        <w:fldChar w:fldCharType="end"/>
      </w:r>
    </w:p>
    <w:p>
      <w:pPr>
        <w:tabs>
          <w:tab w:val="right" w:leader="dot" w:pos="9073"/>
        </w:tabs>
        <w:spacing w:line="360" w:lineRule="auto"/>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"file:///C:\\Users\\Administrator\\Desktop\\电缆\\慈溪市2022年民生实事项目配套充电桩配套电缆采购项目招标文件9.6.doc" \l "_Toc15581" </w:instrText>
      </w:r>
      <w:r>
        <w:rPr>
          <w:color w:val="auto"/>
          <w:highlight w:val="none"/>
        </w:rPr>
        <w:fldChar w:fldCharType="separate"/>
      </w:r>
      <w:r>
        <w:rPr>
          <w:rFonts w:hint="eastAsia" w:ascii="宋体" w:hAnsi="宋体" w:eastAsia="宋体" w:cs="宋体"/>
          <w:color w:val="auto"/>
          <w:szCs w:val="21"/>
          <w:highlight w:val="none"/>
          <w:lang w:eastAsia="en-US"/>
        </w:rPr>
        <w:t>第三章  评标办法及标准</w:t>
      </w:r>
      <w:r>
        <w:rPr>
          <w:rFonts w:hint="eastAsia" w:ascii="宋体" w:hAnsi="宋体" w:eastAsia="宋体" w:cs="宋体"/>
          <w:color w:val="auto"/>
          <w:szCs w:val="21"/>
          <w:highlight w:val="none"/>
          <w:lang w:eastAsia="en-US"/>
        </w:rPr>
        <w:tab/>
      </w:r>
      <w:r>
        <w:rPr>
          <w:rFonts w:hint="eastAsia" w:ascii="宋体" w:hAnsi="宋体" w:eastAsia="宋体" w:cs="宋体"/>
          <w:color w:val="auto"/>
          <w:szCs w:val="21"/>
          <w:highlight w:val="none"/>
          <w:lang w:eastAsia="en-US"/>
        </w:rPr>
        <w:fldChar w:fldCharType="begin"/>
      </w:r>
      <w:r>
        <w:rPr>
          <w:rFonts w:hint="eastAsia" w:ascii="宋体" w:hAnsi="宋体" w:eastAsia="宋体" w:cs="宋体"/>
          <w:color w:val="auto"/>
          <w:szCs w:val="21"/>
          <w:highlight w:val="none"/>
          <w:lang w:eastAsia="en-US"/>
        </w:rPr>
        <w:instrText xml:space="preserve"> PAGEREF _Toc15581 </w:instrText>
      </w:r>
      <w:r>
        <w:rPr>
          <w:rFonts w:hint="eastAsia" w:ascii="宋体" w:hAnsi="宋体" w:eastAsia="宋体" w:cs="宋体"/>
          <w:color w:val="auto"/>
          <w:szCs w:val="21"/>
          <w:highlight w:val="none"/>
          <w:lang w:eastAsia="en-US"/>
        </w:rPr>
        <w:fldChar w:fldCharType="separate"/>
      </w:r>
      <w:r>
        <w:rPr>
          <w:rFonts w:hint="eastAsia" w:ascii="宋体" w:hAnsi="宋体" w:eastAsia="宋体" w:cs="宋体"/>
          <w:color w:val="auto"/>
          <w:szCs w:val="21"/>
          <w:highlight w:val="none"/>
          <w:lang w:eastAsia="en-US"/>
        </w:rPr>
        <w:t>13</w:t>
      </w:r>
      <w:r>
        <w:rPr>
          <w:rFonts w:hint="eastAsia" w:ascii="宋体" w:hAnsi="宋体" w:eastAsia="宋体" w:cs="宋体"/>
          <w:color w:val="auto"/>
          <w:szCs w:val="21"/>
          <w:highlight w:val="none"/>
          <w:lang w:eastAsia="en-US"/>
        </w:rPr>
        <w:fldChar w:fldCharType="end"/>
      </w:r>
      <w:r>
        <w:rPr>
          <w:rFonts w:hint="eastAsia" w:ascii="宋体" w:hAnsi="宋体" w:eastAsia="宋体" w:cs="宋体"/>
          <w:color w:val="auto"/>
          <w:szCs w:val="21"/>
          <w:highlight w:val="none"/>
          <w:lang w:eastAsia="en-US"/>
        </w:rPr>
        <w:fldChar w:fldCharType="end"/>
      </w:r>
    </w:p>
    <w:p>
      <w:pPr>
        <w:tabs>
          <w:tab w:val="right" w:leader="dot" w:pos="9073"/>
        </w:tabs>
        <w:spacing w:line="360" w:lineRule="auto"/>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"file:///C:\\Users\\Administrator\\Desktop\\电缆\\慈溪市2022年民生实事项目配套充电桩配套电缆采购项目招标文件9.6.doc" \l "_Toc16187" </w:instrText>
      </w:r>
      <w:r>
        <w:rPr>
          <w:color w:val="auto"/>
          <w:highlight w:val="none"/>
        </w:rPr>
        <w:fldChar w:fldCharType="separate"/>
      </w:r>
      <w:r>
        <w:rPr>
          <w:rFonts w:hint="eastAsia" w:ascii="宋体" w:hAnsi="宋体" w:eastAsia="宋体" w:cs="宋体"/>
          <w:color w:val="auto"/>
          <w:szCs w:val="21"/>
          <w:highlight w:val="none"/>
        </w:rPr>
        <w:t>第四章  合同样本</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18</w:t>
      </w:r>
    </w:p>
    <w:p>
      <w:pPr>
        <w:tabs>
          <w:tab w:val="right" w:leader="dot" w:pos="9073"/>
        </w:tabs>
        <w:spacing w:line="360" w:lineRule="auto"/>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"file:///C:\\Users\\Administrator\\Desktop\\电缆\\慈溪市2022年民生实事项目配套充电桩配套电缆采购项目招标文件9.6.doc" \l "_Toc21364" </w:instrText>
      </w:r>
      <w:r>
        <w:rPr>
          <w:color w:val="auto"/>
          <w:highlight w:val="none"/>
        </w:rPr>
        <w:fldChar w:fldCharType="separate"/>
      </w:r>
      <w:r>
        <w:rPr>
          <w:rFonts w:hint="eastAsia" w:ascii="宋体" w:hAnsi="宋体" w:eastAsia="宋体" w:cs="宋体"/>
          <w:color w:val="auto"/>
          <w:szCs w:val="21"/>
          <w:highlight w:val="none"/>
        </w:rPr>
        <w:t>第五章  招标项目需求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22</w:t>
      </w:r>
    </w:p>
    <w:p>
      <w:pPr>
        <w:tabs>
          <w:tab w:val="right" w:leader="dot" w:pos="9073"/>
        </w:tabs>
        <w:spacing w:line="360" w:lineRule="auto"/>
        <w:rPr>
          <w:rFonts w:hint="eastAsia" w:ascii="宋体" w:hAnsi="宋体" w:eastAsia="宋体" w:cs="宋体"/>
          <w:color w:val="auto"/>
          <w:szCs w:val="21"/>
          <w:highlight w:val="none"/>
          <w:lang w:eastAsia="zh-CN"/>
        </w:rPr>
      </w:pPr>
      <w:r>
        <w:rPr>
          <w:color w:val="auto"/>
          <w:highlight w:val="none"/>
        </w:rPr>
        <w:fldChar w:fldCharType="begin"/>
      </w:r>
      <w:r>
        <w:rPr>
          <w:color w:val="auto"/>
          <w:highlight w:val="none"/>
        </w:rPr>
        <w:instrText xml:space="preserve"> HYPERLINK "file:///C:\\Users\\Administrator\\Desktop\\电缆\\慈溪市2022年民生实事项目配套充电桩配套电缆采购项目招标文件9.6.doc" \l "_Toc5926" </w:instrText>
      </w:r>
      <w:r>
        <w:rPr>
          <w:color w:val="auto"/>
          <w:highlight w:val="none"/>
        </w:rPr>
        <w:fldChar w:fldCharType="separate"/>
      </w:r>
      <w:r>
        <w:rPr>
          <w:rFonts w:hint="eastAsia" w:ascii="宋体" w:hAnsi="宋体" w:eastAsia="宋体" w:cs="宋体"/>
          <w:color w:val="auto"/>
          <w:szCs w:val="21"/>
          <w:highlight w:val="none"/>
        </w:rPr>
        <w:t>第六章  商务条款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7</w:t>
      </w:r>
    </w:p>
    <w:p>
      <w:pPr>
        <w:tabs>
          <w:tab w:val="right" w:leader="dot" w:pos="9073"/>
        </w:tabs>
        <w:spacing w:line="360" w:lineRule="auto"/>
        <w:rPr>
          <w:rFonts w:hint="eastAsia" w:ascii="宋体" w:hAnsi="宋体" w:eastAsia="宋体" w:cs="宋体"/>
          <w:color w:val="auto"/>
          <w:szCs w:val="21"/>
          <w:highlight w:val="none"/>
          <w:lang w:eastAsia="zh-CN"/>
        </w:rPr>
      </w:pPr>
      <w:r>
        <w:rPr>
          <w:color w:val="auto"/>
          <w:highlight w:val="none"/>
        </w:rPr>
        <w:fldChar w:fldCharType="begin"/>
      </w:r>
      <w:r>
        <w:rPr>
          <w:color w:val="auto"/>
          <w:highlight w:val="none"/>
        </w:rPr>
        <w:instrText xml:space="preserve"> HYPERLINK "file:///C:\\Users\\Administrator\\Desktop\\电缆\\慈溪市2022年民生实事项目配套充电桩配套电缆采购项目招标文件9.6.doc" \l "_Toc5926" </w:instrText>
      </w:r>
      <w:r>
        <w:rPr>
          <w:color w:val="auto"/>
          <w:highlight w:val="none"/>
        </w:rPr>
        <w:fldChar w:fldCharType="separate"/>
      </w:r>
      <w:r>
        <w:rPr>
          <w:rFonts w:hint="eastAsia" w:ascii="宋体" w:hAnsi="宋体" w:eastAsia="宋体" w:cs="宋体"/>
          <w:color w:val="auto"/>
          <w:szCs w:val="21"/>
          <w:highlight w:val="none"/>
        </w:rPr>
        <w:t>第七章  附件</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8</w:t>
      </w:r>
    </w:p>
    <w:p>
      <w:pPr>
        <w:spacing w:line="360" w:lineRule="auto"/>
        <w:jc w:val="center"/>
        <w:rPr>
          <w:rFonts w:ascii="宋体" w:hAnsi="宋体" w:eastAsia="宋体" w:cs="宋体"/>
          <w:b/>
          <w:color w:val="auto"/>
          <w:szCs w:val="21"/>
          <w:highlight w:val="none"/>
        </w:rPr>
      </w:pPr>
      <w:r>
        <w:rPr>
          <w:rFonts w:hint="eastAsia" w:ascii="宋体" w:hAnsi="宋体" w:eastAsia="宋体" w:cs="宋体"/>
          <w:color w:val="auto"/>
          <w:szCs w:val="21"/>
          <w:highlight w:val="none"/>
        </w:rPr>
        <w:fldChar w:fldCharType="end"/>
      </w:r>
    </w:p>
    <w:p>
      <w:pPr>
        <w:widowControl/>
        <w:jc w:val="left"/>
        <w:rPr>
          <w:rFonts w:ascii="宋体" w:hAnsi="宋体" w:eastAsia="宋体" w:cs="宋体"/>
          <w:b/>
          <w:color w:val="auto"/>
          <w:szCs w:val="21"/>
          <w:highlight w:val="none"/>
        </w:rPr>
        <w:sectPr>
          <w:type w:val="nextColumn"/>
          <w:pgSz w:w="11907" w:h="16840"/>
          <w:pgMar w:top="1134" w:right="1417" w:bottom="1134" w:left="1417" w:header="569" w:footer="697" w:gutter="0"/>
          <w:pgNumType w:start="1"/>
          <w:cols w:space="720" w:num="1"/>
        </w:sectPr>
      </w:pPr>
    </w:p>
    <w:p>
      <w:pPr>
        <w:keepNext/>
        <w:keepLines/>
        <w:spacing w:before="340" w:after="330" w:line="360" w:lineRule="auto"/>
        <w:jc w:val="center"/>
        <w:outlineLvl w:val="0"/>
        <w:rPr>
          <w:rFonts w:ascii="宋体" w:hAnsi="宋体" w:eastAsia="宋体" w:cs="宋体"/>
          <w:b/>
          <w:bCs/>
          <w:color w:val="auto"/>
          <w:kern w:val="44"/>
          <w:sz w:val="36"/>
          <w:szCs w:val="36"/>
          <w:highlight w:val="none"/>
        </w:rPr>
      </w:pPr>
      <w:bookmarkStart w:id="0" w:name="_Toc29951"/>
      <w:r>
        <w:rPr>
          <w:rFonts w:hint="eastAsia" w:ascii="宋体" w:hAnsi="宋体" w:eastAsia="宋体" w:cs="宋体"/>
          <w:b/>
          <w:bCs/>
          <w:color w:val="auto"/>
          <w:kern w:val="44"/>
          <w:sz w:val="36"/>
          <w:szCs w:val="36"/>
          <w:highlight w:val="none"/>
        </w:rPr>
        <w:t>第一章  招标公告</w:t>
      </w:r>
      <w:bookmarkEnd w:id="0"/>
    </w:p>
    <w:p>
      <w:pPr>
        <w:spacing w:line="38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根据《中华人民共和国招标投标法》、《关于规范国有企业货物和服务招标招标的指导意见（试行）》</w:t>
      </w:r>
      <w:r>
        <w:rPr>
          <w:rFonts w:hint="eastAsia" w:ascii="宋体" w:hAnsi="宋体" w:eastAsia="宋体" w:cs="Times New Roman"/>
          <w:color w:val="auto"/>
          <w:szCs w:val="20"/>
          <w:highlight w:val="none"/>
        </w:rPr>
        <w:t>（慈国资【2014】149号》</w:t>
      </w:r>
      <w:r>
        <w:rPr>
          <w:rFonts w:hint="eastAsia" w:ascii="宋体" w:hAnsi="宋体" w:eastAsia="宋体" w:cs="宋体"/>
          <w:color w:val="auto"/>
          <w:szCs w:val="21"/>
          <w:highlight w:val="none"/>
        </w:rPr>
        <w:t>等有关规定，宁波永敬工程造价咨询有限公司受</w:t>
      </w:r>
      <w:r>
        <w:rPr>
          <w:rFonts w:hint="eastAsia" w:ascii="宋体" w:hAnsi="宋体" w:eastAsia="宋体" w:cs="宋体"/>
          <w:color w:val="auto"/>
          <w:szCs w:val="21"/>
          <w:highlight w:val="none"/>
          <w:u w:val="single"/>
        </w:rPr>
        <w:t>慈溪市交通场站经营有限公司</w:t>
      </w:r>
      <w:r>
        <w:rPr>
          <w:rFonts w:hint="eastAsia" w:ascii="宋体" w:hAnsi="宋体" w:eastAsia="宋体" w:cs="宋体"/>
          <w:color w:val="auto"/>
          <w:szCs w:val="21"/>
          <w:highlight w:val="none"/>
        </w:rPr>
        <w:t>的委托，就</w:t>
      </w:r>
      <w:r>
        <w:rPr>
          <w:rFonts w:hint="eastAsia" w:ascii="宋体" w:hAnsi="宋体" w:eastAsia="宋体" w:cs="宋体"/>
          <w:color w:val="auto"/>
          <w:szCs w:val="21"/>
          <w:highlight w:val="none"/>
          <w:u w:val="single"/>
          <w:lang w:eastAsia="zh-CN"/>
        </w:rPr>
        <w:t>慈溪市交通场站经营有限公司充电桩配套电缆</w:t>
      </w:r>
      <w:r>
        <w:rPr>
          <w:rFonts w:hint="eastAsia" w:ascii="宋体" w:hAnsi="宋体" w:eastAsia="宋体" w:cs="宋体"/>
          <w:color w:val="auto"/>
          <w:szCs w:val="21"/>
          <w:highlight w:val="none"/>
          <w:u w:val="single"/>
        </w:rPr>
        <w:t>采购项目</w:t>
      </w:r>
      <w:r>
        <w:rPr>
          <w:rFonts w:hint="eastAsia" w:ascii="宋体" w:hAnsi="宋体" w:eastAsia="宋体" w:cs="宋体"/>
          <w:color w:val="auto"/>
          <w:szCs w:val="21"/>
          <w:highlight w:val="none"/>
        </w:rPr>
        <w:t>进行公开招标，欢迎符合要求的供应商前来投标。</w:t>
      </w:r>
    </w:p>
    <w:p>
      <w:pPr>
        <w:spacing w:line="380" w:lineRule="exact"/>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一、招标编号：</w:t>
      </w:r>
      <w:r>
        <w:rPr>
          <w:rFonts w:hint="eastAsia" w:ascii="宋体" w:hAnsi="宋体" w:eastAsia="宋体" w:cs="宋体"/>
          <w:b/>
          <w:bCs/>
          <w:color w:val="auto"/>
          <w:szCs w:val="21"/>
          <w:highlight w:val="none"/>
          <w:lang w:eastAsia="zh-CN"/>
        </w:rPr>
        <w:t xml:space="preserve">QTGGZY202324 </w:t>
      </w:r>
    </w:p>
    <w:p>
      <w:pPr>
        <w:spacing w:line="38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二、项目名称：</w:t>
      </w:r>
      <w:r>
        <w:rPr>
          <w:rFonts w:hint="eastAsia" w:ascii="宋体" w:hAnsi="宋体" w:eastAsia="宋体" w:cs="宋体"/>
          <w:b/>
          <w:bCs/>
          <w:color w:val="auto"/>
          <w:szCs w:val="21"/>
          <w:highlight w:val="none"/>
          <w:lang w:eastAsia="zh-CN"/>
        </w:rPr>
        <w:t>慈溪市交通场站经营有限公司充电桩配套电缆</w:t>
      </w:r>
      <w:r>
        <w:rPr>
          <w:rFonts w:hint="eastAsia" w:ascii="宋体" w:hAnsi="宋体" w:eastAsia="宋体" w:cs="宋体"/>
          <w:b/>
          <w:bCs/>
          <w:color w:val="auto"/>
          <w:szCs w:val="21"/>
          <w:highlight w:val="none"/>
        </w:rPr>
        <w:t>采购项目</w:t>
      </w:r>
    </w:p>
    <w:p>
      <w:pPr>
        <w:spacing w:line="38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三、招标方式：公开招标</w:t>
      </w:r>
    </w:p>
    <w:p>
      <w:pPr>
        <w:spacing w:line="38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四、招标内容</w:t>
      </w:r>
    </w:p>
    <w:tbl>
      <w:tblPr>
        <w:tblStyle w:val="46"/>
        <w:tblW w:w="9465"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288"/>
        <w:gridCol w:w="1280"/>
        <w:gridCol w:w="177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序号</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内容</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zCs w:val="21"/>
                <w:highlight w:val="none"/>
              </w:rPr>
            </w:pPr>
            <w:r>
              <w:rPr>
                <w:rFonts w:hint="eastAsia" w:ascii="Times New Roman" w:hAnsi="Times New Roman" w:eastAsia="宋体" w:cs="Times New Roman"/>
                <w:color w:val="auto"/>
                <w:szCs w:val="20"/>
                <w:highlight w:val="none"/>
              </w:rPr>
              <w:t>单位</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zCs w:val="21"/>
                <w:highlight w:val="none"/>
              </w:rPr>
            </w:pPr>
            <w:r>
              <w:rPr>
                <w:rFonts w:hint="eastAsia" w:ascii="Times New Roman" w:hAnsi="Times New Roman" w:eastAsia="宋体" w:cs="Times New Roman"/>
                <w:color w:val="auto"/>
                <w:szCs w:val="20"/>
                <w:highlight w:val="none"/>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ZR-YJY22-0.6/1-3*95+2*50</w:t>
            </w:r>
          </w:p>
        </w:tc>
        <w:tc>
          <w:tcPr>
            <w:tcW w:w="128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米</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1000</w:t>
            </w:r>
          </w:p>
        </w:tc>
        <w:tc>
          <w:tcPr>
            <w:tcW w:w="2162" w:type="dxa"/>
            <w:vMerge w:val="restart"/>
            <w:tcBorders>
              <w:top w:val="single" w:color="auto" w:sz="4" w:space="0"/>
              <w:left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281.5</w:t>
            </w:r>
            <w:r>
              <w:rPr>
                <w:rFonts w:hint="eastAsia" w:ascii="宋体" w:hAnsi="宋体" w:eastAsia="宋体" w:cs="Times New Roman"/>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ZR-YJY-0.6/1-3*95+2*50</w:t>
            </w:r>
          </w:p>
        </w:tc>
        <w:tc>
          <w:tcPr>
            <w:tcW w:w="128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米</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2500</w:t>
            </w:r>
          </w:p>
        </w:tc>
        <w:tc>
          <w:tcPr>
            <w:tcW w:w="2162"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YJV-0.6/1\2*95+1*25</w:t>
            </w:r>
          </w:p>
        </w:tc>
        <w:tc>
          <w:tcPr>
            <w:tcW w:w="128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米</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3000</w:t>
            </w:r>
          </w:p>
        </w:tc>
        <w:tc>
          <w:tcPr>
            <w:tcW w:w="2162"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RVSP-4*1</w:t>
            </w:r>
          </w:p>
        </w:tc>
        <w:tc>
          <w:tcPr>
            <w:tcW w:w="128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米</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3000</w:t>
            </w:r>
          </w:p>
        </w:tc>
        <w:tc>
          <w:tcPr>
            <w:tcW w:w="2162"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SFTP-HSYYP-5E 4*2*0.52</w:t>
            </w:r>
          </w:p>
        </w:tc>
        <w:tc>
          <w:tcPr>
            <w:tcW w:w="128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米</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3000</w:t>
            </w:r>
          </w:p>
        </w:tc>
        <w:tc>
          <w:tcPr>
            <w:tcW w:w="2162"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6</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YJV-0.6/1\2*2.5</w:t>
            </w:r>
          </w:p>
        </w:tc>
        <w:tc>
          <w:tcPr>
            <w:tcW w:w="128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米</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3000</w:t>
            </w:r>
          </w:p>
        </w:tc>
        <w:tc>
          <w:tcPr>
            <w:tcW w:w="2162"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YJY22-0.6/1-3*120+2*70</w:t>
            </w:r>
          </w:p>
        </w:tc>
        <w:tc>
          <w:tcPr>
            <w:tcW w:w="128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米</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1000</w:t>
            </w:r>
          </w:p>
        </w:tc>
        <w:tc>
          <w:tcPr>
            <w:tcW w:w="2162" w:type="dxa"/>
            <w:vMerge w:val="continue"/>
            <w:tcBorders>
              <w:left w:val="single" w:color="auto" w:sz="4" w:space="0"/>
              <w:right w:val="single" w:color="auto" w:sz="4" w:space="0"/>
            </w:tcBorders>
            <w:vAlign w:val="center"/>
          </w:tcPr>
          <w:p>
            <w:pPr>
              <w:widowControl/>
              <w:jc w:val="left"/>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8</w:t>
            </w:r>
          </w:p>
        </w:tc>
        <w:tc>
          <w:tcPr>
            <w:tcW w:w="328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YJY-0.6/1-3*120+2*70</w:t>
            </w:r>
          </w:p>
        </w:tc>
        <w:tc>
          <w:tcPr>
            <w:tcW w:w="1280"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米</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1500</w:t>
            </w:r>
          </w:p>
        </w:tc>
        <w:tc>
          <w:tcPr>
            <w:tcW w:w="216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auto"/>
                <w:szCs w:val="21"/>
                <w:highlight w:val="none"/>
              </w:rPr>
            </w:pPr>
          </w:p>
        </w:tc>
      </w:tr>
    </w:tbl>
    <w:p>
      <w:pPr>
        <w:spacing w:line="38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五、供应商资格要求：</w:t>
      </w:r>
    </w:p>
    <w:p>
      <w:pPr>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符合《中华人民共和国招标投标法》规定的投标人资格条件；</w:t>
      </w:r>
    </w:p>
    <w:p>
      <w:pPr>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依据最高人民法院等九部门《关于在招标投标活动中对失信被执行人实施联合惩戒的通知》，投标人不得为失信被执行人；</w:t>
      </w:r>
    </w:p>
    <w:p>
      <w:pPr>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本项目不接受联合体投标。</w:t>
      </w:r>
    </w:p>
    <w:p>
      <w:pPr>
        <w:spacing w:line="38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六、招标文件的获取：</w:t>
      </w:r>
    </w:p>
    <w:p>
      <w:pPr>
        <w:wordWrap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时间：</w:t>
      </w:r>
      <w:r>
        <w:rPr>
          <w:rFonts w:hint="eastAsia" w:cs="仿宋"/>
          <w:color w:val="auto"/>
          <w:sz w:val="21"/>
          <w:szCs w:val="21"/>
          <w:highlight w:val="none"/>
        </w:rPr>
        <w:t>202</w:t>
      </w:r>
      <w:r>
        <w:rPr>
          <w:rFonts w:hint="eastAsia" w:cs="仿宋"/>
          <w:color w:val="auto"/>
          <w:sz w:val="21"/>
          <w:szCs w:val="21"/>
          <w:highlight w:val="none"/>
          <w:lang w:val="en-US" w:eastAsia="zh-CN"/>
        </w:rPr>
        <w:t>3</w:t>
      </w:r>
      <w:r>
        <w:rPr>
          <w:rFonts w:hint="eastAsia" w:cs="仿宋"/>
          <w:color w:val="auto"/>
          <w:sz w:val="21"/>
          <w:szCs w:val="21"/>
          <w:highlight w:val="none"/>
        </w:rPr>
        <w:t>年</w:t>
      </w:r>
      <w:r>
        <w:rPr>
          <w:rFonts w:hint="eastAsia" w:cs="仿宋"/>
          <w:color w:val="auto"/>
          <w:sz w:val="21"/>
          <w:szCs w:val="21"/>
          <w:highlight w:val="none"/>
          <w:lang w:val="en-US" w:eastAsia="zh-CN"/>
        </w:rPr>
        <w:t>3</w:t>
      </w:r>
      <w:r>
        <w:rPr>
          <w:rFonts w:hint="eastAsia" w:cs="仿宋"/>
          <w:color w:val="auto"/>
          <w:sz w:val="21"/>
          <w:szCs w:val="21"/>
          <w:highlight w:val="none"/>
        </w:rPr>
        <w:t>月</w:t>
      </w:r>
      <w:r>
        <w:rPr>
          <w:rFonts w:hint="eastAsia" w:cs="仿宋"/>
          <w:color w:val="auto"/>
          <w:sz w:val="21"/>
          <w:szCs w:val="21"/>
          <w:highlight w:val="none"/>
          <w:lang w:val="en-US" w:eastAsia="zh-CN"/>
        </w:rPr>
        <w:t>3</w:t>
      </w:r>
      <w:r>
        <w:rPr>
          <w:rFonts w:hint="eastAsia" w:cs="仿宋"/>
          <w:color w:val="auto"/>
          <w:sz w:val="21"/>
          <w:szCs w:val="21"/>
          <w:highlight w:val="none"/>
        </w:rPr>
        <w:t>日</w:t>
      </w:r>
      <w:r>
        <w:rPr>
          <w:rFonts w:hint="eastAsia"/>
          <w:color w:val="auto"/>
          <w:sz w:val="21"/>
          <w:szCs w:val="21"/>
          <w:highlight w:val="none"/>
        </w:rPr>
        <w:t>至</w:t>
      </w:r>
      <w:r>
        <w:rPr>
          <w:rFonts w:hint="eastAsia" w:cs="仿宋"/>
          <w:color w:val="auto"/>
          <w:sz w:val="21"/>
          <w:szCs w:val="21"/>
          <w:highlight w:val="none"/>
        </w:rPr>
        <w:t>202</w:t>
      </w:r>
      <w:r>
        <w:rPr>
          <w:rFonts w:hint="eastAsia" w:cs="仿宋"/>
          <w:color w:val="auto"/>
          <w:sz w:val="21"/>
          <w:szCs w:val="21"/>
          <w:highlight w:val="none"/>
          <w:lang w:val="en-US" w:eastAsia="zh-CN"/>
        </w:rPr>
        <w:t>3</w:t>
      </w:r>
      <w:r>
        <w:rPr>
          <w:rFonts w:hint="eastAsia" w:cs="仿宋"/>
          <w:color w:val="auto"/>
          <w:sz w:val="21"/>
          <w:szCs w:val="21"/>
          <w:highlight w:val="none"/>
        </w:rPr>
        <w:t>年</w:t>
      </w:r>
      <w:r>
        <w:rPr>
          <w:rFonts w:hint="eastAsia" w:cs="仿宋"/>
          <w:color w:val="auto"/>
          <w:sz w:val="21"/>
          <w:szCs w:val="21"/>
          <w:highlight w:val="none"/>
          <w:lang w:val="en-US" w:eastAsia="zh-CN"/>
        </w:rPr>
        <w:t>3</w:t>
      </w:r>
      <w:r>
        <w:rPr>
          <w:rFonts w:hint="eastAsia" w:cs="仿宋"/>
          <w:color w:val="auto"/>
          <w:sz w:val="21"/>
          <w:szCs w:val="21"/>
          <w:highlight w:val="none"/>
        </w:rPr>
        <w:t>月</w:t>
      </w:r>
      <w:r>
        <w:rPr>
          <w:rFonts w:hint="eastAsia" w:cs="仿宋"/>
          <w:color w:val="auto"/>
          <w:sz w:val="21"/>
          <w:szCs w:val="21"/>
          <w:highlight w:val="none"/>
          <w:lang w:val="en-US" w:eastAsia="zh-CN"/>
        </w:rPr>
        <w:t>10</w:t>
      </w:r>
      <w:r>
        <w:rPr>
          <w:rFonts w:hint="eastAsia" w:cs="仿宋"/>
          <w:color w:val="auto"/>
          <w:sz w:val="21"/>
          <w:szCs w:val="21"/>
          <w:highlight w:val="none"/>
        </w:rPr>
        <w:t>日</w:t>
      </w:r>
      <w:r>
        <w:rPr>
          <w:rFonts w:hint="eastAsia"/>
          <w:color w:val="auto"/>
          <w:sz w:val="21"/>
          <w:szCs w:val="21"/>
          <w:highlight w:val="none"/>
        </w:rPr>
        <w:t>，每天上午00：00至12：00，下午12：00至23：59（北京时间，线上获取法定节假日均可）</w:t>
      </w:r>
      <w:r>
        <w:rPr>
          <w:rFonts w:hint="eastAsia" w:ascii="宋体" w:hAnsi="宋体" w:cs="宋体"/>
          <w:color w:val="auto"/>
          <w:szCs w:val="21"/>
          <w:highlight w:val="none"/>
        </w:rPr>
        <w:t>；</w:t>
      </w:r>
    </w:p>
    <w:p>
      <w:pPr>
        <w:wordWrap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地点：乐采云平台；</w:t>
      </w:r>
    </w:p>
    <w:p>
      <w:pPr>
        <w:wordWrap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方式：供应商登录乐采云平台（https://www.lecaiyun.com/）在线申请获取采购文件（进入“项目采购”应用，在获取采购文件菜单中选择项目，申请获取采购文件）； 通过本公告下方“游客，浏览采购文件”下载的采购文件仅供浏览，不视作依法获取招标文件，不得就采购文件提出质疑投诉,未按规定获取招标文件者的投标将被拒绝。</w:t>
      </w:r>
    </w:p>
    <w:p>
      <w:pPr>
        <w:wordWrap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招标文件售价：免费。</w:t>
      </w:r>
    </w:p>
    <w:p>
      <w:pPr>
        <w:spacing w:line="380" w:lineRule="exact"/>
        <w:jc w:val="lef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七、</w:t>
      </w:r>
      <w:r>
        <w:rPr>
          <w:rFonts w:hint="eastAsia" w:ascii="宋体" w:hAnsi="宋体" w:eastAsia="宋体" w:cs="Times New Roman"/>
          <w:b/>
          <w:bCs/>
          <w:color w:val="auto"/>
          <w:szCs w:val="21"/>
          <w:highlight w:val="none"/>
        </w:rPr>
        <w:t>提交投标文件截止时间、开标时间和地点</w:t>
      </w:r>
      <w:r>
        <w:rPr>
          <w:rFonts w:hint="eastAsia" w:ascii="宋体" w:hAnsi="宋体" w:eastAsia="宋体" w:cs="宋体"/>
          <w:b/>
          <w:bCs/>
          <w:color w:val="auto"/>
          <w:szCs w:val="21"/>
          <w:highlight w:val="none"/>
        </w:rPr>
        <w:t>：</w:t>
      </w:r>
    </w:p>
    <w:p>
      <w:pPr>
        <w:wordWrap w:val="0"/>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提交投标文件截止时间：202</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rPr>
        <w:t>日9点30分（北京时间）。</w:t>
      </w:r>
    </w:p>
    <w:p>
      <w:pPr>
        <w:wordWrap w:val="0"/>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投标地点（网址）：乐采云 https://www.lecaiyun.com。</w:t>
      </w:r>
    </w:p>
    <w:p>
      <w:pPr>
        <w:wordWrap w:val="0"/>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开标时间：202</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rPr>
        <w:t>日9点30分（北京时间）。</w:t>
      </w:r>
    </w:p>
    <w:p>
      <w:pPr>
        <w:wordWrap w:val="0"/>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开标地点（网址）：乐采云平台开标大厅。</w:t>
      </w:r>
    </w:p>
    <w:p>
      <w:pPr>
        <w:widowControl/>
        <w:spacing w:line="380" w:lineRule="exact"/>
        <w:jc w:val="left"/>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八、投标与开标注意事项：</w:t>
      </w:r>
    </w:p>
    <w:p>
      <w:pPr>
        <w:wordWrap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投标形式：本项目实行网上投标，采用电子投标文件。若供应商参与投标，自行承担投标一切费用。</w:t>
      </w:r>
    </w:p>
    <w:p>
      <w:pPr>
        <w:wordWrap w:val="0"/>
        <w:spacing w:line="400" w:lineRule="exact"/>
        <w:ind w:firstLine="420" w:firstLineChars="200"/>
        <w:rPr>
          <w:rFonts w:hint="eastAsia"/>
          <w:color w:val="auto"/>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开标时间后半小时内投标人可以登录</w:t>
      </w:r>
      <w:r>
        <w:rPr>
          <w:rFonts w:hint="eastAsia" w:ascii="宋体" w:hAnsi="宋体" w:cs="宋体"/>
          <w:color w:val="auto"/>
          <w:szCs w:val="21"/>
          <w:highlight w:val="none"/>
          <w:lang w:val="en-US" w:eastAsia="zh-CN"/>
        </w:rPr>
        <w:t>乐采</w:t>
      </w:r>
      <w:r>
        <w:rPr>
          <w:rFonts w:hint="eastAsia" w:ascii="宋体" w:hAnsi="宋体" w:cs="宋体"/>
          <w:color w:val="auto"/>
          <w:szCs w:val="21"/>
          <w:highlight w:val="none"/>
        </w:rPr>
        <w:t>云平台，用“项目采购-开标评标”功能进行解密投标文件。投标人按时在线解密投标文件的，以在线解密的投标文件作为评审依据，若投标人在规定时间内无法解密或解密失败，则以备份电子投标文件作为评审依据（若备份电子投标文件与乐采云平台上传的投标文件被识别为不一致，仍以备份电子投标文件作为评审依据）。若投标人在规定时间内无法解密或解密失败且未提供备份电子投标文件或所提供的备份电子投标文件无法读取的，视为投标文件撤回。</w:t>
      </w:r>
    </w:p>
    <w:p>
      <w:pPr>
        <w:wordWrap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pPr>
        <w:wordWrap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投标文件制作：</w:t>
      </w:r>
    </w:p>
    <w:p>
      <w:pPr>
        <w:wordWrap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wordWrap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2）供应商通过</w:t>
      </w:r>
      <w:r>
        <w:rPr>
          <w:rFonts w:hint="eastAsia" w:ascii="宋体" w:hAnsi="宋体" w:cs="宋体"/>
          <w:color w:val="auto"/>
          <w:szCs w:val="21"/>
          <w:highlight w:val="none"/>
          <w:lang w:val="en-US" w:eastAsia="zh-CN"/>
        </w:rPr>
        <w:t>乐采</w:t>
      </w:r>
      <w:r>
        <w:rPr>
          <w:rFonts w:hint="eastAsia" w:ascii="宋体" w:hAnsi="宋体" w:cs="宋体"/>
          <w:color w:val="auto"/>
          <w:szCs w:val="21"/>
          <w:highlight w:val="none"/>
        </w:rPr>
        <w:t>云平台电子投标工具制作投标文件。电子投标工具请供应商自行前往浙江政府采购网下载并安装（下载专区-电子投标客户端）。</w:t>
      </w:r>
    </w:p>
    <w:p>
      <w:pPr>
        <w:wordWrap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供应商投标文件制作及电子交易操作指南详见：政府采购云平台-服务中心-帮助文档-项目采购-操作流程-电子招投标。</w:t>
      </w:r>
    </w:p>
    <w:p>
      <w:pPr>
        <w:spacing w:line="380" w:lineRule="exact"/>
        <w:jc w:val="lef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九、投标保证金：本项目无需递交投标保证金。</w:t>
      </w:r>
    </w:p>
    <w:p>
      <w:pPr>
        <w:spacing w:line="380" w:lineRule="exact"/>
        <w:jc w:val="lef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十、联系方式： </w:t>
      </w:r>
    </w:p>
    <w:p>
      <w:pPr>
        <w:widowControl/>
        <w:tabs>
          <w:tab w:val="left" w:pos="540"/>
        </w:tabs>
        <w:spacing w:line="400" w:lineRule="exact"/>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招标人：慈溪市交通场站经营有限公司</w:t>
      </w:r>
    </w:p>
    <w:p>
      <w:pPr>
        <w:widowControl/>
        <w:tabs>
          <w:tab w:val="left" w:pos="540"/>
        </w:tabs>
        <w:spacing w:line="400" w:lineRule="exact"/>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地址：慈溪市逍林镇汽贸大道2288号</w:t>
      </w:r>
    </w:p>
    <w:p>
      <w:pPr>
        <w:widowControl/>
        <w:tabs>
          <w:tab w:val="left" w:pos="540"/>
        </w:tabs>
        <w:spacing w:line="380" w:lineRule="exact"/>
        <w:ind w:firstLine="42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lang w:val="en-US" w:eastAsia="zh-CN"/>
        </w:rPr>
        <w:t>秦先生</w:t>
      </w:r>
    </w:p>
    <w:p>
      <w:pPr>
        <w:widowControl/>
        <w:tabs>
          <w:tab w:val="left" w:pos="540"/>
        </w:tabs>
        <w:spacing w:line="380" w:lineRule="exact"/>
        <w:ind w:firstLine="42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联系电话：0574-639525</w:t>
      </w:r>
      <w:r>
        <w:rPr>
          <w:rFonts w:hint="eastAsia" w:ascii="宋体" w:hAnsi="宋体" w:eastAsia="宋体" w:cs="宋体"/>
          <w:color w:val="auto"/>
          <w:szCs w:val="21"/>
          <w:highlight w:val="none"/>
          <w:lang w:val="en-US" w:eastAsia="zh-CN"/>
        </w:rPr>
        <w:t>09</w:t>
      </w:r>
    </w:p>
    <w:p>
      <w:pPr>
        <w:widowControl/>
        <w:tabs>
          <w:tab w:val="left" w:pos="540"/>
        </w:tabs>
        <w:spacing w:line="380" w:lineRule="exact"/>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代理机构：宁波永敬工程造价咨询有限公司</w:t>
      </w:r>
    </w:p>
    <w:p>
      <w:pPr>
        <w:widowControl/>
        <w:tabs>
          <w:tab w:val="left" w:pos="540"/>
        </w:tabs>
        <w:spacing w:line="380" w:lineRule="exact"/>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地址：慈溪市孙塘南路4号永敬商务楼2楼</w:t>
      </w:r>
    </w:p>
    <w:p>
      <w:pPr>
        <w:widowControl/>
        <w:tabs>
          <w:tab w:val="left" w:pos="540"/>
        </w:tabs>
        <w:spacing w:line="380" w:lineRule="exact"/>
        <w:ind w:firstLine="42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val="en-US" w:eastAsia="zh-CN"/>
        </w:rPr>
        <w:t>侯先生</w:t>
      </w:r>
    </w:p>
    <w:p>
      <w:pPr>
        <w:widowControl/>
        <w:tabs>
          <w:tab w:val="left" w:pos="540"/>
        </w:tabs>
        <w:spacing w:line="380" w:lineRule="exact"/>
        <w:ind w:firstLine="420"/>
        <w:rPr>
          <w:rFonts w:ascii="宋体" w:hAnsi="宋体" w:eastAsia="宋体" w:cs="宋体"/>
          <w:color w:val="auto"/>
          <w:szCs w:val="21"/>
          <w:highlight w:val="none"/>
        </w:rPr>
      </w:pPr>
      <w:r>
        <w:rPr>
          <w:rFonts w:hint="eastAsia" w:ascii="宋体" w:hAnsi="宋体" w:eastAsia="宋体" w:cs="宋体"/>
          <w:color w:val="auto"/>
          <w:szCs w:val="21"/>
          <w:highlight w:val="none"/>
        </w:rPr>
        <w:t>联系电话：0574-63898331</w:t>
      </w:r>
    </w:p>
    <w:p>
      <w:pPr>
        <w:widowControl/>
        <w:tabs>
          <w:tab w:val="left" w:pos="540"/>
        </w:tabs>
        <w:spacing w:line="38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传真：0574-63898331</w:t>
      </w:r>
    </w:p>
    <w:p>
      <w:pPr>
        <w:widowControl/>
        <w:tabs>
          <w:tab w:val="left" w:pos="540"/>
        </w:tabs>
        <w:spacing w:line="38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投诉处理部门：宁波慈溪交通集团有限公司</w:t>
      </w:r>
    </w:p>
    <w:p>
      <w:pPr>
        <w:widowControl/>
        <w:tabs>
          <w:tab w:val="left" w:pos="540"/>
        </w:tabs>
        <w:spacing w:line="38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地址：慈溪市孙塘路339号</w:t>
      </w:r>
    </w:p>
    <w:p>
      <w:pPr>
        <w:widowControl/>
        <w:tabs>
          <w:tab w:val="left" w:pos="540"/>
        </w:tabs>
        <w:spacing w:line="38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联系人：丁部长</w:t>
      </w:r>
    </w:p>
    <w:p>
      <w:pPr>
        <w:widowControl/>
        <w:tabs>
          <w:tab w:val="left" w:pos="540"/>
        </w:tabs>
        <w:spacing w:line="38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联系电话：0574-63010849</w:t>
      </w:r>
    </w:p>
    <w:p>
      <w:pPr>
        <w:pStyle w:val="2"/>
        <w:rPr>
          <w:color w:val="auto"/>
          <w:highlight w:val="none"/>
        </w:rPr>
      </w:pPr>
    </w:p>
    <w:p>
      <w:pPr>
        <w:widowControl/>
        <w:spacing w:line="38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十一、其他事项：</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w:t>
      </w:r>
      <w:r>
        <w:rPr>
          <w:rFonts w:hint="eastAsia" w:ascii="宋体" w:hAnsi="宋体" w:cs="宋体"/>
          <w:color w:val="auto"/>
          <w:szCs w:val="21"/>
          <w:highlight w:val="none"/>
          <w:shd w:val="clear" w:color="auto" w:fill="FFFFFF"/>
          <w:lang w:bidi="ar"/>
        </w:rPr>
        <w:t xml:space="preserve">与招标人存在利害关系可能影响招标公正性的法人、其他组织或者个人，不得参加投标。 </w:t>
      </w:r>
    </w:p>
    <w:p>
      <w:pPr>
        <w:spacing w:line="380" w:lineRule="exact"/>
        <w:ind w:firstLine="420" w:firstLineChars="200"/>
        <w:rPr>
          <w:rFonts w:hint="eastAsia" w:ascii="宋体" w:hAnsi="宋体" w:cs="宋体"/>
          <w:color w:val="auto"/>
          <w:szCs w:val="21"/>
          <w:highlight w:val="none"/>
          <w:shd w:val="clear" w:color="auto" w:fill="FFFFFF"/>
          <w:lang w:bidi="ar"/>
        </w:rPr>
      </w:pPr>
      <w:r>
        <w:rPr>
          <w:rFonts w:hint="eastAsia" w:ascii="宋体" w:hAnsi="宋体" w:cs="宋体"/>
          <w:color w:val="auto"/>
          <w:szCs w:val="21"/>
          <w:highlight w:val="none"/>
          <w:shd w:val="clear" w:color="auto" w:fill="FFFFFF"/>
          <w:lang w:bidi="ar"/>
        </w:rPr>
        <w:t>2.落实政府采购政策：《政府采购促进中小企业发展管理办法》（财库[2020]46号）、《关于政府采购支持监狱企业发展有关问题的通知》(财库[2014]68号)、《关于促进残疾人就业政府采购政策的通知》（财库[2017]141号）。</w:t>
      </w:r>
    </w:p>
    <w:p>
      <w:pPr>
        <w:pStyle w:val="4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3.本项目禁止分包和转包。</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4.未获取招标文件者的投标将被拒绝。</w:t>
      </w:r>
    </w:p>
    <w:p>
      <w:pPr>
        <w:spacing w:line="380" w:lineRule="exact"/>
        <w:ind w:firstLine="420" w:firstLineChars="200"/>
        <w:jc w:val="center"/>
        <w:rPr>
          <w:rFonts w:ascii="宋体" w:hAnsi="宋体" w:eastAsia="宋体" w:cs="宋体"/>
          <w:b/>
          <w:bCs/>
          <w:color w:val="auto"/>
          <w:kern w:val="44"/>
          <w:sz w:val="36"/>
          <w:szCs w:val="36"/>
          <w:highlight w:val="none"/>
        </w:rPr>
      </w:pPr>
      <w:r>
        <w:rPr>
          <w:rFonts w:hint="eastAsia" w:ascii="宋体" w:hAnsi="宋体" w:eastAsia="宋体" w:cs="宋体"/>
          <w:color w:val="auto"/>
          <w:szCs w:val="21"/>
          <w:highlight w:val="none"/>
        </w:rPr>
        <w:br w:type="page"/>
      </w:r>
      <w:bookmarkStart w:id="1" w:name="_Toc23064"/>
      <w:r>
        <w:rPr>
          <w:rFonts w:hint="eastAsia" w:ascii="宋体" w:hAnsi="宋体" w:eastAsia="宋体" w:cs="宋体"/>
          <w:b/>
          <w:bCs/>
          <w:color w:val="auto"/>
          <w:kern w:val="44"/>
          <w:sz w:val="36"/>
          <w:szCs w:val="36"/>
          <w:highlight w:val="none"/>
        </w:rPr>
        <w:t>第二章  投标须知</w:t>
      </w:r>
      <w:bookmarkEnd w:id="1"/>
    </w:p>
    <w:p>
      <w:pPr>
        <w:spacing w:line="380" w:lineRule="exact"/>
        <w:ind w:firstLine="480" w:firstLineChars="200"/>
        <w:rPr>
          <w:rFonts w:ascii="Times New Roman" w:hAnsi="Times New Roman" w:eastAsia="方正书宋简体" w:cs="Times New Roman"/>
          <w:color w:val="auto"/>
          <w:sz w:val="24"/>
          <w:szCs w:val="20"/>
          <w:highlight w:val="none"/>
        </w:rPr>
      </w:pPr>
    </w:p>
    <w:p>
      <w:pPr>
        <w:spacing w:line="380" w:lineRule="exact"/>
        <w:ind w:firstLine="422" w:firstLineChars="200"/>
        <w:rPr>
          <w:rFonts w:ascii="宋体" w:hAnsi="宋体" w:eastAsia="宋体" w:cs="宋体"/>
          <w:b/>
          <w:color w:val="auto"/>
          <w:szCs w:val="21"/>
          <w:highlight w:val="none"/>
        </w:rPr>
      </w:pPr>
      <w:r>
        <w:rPr>
          <w:rFonts w:hint="eastAsia" w:ascii="宋体" w:hAnsi="宋体" w:eastAsia="宋体" w:cs="宋体"/>
          <w:b/>
          <w:color w:val="auto"/>
          <w:szCs w:val="21"/>
          <w:highlight w:val="none"/>
        </w:rPr>
        <w:t>一、适用范围</w:t>
      </w:r>
    </w:p>
    <w:p>
      <w:pPr>
        <w:spacing w:line="38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本招标文件仅适用于本招标项目所叙述的服务的招标、评标、定标、验收、合同履约、付款等（法律、法规另有规定的，从其规定）。</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二、定义</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1</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“招标人”系指慈溪市交通场站经营有限公司。</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2</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“代理机构”系指宁波永敬工程造价咨询有限公司。</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3</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“供应商”系指向招标人提供投标文件的供应商。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4</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“中标人”系指在本次招标中确定向招标人提供</w:t>
      </w:r>
      <w:r>
        <w:rPr>
          <w:rFonts w:hint="eastAsia" w:ascii="宋体" w:hAnsi="宋体" w:eastAsia="宋体" w:cs="宋体"/>
          <w:color w:val="auto"/>
          <w:szCs w:val="21"/>
          <w:highlight w:val="none"/>
        </w:rPr>
        <w:t>电缆</w:t>
      </w:r>
      <w:r>
        <w:rPr>
          <w:rFonts w:hint="eastAsia" w:ascii="宋体" w:hAnsi="宋体" w:eastAsia="宋体" w:cs="宋体"/>
          <w:color w:val="auto"/>
          <w:szCs w:val="21"/>
          <w:highlight w:val="none"/>
          <w:lang w:bidi="ar"/>
        </w:rPr>
        <w:t>的供应商。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5</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“货物”系指满足招标要求的</w:t>
      </w:r>
      <w:r>
        <w:rPr>
          <w:rFonts w:hint="eastAsia" w:ascii="宋体" w:hAnsi="宋体" w:eastAsia="宋体" w:cs="Times New Roman"/>
          <w:color w:val="auto"/>
          <w:kern w:val="0"/>
          <w:szCs w:val="21"/>
          <w:highlight w:val="none"/>
        </w:rPr>
        <w:t>电缆。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“服务”系指</w:t>
      </w:r>
      <w:r>
        <w:rPr>
          <w:rFonts w:hint="eastAsia" w:ascii="宋体" w:hAnsi="宋体" w:eastAsia="宋体" w:cs="宋体"/>
          <w:color w:val="auto"/>
          <w:szCs w:val="21"/>
          <w:highlight w:val="none"/>
          <w:lang w:eastAsia="zh-CN"/>
        </w:rPr>
        <w:t>慈溪市交通场站经营有限公司充电桩配套电缆</w:t>
      </w:r>
      <w:r>
        <w:rPr>
          <w:rFonts w:hint="eastAsia" w:ascii="宋体" w:hAnsi="宋体" w:eastAsia="宋体" w:cs="宋体"/>
          <w:color w:val="auto"/>
          <w:szCs w:val="21"/>
          <w:highlight w:val="none"/>
        </w:rPr>
        <w:t>采购项目要求的服务。</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“★”系指实质性响应条款。</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三、供应商的资格要求</w:t>
      </w:r>
    </w:p>
    <w:p>
      <w:pPr>
        <w:spacing w:line="38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详见招标公告。</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四、投标费用</w:t>
      </w:r>
    </w:p>
    <w:p>
      <w:pPr>
        <w:spacing w:line="38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无论投标过程和结果如何，供应商自行承担与投标有关的全部费用。</w:t>
      </w:r>
    </w:p>
    <w:p>
      <w:pPr>
        <w:spacing w:line="38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供应商准备和参加投标活动发生的费用自理，本次采购中标服务费由中标人支付，</w:t>
      </w:r>
      <w:r>
        <w:rPr>
          <w:rFonts w:hint="eastAsia" w:ascii="宋体" w:hAnsi="宋体" w:eastAsia="宋体" w:cs="宋体"/>
          <w:color w:val="auto"/>
          <w:szCs w:val="21"/>
          <w:highlight w:val="none"/>
          <w:lang w:bidi="ar"/>
        </w:rPr>
        <w:t>中标人在发放中标通知书之前支付给代理机构</w:t>
      </w:r>
      <w:r>
        <w:rPr>
          <w:rFonts w:hint="eastAsia" w:ascii="宋体" w:hAnsi="宋体" w:eastAsia="宋体" w:cs="宋体"/>
          <w:color w:val="auto"/>
          <w:szCs w:val="21"/>
          <w:highlight w:val="none"/>
        </w:rPr>
        <w:t>代理。</w:t>
      </w:r>
      <w:r>
        <w:rPr>
          <w:rFonts w:hint="eastAsia" w:ascii="宋体" w:hAnsi="宋体" w:eastAsia="宋体" w:cs="宋体"/>
          <w:color w:val="auto"/>
          <w:szCs w:val="21"/>
          <w:highlight w:val="none"/>
          <w:lang w:bidi="ar"/>
        </w:rPr>
        <w:t>代理服务费不另列项目，但其费用在报价时综合考虑，投标总价中包含此项费用。</w:t>
      </w:r>
      <w:r>
        <w:rPr>
          <w:rFonts w:hint="eastAsia" w:ascii="宋体" w:hAnsi="宋体" w:eastAsia="宋体" w:cs="宋体"/>
          <w:color w:val="auto"/>
          <w:szCs w:val="21"/>
          <w:highlight w:val="none"/>
        </w:rPr>
        <w:t>招标代理服务费收取金额如下：按人民币贰万</w:t>
      </w:r>
      <w:r>
        <w:rPr>
          <w:rFonts w:hint="eastAsia" w:ascii="宋体" w:hAnsi="宋体" w:eastAsia="宋体" w:cs="宋体"/>
          <w:color w:val="auto"/>
          <w:szCs w:val="21"/>
          <w:highlight w:val="none"/>
          <w:lang w:val="en-US" w:eastAsia="zh-CN"/>
        </w:rPr>
        <w:t>叁</w:t>
      </w:r>
      <w:r>
        <w:rPr>
          <w:rFonts w:hint="eastAsia" w:ascii="宋体" w:hAnsi="宋体" w:eastAsia="宋体" w:cs="宋体"/>
          <w:color w:val="auto"/>
          <w:szCs w:val="21"/>
          <w:highlight w:val="none"/>
        </w:rPr>
        <w:t>仟元向中标供应商收取招标服务费。</w:t>
      </w:r>
    </w:p>
    <w:p>
      <w:pPr>
        <w:spacing w:line="38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中标人需按慈溪市公共资源交易中心的规定，缴纳中标金额0.15‰的交易费。</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五、投标报价</w:t>
      </w:r>
    </w:p>
    <w:p>
      <w:pPr>
        <w:spacing w:line="380" w:lineRule="exact"/>
        <w:ind w:firstLine="420" w:firstLineChars="200"/>
        <w:jc w:val="left"/>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1.投标报价以人民币为结算货币。</w:t>
      </w:r>
    </w:p>
    <w:p>
      <w:pPr>
        <w:spacing w:line="380" w:lineRule="exact"/>
        <w:ind w:firstLine="420" w:firstLineChars="200"/>
        <w:jc w:val="left"/>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CN"/>
        </w:rPr>
        <w:t>）开标时，供应商应按招标文件要求认真填写报价内容，投标文件报价前后不一致的，按以下规定修正：</w:t>
      </w:r>
    </w:p>
    <w:p>
      <w:pPr>
        <w:spacing w:line="380" w:lineRule="exact"/>
        <w:ind w:firstLine="420" w:firstLineChars="200"/>
        <w:jc w:val="left"/>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①投标文件中开标一览表（报价表）内容与投标文件中相应内容不一致的，以开标一览表（报价表）为准；</w:t>
      </w:r>
    </w:p>
    <w:p>
      <w:pPr>
        <w:spacing w:line="380" w:lineRule="exact"/>
        <w:ind w:firstLine="420" w:firstLineChars="200"/>
        <w:jc w:val="left"/>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②投标文件的大写金额和小写金额不一致的，以大写金额为准；</w:t>
      </w:r>
    </w:p>
    <w:p>
      <w:pPr>
        <w:spacing w:line="380" w:lineRule="exact"/>
        <w:ind w:firstLine="420" w:firstLineChars="200"/>
        <w:jc w:val="left"/>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③单价金额小数点或者百分比有明显错位的，以开标一览表的总价为准，并修改单价；</w:t>
      </w:r>
    </w:p>
    <w:p>
      <w:pPr>
        <w:spacing w:line="380" w:lineRule="exact"/>
        <w:ind w:firstLine="420" w:firstLineChars="200"/>
        <w:jc w:val="left"/>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④总价金额与按单价汇总金额不一致的，以单价金额计算结果为准。</w:t>
      </w:r>
    </w:p>
    <w:p>
      <w:pPr>
        <w:spacing w:line="380" w:lineRule="exact"/>
        <w:ind w:firstLine="420" w:firstLineChars="200"/>
        <w:jc w:val="left"/>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380" w:lineRule="exact"/>
        <w:ind w:firstLine="420" w:firstLineChars="200"/>
        <w:jc w:val="left"/>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2.投标报价是履行合同的最终价格，包含需交纳的所有税费及其他一切相关费用。供应商少报或漏报的工作量，招标单位将视为已包含在投标总价中，并不予调整。</w:t>
      </w:r>
    </w:p>
    <w:p>
      <w:pPr>
        <w:spacing w:line="38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3.投标文件只允许有一个报价，有选择的或有条件的报价将不予接受。</w:t>
      </w:r>
    </w:p>
    <w:p>
      <w:pPr>
        <w:pStyle w:val="2"/>
        <w:rPr>
          <w:color w:val="auto"/>
          <w:highlight w:val="none"/>
          <w:lang w:val="zh-CN"/>
        </w:rPr>
      </w:pP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六、投标保证金</w:t>
      </w:r>
    </w:p>
    <w:p>
      <w:pPr>
        <w:spacing w:line="380" w:lineRule="exact"/>
        <w:ind w:firstLine="420" w:firstLineChars="200"/>
        <w:jc w:val="left"/>
        <w:rPr>
          <w:rFonts w:ascii="宋体" w:hAnsi="宋体" w:eastAsia="宋体" w:cs="宋体"/>
          <w:color w:val="auto"/>
          <w:szCs w:val="21"/>
          <w:highlight w:val="none"/>
          <w:u w:val="single"/>
          <w:lang w:bidi="ar"/>
        </w:rPr>
      </w:pPr>
      <w:r>
        <w:rPr>
          <w:rFonts w:hint="eastAsia" w:ascii="宋体" w:hAnsi="宋体" w:eastAsia="宋体" w:cs="宋体"/>
          <w:color w:val="auto"/>
          <w:szCs w:val="21"/>
          <w:highlight w:val="none"/>
          <w:u w:val="single"/>
          <w:lang w:bidi="ar"/>
        </w:rPr>
        <w:t>本项目无需递交。</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七、投标有效期</w:t>
      </w:r>
    </w:p>
    <w:p>
      <w:pPr>
        <w:spacing w:line="380" w:lineRule="exact"/>
        <w:ind w:firstLine="210" w:firstLineChars="1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★1</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投标文件从开标之日起，投标有效期为90个日历天。有效期自开标日起计算，不能小于招标文件的要求。</w:t>
      </w:r>
    </w:p>
    <w:p>
      <w:pPr>
        <w:spacing w:line="38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2</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特殊情况下，招标人可与供应商协商延缓投标文件的有效期，这种要求和答复均以书面形式进行。</w:t>
      </w:r>
    </w:p>
    <w:p>
      <w:pPr>
        <w:spacing w:line="38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3</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供应商可拒绝接受延期要求，同意延长有效期的供应商不能修改投标文件。</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八、投标文件的组成</w:t>
      </w:r>
    </w:p>
    <w:p>
      <w:pPr>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highlight w:val="none"/>
        </w:rPr>
        <w:t>投标文件资格审查文件、</w:t>
      </w:r>
      <w:r>
        <w:rPr>
          <w:rFonts w:hint="eastAsia" w:ascii="宋体" w:hAnsi="宋体" w:cs="宋体"/>
          <w:bCs/>
          <w:color w:val="auto"/>
          <w:highlight w:val="none"/>
        </w:rPr>
        <w:t>商务技术文件、</w:t>
      </w:r>
      <w:r>
        <w:rPr>
          <w:rFonts w:hint="eastAsia" w:ascii="宋体" w:hAnsi="宋体" w:cs="宋体"/>
          <w:color w:val="auto"/>
          <w:highlight w:val="none"/>
        </w:rPr>
        <w:t>报价文件三部分，</w:t>
      </w:r>
      <w:r>
        <w:rPr>
          <w:rFonts w:hint="eastAsia" w:ascii="宋体" w:hAnsi="宋体" w:cs="宋体"/>
          <w:b/>
          <w:bCs/>
          <w:color w:val="auto"/>
          <w:szCs w:val="21"/>
          <w:highlight w:val="none"/>
        </w:rPr>
        <w:t>其中电子投标文件中所须加盖公章部分均采用CA签章</w:t>
      </w:r>
      <w:r>
        <w:rPr>
          <w:rFonts w:hint="eastAsia" w:ascii="宋体" w:hAnsi="宋体" w:cs="宋体"/>
          <w:color w:val="auto"/>
          <w:highlight w:val="none"/>
        </w:rPr>
        <w:t>。资格审查文件、商务技术文件、报价文件内容如下：</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〈一〉资格审查文件</w:t>
      </w:r>
    </w:p>
    <w:p>
      <w:pPr>
        <w:spacing w:line="420" w:lineRule="exact"/>
        <w:ind w:left="42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1</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关于资格的声明函（格式见附件</w:t>
      </w:r>
      <w:r>
        <w:rPr>
          <w:rFonts w:hint="eastAsia" w:ascii="宋体" w:hAnsi="宋体" w:eastAsia="宋体" w:cs="宋体"/>
          <w:color w:val="auto"/>
          <w:szCs w:val="21"/>
          <w:highlight w:val="none"/>
          <w:lang w:val="en-US" w:eastAsia="zh-CN" w:bidi="ar"/>
        </w:rPr>
        <w:t>1</w:t>
      </w:r>
      <w:r>
        <w:rPr>
          <w:rFonts w:hint="eastAsia" w:ascii="宋体" w:hAnsi="宋体" w:eastAsia="宋体" w:cs="宋体"/>
          <w:color w:val="auto"/>
          <w:szCs w:val="21"/>
          <w:highlight w:val="none"/>
          <w:lang w:bidi="ar"/>
        </w:rPr>
        <w:t>）；</w:t>
      </w:r>
    </w:p>
    <w:p>
      <w:pPr>
        <w:spacing w:line="420" w:lineRule="exact"/>
        <w:ind w:left="42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2</w:t>
      </w:r>
      <w:r>
        <w:rPr>
          <w:rFonts w:hint="eastAsia" w:ascii="宋体" w:hAnsi="宋体" w:eastAsia="宋体" w:cs="宋体"/>
          <w:color w:val="auto"/>
          <w:szCs w:val="21"/>
          <w:highlight w:val="none"/>
          <w:lang w:val="en-US" w:eastAsia="zh-CN" w:bidi="ar"/>
        </w:rPr>
        <w:t>.</w:t>
      </w:r>
      <w:r>
        <w:rPr>
          <w:rFonts w:hint="eastAsia" w:ascii="宋体" w:hAnsi="宋体" w:eastAsia="宋体" w:cs="Times New Roman"/>
          <w:color w:val="auto"/>
          <w:szCs w:val="20"/>
          <w:highlight w:val="none"/>
        </w:rPr>
        <w:t>有效的企业法人营业执照</w:t>
      </w:r>
      <w:r>
        <w:rPr>
          <w:rFonts w:hint="eastAsia" w:ascii="宋体" w:hAnsi="宋体" w:eastAsia="宋体" w:cs="Times New Roman"/>
          <w:color w:val="auto"/>
          <w:szCs w:val="20"/>
          <w:highlight w:val="none"/>
          <w:lang w:val="en-US" w:eastAsia="zh-CN"/>
        </w:rPr>
        <w:t>扫描件</w:t>
      </w:r>
      <w:r>
        <w:rPr>
          <w:rFonts w:hint="eastAsia" w:ascii="宋体" w:hAnsi="宋体" w:eastAsia="宋体" w:cs="Times New Roman"/>
          <w:color w:val="auto"/>
          <w:szCs w:val="20"/>
          <w:highlight w:val="none"/>
        </w:rPr>
        <w:t>或电子营业执照</w:t>
      </w:r>
      <w:r>
        <w:rPr>
          <w:rFonts w:hint="eastAsia" w:ascii="宋体" w:hAnsi="宋体" w:eastAsia="宋体" w:cs="宋体"/>
          <w:color w:val="auto"/>
          <w:szCs w:val="21"/>
          <w:highlight w:val="none"/>
          <w:lang w:bidi="ar"/>
        </w:rPr>
        <w:t>（加盖供应商公章）；</w:t>
      </w:r>
    </w:p>
    <w:p>
      <w:pPr>
        <w:spacing w:line="420" w:lineRule="exact"/>
        <w:ind w:left="42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3</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其他资格要求需提供的资料。</w:t>
      </w:r>
    </w:p>
    <w:p>
      <w:pPr>
        <w:spacing w:line="420" w:lineRule="exact"/>
        <w:ind w:firstLine="420" w:firstLineChars="200"/>
        <w:jc w:val="left"/>
        <w:rPr>
          <w:rFonts w:ascii="Times New Roman" w:hAnsi="Times New Roman" w:eastAsia="宋体" w:cs="Times New Roman"/>
          <w:color w:val="auto"/>
          <w:szCs w:val="20"/>
          <w:highlight w:val="none"/>
        </w:rPr>
      </w:pPr>
      <w:r>
        <w:rPr>
          <w:rFonts w:hint="eastAsia" w:ascii="宋体" w:hAnsi="宋体" w:eastAsia="宋体" w:cs="宋体"/>
          <w:color w:val="auto"/>
          <w:szCs w:val="21"/>
          <w:highlight w:val="none"/>
          <w:lang w:bidi="ar"/>
        </w:rPr>
        <w:t>〈二〉商务技术文件</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1</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投标函（格式见附件</w:t>
      </w:r>
      <w:r>
        <w:rPr>
          <w:rFonts w:hint="eastAsia" w:ascii="宋体" w:hAnsi="宋体" w:eastAsia="宋体" w:cs="宋体"/>
          <w:color w:val="auto"/>
          <w:szCs w:val="21"/>
          <w:highlight w:val="none"/>
          <w:lang w:val="en-US" w:eastAsia="zh-CN" w:bidi="ar"/>
        </w:rPr>
        <w:t>2</w:t>
      </w:r>
      <w:r>
        <w:rPr>
          <w:rFonts w:hint="eastAsia" w:ascii="宋体" w:hAnsi="宋体" w:eastAsia="宋体" w:cs="宋体"/>
          <w:color w:val="auto"/>
          <w:szCs w:val="21"/>
          <w:highlight w:val="none"/>
          <w:lang w:bidi="ar"/>
        </w:rPr>
        <w:t>）；</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2</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法定代表人身份证明（格式见附件</w:t>
      </w:r>
      <w:r>
        <w:rPr>
          <w:rFonts w:hint="eastAsia" w:ascii="宋体" w:hAnsi="宋体" w:eastAsia="宋体" w:cs="宋体"/>
          <w:color w:val="auto"/>
          <w:szCs w:val="21"/>
          <w:highlight w:val="none"/>
          <w:lang w:val="en-US" w:eastAsia="zh-CN" w:bidi="ar"/>
        </w:rPr>
        <w:t>3</w:t>
      </w:r>
      <w:r>
        <w:rPr>
          <w:rFonts w:hint="eastAsia" w:ascii="宋体" w:hAnsi="宋体" w:eastAsia="宋体" w:cs="宋体"/>
          <w:color w:val="auto"/>
          <w:szCs w:val="21"/>
          <w:highlight w:val="none"/>
          <w:lang w:bidi="ar"/>
        </w:rPr>
        <w:t>）；</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3</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商务条款响应表（格式见附件</w:t>
      </w:r>
      <w:r>
        <w:rPr>
          <w:rFonts w:hint="eastAsia" w:ascii="宋体" w:hAnsi="宋体" w:eastAsia="宋体" w:cs="宋体"/>
          <w:color w:val="auto"/>
          <w:szCs w:val="21"/>
          <w:highlight w:val="none"/>
          <w:lang w:val="en-US" w:eastAsia="zh-CN" w:bidi="ar"/>
        </w:rPr>
        <w:t>4</w:t>
      </w:r>
      <w:r>
        <w:rPr>
          <w:rFonts w:hint="eastAsia" w:ascii="宋体" w:hAnsi="宋体" w:eastAsia="宋体" w:cs="宋体"/>
          <w:color w:val="auto"/>
          <w:szCs w:val="21"/>
          <w:highlight w:val="none"/>
          <w:lang w:bidi="ar"/>
        </w:rPr>
        <w:t>）；</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4</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技术要求条款响应表（格式见附件</w:t>
      </w:r>
      <w:r>
        <w:rPr>
          <w:rFonts w:hint="eastAsia" w:ascii="宋体" w:hAnsi="宋体" w:eastAsia="宋体" w:cs="宋体"/>
          <w:color w:val="auto"/>
          <w:szCs w:val="21"/>
          <w:highlight w:val="none"/>
          <w:lang w:val="en-US" w:eastAsia="zh-CN" w:bidi="ar"/>
        </w:rPr>
        <w:t>5</w:t>
      </w:r>
      <w:r>
        <w:rPr>
          <w:rFonts w:hint="eastAsia" w:ascii="宋体" w:hAnsi="宋体" w:eastAsia="宋体" w:cs="宋体"/>
          <w:color w:val="auto"/>
          <w:szCs w:val="21"/>
          <w:highlight w:val="none"/>
          <w:lang w:bidi="ar"/>
        </w:rPr>
        <w:t>）；</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5</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供应商一般情况（格式见附件</w:t>
      </w:r>
      <w:r>
        <w:rPr>
          <w:rFonts w:hint="eastAsia" w:ascii="宋体" w:hAnsi="宋体" w:eastAsia="宋体" w:cs="宋体"/>
          <w:color w:val="auto"/>
          <w:szCs w:val="21"/>
          <w:highlight w:val="none"/>
          <w:lang w:val="en-US" w:eastAsia="zh-CN" w:bidi="ar"/>
        </w:rPr>
        <w:t>6</w:t>
      </w:r>
      <w:r>
        <w:rPr>
          <w:rFonts w:hint="eastAsia" w:ascii="宋体" w:hAnsi="宋体" w:eastAsia="宋体" w:cs="宋体"/>
          <w:color w:val="auto"/>
          <w:szCs w:val="21"/>
          <w:highlight w:val="none"/>
          <w:lang w:bidi="ar"/>
        </w:rPr>
        <w:t>）；</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6</w:t>
      </w:r>
      <w:r>
        <w:rPr>
          <w:rFonts w:hint="eastAsia" w:ascii="宋体" w:hAnsi="宋体" w:eastAsia="宋体" w:cs="宋体"/>
          <w:color w:val="auto"/>
          <w:szCs w:val="21"/>
          <w:highlight w:val="none"/>
          <w:lang w:val="en-US" w:eastAsia="zh-CN" w:bidi="ar"/>
        </w:rPr>
        <w:t>.</w:t>
      </w:r>
      <w:r>
        <w:rPr>
          <w:rFonts w:hint="eastAsia" w:ascii="宋体" w:hAnsi="宋体" w:eastAsia="宋体" w:cs="宋体"/>
          <w:color w:val="auto"/>
          <w:szCs w:val="21"/>
          <w:highlight w:val="none"/>
          <w:lang w:bidi="ar"/>
        </w:rPr>
        <w:t>投标产品技术及相关资料；</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 xml:space="preserve">产品品牌及规格、技术参数指标、性能特点、图片资料以及所遵循的技术规范、产品质保期、产品质量相关检测报告（如有）等内容； </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7</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所投产品生产工艺及生产情况</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8</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售后服务方案；</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9</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商务资信证明材料扫描件（如有，扫描件加盖投标人公章）；</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10</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供应商认为需要提供的其他资料。</w:t>
      </w:r>
    </w:p>
    <w:p>
      <w:pPr>
        <w:spacing w:line="42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lang w:bidi="ar"/>
        </w:rPr>
        <w:t>〈三〉报价文件</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1</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开标一览表（格式见附件</w:t>
      </w:r>
      <w:r>
        <w:rPr>
          <w:rFonts w:hint="eastAsia" w:ascii="宋体" w:hAnsi="宋体" w:eastAsia="宋体" w:cs="宋体"/>
          <w:color w:val="auto"/>
          <w:szCs w:val="21"/>
          <w:highlight w:val="none"/>
          <w:lang w:val="en-US" w:eastAsia="zh-CN" w:bidi="ar"/>
        </w:rPr>
        <w:t>7</w:t>
      </w:r>
      <w:r>
        <w:rPr>
          <w:rFonts w:hint="eastAsia" w:ascii="宋体" w:hAnsi="宋体" w:eastAsia="宋体" w:cs="宋体"/>
          <w:color w:val="auto"/>
          <w:szCs w:val="21"/>
          <w:highlight w:val="none"/>
          <w:lang w:bidi="ar"/>
        </w:rPr>
        <w:t>）；</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2</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val="zh-Hans" w:eastAsia="zh-Hans" w:bidi="ar"/>
        </w:rPr>
        <w:t>分项报价表</w:t>
      </w:r>
      <w:r>
        <w:rPr>
          <w:rFonts w:hint="eastAsia" w:ascii="宋体" w:hAnsi="宋体" w:eastAsia="宋体" w:cs="宋体"/>
          <w:color w:val="auto"/>
          <w:szCs w:val="21"/>
          <w:highlight w:val="none"/>
          <w:lang w:bidi="ar"/>
        </w:rPr>
        <w:t>（格式见附件</w:t>
      </w:r>
      <w:r>
        <w:rPr>
          <w:rFonts w:hint="eastAsia" w:ascii="宋体" w:hAnsi="宋体" w:eastAsia="宋体" w:cs="宋体"/>
          <w:color w:val="auto"/>
          <w:szCs w:val="21"/>
          <w:highlight w:val="none"/>
          <w:lang w:val="en-US" w:eastAsia="zh-CN" w:bidi="ar"/>
        </w:rPr>
        <w:t>8</w:t>
      </w:r>
      <w:r>
        <w:rPr>
          <w:rFonts w:hint="eastAsia" w:ascii="宋体" w:hAnsi="宋体" w:eastAsia="宋体" w:cs="宋体"/>
          <w:color w:val="auto"/>
          <w:szCs w:val="21"/>
          <w:highlight w:val="none"/>
          <w:lang w:bidi="ar"/>
        </w:rPr>
        <w:t>）；</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3</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中小企业声明函（格式见附件</w:t>
      </w:r>
      <w:r>
        <w:rPr>
          <w:rFonts w:hint="eastAsia" w:ascii="宋体" w:hAnsi="宋体" w:eastAsia="宋体" w:cs="宋体"/>
          <w:color w:val="auto"/>
          <w:szCs w:val="21"/>
          <w:highlight w:val="none"/>
          <w:lang w:val="en-US" w:eastAsia="zh-CN" w:bidi="ar"/>
        </w:rPr>
        <w:t>9</w:t>
      </w:r>
      <w:r>
        <w:rPr>
          <w:rFonts w:hint="eastAsia" w:ascii="宋体" w:hAnsi="宋体" w:eastAsia="宋体" w:cs="宋体"/>
          <w:color w:val="auto"/>
          <w:szCs w:val="21"/>
          <w:highlight w:val="none"/>
          <w:lang w:bidi="ar"/>
        </w:rPr>
        <w:t>）；</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4</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残疾人福利性单位声明函（格式见附件</w:t>
      </w:r>
      <w:r>
        <w:rPr>
          <w:rFonts w:hint="eastAsia" w:ascii="宋体" w:hAnsi="宋体" w:eastAsia="宋体" w:cs="宋体"/>
          <w:color w:val="auto"/>
          <w:szCs w:val="21"/>
          <w:highlight w:val="none"/>
          <w:lang w:val="en-US" w:eastAsia="zh-CN" w:bidi="ar"/>
        </w:rPr>
        <w:t>10</w:t>
      </w:r>
      <w:r>
        <w:rPr>
          <w:rFonts w:hint="eastAsia" w:ascii="宋体" w:hAnsi="宋体" w:eastAsia="宋体" w:cs="宋体"/>
          <w:color w:val="auto"/>
          <w:szCs w:val="21"/>
          <w:highlight w:val="none"/>
          <w:lang w:bidi="ar"/>
        </w:rPr>
        <w:t>）；（若有）</w:t>
      </w:r>
    </w:p>
    <w:p>
      <w:pPr>
        <w:spacing w:line="420" w:lineRule="exact"/>
        <w:ind w:firstLine="420" w:firstLineChars="20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5</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监狱企业的证明文件；（若有）</w:t>
      </w:r>
    </w:p>
    <w:p>
      <w:pPr>
        <w:spacing w:line="42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6</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供应商认为需要的其他资料。</w:t>
      </w:r>
    </w:p>
    <w:p>
      <w:pPr>
        <w:pStyle w:val="2"/>
        <w:rPr>
          <w:color w:val="auto"/>
          <w:highlight w:val="none"/>
        </w:rPr>
      </w:pP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九、投标文件的份数、密封、签署</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1</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供应商应按本招标文件规定的格式和顺序编制投标文件并标注页码，投标文件内容不完整、编排混乱导致投标文件被误读、漏读或者查找不到相关内容的，由供应商自行承担相关责任。</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2</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供应商于“政采云”上提供电子投标文件（电子投标文件中所须加盖公章部分均采用CA签章），并根据“政采云供应商项目采购-电子招投标操作指南”及本招标文件规定的格式和顺序编制电子投标文件并进行关联定位。未传输递交电子投标文件的，投标无效。</w:t>
      </w:r>
    </w:p>
    <w:p>
      <w:pPr>
        <w:spacing w:line="380" w:lineRule="exact"/>
        <w:ind w:firstLine="422" w:firstLineChars="200"/>
        <w:jc w:val="left"/>
        <w:rPr>
          <w:rFonts w:ascii="宋体" w:hAnsi="宋体" w:eastAsia="宋体" w:cs="宋体"/>
          <w:color w:val="auto"/>
          <w:szCs w:val="21"/>
          <w:highlight w:val="none"/>
          <w:lang w:bidi="ar"/>
        </w:rPr>
      </w:pPr>
      <w:r>
        <w:rPr>
          <w:rFonts w:hint="eastAsia" w:ascii="宋体" w:hAnsi="宋体" w:eastAsia="宋体" w:cs="宋体"/>
          <w:b/>
          <w:color w:val="auto"/>
          <w:szCs w:val="21"/>
          <w:highlight w:val="none"/>
        </w:rPr>
        <w:t>3</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备份电子投标文件：以U盘或光盘形式提供的备份电子投标文件数量1份，并单独密封递交，外包装封面上应注明供应商名称、供应商地址、投标文件名称（电子备份文件）、项目名称、项目编号及“在202</w:t>
      </w: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szCs w:val="21"/>
          <w:highlight w:val="none"/>
        </w:rPr>
        <w:t>年</w:t>
      </w: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szCs w:val="21"/>
          <w:highlight w:val="none"/>
        </w:rPr>
        <w:t>月</w:t>
      </w:r>
      <w:r>
        <w:rPr>
          <w:rFonts w:hint="eastAsia" w:ascii="宋体" w:hAnsi="宋体" w:eastAsia="宋体" w:cs="宋体"/>
          <w:b/>
          <w:color w:val="auto"/>
          <w:szCs w:val="21"/>
          <w:highlight w:val="none"/>
          <w:lang w:val="en-US" w:eastAsia="zh-CN"/>
        </w:rPr>
        <w:t>24</w:t>
      </w:r>
      <w:r>
        <w:rPr>
          <w:rFonts w:hint="eastAsia" w:ascii="宋体" w:hAnsi="宋体" w:eastAsia="宋体" w:cs="宋体"/>
          <w:b/>
          <w:color w:val="auto"/>
          <w:szCs w:val="21"/>
          <w:highlight w:val="none"/>
        </w:rPr>
        <w:t>日9时30分之前不得启封”字样，并加盖供应商公章</w:t>
      </w:r>
      <w:r>
        <w:rPr>
          <w:rFonts w:hint="eastAsia" w:ascii="宋体" w:hAnsi="宋体" w:eastAsia="宋体" w:cs="宋体"/>
          <w:b/>
          <w:color w:val="auto"/>
          <w:szCs w:val="21"/>
          <w:highlight w:val="none"/>
          <w:lang w:bidi="ar"/>
        </w:rPr>
        <w:t>，如果供应商未加写标记，招标人对投标文件的误投和提前启封不负责任。</w:t>
      </w:r>
    </w:p>
    <w:p>
      <w:pPr>
        <w:spacing w:line="380" w:lineRule="exact"/>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投标文件字迹必须清楚、工整，对不同文字文本投标文件的解释发生异议的，以中文文本为准</w:t>
      </w:r>
      <w:r>
        <w:rPr>
          <w:rFonts w:hint="eastAsia" w:ascii="宋体" w:hAnsi="宋体" w:eastAsia="宋体" w:cs="宋体"/>
          <w:color w:val="auto"/>
          <w:szCs w:val="21"/>
          <w:highlight w:val="none"/>
          <w:lang w:bidi="ar"/>
        </w:rPr>
        <w:t>。</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十、投标文件的形式、效力和递交</w:t>
      </w:r>
    </w:p>
    <w:p>
      <w:pPr>
        <w:spacing w:line="380" w:lineRule="exact"/>
        <w:ind w:firstLine="420" w:firstLineChars="200"/>
        <w:jc w:val="left"/>
        <w:rPr>
          <w:rFonts w:hint="eastAsia" w:ascii="宋体" w:hAnsi="宋体" w:eastAsia="宋体" w:cs="宋体"/>
          <w:color w:val="auto"/>
          <w:szCs w:val="21"/>
          <w:highlight w:val="none"/>
        </w:rPr>
      </w:pPr>
      <w:bookmarkStart w:id="2" w:name="_Toc496099271"/>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投标文件分为电子投标文件和电子备份投标文件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若提交的</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p>
    <w:p>
      <w:pPr>
        <w:spacing w:line="3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电子投标文件，按“</w:t>
      </w:r>
      <w:r>
        <w:rPr>
          <w:rFonts w:hint="eastAsia" w:ascii="宋体" w:hAnsi="宋体" w:eastAsia="宋体" w:cs="宋体"/>
          <w:color w:val="auto"/>
          <w:szCs w:val="21"/>
          <w:highlight w:val="none"/>
          <w:lang w:eastAsia="zh-CN"/>
        </w:rPr>
        <w:t>乐采云</w:t>
      </w:r>
      <w:r>
        <w:rPr>
          <w:rFonts w:hint="eastAsia" w:ascii="宋体" w:hAnsi="宋体" w:eastAsia="宋体" w:cs="宋体"/>
          <w:color w:val="auto"/>
          <w:szCs w:val="21"/>
          <w:highlight w:val="none"/>
        </w:rPr>
        <w:t>供应商项目采购-电子招投标操作指南”及本招标文件要求制作、加密并递交。</w:t>
      </w:r>
    </w:p>
    <w:p>
      <w:pPr>
        <w:spacing w:line="3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电子备份投标文件，即电子投标文件按“</w:t>
      </w:r>
      <w:r>
        <w:rPr>
          <w:rFonts w:hint="eastAsia" w:ascii="宋体" w:hAnsi="宋体" w:eastAsia="宋体" w:cs="宋体"/>
          <w:color w:val="auto"/>
          <w:szCs w:val="21"/>
          <w:highlight w:val="none"/>
          <w:lang w:eastAsia="zh-CN"/>
        </w:rPr>
        <w:t>乐采云</w:t>
      </w:r>
      <w:r>
        <w:rPr>
          <w:rFonts w:hint="eastAsia" w:ascii="宋体" w:hAnsi="宋体" w:eastAsia="宋体" w:cs="宋体"/>
          <w:color w:val="auto"/>
          <w:szCs w:val="21"/>
          <w:highlight w:val="none"/>
        </w:rPr>
        <w:t>供应商项目采购-电子招投标操作指南”制作的备份文件。</w:t>
      </w:r>
    </w:p>
    <w:p>
      <w:pPr>
        <w:spacing w:line="3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投标文件的效力</w:t>
      </w:r>
    </w:p>
    <w:p>
      <w:pPr>
        <w:spacing w:line="3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4.1投标文件的启用，按先后顺位分别为电子投标文件、电子备份投标文件。在下一顺位的投标文件启用时，前一顺位的投标文件自动失效。</w:t>
      </w:r>
    </w:p>
    <w:p>
      <w:pPr>
        <w:spacing w:line="3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4.2投标、响应文件未按时解密，供应商提供了备份投标、响应文件的，以备份投标、响应文件作为依据，否则视为投标、响应文件撤回。投标、响应文件已按时解密的，备份投标、响应文件自动失效。</w:t>
      </w:r>
    </w:p>
    <w:p>
      <w:pPr>
        <w:spacing w:line="380" w:lineRule="exact"/>
        <w:ind w:firstLine="420" w:firstLineChars="200"/>
        <w:jc w:val="left"/>
        <w:rPr>
          <w:rFonts w:hint="eastAsia" w:ascii="宋体" w:hAnsi="宋体" w:eastAsia="宋体" w:cs="宋体"/>
          <w:bCs w:val="0"/>
          <w:color w:val="auto"/>
          <w:szCs w:val="21"/>
          <w:highlight w:val="none"/>
          <w:lang w:bidi="ar"/>
        </w:rPr>
      </w:pPr>
      <w:r>
        <w:rPr>
          <w:rFonts w:hint="eastAsia" w:ascii="宋体" w:hAnsi="宋体" w:eastAsia="宋体" w:cs="宋体"/>
          <w:bCs w:val="0"/>
          <w:color w:val="auto"/>
          <w:szCs w:val="21"/>
          <w:highlight w:val="none"/>
          <w:lang w:bidi="ar"/>
        </w:rPr>
        <w:t>5</w:t>
      </w:r>
      <w:r>
        <w:rPr>
          <w:rFonts w:hint="eastAsia" w:ascii="宋体" w:hAnsi="宋体" w:eastAsia="宋体" w:cs="宋体"/>
          <w:bCs w:val="0"/>
          <w:color w:val="auto"/>
          <w:szCs w:val="21"/>
          <w:highlight w:val="none"/>
          <w:lang w:val="en-US" w:eastAsia="zh-CN" w:bidi="ar"/>
        </w:rPr>
        <w:t>.</w:t>
      </w:r>
      <w:r>
        <w:rPr>
          <w:rFonts w:hint="eastAsia" w:ascii="宋体" w:hAnsi="宋体" w:eastAsia="宋体" w:cs="宋体"/>
          <w:bCs w:val="0"/>
          <w:color w:val="auto"/>
          <w:szCs w:val="21"/>
          <w:highlight w:val="none"/>
          <w:lang w:bidi="ar"/>
        </w:rPr>
        <w:t>投标文件的递交</w:t>
      </w:r>
    </w:p>
    <w:p>
      <w:pPr>
        <w:spacing w:line="3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供应商于投标截止时间（开标时间）之前将电子投标文件上传到“</w:t>
      </w:r>
      <w:r>
        <w:rPr>
          <w:rFonts w:hint="eastAsia" w:ascii="宋体" w:hAnsi="宋体" w:eastAsia="宋体" w:cs="宋体"/>
          <w:color w:val="auto"/>
          <w:szCs w:val="21"/>
          <w:highlight w:val="none"/>
          <w:lang w:eastAsia="zh-CN"/>
        </w:rPr>
        <w:t>乐采云</w:t>
      </w:r>
      <w:r>
        <w:rPr>
          <w:rFonts w:hint="eastAsia" w:ascii="宋体" w:hAnsi="宋体" w:eastAsia="宋体" w:cs="宋体"/>
          <w:color w:val="auto"/>
          <w:szCs w:val="21"/>
          <w:highlight w:val="none"/>
        </w:rPr>
        <w:t>”平台。</w:t>
      </w:r>
    </w:p>
    <w:p>
      <w:pPr>
        <w:spacing w:line="38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供应商可将U盘或DVD光盘等介质存储的电子备份投标文件密封并盖单位公章后邮寄至指定地址，邮寄地址：宁波永敬工程造价咨询有限公司（慈溪市孙塘南路4号永敬商务楼215室）联系人：侯维雁，联系方式0574-63898331。供应商邮寄后须将邮件单号发送至代理机构电子邮箱（电子邮箱：362153643@qq.com），并致电采购代理机构，以便采购代理机构查询物流记录。各供应商应当确保电子备份投标文件的密封包装在邮寄过程保持完好，并在邮寄包裹上注明项目名称、采购编号，因邮寄造成电子备份投标文件密封破损而不符合招标文件对投标文件的密封要求、或邮寄过程中导致电子备份投标文件未在投标截止时间前送达的，代理机构将拒绝其电子备份投标文件。各供应商自行考虑邮寄在途时间，电子备份投标文件送达时间以代理机构工作人员实际签收时间为准</w:t>
      </w:r>
      <w:r>
        <w:rPr>
          <w:rFonts w:hint="eastAsia" w:ascii="宋体" w:hAnsi="宋体" w:eastAsia="宋体" w:cs="宋体"/>
          <w:color w:val="auto"/>
          <w:szCs w:val="21"/>
          <w:highlight w:val="none"/>
          <w:lang w:eastAsia="zh-CN"/>
        </w:rPr>
        <w:t>。</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十一、开评标程序</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1.1招标人在招标文件规定的时间和地点公开开标。</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1.2开标会由代理机构主持。开标时，招标（代理）人介绍参加开标会议的相关人员，如投标人认为相关人员中有需要回避的情形可以在此时要求其回避。</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需要回避的情形：</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w:t>
      </w:r>
      <w:r>
        <w:rPr>
          <w:rFonts w:hint="eastAsia" w:ascii="宋体" w:hAnsi="宋体" w:eastAsia="宋体" w:cs="宋体"/>
          <w:bCs/>
          <w:color w:val="auto"/>
          <w:szCs w:val="21"/>
          <w:highlight w:val="none"/>
          <w:lang w:val="en-US" w:eastAsia="zh-CN" w:bidi="ar"/>
        </w:rPr>
        <w:t>.</w:t>
      </w:r>
      <w:r>
        <w:rPr>
          <w:rFonts w:hint="eastAsia" w:ascii="宋体" w:hAnsi="宋体" w:eastAsia="宋体" w:cs="宋体"/>
          <w:bCs/>
          <w:color w:val="auto"/>
          <w:szCs w:val="21"/>
          <w:highlight w:val="none"/>
          <w:lang w:bidi="ar"/>
        </w:rPr>
        <w:t>参加招标活动前3年内与投标人存在劳动关系；</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2</w:t>
      </w:r>
      <w:r>
        <w:rPr>
          <w:rFonts w:hint="eastAsia" w:ascii="宋体" w:hAnsi="宋体" w:eastAsia="宋体" w:cs="宋体"/>
          <w:bCs/>
          <w:color w:val="auto"/>
          <w:szCs w:val="21"/>
          <w:highlight w:val="none"/>
          <w:lang w:val="en-US" w:eastAsia="zh-CN" w:bidi="ar"/>
        </w:rPr>
        <w:t>.</w:t>
      </w:r>
      <w:r>
        <w:rPr>
          <w:rFonts w:hint="eastAsia" w:ascii="宋体" w:hAnsi="宋体" w:eastAsia="宋体" w:cs="宋体"/>
          <w:bCs/>
          <w:color w:val="auto"/>
          <w:szCs w:val="21"/>
          <w:highlight w:val="none"/>
          <w:lang w:bidi="ar"/>
        </w:rPr>
        <w:t>参加招标活动前3年内担任投标人的董事、监事；</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w:t>
      </w:r>
      <w:r>
        <w:rPr>
          <w:rFonts w:hint="eastAsia" w:ascii="宋体" w:hAnsi="宋体" w:eastAsia="宋体" w:cs="宋体"/>
          <w:bCs/>
          <w:color w:val="auto"/>
          <w:szCs w:val="21"/>
          <w:highlight w:val="none"/>
          <w:lang w:val="en-US" w:eastAsia="zh-CN" w:bidi="ar"/>
        </w:rPr>
        <w:t>.</w:t>
      </w:r>
      <w:r>
        <w:rPr>
          <w:rFonts w:hint="eastAsia" w:ascii="宋体" w:hAnsi="宋体" w:eastAsia="宋体" w:cs="宋体"/>
          <w:bCs/>
          <w:color w:val="auto"/>
          <w:szCs w:val="21"/>
          <w:highlight w:val="none"/>
          <w:lang w:bidi="ar"/>
        </w:rPr>
        <w:t>参加招标活动前3年内是投标人的控股股东或者实际控制人；</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4</w:t>
      </w:r>
      <w:r>
        <w:rPr>
          <w:rFonts w:hint="eastAsia" w:ascii="宋体" w:hAnsi="宋体" w:eastAsia="宋体" w:cs="宋体"/>
          <w:bCs/>
          <w:color w:val="auto"/>
          <w:szCs w:val="21"/>
          <w:highlight w:val="none"/>
          <w:lang w:val="en-US" w:eastAsia="zh-CN" w:bidi="ar"/>
        </w:rPr>
        <w:t>.</w:t>
      </w:r>
      <w:r>
        <w:rPr>
          <w:rFonts w:hint="eastAsia" w:ascii="宋体" w:hAnsi="宋体" w:eastAsia="宋体" w:cs="宋体"/>
          <w:bCs/>
          <w:color w:val="auto"/>
          <w:szCs w:val="21"/>
          <w:highlight w:val="none"/>
          <w:lang w:bidi="ar"/>
        </w:rPr>
        <w:t>与投标人的法定代表人或者负责人有夫妻、直系血亲、三代以内旁系血亲或者近姻亲关系；</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5</w:t>
      </w:r>
      <w:r>
        <w:rPr>
          <w:rFonts w:hint="eastAsia" w:ascii="宋体" w:hAnsi="宋体" w:eastAsia="宋体" w:cs="宋体"/>
          <w:bCs/>
          <w:color w:val="auto"/>
          <w:szCs w:val="21"/>
          <w:highlight w:val="none"/>
          <w:lang w:val="en-US" w:eastAsia="zh-CN" w:bidi="ar"/>
        </w:rPr>
        <w:t>.</w:t>
      </w:r>
      <w:r>
        <w:rPr>
          <w:rFonts w:hint="eastAsia" w:ascii="宋体" w:hAnsi="宋体" w:eastAsia="宋体" w:cs="宋体"/>
          <w:bCs/>
          <w:color w:val="auto"/>
          <w:szCs w:val="21"/>
          <w:highlight w:val="none"/>
          <w:lang w:bidi="ar"/>
        </w:rPr>
        <w:t>与投标人有其他可能影响招标活动公平、公正进行的关系。</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出现上述情形的，投标人法定代表人或其授权代表可以申请相关人员回避。</w:t>
      </w:r>
    </w:p>
    <w:p>
      <w:pPr>
        <w:spacing w:line="380" w:lineRule="exact"/>
        <w:ind w:firstLine="420" w:firstLineChars="200"/>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供应商应书面提出对参加开标会对主持人、唱读人、记录人和监督人是否有回避的请求。</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1.3电子招投标开标及评审程序</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1.3.1投标截止时间后，供应商登录政采云平台，用“项目采购-开标评标”功能对电子投标文件进行在线解密。在线解密电子投标文件时间为开标时间起30分钟内。</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1.3.2招标人或代理机构对供应商的资格进行审查；</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1.3.3评标委员会对商务技术响应文件进行评审；</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1.3.4在系统上公开商务技术评审结果；</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1.3.5在系统上公开报价开标情况；</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1.3.6评标委员会对报价情况进行评审；</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1.3.7在系统上公布评审结果。</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 xml:space="preserve">特别说明：政采云公司如对电子化开标及评审程序有调整的，按调整后的程序操作。 </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1.4本项目原则上采用政采云电子招投标开标及评审程序，但有下情形之一的，按以下情况处理：</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1.4.1若供应商在规定时间内无法解密或解密失败，将开启该供应商递交的电子备份投标文件，上传至政采云平台项目采购模块，以完成开标，其电子投标文件自动失效。</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1.4.2若因政采云平台原因无法读取或电子开评标无法正常进行，招标人将中止电子交易活动。</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1.4.3招标过程中出现以下情形，导致电子交易平台无法正常运行，或者无法保证电子交易的公平、公正和安全时，招标组织机构可中止电子交易活动：</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 xml:space="preserve">1.4.3.1电子交易平台发生故障而无法登录访问的； </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1.4.3.2电子交易平台应用或数据库出现错误，不能进行正常操作的；</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1.4.3.3电子交易平台发现严重安全漏洞，有潜在泄密危险的；</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 xml:space="preserve">1.4.3.4电脑病毒导致不能进行正常操作的； </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1.4.3.5其他无法保证电子交易的公平、公正和安全的情况。</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出现前款规定情形，不影响招标公平、公正性的，招标组织机构可以待上述情形消除后继续组织电子交易活动。</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2</w:t>
      </w:r>
      <w:r>
        <w:rPr>
          <w:rFonts w:hint="eastAsia" w:ascii="宋体" w:hAnsi="宋体" w:eastAsia="宋体" w:cs="宋体"/>
          <w:bCs/>
          <w:color w:val="auto"/>
          <w:szCs w:val="21"/>
          <w:highlight w:val="none"/>
          <w:lang w:val="en-US" w:eastAsia="zh-CN" w:bidi="ar"/>
        </w:rPr>
        <w:t>.</w:t>
      </w:r>
      <w:r>
        <w:rPr>
          <w:rFonts w:hint="eastAsia" w:ascii="宋体" w:hAnsi="宋体" w:eastAsia="宋体" w:cs="宋体"/>
          <w:bCs/>
          <w:color w:val="auto"/>
          <w:szCs w:val="21"/>
          <w:highlight w:val="none"/>
          <w:lang w:bidi="ar"/>
        </w:rPr>
        <w:t>评标委员会</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2.1评标委员会依法由5人及以上奇数的人员组成，评标委员会对投标文件进行审查、质疑、评估和比较。</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w:t>
      </w:r>
      <w:r>
        <w:rPr>
          <w:rFonts w:hint="eastAsia" w:ascii="宋体" w:hAnsi="宋体" w:eastAsia="宋体" w:cs="宋体"/>
          <w:bCs/>
          <w:color w:val="auto"/>
          <w:szCs w:val="21"/>
          <w:highlight w:val="none"/>
          <w:lang w:eastAsia="zh-CN" w:bidi="ar"/>
        </w:rPr>
        <w:t>.</w:t>
      </w:r>
      <w:r>
        <w:rPr>
          <w:rFonts w:hint="eastAsia" w:ascii="宋体" w:hAnsi="宋体" w:eastAsia="宋体" w:cs="宋体"/>
          <w:bCs/>
          <w:color w:val="auto"/>
          <w:szCs w:val="21"/>
          <w:highlight w:val="none"/>
          <w:lang w:bidi="ar"/>
        </w:rPr>
        <w:t>评标原则与方法</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3.1评标委员会将遵循公开、公平、公正的原则，对供应商提供服务价格、提供的服务方案等进行综合分析考评，由评委按照招标文件规定的评分标准记名并独立打分，根据综合得分排名推荐中标候选人。</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3.2客观、公正的对待所有投标供应商，对所有投标评价，均采用相同的程序和标准。</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3.3在开标、投标期间，投标供应商不得向评标委员会成员询问评标情况，不得进行旨在影响评标结果的活动，否则将废除其投标资格。</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3.4在评标过程中，评标成员不得与投标供应商私下交换意见，在招标工作结束后，凡与评标情况有接触的人不得将评标情况扩散出评标成员之外。</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3.5招标人不向落标方解释落标原因，不退还投标文件。</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3.6资格性审查：招标人或招标代理机构依据法律法规和招标文件的规定，对供应商的基本资格条件、特定资格条件进行审查，供应商未按照招标文件要求提供与基本资格条件、特定资格条件相应的有效资格证明材料的，视为供应商不具备招标文件中规定的资格要求，其投标无效。对未通过资格性审查的供应商，招标人或招标代理机构告知其未通过的原因。合格供应商不足3家的，不再评标。</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3.7符合性审查：评标时，评标委员会将首先评定每份投标文件是否在实质上响应了招标文件要求。所谓实质上的响应，是指投标文件与招标文件的所有实质性条款、条件和要求相符，无显著差异或保留，或者对合同中约定的招标人的权利和供应商的义务方面造成重大的限制，纠正这些显著差异或保留将会对其他实质上响应招标文件要求的投标文件的供应商的竞争地位产生不公正的影响。评标委员会决定投标文件的响应性只根据投标文件本身的内容，而不寻求外部证据。如果投标文件实质不响应招标文件的各项要求，评标委员会将予以拒绝，并且不允许供应商通过修改或撤销其不符合要求的差异或保留，使之成为具有实质性响应的投标。</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 xml:space="preserve">3.8商务评议：按照第六章商务条款的各项要求，对照投标文件的响应进行比较，判定其偏差性质和程度。 </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3.9技术评议：按照第五章招标项目需求的各项要求，对照投标文件的响应进行比较，判定其偏差性质和程度。</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3.10综合评估：通过资格性审查、符合性审查、商务评议和技术评议的投标，评标委员会成员分别对其商务、技术和价格按第三章评标办法及标准的规定进行打分。</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3.11评标委员会经过评审，认为所有投标都不符合招标文件要求的，可以否决所有投标。</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3.12推荐预中标候选人</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3.12.1按评分结果由高到低排序并按排序推荐1名中标候选人。</w:t>
      </w:r>
      <w:r>
        <w:rPr>
          <w:rFonts w:hint="eastAsia" w:ascii="宋体" w:hAnsi="宋体" w:eastAsia="宋体" w:cs="宋体"/>
          <w:color w:val="auto"/>
          <w:szCs w:val="21"/>
          <w:highlight w:val="none"/>
          <w:lang w:bidi="ar"/>
        </w:rPr>
        <w:t>若供应商的综合得分相等，则投标报价低者列前。若投标报价也相同时，则技术得分高者列前。若技术得分也相同时，采取随机抽签的方式确定排序。</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3.13定标</w:t>
      </w:r>
      <w:r>
        <w:rPr>
          <w:rFonts w:hint="eastAsia" w:ascii="宋体" w:hAnsi="宋体" w:eastAsia="宋体" w:cs="宋体"/>
          <w:bCs/>
          <w:color w:val="auto"/>
          <w:szCs w:val="21"/>
          <w:highlight w:val="none"/>
          <w:lang w:bidi="ar"/>
        </w:rPr>
        <w:tab/>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本项目由招标人确定中标人。</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招标代理机构在评标结束后2个工作日内将评标报告交招标人确认，招标人自收到评标报告之日起3个工作日内在评标报告推荐的中标候选人中按顺序确定中标人，并在发布招标公告的网站上对中标结果进行公示，公告期限为</w:t>
      </w:r>
      <w:r>
        <w:rPr>
          <w:rFonts w:hint="eastAsia" w:ascii="宋体" w:hAnsi="宋体" w:eastAsia="宋体" w:cs="宋体"/>
          <w:bCs/>
          <w:color w:val="auto"/>
          <w:szCs w:val="21"/>
          <w:highlight w:val="none"/>
          <w:lang w:val="en-US" w:eastAsia="zh-CN" w:bidi="ar"/>
        </w:rPr>
        <w:t>1工作</w:t>
      </w:r>
      <w:r>
        <w:rPr>
          <w:rFonts w:hint="eastAsia" w:ascii="宋体" w:hAnsi="宋体" w:eastAsia="宋体" w:cs="宋体"/>
          <w:bCs/>
          <w:color w:val="auto"/>
          <w:szCs w:val="21"/>
          <w:highlight w:val="none"/>
          <w:lang w:bidi="ar"/>
        </w:rPr>
        <w:t>日。</w:t>
      </w:r>
    </w:p>
    <w:p>
      <w:pPr>
        <w:spacing w:line="380" w:lineRule="exact"/>
        <w:ind w:firstLine="420" w:firstLineChars="200"/>
        <w:jc w:val="left"/>
        <w:rPr>
          <w:rFonts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若中标人放弃中标、或事后查询为失信被执行人的、或因不可抗力提出不能履行合同被依法撤销中标资格，则招标人可确定排名其次的中标候选人为中标人，或重新组织招标。</w:t>
      </w:r>
    </w:p>
    <w:p>
      <w:pPr>
        <w:spacing w:line="380" w:lineRule="exact"/>
        <w:ind w:firstLine="422" w:firstLineChars="200"/>
        <w:jc w:val="left"/>
        <w:rPr>
          <w:rFonts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4.评标过程的监控</w:t>
      </w:r>
    </w:p>
    <w:p>
      <w:pPr>
        <w:spacing w:line="380" w:lineRule="exact"/>
        <w:ind w:firstLine="422" w:firstLineChars="200"/>
        <w:jc w:val="left"/>
        <w:rPr>
          <w:rFonts w:ascii="宋体" w:hAnsi="宋体" w:eastAsia="宋体" w:cs="宋体"/>
          <w:color w:val="auto"/>
          <w:szCs w:val="21"/>
          <w:highlight w:val="none"/>
        </w:rPr>
      </w:pPr>
      <w:r>
        <w:rPr>
          <w:rFonts w:hint="eastAsia" w:ascii="宋体" w:hAnsi="宋体" w:eastAsia="宋体" w:cs="宋体"/>
          <w:b/>
          <w:color w:val="auto"/>
          <w:szCs w:val="21"/>
          <w:highlight w:val="none"/>
          <w:lang w:bidi="ar"/>
        </w:rPr>
        <w:t>本项目评标过程实行全程录音、录像监控，供应商在评标过程中所进行的试图影响评标结果的不公正活动，可能导致其投标被拒绝</w:t>
      </w:r>
      <w:r>
        <w:rPr>
          <w:rFonts w:hint="eastAsia" w:ascii="宋体" w:hAnsi="宋体" w:eastAsia="宋体" w:cs="宋体"/>
          <w:b/>
          <w:bCs/>
          <w:color w:val="auto"/>
          <w:szCs w:val="21"/>
          <w:highlight w:val="none"/>
          <w:lang w:bidi="ar"/>
        </w:rPr>
        <w:t>。</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十二、招标文件的澄清和修改</w:t>
      </w:r>
    </w:p>
    <w:p>
      <w:pPr>
        <w:spacing w:line="380" w:lineRule="exact"/>
        <w:ind w:firstLine="420" w:firstLineChars="200"/>
        <w:jc w:val="left"/>
        <w:rPr>
          <w:rFonts w:hint="eastAsia" w:ascii="宋体" w:hAnsi="宋体" w:cs="宋体"/>
          <w:color w:val="auto"/>
          <w:highlight w:val="none"/>
        </w:rPr>
      </w:pPr>
      <w:r>
        <w:rPr>
          <w:rFonts w:hint="eastAsia" w:ascii="宋体" w:hAnsi="宋体" w:cs="宋体"/>
          <w:color w:val="auto"/>
          <w:szCs w:val="21"/>
          <w:highlight w:val="none"/>
          <w:lang w:bidi="ar"/>
        </w:rPr>
        <w:t>1</w:t>
      </w:r>
      <w:r>
        <w:rPr>
          <w:rFonts w:hint="eastAsia" w:ascii="宋体" w:hAnsi="宋体" w:cs="宋体"/>
          <w:color w:val="auto"/>
          <w:szCs w:val="21"/>
          <w:highlight w:val="none"/>
          <w:lang w:val="en-US" w:eastAsia="zh-CN" w:bidi="ar"/>
        </w:rPr>
        <w:t>.</w:t>
      </w:r>
      <w:r>
        <w:rPr>
          <w:rFonts w:hint="eastAsia" w:ascii="宋体" w:hAnsi="宋体" w:cs="宋体"/>
          <w:color w:val="auto"/>
          <w:highlight w:val="none"/>
        </w:rPr>
        <w:t>投标人应认真阅读本招标文件，发现其中有误或有要求不合理的，投标人应在招标公告发出之日起10日内以书面形式向代理机构提出询问，代理机构在收到投标人依法提出的询问后3个工作日内作出答复。</w:t>
      </w:r>
    </w:p>
    <w:p>
      <w:pPr>
        <w:spacing w:line="3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bidi="ar"/>
        </w:rPr>
        <w:t>2</w:t>
      </w:r>
      <w:r>
        <w:rPr>
          <w:rFonts w:hint="eastAsia" w:ascii="宋体" w:hAnsi="宋体" w:cs="宋体"/>
          <w:color w:val="auto"/>
          <w:szCs w:val="21"/>
          <w:highlight w:val="none"/>
          <w:lang w:val="en-US" w:eastAsia="zh-CN" w:bidi="ar"/>
        </w:rPr>
        <w:t>.</w:t>
      </w:r>
      <w:r>
        <w:rPr>
          <w:rFonts w:hint="eastAsia" w:ascii="宋体" w:hAnsi="宋体" w:cs="宋体"/>
          <w:color w:val="auto"/>
          <w:highlight w:val="none"/>
        </w:rPr>
        <w:t>招标代理机构在原招标公告发布媒体上以公告形式发布关于招标文件修改的“变更公告”。这些修改、补充文件或通知是招标文件的组成部分，相同内容修改以最后发出的为准，对所有投标人具有约束力。另请潜在投标人注意招标项目发布媒体的相关公告并自行下载。</w:t>
      </w:r>
    </w:p>
    <w:p>
      <w:pPr>
        <w:spacing w:line="380" w:lineRule="exact"/>
        <w:ind w:firstLine="422" w:firstLineChars="200"/>
        <w:jc w:val="left"/>
        <w:rPr>
          <w:rFonts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十三、异议与投诉</w:t>
      </w:r>
    </w:p>
    <w:p>
      <w:pPr>
        <w:spacing w:line="400" w:lineRule="exact"/>
        <w:ind w:firstLine="420" w:firstLineChars="200"/>
        <w:jc w:val="left"/>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val="en-US" w:eastAsia="zh-CN"/>
        </w:rPr>
        <w:t>.</w:t>
      </w:r>
      <w:r>
        <w:rPr>
          <w:rFonts w:hint="eastAsia" w:ascii="宋体" w:hAnsi="宋体"/>
          <w:color w:val="auto"/>
          <w:szCs w:val="21"/>
          <w:highlight w:val="none"/>
        </w:rPr>
        <w:t>在招标投标过程中，投标人有权提出异议。对招标文件有异议的，应当在投标截止时间</w:t>
      </w:r>
      <w:r>
        <w:rPr>
          <w:rFonts w:ascii="宋体" w:hAnsi="宋体"/>
          <w:color w:val="auto"/>
          <w:szCs w:val="21"/>
          <w:highlight w:val="none"/>
        </w:rPr>
        <w:t>10</w:t>
      </w:r>
      <w:r>
        <w:rPr>
          <w:rFonts w:hint="eastAsia" w:ascii="宋体" w:hAnsi="宋体"/>
          <w:color w:val="auto"/>
          <w:szCs w:val="21"/>
          <w:highlight w:val="none"/>
        </w:rPr>
        <w:t>日前提出；对开标有异议的，应当在开标现场提出；对评标结果有异议的，应当在中标候选人公示期间提出。超过以上期限提出的异议，招标人不予受理。</w:t>
      </w:r>
    </w:p>
    <w:p>
      <w:pPr>
        <w:spacing w:line="400" w:lineRule="exact"/>
        <w:ind w:firstLine="420" w:firstLineChars="200"/>
        <w:jc w:val="left"/>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val="en-US" w:eastAsia="zh-CN"/>
        </w:rPr>
        <w:t>.</w:t>
      </w:r>
      <w:r>
        <w:rPr>
          <w:rFonts w:hint="eastAsia" w:ascii="宋体" w:hAnsi="宋体"/>
          <w:color w:val="auto"/>
          <w:szCs w:val="21"/>
          <w:highlight w:val="none"/>
        </w:rPr>
        <w:t>招标工作将公开接受社会监督。投标人或者其他利害关系人认为本次招标活动违反法律、法规和规章规定的，有权投诉，投诉处理程序依据</w:t>
      </w:r>
      <w:r>
        <w:rPr>
          <w:rFonts w:hint="eastAsia" w:ascii="宋体" w:hAnsi="宋体" w:cs="宋体"/>
          <w:color w:val="auto"/>
          <w:szCs w:val="22"/>
          <w:highlight w:val="none"/>
          <w:lang w:bidi="ar"/>
        </w:rPr>
        <w:t>《中华人民共和国招标投标法》、《中华人民共和国招标投标法实施条例》</w:t>
      </w:r>
      <w:r>
        <w:rPr>
          <w:rFonts w:hint="eastAsia" w:ascii="宋体" w:hAnsi="宋体"/>
          <w:color w:val="auto"/>
          <w:szCs w:val="21"/>
          <w:highlight w:val="none"/>
        </w:rPr>
        <w:t>的有关规定执行。</w:t>
      </w:r>
    </w:p>
    <w:p>
      <w:pPr>
        <w:spacing w:line="400" w:lineRule="exact"/>
        <w:ind w:firstLine="420" w:firstLineChars="200"/>
        <w:jc w:val="left"/>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val="en-US" w:eastAsia="zh-CN"/>
        </w:rPr>
        <w:t>.</w:t>
      </w:r>
      <w:r>
        <w:rPr>
          <w:rFonts w:hint="eastAsia" w:ascii="宋体" w:hAnsi="宋体"/>
          <w:color w:val="auto"/>
          <w:szCs w:val="21"/>
          <w:highlight w:val="none"/>
        </w:rPr>
        <w:t>提出异议和投诉的投标人或者其他利害关系人须保证其提出的异议、投诉内容及相应证明材料的真实性及来源的合法性，并承担相应的法律责任。投标人或者其他利害关系人捏造事实、伪造材料或者以非法手段取得证明材料进行投诉，给他人造成损失的，依法承担赔偿责任。</w:t>
      </w:r>
    </w:p>
    <w:p>
      <w:pPr>
        <w:spacing w:line="400" w:lineRule="exact"/>
        <w:ind w:firstLine="420" w:firstLineChars="200"/>
        <w:jc w:val="left"/>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lang w:val="en-US" w:eastAsia="zh-CN"/>
        </w:rPr>
        <w:t>.</w:t>
      </w:r>
      <w:r>
        <w:rPr>
          <w:rFonts w:hint="eastAsia" w:ascii="宋体" w:hAnsi="宋体"/>
          <w:color w:val="auto"/>
          <w:szCs w:val="21"/>
          <w:highlight w:val="none"/>
        </w:rPr>
        <w:t>经核实，异议、投诉内容和相应证明材料与事实不符的，将被视为不良异议、投诉行为，且将有可能被限制参加后续项目的投标。</w:t>
      </w:r>
    </w:p>
    <w:p>
      <w:pPr>
        <w:spacing w:line="380" w:lineRule="exact"/>
        <w:ind w:firstLine="422" w:firstLineChars="200"/>
        <w:jc w:val="left"/>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十四、最高限价</w:t>
      </w:r>
    </w:p>
    <w:p>
      <w:pPr>
        <w:spacing w:line="380" w:lineRule="exact"/>
        <w:ind w:firstLine="422" w:firstLineChars="200"/>
        <w:jc w:val="left"/>
        <w:rPr>
          <w:rFonts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本次公开招标设有最高限价</w:t>
      </w:r>
      <w:r>
        <w:rPr>
          <w:rFonts w:hint="eastAsia" w:ascii="宋体" w:hAnsi="宋体" w:eastAsia="宋体" w:cs="宋体"/>
          <w:b/>
          <w:color w:val="auto"/>
          <w:szCs w:val="21"/>
          <w:highlight w:val="none"/>
          <w:u w:val="single"/>
          <w:lang w:eastAsia="zh-CN" w:bidi="ar"/>
        </w:rPr>
        <w:t>281.5</w:t>
      </w:r>
      <w:r>
        <w:rPr>
          <w:rFonts w:hint="eastAsia" w:ascii="宋体" w:hAnsi="宋体" w:eastAsia="宋体" w:cs="宋体"/>
          <w:b/>
          <w:color w:val="auto"/>
          <w:szCs w:val="21"/>
          <w:highlight w:val="none"/>
          <w:u w:val="single"/>
          <w:lang w:bidi="ar"/>
        </w:rPr>
        <w:t>万元</w:t>
      </w:r>
      <w:r>
        <w:rPr>
          <w:rFonts w:hint="eastAsia" w:ascii="宋体" w:hAnsi="宋体" w:eastAsia="宋体" w:cs="宋体"/>
          <w:b/>
          <w:color w:val="auto"/>
          <w:szCs w:val="21"/>
          <w:highlight w:val="none"/>
          <w:lang w:bidi="ar"/>
        </w:rPr>
        <w:t>，总投标报价超出最高限价的投标为无效投标。</w:t>
      </w:r>
    </w:p>
    <w:p>
      <w:pPr>
        <w:spacing w:line="380" w:lineRule="exact"/>
        <w:ind w:firstLine="422" w:firstLineChars="200"/>
        <w:jc w:val="left"/>
        <w:rPr>
          <w:rFonts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十五、合同相关</w:t>
      </w:r>
    </w:p>
    <w:p>
      <w:pPr>
        <w:topLinePunct/>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w:t>
      </w:r>
      <w:r>
        <w:rPr>
          <w:rFonts w:hint="eastAsia" w:ascii="宋体" w:hAnsi="宋体" w:cs="宋体"/>
          <w:color w:val="auto"/>
          <w:szCs w:val="21"/>
          <w:highlight w:val="none"/>
          <w:lang w:val="en-US" w:eastAsia="zh-CN" w:bidi="ar"/>
        </w:rPr>
        <w:t>.</w:t>
      </w:r>
      <w:r>
        <w:rPr>
          <w:rFonts w:hint="eastAsia" w:ascii="宋体" w:hAnsi="宋体" w:cs="宋体"/>
          <w:color w:val="auto"/>
          <w:szCs w:val="21"/>
          <w:highlight w:val="none"/>
          <w:lang w:bidi="ar"/>
        </w:rPr>
        <w:t>招标人与中标人应当在《中标通知书》发出之日起30日内签订服务合同。同时，招标代理机构对合同内容进行鉴证，如发现与招标结果和投标承诺内容不一致的，应予以纠正。</w:t>
      </w:r>
    </w:p>
    <w:p>
      <w:pPr>
        <w:pStyle w:val="45"/>
        <w:rPr>
          <w:rFonts w:hint="eastAsia"/>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标人如不遵守招标文件或投标文件各项条款的邀约与要约，或在接到中标通知书后借故拖延，拒签合同的，招标人将按《浙江省政府采购供应商注册及诚信管理暂行办法》的规定上报诚信状况。给招标人造成的损失的还应当予以赔偿。</w:t>
      </w:r>
    </w:p>
    <w:p>
      <w:pPr>
        <w:topLinePunct/>
        <w:spacing w:line="380" w:lineRule="exact"/>
        <w:ind w:firstLine="422" w:firstLineChars="200"/>
        <w:rPr>
          <w:rFonts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十六、特别说明</w:t>
      </w:r>
    </w:p>
    <w:p>
      <w:pPr>
        <w:spacing w:line="380" w:lineRule="exact"/>
        <w:ind w:firstLine="420" w:firstLineChars="200"/>
        <w:rPr>
          <w:rFonts w:hint="eastAsia" w:ascii="宋体" w:hAnsi="宋体" w:cs="宋体"/>
          <w:color w:val="auto"/>
          <w:szCs w:val="21"/>
          <w:highlight w:val="none"/>
          <w:lang w:bidi="ar"/>
        </w:rPr>
      </w:pPr>
      <w:bookmarkStart w:id="3" w:name="_Toc12376820"/>
      <w:bookmarkStart w:id="4" w:name="_Toc12277"/>
      <w:bookmarkStart w:id="5" w:name="_Toc31308"/>
      <w:bookmarkStart w:id="6" w:name="_Toc12428979"/>
      <w:bookmarkStart w:id="7" w:name="_Toc529781142"/>
      <w:bookmarkStart w:id="8" w:name="_Toc495244277"/>
      <w:bookmarkStart w:id="9" w:name="_Toc12374295"/>
      <w:bookmarkStart w:id="10" w:name="_Toc11298"/>
      <w:bookmarkStart w:id="11" w:name="_Toc529781143"/>
      <w:bookmarkStart w:id="12" w:name="_Toc12428980"/>
      <w:bookmarkStart w:id="13" w:name="_Toc12374296"/>
      <w:bookmarkStart w:id="14" w:name="_Toc12376821"/>
      <w:bookmarkStart w:id="15" w:name="_Toc11591"/>
      <w:bookmarkStart w:id="16" w:name="_Toc419729158"/>
      <w:bookmarkStart w:id="17" w:name="_Toc436408708"/>
      <w:bookmarkStart w:id="18" w:name="_Toc441316554"/>
      <w:r>
        <w:rPr>
          <w:rFonts w:hint="eastAsia" w:ascii="宋体" w:hAnsi="宋体" w:cs="宋体"/>
          <w:color w:val="auto"/>
          <w:szCs w:val="21"/>
          <w:highlight w:val="none"/>
          <w:lang w:bidi="ar"/>
        </w:rPr>
        <w:t>1.执行财政部、工业和信息化部《政府采购促进中小企业发展管理办法》（财库〔2020〕46号）。政府采购活动中有关中小企业的相关规定如下：</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（1）</w:t>
      </w:r>
      <w:r>
        <w:rPr>
          <w:rFonts w:hint="eastAsia" w:ascii="宋体" w:hAnsi="宋体" w:cs="宋体"/>
          <w:color w:val="auto"/>
          <w:szCs w:val="21"/>
          <w:highlight w:val="none"/>
        </w:rPr>
        <w:t xml:space="preserve">本项目 </w:t>
      </w:r>
      <w:r>
        <w:rPr>
          <w:rFonts w:hint="eastAsia" w:ascii="宋体" w:hAnsi="宋体" w:cs="宋体"/>
          <w:b/>
          <w:bCs/>
          <w:color w:val="auto"/>
          <w:szCs w:val="21"/>
          <w:highlight w:val="none"/>
          <w:u w:val="single"/>
        </w:rPr>
        <w:t xml:space="preserve"> 非 </w:t>
      </w:r>
      <w:r>
        <w:rPr>
          <w:rFonts w:hint="eastAsia" w:ascii="宋体" w:hAnsi="宋体" w:cs="宋体"/>
          <w:color w:val="auto"/>
          <w:szCs w:val="21"/>
          <w:highlight w:val="none"/>
        </w:rPr>
        <w:t>专门面向中小企业采购。</w:t>
      </w:r>
    </w:p>
    <w:p>
      <w:pPr>
        <w:spacing w:line="380" w:lineRule="exact"/>
        <w:ind w:firstLine="420" w:firstLineChars="200"/>
        <w:rPr>
          <w:rFonts w:hint="eastAsia" w:ascii="宋体" w:hAnsi="宋体" w:cs="宋体"/>
          <w:color w:val="auto"/>
          <w:sz w:val="24"/>
          <w:szCs w:val="24"/>
          <w:highlight w:val="none"/>
        </w:rPr>
      </w:pPr>
      <w:r>
        <w:rPr>
          <w:rFonts w:hint="eastAsia" w:ascii="宋体" w:hAnsi="宋体" w:cs="宋体"/>
          <w:color w:val="auto"/>
          <w:szCs w:val="21"/>
          <w:highlight w:val="none"/>
          <w:lang w:bidi="ar"/>
        </w:rPr>
        <w:t>（2）本项目对应的中小企业划分标准所属行业</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b/>
          <w:bCs/>
          <w:color w:val="auto"/>
          <w:sz w:val="24"/>
          <w:szCs w:val="24"/>
          <w:highlight w:val="none"/>
          <w:u w:val="single"/>
        </w:rPr>
        <w:t>工业</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符合中小企业划分标准的个体工商户，在政府采购活动中视同中小企业。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（4）在采购活动中，供应商提供的货物、工程或者服务符合下列情形的，享受《政府采购促进中小企业发展管理办法》规定的中小企业扶持政策：</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①在货物采购项目中，货物由中小企业制造，即货物由中小企业生产且使用该中小企业商号或者注册商标；</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②在工程采购项目中，工程由中小企业承建，即工程施工单位为中小企业；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③在服务采购项目中，服务由中小企业承接，即提供服务的人员为中小企业依照《中华人民共和国劳动合同法》订立劳动合同的从业人员。</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在货物采购项目中，供应商提供的货物既有中小企业制造货物，也有大型企业制造货物的，不享受《政府采购促进中小企业发展管理办法》规定的中小企业扶持政策。</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以联合体形式参加政府采购活动，联合体各方均为中小企业的，联合体视同中小企业。其中，联合体各方均为小微企业的，联合体视同小微企业。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（5）中小企业参加政府采购活动，应当出具《政府采购促进中小企业发展管理办法》规定的《中小企业声明函》（格式见第七章），否则不得享受相关中小企业扶持政策。</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供应商提供声明函内容不实的，属于提供虚假材料谋取中标、成交，依照《中华人民共和国政府采购法》等国家有关规定追究相应责任。</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适用招标投标法的政府采购工程建设项目，投标人提供声明函内容不实的，属于弄虚作假骗取中标，依照《中华人民共和国招标投标法》等国家有关规定追究相应责任。</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（7）《中小企业声明函》由参加投标的供应商提交，如供应商为代理商，须自行采集制造商的中小企业划分类型信息填入相应栏目并对其真实性负责。</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3"/>
      <w:bookmarkEnd w:id="4"/>
      <w:bookmarkEnd w:id="5"/>
      <w:bookmarkEnd w:id="6"/>
      <w:bookmarkEnd w:id="7"/>
      <w:bookmarkEnd w:id="8"/>
      <w:bookmarkEnd w:id="9"/>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p>
    <w:bookmarkEnd w:id="10"/>
    <w:bookmarkEnd w:id="11"/>
    <w:bookmarkEnd w:id="12"/>
    <w:bookmarkEnd w:id="13"/>
    <w:bookmarkEnd w:id="14"/>
    <w:bookmarkEnd w:id="15"/>
    <w:p>
      <w:pPr>
        <w:pStyle w:val="45"/>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4.多家投标人提供相同品牌产品且通过资格审查、符合性审查的不同投标人参加投标的，按一家投标人计算，评审后得分最高的同品牌投标人获得中标人推荐资格；评审得分相同的，委托评标委员会按照采购文件规定的方式确定一个投标人获得中标人推荐资格，招标文件未规定的采取随机抽取方式确定。</w:t>
      </w:r>
    </w:p>
    <w:p>
      <w:pPr>
        <w:pStyle w:val="45"/>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5.参加采购响应的供应商中，有两家或两家以上供应商的单位负责人为同一人或者存在控股、管理关系的，应当按一个供应商认定。评审时，取其中通过资格审查、符合性审查后的报价最低一家为有效供应商；当报价相同时，则以技术标最优一家为有效供应商；均相同时，由评审委员会集体决定，并以书面记录评审委员会的决定理由。</w:t>
      </w:r>
    </w:p>
    <w:p>
      <w:pPr>
        <w:spacing w:line="380" w:lineRule="exact"/>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bidi="ar"/>
        </w:rPr>
        <w:t>6.</w:t>
      </w:r>
      <w:r>
        <w:rPr>
          <w:rFonts w:hint="eastAsia" w:ascii="宋体" w:hAnsi="宋体" w:cs="宋体"/>
          <w:b/>
          <w:bCs/>
          <w:color w:val="auto"/>
          <w:szCs w:val="21"/>
          <w:highlight w:val="none"/>
        </w:rPr>
        <w:t>无效投标</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发生下列情况之一的投标文件被视为无效：</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（1）标项以赠送方式响应的，或提供两个及以上方案的；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（2）供应商投标有效期不足的；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（3）投标文件未按招标文件要求签署、盖章的；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（4）报价超过招标文件中规定的预算金额或者最高限价的；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（5）经全体评标委员会一致认为，供应商的报价明显低于其他通过符合性审查供应商的报价，有可能影响产品质量或者不能诚信履约且不能提供有效材料证明其报价合理性的；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（6）有以下情形之一的，视为供应商串通投标，其投标无效：</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1）.不同供应商的投标文件由同一单位或个人编制；</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2）.不同供应商委托同一单位或者个人办理投标事宜；</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3）.不同供应商的投标文件载明的项目管理成员或者联系人员为同一人；</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4）.不同供应商的投标文件异常一致或者投标报价呈规律性差异；</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5）.不同供应商的投标文件相互混装；</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（7）供应商违反公平竞争原则，恶意串通，妨碍其他供应商的竞争，损害招标人或者其他供应商的合法权益的；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（8）供应商因投标文件报价前后不一致而修正报价后不确认的；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（9）投标文件含有招标人不能接受的附加条件的；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（10）不符合法律、法规和本招标文件规定的其他实质性要求的。</w:t>
      </w:r>
    </w:p>
    <w:p>
      <w:pPr>
        <w:spacing w:line="380" w:lineRule="exact"/>
        <w:ind w:firstLine="420" w:firstLineChars="200"/>
        <w:outlineLvl w:val="0"/>
        <w:rPr>
          <w:rFonts w:hint="eastAsia" w:ascii="宋体" w:hAnsi="宋体" w:cs="宋体"/>
          <w:color w:val="auto"/>
          <w:szCs w:val="21"/>
          <w:highlight w:val="none"/>
          <w:lang w:bidi="ar"/>
        </w:rPr>
      </w:pPr>
      <w:r>
        <w:rPr>
          <w:rFonts w:hint="eastAsia" w:ascii="宋体" w:hAnsi="宋体" w:cs="宋体"/>
          <w:color w:val="auto"/>
          <w:szCs w:val="21"/>
          <w:highlight w:val="none"/>
          <w:lang w:val="en-US" w:eastAsia="zh-CN" w:bidi="ar"/>
        </w:rPr>
        <w:t>7.</w:t>
      </w:r>
      <w:r>
        <w:rPr>
          <w:rFonts w:hint="eastAsia" w:ascii="宋体" w:hAnsi="宋体" w:cs="宋体"/>
          <w:color w:val="auto"/>
          <w:szCs w:val="21"/>
          <w:highlight w:val="none"/>
          <w:lang w:bidi="ar"/>
        </w:rPr>
        <w:t>本项目不组织潜在供应商现场考察或者召开开标前答疑。</w:t>
      </w:r>
    </w:p>
    <w:p>
      <w:pPr>
        <w:spacing w:line="380" w:lineRule="exact"/>
        <w:ind w:firstLine="420" w:firstLineChars="200"/>
        <w:outlineLvl w:val="0"/>
        <w:rPr>
          <w:rFonts w:hint="eastAsia" w:ascii="宋体" w:hAnsi="宋体" w:cs="宋体"/>
          <w:color w:val="auto"/>
          <w:szCs w:val="21"/>
          <w:highlight w:val="none"/>
        </w:rPr>
      </w:pPr>
      <w:r>
        <w:rPr>
          <w:rFonts w:hint="eastAsia" w:ascii="宋体" w:hAnsi="宋体" w:cs="宋体"/>
          <w:color w:val="auto"/>
          <w:szCs w:val="21"/>
          <w:highlight w:val="none"/>
          <w:lang w:val="en-US" w:eastAsia="zh-CN" w:bidi="ar"/>
        </w:rPr>
        <w:t>8.</w:t>
      </w:r>
      <w:r>
        <w:rPr>
          <w:rFonts w:hint="eastAsia" w:ascii="宋体" w:hAnsi="宋体" w:cs="宋体"/>
          <w:color w:val="auto"/>
          <w:szCs w:val="21"/>
          <w:highlight w:val="none"/>
          <w:lang w:bidi="ar"/>
        </w:rPr>
        <w:t>本文件未及事项，在签订合同时双方友好商定。</w:t>
      </w:r>
      <w:bookmarkEnd w:id="16"/>
      <w:bookmarkEnd w:id="17"/>
      <w:bookmarkEnd w:id="18"/>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val="en-US" w:eastAsia="zh-CN" w:bidi="ar"/>
        </w:rPr>
        <w:t>9.</w:t>
      </w:r>
      <w:r>
        <w:rPr>
          <w:rFonts w:hint="eastAsia" w:ascii="宋体" w:hAnsi="宋体" w:cs="宋体"/>
          <w:color w:val="auto"/>
          <w:szCs w:val="21"/>
          <w:highlight w:val="none"/>
          <w:lang w:bidi="ar"/>
        </w:rPr>
        <w:t>本招标文件解释权归</w:t>
      </w:r>
      <w:r>
        <w:rPr>
          <w:rFonts w:hint="eastAsia" w:ascii="宋体" w:hAnsi="宋体" w:cs="宋体"/>
          <w:color w:val="auto"/>
          <w:szCs w:val="21"/>
          <w:highlight w:val="none"/>
          <w:lang w:val="en-US" w:eastAsia="zh-CN" w:bidi="ar"/>
        </w:rPr>
        <w:t>采购</w:t>
      </w:r>
      <w:r>
        <w:rPr>
          <w:rFonts w:hint="eastAsia" w:ascii="宋体" w:hAnsi="宋体" w:cs="宋体"/>
          <w:color w:val="auto"/>
          <w:szCs w:val="21"/>
          <w:highlight w:val="none"/>
          <w:lang w:bidi="ar"/>
        </w:rPr>
        <w:t>人。</w:t>
      </w:r>
    </w:p>
    <w:p>
      <w:pPr>
        <w:spacing w:line="380" w:lineRule="exact"/>
        <w:ind w:firstLine="420" w:firstLineChars="200"/>
        <w:rPr>
          <w:rFonts w:ascii="宋体" w:hAnsi="宋体" w:eastAsia="宋体" w:cs="宋体"/>
          <w:color w:val="auto"/>
          <w:szCs w:val="21"/>
          <w:highlight w:val="none"/>
          <w:lang w:bidi="ar"/>
        </w:rPr>
      </w:pPr>
    </w:p>
    <w:p>
      <w:pPr>
        <w:spacing w:line="380" w:lineRule="exact"/>
        <w:ind w:firstLine="480" w:firstLineChars="200"/>
        <w:rPr>
          <w:rFonts w:ascii="宋体" w:hAnsi="宋体" w:eastAsia="宋体" w:cs="宋体"/>
          <w:color w:val="auto"/>
          <w:sz w:val="24"/>
          <w:szCs w:val="21"/>
          <w:highlight w:val="none"/>
          <w:lang w:bidi="ar"/>
        </w:rPr>
      </w:pPr>
    </w:p>
    <w:p>
      <w:pPr>
        <w:spacing w:line="380" w:lineRule="exact"/>
        <w:ind w:firstLine="480" w:firstLineChars="200"/>
        <w:rPr>
          <w:rFonts w:ascii="宋体" w:hAnsi="宋体" w:eastAsia="宋体" w:cs="宋体"/>
          <w:color w:val="auto"/>
          <w:sz w:val="24"/>
          <w:szCs w:val="21"/>
          <w:highlight w:val="none"/>
          <w:lang w:bidi="ar"/>
        </w:rPr>
      </w:pPr>
      <w:r>
        <w:rPr>
          <w:rFonts w:hint="eastAsia" w:ascii="宋体" w:hAnsi="宋体" w:eastAsia="方正书宋简体" w:cs="宋体"/>
          <w:color w:val="auto"/>
          <w:sz w:val="24"/>
          <w:szCs w:val="21"/>
          <w:highlight w:val="none"/>
          <w:lang w:bidi="ar"/>
        </w:rPr>
        <w:br w:type="page"/>
      </w:r>
    </w:p>
    <w:p>
      <w:pPr>
        <w:keepNext/>
        <w:keepLines/>
        <w:spacing w:before="340" w:after="330" w:line="360" w:lineRule="auto"/>
        <w:jc w:val="center"/>
        <w:outlineLvl w:val="0"/>
        <w:rPr>
          <w:rFonts w:ascii="宋体" w:hAnsi="宋体" w:eastAsia="宋体" w:cs="宋体"/>
          <w:b/>
          <w:bCs/>
          <w:color w:val="auto"/>
          <w:kern w:val="44"/>
          <w:sz w:val="36"/>
          <w:szCs w:val="36"/>
          <w:highlight w:val="none"/>
        </w:rPr>
      </w:pPr>
      <w:bookmarkStart w:id="19" w:name="_Toc15581"/>
      <w:r>
        <w:rPr>
          <w:rFonts w:hint="eastAsia" w:ascii="宋体" w:hAnsi="宋体" w:eastAsia="宋体" w:cs="宋体"/>
          <w:b/>
          <w:bCs/>
          <w:color w:val="auto"/>
          <w:kern w:val="44"/>
          <w:sz w:val="36"/>
          <w:szCs w:val="36"/>
          <w:highlight w:val="none"/>
        </w:rPr>
        <w:t xml:space="preserve">第三章  </w:t>
      </w:r>
      <w:bookmarkEnd w:id="2"/>
      <w:r>
        <w:rPr>
          <w:rFonts w:hint="eastAsia" w:ascii="宋体" w:hAnsi="宋体" w:eastAsia="宋体" w:cs="宋体"/>
          <w:b/>
          <w:bCs/>
          <w:color w:val="auto"/>
          <w:kern w:val="44"/>
          <w:sz w:val="36"/>
          <w:szCs w:val="36"/>
          <w:highlight w:val="none"/>
        </w:rPr>
        <w:t>评标办法及标准</w:t>
      </w:r>
      <w:bookmarkEnd w:id="19"/>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一、评标办法</w:t>
      </w:r>
    </w:p>
    <w:p>
      <w:pPr>
        <w:keepNext w:val="0"/>
        <w:keepLines w:val="0"/>
        <w:pageBreakBefore w:val="0"/>
        <w:kinsoku/>
        <w:wordWrap/>
        <w:overflowPunct/>
        <w:topLinePunct w:val="0"/>
        <w:autoSpaceDE/>
        <w:autoSpaceDN/>
        <w:bidi w:val="0"/>
        <w:adjustRightInd/>
        <w:snapToGrid/>
        <w:spacing w:line="420" w:lineRule="exact"/>
        <w:ind w:left="-2" w:leftChars="-1"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1.1本项目评标采用综合评分法。</w:t>
      </w:r>
    </w:p>
    <w:p>
      <w:pPr>
        <w:keepNext w:val="0"/>
        <w:keepLines w:val="0"/>
        <w:pageBreakBefore w:val="0"/>
        <w:kinsoku/>
        <w:wordWrap/>
        <w:overflowPunct/>
        <w:topLinePunct w:val="0"/>
        <w:autoSpaceDE/>
        <w:autoSpaceDN/>
        <w:bidi w:val="0"/>
        <w:adjustRightInd/>
        <w:snapToGrid/>
        <w:spacing w:line="420" w:lineRule="exact"/>
        <w:ind w:left="-2" w:leftChars="-1"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1.2综合评分法：采用百分制，总分100分。评标委员会成员按照评分标准（兼评委打分表）规定的内容和分值设置以记名方式独立评定打分，汇总各评委对各供应商的评分，取算术平均值（小数点后保留二位数）即为各供应商的综合得分，按照综合得分由高到低进行排序并推荐中标候选人。若供应商的综合得分相等，则投标报价低者列前。若投标报价也相同时，则技术得分高者列前。若技术得分也相同时，采取随机抽签的方式确定排序。</w:t>
      </w:r>
    </w:p>
    <w:p>
      <w:pPr>
        <w:keepNext w:val="0"/>
        <w:keepLines w:val="0"/>
        <w:pageBreakBefore w:val="0"/>
        <w:kinsoku/>
        <w:wordWrap/>
        <w:overflowPunct/>
        <w:topLinePunct w:val="0"/>
        <w:autoSpaceDE/>
        <w:autoSpaceDN/>
        <w:bidi w:val="0"/>
        <w:adjustRightInd/>
        <w:snapToGrid/>
        <w:spacing w:line="420" w:lineRule="exact"/>
        <w:ind w:left="-2" w:leftChars="-1" w:firstLine="420" w:firstLineChars="200"/>
        <w:textAlignment w:val="auto"/>
        <w:rPr>
          <w:rFonts w:ascii="宋体" w:hAnsi="宋体" w:eastAsia="宋体" w:cs="宋体"/>
          <w:color w:val="auto"/>
          <w:szCs w:val="21"/>
          <w:highlight w:val="none"/>
        </w:rPr>
      </w:pPr>
      <w:r>
        <w:rPr>
          <w:rFonts w:hint="eastAsia"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评标委员会成员对需要共同认定的事项存在争议的，应当按照少数服从多数的原则作出结论。</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二、评标委员会</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2.1招标人依据相关规定组建评标委员会，负责本项目</w:t>
      </w:r>
      <w:bookmarkStart w:id="26" w:name="_GoBack"/>
      <w:bookmarkEnd w:id="26"/>
      <w:r>
        <w:rPr>
          <w:rFonts w:hint="eastAsia" w:ascii="宋体" w:hAnsi="宋体" w:cs="宋体"/>
          <w:color w:val="auto"/>
          <w:szCs w:val="21"/>
          <w:highlight w:val="none"/>
          <w:lang w:bidi="ar"/>
        </w:rPr>
        <w:t>的评标工作。评标委员会成员名单在招标结果确定之前依法保密。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2.2评标委员会将按照招标文件要求，只对初步确定为实质上响应本招标文件要求的投标进行评标和比较。并且只依据投标文件内容本身的响应情况进行评审，不考虑开标后的任何补充声明、修正的方案。</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三、评标程序</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3.1商务技术文件评审：</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3.1.1初步审查：包含资格性审查和商务技术文件符合性审查。资格性审查是指招标人或代理机构根据“附表1资格审查表”的要求对投标文件逐一进行评审。商务技术文件符合性审查是指评标委员会根据“附表2商务技术文件符合性审查表”的要求对投标文件逐一进行评审。</w:t>
      </w:r>
      <w:r>
        <w:rPr>
          <w:rFonts w:hint="eastAsia" w:ascii="宋体" w:hAnsi="宋体" w:eastAsia="宋体" w:cs="宋体"/>
          <w:b/>
          <w:color w:val="auto"/>
          <w:szCs w:val="21"/>
          <w:highlight w:val="none"/>
          <w:lang w:bidi="ar"/>
        </w:rPr>
        <w:t>资格性审查和商务技术文件符合性审查中，有任意一项审查结论不合格的，作无效标处理。</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lang w:val="zh-CN"/>
        </w:rPr>
      </w:pPr>
      <w:r>
        <w:rPr>
          <w:rFonts w:hint="eastAsia" w:ascii="宋体" w:hAnsi="宋体" w:eastAsia="宋体" w:cs="宋体"/>
          <w:color w:val="auto"/>
          <w:szCs w:val="21"/>
          <w:highlight w:val="none"/>
          <w:lang w:bidi="ar"/>
        </w:rPr>
        <w:t>3.1.2</w:t>
      </w:r>
      <w:r>
        <w:rPr>
          <w:rFonts w:hint="eastAsia" w:ascii="宋体" w:hAnsi="宋体" w:eastAsia="宋体" w:cs="宋体"/>
          <w:color w:val="auto"/>
          <w:szCs w:val="21"/>
          <w:highlight w:val="none"/>
          <w:lang w:val="zh-CN" w:bidi="ar"/>
        </w:rPr>
        <w:t>比较与评价：</w:t>
      </w:r>
      <w:r>
        <w:rPr>
          <w:rFonts w:hint="eastAsia" w:ascii="宋体" w:hAnsi="宋体" w:eastAsia="宋体" w:cs="宋体"/>
          <w:color w:val="auto"/>
          <w:szCs w:val="21"/>
          <w:highlight w:val="none"/>
          <w:lang w:bidi="ar"/>
        </w:rPr>
        <w:t>评标委员会根据“附表3评分标准（兼评委打分表）”的要求，</w:t>
      </w:r>
      <w:r>
        <w:rPr>
          <w:rFonts w:hint="eastAsia" w:ascii="宋体" w:hAnsi="宋体" w:eastAsia="宋体" w:cs="宋体"/>
          <w:color w:val="auto"/>
          <w:szCs w:val="21"/>
          <w:highlight w:val="none"/>
          <w:lang w:val="zh-CN" w:bidi="ar"/>
        </w:rPr>
        <w:t>对照投标文件的应答进行比较，判定其偏差性质和程度，</w:t>
      </w:r>
      <w:r>
        <w:rPr>
          <w:rFonts w:hint="eastAsia" w:ascii="宋体" w:hAnsi="宋体" w:eastAsia="宋体" w:cs="宋体"/>
          <w:color w:val="auto"/>
          <w:szCs w:val="21"/>
          <w:highlight w:val="none"/>
          <w:lang w:bidi="ar"/>
        </w:rPr>
        <w:t>由评标委员会成员在分值范围内自行评分</w:t>
      </w:r>
      <w:r>
        <w:rPr>
          <w:rFonts w:hint="eastAsia" w:ascii="宋体" w:hAnsi="宋体" w:eastAsia="宋体" w:cs="宋体"/>
          <w:color w:val="auto"/>
          <w:szCs w:val="21"/>
          <w:highlight w:val="none"/>
          <w:lang w:val="zh-CN" w:bidi="ar"/>
        </w:rPr>
        <w:t>。</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lang w:val="zh-CN" w:bidi="ar"/>
        </w:rPr>
      </w:pPr>
      <w:r>
        <w:rPr>
          <w:rFonts w:hint="eastAsia" w:ascii="宋体" w:hAnsi="宋体" w:eastAsia="宋体" w:cs="宋体"/>
          <w:color w:val="auto"/>
          <w:szCs w:val="21"/>
          <w:highlight w:val="none"/>
          <w:lang w:bidi="ar"/>
        </w:rPr>
        <w:t>3.1.3</w:t>
      </w:r>
      <w:r>
        <w:rPr>
          <w:rFonts w:hint="eastAsia" w:ascii="宋体" w:hAnsi="宋体" w:eastAsia="宋体" w:cs="宋体"/>
          <w:color w:val="auto"/>
          <w:szCs w:val="21"/>
          <w:highlight w:val="none"/>
          <w:lang w:val="zh-CN" w:bidi="ar"/>
        </w:rPr>
        <w:t>招标代理机构可协助评标委员会组长对打分结果进行校对、核对并汇总统计；</w:t>
      </w:r>
      <w:r>
        <w:rPr>
          <w:rFonts w:hint="eastAsia" w:ascii="宋体" w:hAnsi="宋体" w:eastAsia="宋体" w:cs="宋体"/>
          <w:b/>
          <w:color w:val="auto"/>
          <w:szCs w:val="21"/>
          <w:highlight w:val="none"/>
          <w:lang w:val="zh-CN" w:bidi="ar"/>
        </w:rPr>
        <w:t>对明显畸高、畸低的评分（其总评分偏离平均分30%以上的），评标委员会组长应提醒相关评标委员会成员进行复核或书面说明理由</w:t>
      </w:r>
      <w:r>
        <w:rPr>
          <w:rFonts w:hint="eastAsia" w:ascii="宋体" w:hAnsi="宋体" w:eastAsia="宋体" w:cs="宋体"/>
          <w:color w:val="auto"/>
          <w:szCs w:val="21"/>
          <w:highlight w:val="none"/>
          <w:lang w:val="zh-CN" w:bidi="ar"/>
        </w:rPr>
        <w:t>；评标委员会成员的评审、修改记录应保留原件，随项目其他资料一并存档。</w:t>
      </w:r>
    </w:p>
    <w:p>
      <w:pPr>
        <w:keepNext w:val="0"/>
        <w:keepLines w:val="0"/>
        <w:pageBreakBefore w:val="0"/>
        <w:kinsoku/>
        <w:wordWrap/>
        <w:overflowPunct/>
        <w:topLinePunct w:val="0"/>
        <w:autoSpaceDE/>
        <w:autoSpaceDN/>
        <w:bidi w:val="0"/>
        <w:adjustRightInd/>
        <w:snapToGrid/>
        <w:spacing w:line="420" w:lineRule="exact"/>
        <w:ind w:firstLine="422" w:firstLineChars="200"/>
        <w:jc w:val="left"/>
        <w:textAlignment w:val="auto"/>
        <w:rPr>
          <w:rFonts w:ascii="宋体" w:hAnsi="宋体" w:eastAsia="宋体" w:cs="宋体"/>
          <w:color w:val="auto"/>
          <w:szCs w:val="20"/>
          <w:highlight w:val="none"/>
          <w:lang w:val="zh-CN"/>
        </w:rPr>
      </w:pPr>
      <w:r>
        <w:rPr>
          <w:rFonts w:hint="eastAsia" w:ascii="宋体" w:hAnsi="宋体" w:eastAsia="宋体" w:cs="宋体"/>
          <w:b/>
          <w:color w:val="auto"/>
          <w:szCs w:val="21"/>
          <w:highlight w:val="none"/>
          <w:lang w:bidi="ar"/>
        </w:rPr>
        <w:t>3.2报价文件评审</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3.2.1报价文件符合性审查：报价文件符合性审查是指评标委员会根据“附表4报价文件符合性审查表”的要求对供应商报价文件逐一进行评审。</w:t>
      </w:r>
      <w:r>
        <w:rPr>
          <w:rFonts w:hint="eastAsia" w:ascii="宋体" w:hAnsi="宋体" w:eastAsia="宋体" w:cs="宋体"/>
          <w:b/>
          <w:bCs/>
          <w:color w:val="auto"/>
          <w:szCs w:val="21"/>
          <w:highlight w:val="none"/>
          <w:lang w:bidi="ar"/>
        </w:rPr>
        <w:t>报价文件符合性审查中，审查结论不合格的，作无效标处理。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3.2.2在评标过程中，发现的价格计算错误按下述原则修正：</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（1）投标文件中开标一览表内容与投标文件中分项报价表内容不一致的，以开标一览表为准；</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（2）投标文件的大写金额和小写金额不一致的，以大写金额为准；</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（3）单价金额小数点有明显错位的，应以总价为准，并修改单价；</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（4）总价金额与按单价汇总金额不一致的，以单价金额计算结果为准。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0"/>
          <w:highlight w:val="none"/>
          <w:lang w:bidi="ar"/>
        </w:rPr>
      </w:pPr>
      <w:r>
        <w:rPr>
          <w:rFonts w:hint="eastAsia" w:ascii="宋体" w:hAnsi="宋体" w:eastAsia="宋体" w:cs="宋体"/>
          <w:color w:val="auto"/>
          <w:szCs w:val="20"/>
          <w:highlight w:val="none"/>
          <w:lang w:bidi="ar"/>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0"/>
          <w:highlight w:val="none"/>
        </w:rPr>
      </w:pPr>
      <w:r>
        <w:rPr>
          <w:rFonts w:hint="eastAsia" w:ascii="宋体" w:hAnsi="宋体" w:eastAsia="宋体" w:cs="宋体"/>
          <w:color w:val="auto"/>
          <w:szCs w:val="21"/>
          <w:highlight w:val="none"/>
          <w:lang w:bidi="ar"/>
        </w:rPr>
        <w:t>3.2.3评标委员会根据“附表5价格评分表”的规定，计算供应商报价得分（小数点后保留二位数）。</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0"/>
          <w:highlight w:val="none"/>
        </w:rPr>
      </w:pPr>
      <w:r>
        <w:rPr>
          <w:rFonts w:hint="eastAsia" w:ascii="宋体" w:hAnsi="宋体" w:eastAsia="宋体" w:cs="宋体"/>
          <w:color w:val="auto"/>
          <w:szCs w:val="21"/>
          <w:highlight w:val="none"/>
          <w:lang w:bidi="ar"/>
        </w:rPr>
        <w:t>3.3综合评估：经过初步审查、比较，评标委员会成员按照评分标准（兼评委打分表）规定的内容和分值设置以记名方式独立评定打分，汇总各评委对各供应商的评分，取算术平均值（小数点后保留二位数）即为各供应商的综合得分。</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3.4推荐中标候选人</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根据供应商综合得分由高到低进行排序并</w:t>
      </w:r>
      <w:r>
        <w:rPr>
          <w:rFonts w:hint="eastAsia" w:ascii="宋体" w:hAnsi="宋体" w:eastAsia="宋体" w:cs="宋体"/>
          <w:bCs/>
          <w:color w:val="auto"/>
          <w:szCs w:val="21"/>
          <w:highlight w:val="none"/>
          <w:lang w:bidi="ar"/>
        </w:rPr>
        <w:t>推荐中标候选人。</w:t>
      </w:r>
      <w:r>
        <w:rPr>
          <w:rFonts w:hint="eastAsia" w:ascii="宋体" w:hAnsi="宋体" w:eastAsia="宋体" w:cs="宋体"/>
          <w:color w:val="auto"/>
          <w:szCs w:val="21"/>
          <w:highlight w:val="none"/>
          <w:lang w:bidi="ar"/>
        </w:rPr>
        <w:t>若供应商的综合得分相等，则投标报价低者列前。若投标报价也相同时，则技术得分高者列前。若技术得分也相同时，采取随机抽签的方式确定排序。</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3.5确定中标人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评标委员会按综合得分由高到低排序，根据排序向招标人推荐中标候选人。代理机构应当自评审结束之日起2个工作日内将评审报告送交招标人。招标人应当自收到评审报告之日起5个工作日内在评审报告推荐的中标候选人中按顺序确定中标人。中标人因不可抗力或者自身原因不能履行招标合同的，招标人将重新招标。</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四、投标的澄清</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imes New Roman" w:hAnsi="Times New Roman" w:eastAsia="宋体" w:cs="Times New Roman"/>
          <w:color w:val="auto"/>
          <w:sz w:val="20"/>
          <w:szCs w:val="18"/>
          <w:highlight w:val="none"/>
        </w:rPr>
      </w:pPr>
      <w:r>
        <w:rPr>
          <w:rFonts w:hint="eastAsia" w:ascii="宋体" w:hAnsi="宋体" w:eastAsia="宋体" w:cs="宋体"/>
          <w:color w:val="auto"/>
          <w:szCs w:val="21"/>
          <w:highlight w:val="none"/>
          <w:lang w:bidi="ar"/>
        </w:rPr>
        <w:t>4.1对投标文件审查中发现的投标文件表达含义不明确、同类问题表述不一致或者有明显文字和计算错误的内容，评标委员会应当书面形式要求供应商作出必要的澄清、说明或者补正；</w:t>
      </w:r>
      <w:r>
        <w:rPr>
          <w:rFonts w:hint="eastAsia" w:ascii="宋体" w:hAnsi="宋体" w:eastAsia="宋体" w:cs="宋体"/>
          <w:b/>
          <w:bCs/>
          <w:color w:val="auto"/>
          <w:szCs w:val="21"/>
          <w:highlight w:val="none"/>
          <w:lang w:bidi="ar"/>
        </w:rPr>
        <w:t>供应商代表未在开标现场的可以按规定以网上远程电子形式进行答复。</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4.2供应商的现场澄清、说明或者补正应当采用书面形式，并加盖公章，或者由法定代表人或其委托代理人的签字。供应商的澄清、说明或者补正不得超出投标文件的范围或者改变投标文件的实质性内容。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4.3若供应商未响应澄清安排的通知到场或网上电子形式进行答疑和澄清，将被视作自动放弃。</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4.4、网上电子澄清方式</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1</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评标委员会对投标文件存在疑问的地方，可以进行询标，供应商代表未在开标现场的可以进行远程询标，要求投标人在合理时间内（至多30分钟，以开始网上接收时间为准）发送有关证明资料电子版，以便核验。</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2</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供应商在截止时间前，根据标项回复询标函。路径：用户中心—项目采购—询标澄清。</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（1）政采云平台通过待办事项和短信提醒供应商在截止时间前完成澄清。</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（2）供应商在“询标澄清-待办理”标签页下选择状态为“待澄清”的项目，点击操作栏【澄清】。</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（3）查看询标函内容，在澄清截止时间前上传澄清文件并对澄清文件进行签章。（注：澄清文件必须以 PDF 格式上传，文件大小：50M。）</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（4）签章完成，文件名称处显示“已签章”，供应商可“撤回签章”修改澄清函和“查看文件”。</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（5）确认澄清文件内容后，点击右上角【提交】；（注：供应商未对澄清文件签章，提交时，弹框提醒“澄清文件未签章，请进行签章操作”，如遇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完成状态：供应商澄清文件提交成功后，在“询标澄清-全部”标签页下显示状态为“已澄清”。</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五、特别声明：价格是评标的重要因素之一，但最低价不是中标的唯一依据。</w:t>
      </w:r>
    </w:p>
    <w:p>
      <w:pPr>
        <w:keepNext w:val="0"/>
        <w:keepLines w:val="0"/>
        <w:pageBreakBefore w:val="0"/>
        <w:kinsoku/>
        <w:wordWrap/>
        <w:overflowPunct/>
        <w:topLinePunct w:val="0"/>
        <w:autoSpaceDE/>
        <w:autoSpaceDN/>
        <w:bidi w:val="0"/>
        <w:adjustRightInd/>
        <w:snapToGrid/>
        <w:spacing w:line="420" w:lineRule="exact"/>
        <w:jc w:val="lef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六、重新招标</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有下列情形之一的，招标人将重新招标：</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6.1投标截止时间止，供应商少于3个的；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lang w:bidi="ar"/>
        </w:rPr>
        <w:t>6.2评标委员会评标过程中，有效供应商少于3个的；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6.3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招标活动。</w:t>
      </w:r>
    </w:p>
    <w:p>
      <w:pPr>
        <w:spacing w:line="380" w:lineRule="exact"/>
        <w:ind w:firstLine="480" w:firstLineChars="200"/>
        <w:rPr>
          <w:rFonts w:ascii="宋体" w:hAnsi="宋体" w:eastAsia="宋体" w:cs="宋体"/>
          <w:color w:val="auto"/>
          <w:sz w:val="24"/>
          <w:szCs w:val="21"/>
          <w:highlight w:val="none"/>
          <w:lang w:bidi="ar"/>
        </w:rPr>
      </w:pPr>
    </w:p>
    <w:p>
      <w:pPr>
        <w:spacing w:line="380" w:lineRule="exact"/>
        <w:rPr>
          <w:rFonts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 xml:space="preserve">附表1：  </w:t>
      </w:r>
      <w:r>
        <w:rPr>
          <w:rFonts w:hint="eastAsia" w:ascii="宋体" w:hAnsi="宋体" w:eastAsia="宋体" w:cs="宋体"/>
          <w:color w:val="auto"/>
          <w:szCs w:val="21"/>
          <w:highlight w:val="none"/>
          <w:lang w:bidi="ar"/>
        </w:rPr>
        <w:t xml:space="preserve">                            </w:t>
      </w:r>
      <w:r>
        <w:rPr>
          <w:rFonts w:hint="eastAsia" w:ascii="宋体" w:hAnsi="宋体" w:eastAsia="宋体" w:cs="宋体"/>
          <w:b/>
          <w:bCs/>
          <w:color w:val="auto"/>
          <w:szCs w:val="21"/>
          <w:highlight w:val="none"/>
          <w:lang w:bidi="ar"/>
        </w:rPr>
        <w:t xml:space="preserve">  </w:t>
      </w:r>
    </w:p>
    <w:p>
      <w:pPr>
        <w:spacing w:line="360" w:lineRule="auto"/>
        <w:jc w:val="center"/>
        <w:rPr>
          <w:rFonts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资格性审查表</w:t>
      </w:r>
    </w:p>
    <w:tbl>
      <w:tblPr>
        <w:tblStyle w:val="46"/>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65"/>
        <w:gridCol w:w="5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b/>
                <w:color w:val="auto"/>
                <w:sz w:val="20"/>
                <w:szCs w:val="20"/>
                <w:highlight w:val="none"/>
              </w:rPr>
            </w:pPr>
            <w:r>
              <w:rPr>
                <w:rFonts w:hint="eastAsia" w:ascii="宋体" w:hAnsi="宋体" w:eastAsia="宋体" w:cs="宋体"/>
                <w:b/>
                <w:color w:val="auto"/>
                <w:sz w:val="20"/>
                <w:szCs w:val="20"/>
                <w:highlight w:val="none"/>
                <w:lang w:bidi="ar"/>
              </w:rPr>
              <w:t>序号</w:t>
            </w:r>
          </w:p>
        </w:tc>
        <w:tc>
          <w:tcPr>
            <w:tcW w:w="3565"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b/>
                <w:color w:val="auto"/>
                <w:sz w:val="20"/>
                <w:szCs w:val="20"/>
                <w:highlight w:val="none"/>
              </w:rPr>
            </w:pPr>
            <w:r>
              <w:rPr>
                <w:rFonts w:hint="eastAsia" w:ascii="宋体" w:hAnsi="宋体" w:eastAsia="宋体" w:cs="宋体"/>
                <w:b/>
                <w:color w:val="auto"/>
                <w:sz w:val="20"/>
                <w:szCs w:val="20"/>
                <w:highlight w:val="none"/>
                <w:lang w:bidi="ar"/>
              </w:rPr>
              <w:t>审查要求</w:t>
            </w:r>
          </w:p>
        </w:tc>
        <w:tc>
          <w:tcPr>
            <w:tcW w:w="5495"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b/>
                <w:color w:val="auto"/>
                <w:sz w:val="20"/>
                <w:szCs w:val="20"/>
                <w:highlight w:val="none"/>
              </w:rPr>
            </w:pPr>
            <w:r>
              <w:rPr>
                <w:rFonts w:hint="eastAsia" w:ascii="宋体" w:hAnsi="宋体" w:eastAsia="宋体" w:cs="宋体"/>
                <w:b/>
                <w:color w:val="auto"/>
                <w:sz w:val="20"/>
                <w:szCs w:val="20"/>
                <w:highlight w:val="none"/>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1</w:t>
            </w:r>
          </w:p>
        </w:tc>
        <w:tc>
          <w:tcPr>
            <w:tcW w:w="35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符合《中华人民共和国招标投标法》规定的投标人资格条件；</w:t>
            </w:r>
          </w:p>
        </w:tc>
        <w:tc>
          <w:tcPr>
            <w:tcW w:w="54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color w:val="auto"/>
                <w:highlight w:val="none"/>
              </w:rPr>
            </w:pPr>
            <w:r>
              <w:rPr>
                <w:rFonts w:ascii="Times New Roman" w:hAnsi="Times New Roman" w:eastAsia="宋体" w:cs="Times New Roman"/>
                <w:color w:val="auto"/>
                <w:highlight w:val="none"/>
              </w:rPr>
              <w:t>1</w:t>
            </w:r>
            <w:r>
              <w:rPr>
                <w:rFonts w:hint="eastAsia" w:ascii="Times New Roman" w:hAnsi="Times New Roman" w:eastAsia="宋体" w:cs="Times New Roman"/>
                <w:color w:val="auto"/>
                <w:highlight w:val="none"/>
              </w:rPr>
              <w:t>、关于资格的声明函。</w:t>
            </w:r>
          </w:p>
          <w:p>
            <w:pPr>
              <w:spacing w:line="320" w:lineRule="exact"/>
              <w:rPr>
                <w:rFonts w:ascii="Times New Roman" w:hAnsi="Times New Roman" w:eastAsia="宋体" w:cs="Times New Roman"/>
                <w:color w:val="auto"/>
                <w:highlight w:val="none"/>
                <w:lang w:bidi="ar"/>
              </w:rPr>
            </w:pPr>
            <w:r>
              <w:rPr>
                <w:rFonts w:ascii="Times New Roman" w:hAnsi="Times New Roman" w:eastAsia="宋体" w:cs="Times New Roman"/>
                <w:color w:val="auto"/>
                <w:highlight w:val="none"/>
              </w:rPr>
              <w:t>2</w:t>
            </w:r>
            <w:r>
              <w:rPr>
                <w:rFonts w:hint="eastAsia" w:ascii="Times New Roman" w:hAnsi="Times New Roman" w:eastAsia="宋体" w:cs="Times New Roman"/>
                <w:color w:val="auto"/>
                <w:highlight w:val="none"/>
              </w:rPr>
              <w:t>、具有有效的企业法人营业执照扫描件或电子营业执照。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2</w:t>
            </w:r>
          </w:p>
        </w:tc>
        <w:tc>
          <w:tcPr>
            <w:tcW w:w="35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color w:val="auto"/>
                <w:highlight w:val="none"/>
                <w:lang w:bidi="ar"/>
              </w:rPr>
            </w:pPr>
            <w:r>
              <w:rPr>
                <w:rFonts w:hint="eastAsia" w:ascii="Times New Roman" w:hAnsi="Times New Roman" w:eastAsia="宋体" w:cs="Times New Roman"/>
                <w:color w:val="auto"/>
                <w:highlight w:val="none"/>
              </w:rPr>
              <w:t>投标方未被信用中国网站（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ascii="Times New Roman" w:hAnsi="Times New Roman" w:eastAsia="宋体" w:cs="Times New Roman"/>
                <w:color w:val="auto"/>
                <w:highlight w:val="none"/>
                <w:lang w:eastAsia="en-US"/>
              </w:rPr>
              <w:t>www.creditchina.gov.cn</w:t>
            </w:r>
            <w:r>
              <w:rPr>
                <w:rFonts w:ascii="Times New Roman" w:hAnsi="Times New Roman" w:eastAsia="宋体" w:cs="Times New Roman"/>
                <w:color w:val="auto"/>
                <w:highlight w:val="none"/>
                <w:lang w:eastAsia="en-US"/>
              </w:rPr>
              <w:fldChar w:fldCharType="end"/>
            </w:r>
            <w:r>
              <w:rPr>
                <w:rFonts w:hint="eastAsia" w:ascii="Times New Roman" w:hAnsi="Times New Roman" w:eastAsia="宋体" w:cs="Times New Roman"/>
                <w:color w:val="auto"/>
                <w:highlight w:val="none"/>
              </w:rPr>
              <w:t>）列入失信被执行人名单。</w:t>
            </w:r>
          </w:p>
        </w:tc>
        <w:tc>
          <w:tcPr>
            <w:tcW w:w="54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招标方、招标代理机构将于开标当天通过“信用中国”网站查询投标方失信被执行人信用记录。若投标方被列入失信被执行人名单，其资格审查为不合格，其投标将被认定为无效投标。</w:t>
            </w:r>
          </w:p>
          <w:p>
            <w:pPr>
              <w:spacing w:line="320" w:lineRule="exact"/>
              <w:rPr>
                <w:rFonts w:ascii="Times New Roman" w:hAnsi="Times New Roman" w:eastAsia="宋体" w:cs="Times New Roman"/>
                <w:color w:val="auto"/>
                <w:highlight w:val="none"/>
                <w:lang w:bidi="ar"/>
              </w:rPr>
            </w:pPr>
            <w:r>
              <w:rPr>
                <w:rFonts w:hint="eastAsia" w:ascii="Times New Roman" w:hAnsi="Times New Roman" w:eastAsia="宋体" w:cs="Times New Roman"/>
                <w:color w:val="auto"/>
                <w:highlight w:val="none"/>
              </w:rPr>
              <w:t>若在开标当天因不可抗力事件导致无法查询且一时无法恢复查询的，可在中标公示前对中标候选人进行事后查询。中标候选人被列入失信被执行人名单，招标方将依法取消其中标资格。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356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color w:val="auto"/>
                <w:highlight w:val="none"/>
                <w:lang w:bidi="ar"/>
              </w:rPr>
            </w:pPr>
            <w:r>
              <w:rPr>
                <w:rFonts w:hint="eastAsia" w:ascii="Times New Roman" w:hAnsi="Times New Roman" w:eastAsia="宋体" w:cs="Times New Roman"/>
                <w:color w:val="auto"/>
                <w:highlight w:val="none"/>
                <w:lang w:bidi="ar"/>
              </w:rPr>
              <w:t>供应商是否为联合体</w:t>
            </w:r>
          </w:p>
        </w:tc>
        <w:tc>
          <w:tcPr>
            <w:tcW w:w="54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color w:val="auto"/>
                <w:highlight w:val="none"/>
                <w:lang w:bidi="ar"/>
              </w:rPr>
            </w:pPr>
            <w:r>
              <w:rPr>
                <w:rFonts w:hint="eastAsia" w:ascii="Times New Roman" w:hAnsi="Times New Roman" w:eastAsia="宋体" w:cs="Times New Roman"/>
                <w:color w:val="auto"/>
                <w:highlight w:val="none"/>
                <w:lang w:bidi="ar"/>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auto"/>
                <w:sz w:val="20"/>
                <w:szCs w:val="20"/>
                <w:highlight w:val="none"/>
              </w:rPr>
            </w:pPr>
            <w:r>
              <w:rPr>
                <w:rFonts w:hint="eastAsia" w:ascii="宋体" w:hAnsi="宋体" w:eastAsia="宋体" w:cs="宋体"/>
                <w:bCs/>
                <w:color w:val="auto"/>
                <w:sz w:val="20"/>
                <w:szCs w:val="20"/>
                <w:highlight w:val="none"/>
              </w:rPr>
              <w:t>资格审查结论</w:t>
            </w:r>
          </w:p>
        </w:tc>
        <w:tc>
          <w:tcPr>
            <w:tcW w:w="5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auto"/>
                <w:sz w:val="20"/>
                <w:szCs w:val="20"/>
                <w:highlight w:val="none"/>
              </w:rPr>
            </w:pPr>
          </w:p>
        </w:tc>
      </w:tr>
    </w:tbl>
    <w:p>
      <w:pPr>
        <w:spacing w:line="240" w:lineRule="exact"/>
        <w:rPr>
          <w:rFonts w:ascii="宋体" w:hAnsi="宋体" w:eastAsia="宋体" w:cs="宋体"/>
          <w:bCs/>
          <w:color w:val="auto"/>
          <w:szCs w:val="20"/>
          <w:highlight w:val="none"/>
          <w:lang w:bidi="ar"/>
        </w:rPr>
      </w:pPr>
    </w:p>
    <w:p>
      <w:pPr>
        <w:spacing w:line="300" w:lineRule="exact"/>
        <w:ind w:firstLine="211" w:firstLineChars="100"/>
        <w:rPr>
          <w:rFonts w:ascii="宋体" w:hAnsi="宋体" w:eastAsia="宋体" w:cs="宋体"/>
          <w:b/>
          <w:color w:val="auto"/>
          <w:highlight w:val="none"/>
          <w:lang w:bidi="ar"/>
        </w:rPr>
      </w:pPr>
      <w:r>
        <w:rPr>
          <w:rFonts w:hint="eastAsia" w:ascii="宋体" w:hAnsi="宋体" w:eastAsia="宋体" w:cs="宋体"/>
          <w:b/>
          <w:color w:val="auto"/>
          <w:highlight w:val="none"/>
          <w:lang w:bidi="ar"/>
        </w:rPr>
        <w:t>注：1</w:t>
      </w:r>
      <w:r>
        <w:rPr>
          <w:rFonts w:hint="eastAsia" w:ascii="宋体" w:hAnsi="宋体" w:eastAsia="宋体" w:cs="宋体"/>
          <w:b/>
          <w:color w:val="auto"/>
          <w:highlight w:val="none"/>
          <w:lang w:val="en-US" w:eastAsia="zh-CN" w:bidi="ar"/>
        </w:rPr>
        <w:t>.</w:t>
      </w:r>
      <w:r>
        <w:rPr>
          <w:rFonts w:hint="eastAsia" w:ascii="宋体" w:hAnsi="宋体" w:eastAsia="宋体" w:cs="宋体"/>
          <w:b/>
          <w:color w:val="auto"/>
          <w:highlight w:val="none"/>
          <w:lang w:bidi="ar"/>
        </w:rPr>
        <w:t>上述资格证明文件未按招标文件要求附入投标文件中的，资格性审查不合格。</w:t>
      </w:r>
    </w:p>
    <w:p>
      <w:pPr>
        <w:spacing w:line="300" w:lineRule="exact"/>
        <w:ind w:firstLine="632" w:firstLineChars="300"/>
        <w:rPr>
          <w:rFonts w:ascii="宋体" w:hAnsi="宋体" w:eastAsia="宋体" w:cs="宋体"/>
          <w:b/>
          <w:color w:val="auto"/>
          <w:highlight w:val="none"/>
          <w:lang w:bidi="ar"/>
        </w:rPr>
      </w:pPr>
      <w:r>
        <w:rPr>
          <w:rFonts w:hint="eastAsia" w:ascii="宋体" w:hAnsi="宋体" w:eastAsia="宋体" w:cs="宋体"/>
          <w:b/>
          <w:color w:val="auto"/>
          <w:highlight w:val="none"/>
          <w:lang w:bidi="ar"/>
        </w:rPr>
        <w:t>2</w:t>
      </w:r>
      <w:r>
        <w:rPr>
          <w:rFonts w:hint="eastAsia" w:ascii="宋体" w:hAnsi="宋体" w:eastAsia="宋体" w:cs="宋体"/>
          <w:b/>
          <w:color w:val="auto"/>
          <w:highlight w:val="none"/>
          <w:lang w:val="en-US" w:eastAsia="zh-CN" w:bidi="ar"/>
        </w:rPr>
        <w:t>.</w:t>
      </w:r>
      <w:r>
        <w:rPr>
          <w:rFonts w:hint="eastAsia" w:ascii="宋体" w:hAnsi="宋体" w:eastAsia="宋体" w:cs="宋体"/>
          <w:b/>
          <w:color w:val="auto"/>
          <w:highlight w:val="none"/>
          <w:lang w:bidi="ar"/>
        </w:rPr>
        <w:t>上述审查项目中，任意一项不符合的，资格性审查不合格。</w:t>
      </w:r>
    </w:p>
    <w:p>
      <w:pPr>
        <w:spacing w:line="300" w:lineRule="exact"/>
        <w:ind w:firstLine="632" w:firstLineChars="300"/>
        <w:rPr>
          <w:rFonts w:ascii="宋体" w:hAnsi="宋体" w:eastAsia="宋体" w:cs="宋体"/>
          <w:b/>
          <w:color w:val="auto"/>
          <w:highlight w:val="none"/>
          <w:lang w:bidi="ar"/>
        </w:rPr>
      </w:pPr>
      <w:r>
        <w:rPr>
          <w:rFonts w:hint="eastAsia" w:ascii="宋体" w:hAnsi="宋体" w:eastAsia="宋体" w:cs="宋体"/>
          <w:b/>
          <w:color w:val="auto"/>
          <w:highlight w:val="none"/>
          <w:lang w:bidi="ar"/>
        </w:rPr>
        <w:t>3</w:t>
      </w:r>
      <w:r>
        <w:rPr>
          <w:rFonts w:hint="eastAsia" w:ascii="宋体" w:hAnsi="宋体" w:eastAsia="宋体" w:cs="宋体"/>
          <w:b/>
          <w:color w:val="auto"/>
          <w:highlight w:val="none"/>
          <w:lang w:val="en-US" w:eastAsia="zh-CN" w:bidi="ar"/>
        </w:rPr>
        <w:t>.</w:t>
      </w:r>
      <w:r>
        <w:rPr>
          <w:rFonts w:hint="eastAsia" w:ascii="宋体" w:hAnsi="宋体" w:eastAsia="宋体" w:cs="宋体"/>
          <w:b/>
          <w:color w:val="auto"/>
          <w:highlight w:val="none"/>
          <w:lang w:bidi="ar"/>
        </w:rPr>
        <w:t>未办理多证合一的供应商须提供税务登记证副本、组织机构代码证副本、社会保险登记证副本扫描件。</w:t>
      </w:r>
    </w:p>
    <w:p>
      <w:pPr>
        <w:spacing w:line="300" w:lineRule="exact"/>
        <w:ind w:firstLine="632" w:firstLineChars="300"/>
        <w:rPr>
          <w:rFonts w:ascii="宋体" w:hAnsi="宋体" w:eastAsia="宋体" w:cs="宋体"/>
          <w:b/>
          <w:color w:val="auto"/>
          <w:highlight w:val="none"/>
          <w:lang w:bidi="ar"/>
        </w:rPr>
      </w:pPr>
      <w:r>
        <w:rPr>
          <w:rFonts w:hint="eastAsia" w:ascii="宋体" w:hAnsi="宋体" w:eastAsia="宋体" w:cs="宋体"/>
          <w:b/>
          <w:color w:val="auto"/>
          <w:highlight w:val="none"/>
          <w:lang w:bidi="ar"/>
        </w:rPr>
        <w:t>4</w:t>
      </w:r>
      <w:r>
        <w:rPr>
          <w:rFonts w:hint="eastAsia" w:ascii="宋体" w:hAnsi="宋体" w:eastAsia="宋体" w:cs="宋体"/>
          <w:b/>
          <w:color w:val="auto"/>
          <w:highlight w:val="none"/>
          <w:lang w:val="en-US" w:eastAsia="zh-CN" w:bidi="ar"/>
        </w:rPr>
        <w:t>.</w:t>
      </w:r>
      <w:r>
        <w:rPr>
          <w:rFonts w:hint="eastAsia" w:ascii="宋体" w:hAnsi="宋体" w:eastAsia="宋体" w:cs="宋体"/>
          <w:b/>
          <w:color w:val="auto"/>
          <w:highlight w:val="none"/>
          <w:lang w:bidi="ar"/>
        </w:rPr>
        <w:t>本项目实行网上投标，供应商在制作投标文件时须根据上表要求说明要求的资料，将资料逐一对应上传。</w:t>
      </w:r>
    </w:p>
    <w:p>
      <w:pPr>
        <w:rPr>
          <w:rFonts w:ascii="Times New Roman" w:hAnsi="Times New Roman" w:eastAsia="宋体" w:cs="Times New Roman"/>
          <w:i/>
          <w:color w:val="auto"/>
          <w:sz w:val="18"/>
          <w:szCs w:val="20"/>
          <w:highlight w:val="none"/>
        </w:rPr>
      </w:pPr>
    </w:p>
    <w:p>
      <w:pPr>
        <w:pStyle w:val="2"/>
        <w:rPr>
          <w:rFonts w:ascii="Times New Roman" w:hAnsi="Times New Roman" w:eastAsia="宋体" w:cs="Times New Roman"/>
          <w:i/>
          <w:color w:val="auto"/>
          <w:sz w:val="18"/>
          <w:szCs w:val="20"/>
          <w:highlight w:val="none"/>
        </w:rPr>
      </w:pPr>
    </w:p>
    <w:p>
      <w:pPr>
        <w:pStyle w:val="2"/>
        <w:rPr>
          <w:rFonts w:ascii="Times New Roman" w:hAnsi="Times New Roman" w:eastAsia="宋体" w:cs="Times New Roman"/>
          <w:i/>
          <w:color w:val="auto"/>
          <w:sz w:val="18"/>
          <w:szCs w:val="20"/>
          <w:highlight w:val="none"/>
        </w:rPr>
      </w:pPr>
    </w:p>
    <w:p>
      <w:pPr>
        <w:pStyle w:val="2"/>
        <w:rPr>
          <w:rFonts w:ascii="Times New Roman" w:hAnsi="Times New Roman" w:eastAsia="宋体" w:cs="Times New Roman"/>
          <w:i/>
          <w:color w:val="auto"/>
          <w:sz w:val="18"/>
          <w:szCs w:val="20"/>
          <w:highlight w:val="none"/>
        </w:rPr>
      </w:pPr>
    </w:p>
    <w:p>
      <w:pPr>
        <w:pStyle w:val="2"/>
        <w:rPr>
          <w:rFonts w:ascii="Times New Roman" w:hAnsi="Times New Roman" w:eastAsia="宋体" w:cs="Times New Roman"/>
          <w:i/>
          <w:color w:val="auto"/>
          <w:sz w:val="18"/>
          <w:szCs w:val="20"/>
          <w:highlight w:val="none"/>
        </w:rPr>
      </w:pPr>
    </w:p>
    <w:p>
      <w:pPr>
        <w:pStyle w:val="2"/>
        <w:rPr>
          <w:rFonts w:ascii="Times New Roman" w:hAnsi="Times New Roman" w:eastAsia="宋体" w:cs="Times New Roman"/>
          <w:i/>
          <w:color w:val="auto"/>
          <w:sz w:val="18"/>
          <w:szCs w:val="20"/>
          <w:highlight w:val="none"/>
        </w:rPr>
      </w:pPr>
    </w:p>
    <w:p>
      <w:pPr>
        <w:pStyle w:val="2"/>
        <w:rPr>
          <w:rFonts w:ascii="Times New Roman" w:hAnsi="Times New Roman" w:eastAsia="宋体" w:cs="Times New Roman"/>
          <w:i/>
          <w:color w:val="auto"/>
          <w:sz w:val="18"/>
          <w:szCs w:val="20"/>
          <w:highlight w:val="none"/>
        </w:rPr>
      </w:pPr>
    </w:p>
    <w:p>
      <w:pPr>
        <w:pStyle w:val="2"/>
        <w:rPr>
          <w:rFonts w:ascii="Times New Roman" w:hAnsi="Times New Roman" w:eastAsia="宋体" w:cs="Times New Roman"/>
          <w:i/>
          <w:color w:val="auto"/>
          <w:sz w:val="18"/>
          <w:szCs w:val="20"/>
          <w:highlight w:val="none"/>
        </w:rPr>
      </w:pPr>
    </w:p>
    <w:p>
      <w:pPr>
        <w:spacing w:line="34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lang w:bidi="ar"/>
        </w:rPr>
        <w:t>附表2：</w:t>
      </w:r>
    </w:p>
    <w:p>
      <w:pPr>
        <w:spacing w:line="360" w:lineRule="auto"/>
        <w:jc w:val="center"/>
        <w:rPr>
          <w:rFonts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商务技术文件符合性审查表</w:t>
      </w:r>
    </w:p>
    <w:tbl>
      <w:tblPr>
        <w:tblStyle w:val="46"/>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928"/>
        <w:gridCol w:w="4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cs="宋体"/>
                <w:b/>
                <w:color w:val="auto"/>
                <w:sz w:val="20"/>
                <w:szCs w:val="20"/>
                <w:highlight w:val="none"/>
              </w:rPr>
            </w:pPr>
            <w:r>
              <w:rPr>
                <w:rFonts w:hint="eastAsia" w:ascii="宋体" w:hAnsi="宋体" w:eastAsia="宋体" w:cs="宋体"/>
                <w:b/>
                <w:color w:val="auto"/>
                <w:sz w:val="20"/>
                <w:szCs w:val="20"/>
                <w:highlight w:val="none"/>
                <w:lang w:bidi="ar"/>
              </w:rPr>
              <w:t>序号</w:t>
            </w:r>
          </w:p>
        </w:tc>
        <w:tc>
          <w:tcPr>
            <w:tcW w:w="3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cs="宋体"/>
                <w:b/>
                <w:color w:val="auto"/>
                <w:sz w:val="20"/>
                <w:szCs w:val="20"/>
                <w:highlight w:val="none"/>
              </w:rPr>
            </w:pPr>
            <w:r>
              <w:rPr>
                <w:rFonts w:hint="eastAsia" w:ascii="宋体" w:hAnsi="宋体" w:eastAsia="宋体" w:cs="宋体"/>
                <w:b/>
                <w:color w:val="auto"/>
                <w:sz w:val="20"/>
                <w:szCs w:val="20"/>
                <w:highlight w:val="none"/>
                <w:lang w:bidi="ar"/>
              </w:rPr>
              <w:t>要求</w:t>
            </w:r>
          </w:p>
        </w:tc>
        <w:tc>
          <w:tcPr>
            <w:tcW w:w="445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cs="宋体"/>
                <w:b/>
                <w:color w:val="auto"/>
                <w:sz w:val="20"/>
                <w:szCs w:val="20"/>
                <w:highlight w:val="none"/>
              </w:rPr>
            </w:pPr>
            <w:r>
              <w:rPr>
                <w:rFonts w:hint="eastAsia" w:ascii="宋体" w:hAnsi="宋体" w:eastAsia="宋体" w:cs="宋体"/>
                <w:b/>
                <w:color w:val="auto"/>
                <w:sz w:val="20"/>
                <w:szCs w:val="20"/>
                <w:highlight w:val="none"/>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1</w:t>
            </w:r>
          </w:p>
        </w:tc>
        <w:tc>
          <w:tcPr>
            <w:tcW w:w="39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供应商名称与</w:t>
            </w:r>
            <w:r>
              <w:rPr>
                <w:rFonts w:hint="eastAsia" w:ascii="宋体" w:hAnsi="宋体" w:eastAsia="宋体" w:cs="宋体"/>
                <w:color w:val="auto"/>
                <w:sz w:val="20"/>
                <w:szCs w:val="20"/>
                <w:highlight w:val="none"/>
              </w:rPr>
              <w:t>企业法人营业执照名称</w:t>
            </w:r>
            <w:r>
              <w:rPr>
                <w:rFonts w:hint="eastAsia" w:ascii="宋体" w:hAnsi="宋体" w:eastAsia="宋体" w:cs="宋体"/>
                <w:color w:val="auto"/>
                <w:sz w:val="20"/>
                <w:szCs w:val="20"/>
                <w:highlight w:val="none"/>
                <w:lang w:bidi="ar"/>
              </w:rPr>
              <w:t>一致。</w:t>
            </w:r>
          </w:p>
        </w:tc>
        <w:tc>
          <w:tcPr>
            <w:tcW w:w="445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供应商名称与</w:t>
            </w:r>
            <w:r>
              <w:rPr>
                <w:rFonts w:hint="eastAsia" w:ascii="宋体" w:hAnsi="宋体" w:eastAsia="宋体" w:cs="Times New Roman"/>
                <w:color w:val="auto"/>
                <w:sz w:val="20"/>
                <w:szCs w:val="18"/>
                <w:highlight w:val="none"/>
              </w:rPr>
              <w:t>企业法人营业执照或电子营业执照名称</w:t>
            </w:r>
            <w:r>
              <w:rPr>
                <w:rFonts w:hint="eastAsia" w:ascii="宋体" w:hAnsi="宋体" w:eastAsia="宋体" w:cs="宋体"/>
                <w:color w:val="auto"/>
                <w:sz w:val="20"/>
                <w:szCs w:val="20"/>
                <w:highlight w:val="none"/>
                <w:lang w:bidi="ar"/>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2</w:t>
            </w:r>
          </w:p>
        </w:tc>
        <w:tc>
          <w:tcPr>
            <w:tcW w:w="39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投标有效期符合第二章“投标须知”第七、1条的要求。</w:t>
            </w:r>
          </w:p>
        </w:tc>
        <w:tc>
          <w:tcPr>
            <w:tcW w:w="44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投标有效期符合第二章“投标须知”第七、1条的要求。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3</w:t>
            </w:r>
          </w:p>
        </w:tc>
        <w:tc>
          <w:tcPr>
            <w:tcW w:w="39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投标文件的签署盖章符合第二章“投标须知”第九、2条的要求。</w:t>
            </w:r>
          </w:p>
        </w:tc>
        <w:tc>
          <w:tcPr>
            <w:tcW w:w="44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投标文件的签署盖章符合第二章“投标须知”第九、2条的要求。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4</w:t>
            </w:r>
          </w:p>
        </w:tc>
        <w:tc>
          <w:tcPr>
            <w:tcW w:w="39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sz w:val="18"/>
                <w:szCs w:val="18"/>
                <w:highlight w:val="none"/>
                <w:lang w:eastAsia="zh-CN"/>
              </w:rPr>
            </w:pPr>
            <w:r>
              <w:rPr>
                <w:rFonts w:hint="eastAsia" w:ascii="宋体" w:hAnsi="宋体" w:eastAsia="宋体" w:cs="宋体"/>
                <w:color w:val="auto"/>
                <w:sz w:val="20"/>
                <w:szCs w:val="20"/>
                <w:highlight w:val="none"/>
                <w:lang w:bidi="ar"/>
              </w:rPr>
              <w:t>供应商不得在投标活动中提供任何虚假材料或从事其他违法活动的（本项无需上传或关联资料）</w:t>
            </w:r>
            <w:r>
              <w:rPr>
                <w:rFonts w:hint="eastAsia" w:ascii="宋体" w:hAnsi="宋体" w:eastAsia="宋体" w:cs="宋体"/>
                <w:color w:val="auto"/>
                <w:sz w:val="20"/>
                <w:szCs w:val="20"/>
                <w:highlight w:val="none"/>
                <w:lang w:eastAsia="zh-CN" w:bidi="ar"/>
              </w:rPr>
              <w:t>。</w:t>
            </w:r>
          </w:p>
        </w:tc>
        <w:tc>
          <w:tcPr>
            <w:tcW w:w="44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供应商不得在投标活动中提供任何虚假材料或从事其他违法活动的。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5</w:t>
            </w:r>
          </w:p>
        </w:tc>
        <w:tc>
          <w:tcPr>
            <w:tcW w:w="39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sz w:val="20"/>
                <w:szCs w:val="20"/>
                <w:highlight w:val="none"/>
                <w:lang w:eastAsia="zh-CN" w:bidi="ar"/>
              </w:rPr>
            </w:pPr>
            <w:r>
              <w:rPr>
                <w:rFonts w:hint="eastAsia" w:ascii="宋体" w:hAnsi="宋体" w:eastAsia="宋体" w:cs="宋体"/>
                <w:color w:val="auto"/>
                <w:sz w:val="20"/>
                <w:szCs w:val="20"/>
                <w:highlight w:val="none"/>
                <w:lang w:bidi="ar"/>
              </w:rPr>
              <w:t>法定代表人身份证明符合招标文件要求</w:t>
            </w:r>
            <w:r>
              <w:rPr>
                <w:rFonts w:hint="eastAsia" w:ascii="宋体" w:hAnsi="宋体" w:eastAsia="宋体" w:cs="宋体"/>
                <w:color w:val="auto"/>
                <w:sz w:val="20"/>
                <w:szCs w:val="20"/>
                <w:highlight w:val="none"/>
                <w:lang w:eastAsia="zh-CN" w:bidi="ar"/>
              </w:rPr>
              <w:t>。</w:t>
            </w:r>
          </w:p>
        </w:tc>
        <w:tc>
          <w:tcPr>
            <w:tcW w:w="4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lang w:bidi="ar"/>
              </w:rPr>
              <w:t>6</w:t>
            </w:r>
          </w:p>
        </w:tc>
        <w:tc>
          <w:tcPr>
            <w:tcW w:w="392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auto"/>
                <w:sz w:val="20"/>
                <w:szCs w:val="20"/>
                <w:highlight w:val="none"/>
                <w:lang w:eastAsia="zh-CN" w:bidi="ar"/>
              </w:rPr>
            </w:pPr>
            <w:r>
              <w:rPr>
                <w:rFonts w:hint="eastAsia" w:ascii="宋体" w:hAnsi="宋体" w:eastAsia="宋体" w:cs="宋体"/>
                <w:color w:val="auto"/>
                <w:sz w:val="20"/>
                <w:szCs w:val="20"/>
                <w:highlight w:val="none"/>
                <w:lang w:bidi="ar"/>
              </w:rPr>
              <w:t>供应商编制的投标文件符合法律、法规和招标文件中规定并对实质性要求完全响应</w:t>
            </w:r>
            <w:r>
              <w:rPr>
                <w:rFonts w:hint="eastAsia" w:ascii="宋体" w:hAnsi="宋体" w:eastAsia="宋体" w:cs="宋体"/>
                <w:color w:val="auto"/>
                <w:sz w:val="20"/>
                <w:szCs w:val="20"/>
                <w:highlight w:val="none"/>
                <w:lang w:eastAsia="zh-CN" w:bidi="ar"/>
              </w:rPr>
              <w:t>。</w:t>
            </w:r>
          </w:p>
        </w:tc>
        <w:tc>
          <w:tcPr>
            <w:tcW w:w="445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供应商编制的投标文件符合法律、法规和招标文件中规定的并对其他实质性要求完全响应（实质性要求招标文件中“★”标记）。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4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auto"/>
                <w:sz w:val="20"/>
                <w:szCs w:val="20"/>
                <w:highlight w:val="none"/>
                <w:lang w:bidi="ar"/>
              </w:rPr>
            </w:pPr>
            <w:r>
              <w:rPr>
                <w:rFonts w:hint="eastAsia" w:ascii="宋体" w:hAnsi="宋体" w:eastAsia="宋体" w:cs="宋体"/>
                <w:color w:val="auto"/>
                <w:sz w:val="20"/>
                <w:szCs w:val="20"/>
                <w:highlight w:val="none"/>
                <w:lang w:bidi="ar"/>
              </w:rPr>
              <w:t>商务技术文件符合性审查结论</w:t>
            </w:r>
          </w:p>
        </w:tc>
        <w:tc>
          <w:tcPr>
            <w:tcW w:w="445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s="宋体"/>
                <w:color w:val="auto"/>
                <w:sz w:val="20"/>
                <w:szCs w:val="20"/>
                <w:highlight w:val="none"/>
                <w:lang w:bidi="ar"/>
              </w:rPr>
            </w:pPr>
          </w:p>
        </w:tc>
      </w:tr>
    </w:tbl>
    <w:p>
      <w:pPr>
        <w:spacing w:line="400" w:lineRule="exact"/>
        <w:ind w:firstLine="211" w:firstLineChars="100"/>
        <w:rPr>
          <w:rFonts w:ascii="宋体" w:hAnsi="宋体" w:eastAsia="宋体" w:cs="宋体"/>
          <w:b/>
          <w:color w:val="auto"/>
          <w:highlight w:val="none"/>
          <w:lang w:bidi="ar"/>
        </w:rPr>
      </w:pPr>
      <w:r>
        <w:rPr>
          <w:rFonts w:hint="eastAsia" w:ascii="宋体" w:hAnsi="宋体" w:eastAsia="宋体" w:cs="宋体"/>
          <w:b/>
          <w:color w:val="auto"/>
          <w:highlight w:val="none"/>
          <w:lang w:bidi="ar"/>
        </w:rPr>
        <w:t>注：1、上述审查项目中，任意一项不符合的，商务技术文件符合性审查不合格。</w:t>
      </w:r>
    </w:p>
    <w:p>
      <w:pPr>
        <w:numPr>
          <w:ilvl w:val="0"/>
          <w:numId w:val="1"/>
        </w:numPr>
        <w:spacing w:line="400" w:lineRule="exact"/>
        <w:ind w:firstLine="632" w:firstLineChars="300"/>
        <w:rPr>
          <w:rFonts w:ascii="宋体" w:hAnsi="宋体" w:eastAsia="宋体" w:cs="宋体"/>
          <w:b/>
          <w:color w:val="auto"/>
          <w:highlight w:val="none"/>
          <w:lang w:bidi="ar"/>
        </w:rPr>
      </w:pPr>
      <w:r>
        <w:rPr>
          <w:rFonts w:hint="eastAsia" w:ascii="宋体" w:hAnsi="宋体" w:eastAsia="宋体" w:cs="宋体"/>
          <w:b/>
          <w:color w:val="auto"/>
          <w:highlight w:val="none"/>
          <w:lang w:bidi="ar"/>
        </w:rPr>
        <w:t>本项目实行网上投标，供应商在制作投标文件时须根据上表要求说明要求的资料，将资料逐一对应上传或关联（</w:t>
      </w:r>
      <w:r>
        <w:rPr>
          <w:rFonts w:hint="eastAsia" w:ascii="宋体" w:hAnsi="宋体" w:eastAsia="宋体" w:cs="宋体"/>
          <w:b/>
          <w:color w:val="auto"/>
          <w:highlight w:val="none"/>
          <w:lang w:val="en-US" w:eastAsia="zh-CN" w:bidi="ar"/>
        </w:rPr>
        <w:t>序号1、4</w:t>
      </w:r>
      <w:r>
        <w:rPr>
          <w:rFonts w:hint="eastAsia" w:ascii="宋体" w:hAnsi="宋体" w:eastAsia="宋体" w:cs="宋体"/>
          <w:b/>
          <w:color w:val="auto"/>
          <w:highlight w:val="none"/>
          <w:lang w:bidi="ar"/>
        </w:rPr>
        <w:t>除外）（若关联页码有多页而只能关联一页的，则关联相应页码的第一页）。</w:t>
      </w:r>
    </w:p>
    <w:p>
      <w:pPr>
        <w:spacing w:line="400" w:lineRule="exact"/>
        <w:rPr>
          <w:rFonts w:hint="eastAsia" w:ascii="宋体" w:hAnsi="宋体" w:eastAsia="宋体" w:cs="宋体"/>
          <w:b/>
          <w:bCs/>
          <w:color w:val="auto"/>
          <w:szCs w:val="21"/>
          <w:highlight w:val="none"/>
          <w:lang w:bidi="ar"/>
        </w:rPr>
      </w:pPr>
      <w:bookmarkStart w:id="20" w:name="_Toc5853"/>
      <w:bookmarkStart w:id="21" w:name="_Toc536024503"/>
    </w:p>
    <w:p>
      <w:pPr>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br w:type="page"/>
      </w:r>
    </w:p>
    <w:p>
      <w:pPr>
        <w:spacing w:line="400" w:lineRule="exact"/>
        <w:rPr>
          <w:rFonts w:hint="eastAsia" w:ascii="宋体" w:hAnsi="宋体" w:eastAsia="宋体" w:cs="宋体"/>
          <w:b/>
          <w:bCs/>
          <w:color w:val="auto"/>
          <w:szCs w:val="21"/>
          <w:highlight w:val="none"/>
          <w:lang w:bidi="ar"/>
        </w:rPr>
      </w:pPr>
    </w:p>
    <w:p>
      <w:pPr>
        <w:spacing w:line="40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lang w:bidi="ar"/>
        </w:rPr>
        <w:t>附表3：</w:t>
      </w:r>
    </w:p>
    <w:p>
      <w:pPr>
        <w:spacing w:line="360" w:lineRule="auto"/>
        <w:jc w:val="center"/>
        <w:rPr>
          <w:rFonts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评分标准（兼评委打分表）</w:t>
      </w:r>
    </w:p>
    <w:tbl>
      <w:tblPr>
        <w:tblStyle w:val="46"/>
        <w:tblpPr w:leftFromText="180" w:rightFromText="180" w:vertAnchor="text" w:horzAnchor="page" w:tblpX="1117" w:tblpY="268"/>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753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6"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宋体" w:cs="Times New Roman"/>
                <w:color w:val="auto"/>
                <w:highlight w:val="none"/>
              </w:rPr>
            </w:pPr>
            <w:r>
              <w:rPr>
                <w:rFonts w:hint="eastAsia" w:ascii="Calibri" w:hAnsi="Calibri" w:eastAsia="宋体" w:cs="Times New Roman"/>
                <w:color w:val="auto"/>
                <w:highlight w:val="none"/>
              </w:rPr>
              <w:t>评分项</w:t>
            </w:r>
          </w:p>
        </w:tc>
        <w:tc>
          <w:tcPr>
            <w:tcW w:w="7534"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宋体" w:cs="Times New Roman"/>
                <w:color w:val="auto"/>
                <w:highlight w:val="none"/>
              </w:rPr>
            </w:pPr>
            <w:r>
              <w:rPr>
                <w:rFonts w:hint="eastAsia" w:ascii="Calibri" w:hAnsi="Calibri" w:eastAsia="宋体" w:cs="Times New Roman"/>
                <w:color w:val="auto"/>
                <w:highlight w:val="none"/>
              </w:rPr>
              <w:t>内</w:t>
            </w:r>
            <w:r>
              <w:rPr>
                <w:rFonts w:ascii="Calibri" w:hAnsi="Calibri" w:eastAsia="宋体" w:cs="Times New Roman"/>
                <w:color w:val="auto"/>
                <w:highlight w:val="none"/>
              </w:rPr>
              <w:t xml:space="preserve">   </w:t>
            </w:r>
            <w:r>
              <w:rPr>
                <w:rFonts w:hint="eastAsia" w:ascii="Calibri" w:hAnsi="Calibri" w:eastAsia="宋体" w:cs="Times New Roman"/>
                <w:color w:val="auto"/>
                <w:highlight w:val="none"/>
              </w:rPr>
              <w:t>容</w:t>
            </w:r>
          </w:p>
        </w:tc>
        <w:tc>
          <w:tcPr>
            <w:tcW w:w="970"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color w:val="auto"/>
                <w:highlight w:val="none"/>
              </w:rPr>
            </w:pPr>
            <w:r>
              <w:rPr>
                <w:rFonts w:hint="eastAsia" w:ascii="Calibri" w:hAnsi="Calibri" w:eastAsia="宋体" w:cs="Times New Roman"/>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96" w:type="dxa"/>
            <w:vMerge w:val="restart"/>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color w:val="auto"/>
                <w:highlight w:val="none"/>
              </w:rPr>
            </w:pPr>
            <w:r>
              <w:rPr>
                <w:rFonts w:hint="eastAsia" w:ascii="Calibri" w:hAnsi="Calibri" w:eastAsia="宋体" w:cs="Times New Roman"/>
                <w:color w:val="auto"/>
                <w:highlight w:val="none"/>
              </w:rPr>
              <w:t>商务技术分（</w:t>
            </w:r>
            <w:r>
              <w:rPr>
                <w:rFonts w:ascii="Calibri" w:hAnsi="Calibri" w:eastAsia="宋体" w:cs="Times New Roman"/>
                <w:color w:val="auto"/>
                <w:highlight w:val="none"/>
              </w:rPr>
              <w:t>50</w:t>
            </w:r>
            <w:r>
              <w:rPr>
                <w:rFonts w:hint="eastAsia" w:ascii="Calibri" w:hAnsi="Calibri" w:eastAsia="宋体" w:cs="Times New Roman"/>
                <w:color w:val="auto"/>
                <w:highlight w:val="none"/>
              </w:rPr>
              <w:t>分）</w:t>
            </w:r>
          </w:p>
        </w:tc>
        <w:tc>
          <w:tcPr>
            <w:tcW w:w="753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color w:val="auto"/>
                <w:highlight w:val="none"/>
              </w:rPr>
            </w:pPr>
            <w:r>
              <w:rPr>
                <w:rFonts w:hint="eastAsia" w:ascii="Calibri" w:hAnsi="Calibri" w:eastAsia="宋体" w:cs="Times New Roman"/>
                <w:color w:val="auto"/>
                <w:highlight w:val="none"/>
              </w:rPr>
              <w:t>根据技术要求条款响应表，完全响应招标文件</w:t>
            </w:r>
            <w:r>
              <w:rPr>
                <w:rFonts w:hint="eastAsia" w:ascii="Calibri" w:hAnsi="Calibri" w:eastAsia="宋体" w:cs="Times New Roman"/>
                <w:b/>
                <w:color w:val="auto"/>
                <w:highlight w:val="none"/>
              </w:rPr>
              <w:t>“第五章 招标项目需求”技术要求中标记“▲”条款</w:t>
            </w:r>
            <w:r>
              <w:rPr>
                <w:rFonts w:hint="eastAsia" w:ascii="Calibri" w:hAnsi="Calibri" w:eastAsia="宋体" w:cs="Times New Roman"/>
                <w:color w:val="auto"/>
                <w:highlight w:val="none"/>
              </w:rPr>
              <w:t>的得</w:t>
            </w:r>
            <w:r>
              <w:rPr>
                <w:rFonts w:ascii="Calibri" w:hAnsi="Calibri" w:eastAsia="宋体" w:cs="Times New Roman"/>
                <w:color w:val="auto"/>
                <w:highlight w:val="none"/>
              </w:rPr>
              <w:t>30</w:t>
            </w:r>
            <w:r>
              <w:rPr>
                <w:rFonts w:hint="eastAsia" w:ascii="Calibri" w:hAnsi="Calibri" w:eastAsia="宋体" w:cs="Times New Roman"/>
                <w:color w:val="auto"/>
                <w:highlight w:val="none"/>
              </w:rPr>
              <w:t>分，每负偏离一项的扣</w:t>
            </w:r>
            <w:r>
              <w:rPr>
                <w:rFonts w:ascii="Calibri" w:hAnsi="Calibri" w:eastAsia="宋体" w:cs="Times New Roman"/>
                <w:color w:val="auto"/>
                <w:highlight w:val="none"/>
              </w:rPr>
              <w:t>1</w:t>
            </w:r>
            <w:r>
              <w:rPr>
                <w:rFonts w:hint="eastAsia" w:ascii="Calibri" w:hAnsi="Calibri" w:eastAsia="宋体" w:cs="Times New Roman"/>
                <w:color w:val="auto"/>
                <w:highlight w:val="none"/>
              </w:rPr>
              <w:t>.5分，扣完为止。</w:t>
            </w: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auto"/>
                <w:highlight w:val="none"/>
              </w:rPr>
            </w:pPr>
          </w:p>
        </w:tc>
        <w:tc>
          <w:tcPr>
            <w:tcW w:w="75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项目实施方案：</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评标委员会根据投标人编制的项目实施方案进行打分：</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实施方案详细，组织机构健全，实施人员配备完备，实施流程合理，方案考虑周全；关键技术点描述清晰、到位，安装调试、运输配送等有保障，能按时、按量、按质提前完成的得6分；</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实施技术方案较完善，有组织机构，进度安排较详细，可行，能按时、按量完成的得4分；</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项目实施技术方案简单，进度安排一般，能按时完成的得2分；</w:t>
            </w:r>
          </w:p>
          <w:p>
            <w:pPr>
              <w:rPr>
                <w:rFonts w:ascii="宋体" w:hAnsi="宋体" w:eastAsia="宋体" w:cs="Times New Roman"/>
                <w:color w:val="auto"/>
                <w:kern w:val="0"/>
                <w:szCs w:val="21"/>
                <w:highlight w:val="none"/>
                <w:lang w:eastAsia="en-US"/>
              </w:rPr>
            </w:pPr>
            <w:r>
              <w:rPr>
                <w:rFonts w:hint="eastAsia" w:ascii="宋体" w:hAnsi="宋体" w:eastAsia="宋体" w:cs="Times New Roman"/>
                <w:color w:val="auto"/>
                <w:kern w:val="0"/>
                <w:szCs w:val="21"/>
                <w:highlight w:val="none"/>
              </w:rPr>
              <w:t>未提供的不得分</w:t>
            </w:r>
            <w:r>
              <w:rPr>
                <w:rFonts w:hint="eastAsia" w:ascii="宋体" w:hAnsi="宋体" w:eastAsia="宋体" w:cs="Times New Roman"/>
                <w:color w:val="auto"/>
                <w:kern w:val="0"/>
                <w:szCs w:val="21"/>
                <w:highlight w:val="none"/>
                <w:lang w:eastAsia="en-US"/>
              </w:rPr>
              <w:t>。</w:t>
            </w: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auto"/>
                <w:highlight w:val="none"/>
              </w:rPr>
            </w:pPr>
          </w:p>
        </w:tc>
        <w:tc>
          <w:tcPr>
            <w:tcW w:w="75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所投产品生产工艺及生产情况：</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评标委员会根据投标人提供的所投产品生产工艺及生产情况进行打分； </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生产设备、生产工艺先进的得8分，生产设备、生产工艺普通的得6分，生产设备、生产工艺落后的得3分，未提供的不得分。</w:t>
            </w: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auto"/>
                <w:highlight w:val="none"/>
              </w:rPr>
            </w:pPr>
          </w:p>
        </w:tc>
        <w:tc>
          <w:tcPr>
            <w:tcW w:w="75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评标委员会根据投标人编制的售后服务方案（售后服务承诺书）内容进行打分：</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售后服务承诺书内容的完整、可行；到达故障现场时间迅速，故障出现解决方案可靠，定期维护方式方法合理，有完整且有针对性的免费技术培训方案、保修期外维修方案；售后服务体系完善；有完善的本地化售后服务措施；对售后服务应急预案、其他优惠措施、配送、货物分发等方面都有详尽的描述的得6分；</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售后服务承诺书内容的完整；到达故障现场时间在合理范围内，故障出现解决方案可靠，定期维护方式方法合理，有完整的免费技术培训方案、保修期外维修方案；有本地化售后服务措施；对售后服务应急预案、其他优惠措施、配送、货物分发等方面都有简单的描述的得4分；</w:t>
            </w:r>
          </w:p>
          <w:p>
            <w:pP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有售后服务承诺书；到达故障现场时间较慢，有故障出现解决方案，定期维护方式方法一般，有技术培训方案、保修期外维修方案；有本地化售后服务措施；对售后服务应急预案、其他优惠措施、配送、货物分发等方面中的部分内容有描述的得2分。</w:t>
            </w:r>
          </w:p>
          <w:p>
            <w:pPr>
              <w:rPr>
                <w:rFonts w:ascii="宋体" w:hAnsi="宋体" w:eastAsia="宋体" w:cs="Times New Roman"/>
                <w:color w:val="auto"/>
                <w:kern w:val="0"/>
                <w:szCs w:val="21"/>
                <w:highlight w:val="none"/>
                <w:lang w:eastAsia="en-US"/>
              </w:rPr>
            </w:pPr>
            <w:r>
              <w:rPr>
                <w:rFonts w:hint="eastAsia" w:ascii="宋体" w:hAnsi="宋体" w:eastAsia="宋体" w:cs="Times New Roman"/>
                <w:color w:val="auto"/>
                <w:kern w:val="0"/>
                <w:szCs w:val="21"/>
                <w:highlight w:val="none"/>
              </w:rPr>
              <w:t>未提供的不得分</w:t>
            </w:r>
            <w:r>
              <w:rPr>
                <w:rFonts w:hint="eastAsia" w:ascii="宋体" w:hAnsi="宋体" w:eastAsia="宋体" w:cs="Times New Roman"/>
                <w:color w:val="auto"/>
                <w:kern w:val="0"/>
                <w:szCs w:val="21"/>
                <w:highlight w:val="none"/>
                <w:lang w:eastAsia="en-US"/>
              </w:rPr>
              <w:t>0分。</w:t>
            </w: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p>
        </w:tc>
      </w:tr>
    </w:tbl>
    <w:p>
      <w:pPr>
        <w:spacing w:line="400" w:lineRule="exact"/>
        <w:rPr>
          <w:rFonts w:ascii="宋体" w:hAnsi="宋体" w:eastAsia="宋体" w:cs="宋体"/>
          <w:b/>
          <w:color w:val="auto"/>
          <w:highlight w:val="none"/>
          <w:lang w:bidi="ar"/>
        </w:rPr>
      </w:pPr>
    </w:p>
    <w:p>
      <w:pPr>
        <w:spacing w:line="400" w:lineRule="exact"/>
        <w:rPr>
          <w:rFonts w:hint="eastAsia" w:ascii="宋体" w:hAnsi="宋体" w:eastAsia="宋体" w:cs="宋体"/>
          <w:b/>
          <w:color w:val="auto"/>
          <w:highlight w:val="none"/>
          <w:lang w:eastAsia="zh-CN" w:bidi="ar"/>
        </w:rPr>
      </w:pPr>
      <w:r>
        <w:rPr>
          <w:rFonts w:hint="eastAsia" w:ascii="宋体" w:hAnsi="宋体" w:eastAsia="宋体" w:cs="宋体"/>
          <w:b/>
          <w:color w:val="auto"/>
          <w:highlight w:val="none"/>
          <w:lang w:bidi="ar"/>
        </w:rPr>
        <w:t>注：各评委成员自行按以上参考分值</w:t>
      </w:r>
      <w:r>
        <w:rPr>
          <w:rFonts w:hint="eastAsia" w:ascii="宋体" w:hAnsi="宋体" w:eastAsia="宋体" w:cs="宋体"/>
          <w:b/>
          <w:color w:val="auto"/>
          <w:highlight w:val="none"/>
          <w:lang w:val="en-US" w:eastAsia="zh-CN" w:bidi="ar"/>
        </w:rPr>
        <w:t>进行量化</w:t>
      </w:r>
      <w:r>
        <w:rPr>
          <w:rFonts w:hint="eastAsia" w:ascii="宋体" w:hAnsi="宋体" w:eastAsia="宋体" w:cs="宋体"/>
          <w:b/>
          <w:color w:val="auto"/>
          <w:highlight w:val="none"/>
          <w:lang w:bidi="ar"/>
        </w:rPr>
        <w:t>评分</w:t>
      </w:r>
      <w:r>
        <w:rPr>
          <w:rFonts w:hint="eastAsia" w:ascii="宋体" w:hAnsi="宋体" w:eastAsia="宋体" w:cs="宋体"/>
          <w:b/>
          <w:color w:val="auto"/>
          <w:highlight w:val="none"/>
          <w:lang w:eastAsia="zh-CN" w:bidi="ar"/>
        </w:rPr>
        <w:t>。</w:t>
      </w:r>
    </w:p>
    <w:p>
      <w:pPr>
        <w:pStyle w:val="2"/>
        <w:rPr>
          <w:color w:val="auto"/>
          <w:highlight w:val="none"/>
        </w:rPr>
      </w:pPr>
    </w:p>
    <w:p>
      <w:pPr>
        <w:jc w:val="left"/>
        <w:rPr>
          <w:rFonts w:ascii="宋体" w:hAnsi="宋体" w:eastAsia="宋体" w:cs="宋体"/>
          <w:b/>
          <w:bCs/>
          <w:color w:val="auto"/>
          <w:sz w:val="22"/>
          <w:szCs w:val="22"/>
          <w:highlight w:val="none"/>
          <w:lang w:bidi="ar"/>
        </w:rPr>
      </w:pPr>
      <w:r>
        <w:rPr>
          <w:rFonts w:hint="eastAsia" w:ascii="宋体" w:hAnsi="宋体" w:eastAsia="宋体" w:cs="宋体"/>
          <w:b/>
          <w:bCs/>
          <w:color w:val="auto"/>
          <w:sz w:val="22"/>
          <w:szCs w:val="22"/>
          <w:highlight w:val="none"/>
          <w:lang w:bidi="ar"/>
        </w:rPr>
        <w:t xml:space="preserve">评委签名：                                               年  月   日  </w:t>
      </w:r>
    </w:p>
    <w:p>
      <w:pPr>
        <w:rPr>
          <w:rFonts w:ascii="Times New Roman" w:hAnsi="Times New Roman" w:eastAsia="宋体" w:cs="Times New Roman"/>
          <w:i/>
          <w:color w:val="auto"/>
          <w:sz w:val="18"/>
          <w:szCs w:val="20"/>
          <w:highlight w:val="none"/>
        </w:rPr>
      </w:pPr>
      <w:bookmarkStart w:id="22" w:name="_Toc16187"/>
    </w:p>
    <w:p>
      <w:pPr>
        <w:spacing w:after="120"/>
        <w:ind w:firstLine="210" w:firstLineChars="100"/>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pStyle w:val="2"/>
        <w:rPr>
          <w:rFonts w:ascii="Times New Roman" w:hAnsi="Times New Roman" w:eastAsia="宋体" w:cs="Times New Roman"/>
          <w:i/>
          <w:color w:val="auto"/>
          <w:szCs w:val="24"/>
          <w:highlight w:val="none"/>
        </w:rPr>
      </w:pPr>
    </w:p>
    <w:p>
      <w:pPr>
        <w:widowControl/>
        <w:spacing w:line="340" w:lineRule="exact"/>
        <w:rPr>
          <w:rFonts w:ascii="宋体" w:hAnsi="宋体" w:eastAsia="宋体" w:cs="宋体"/>
          <w:b/>
          <w:bCs/>
          <w:color w:val="auto"/>
          <w:szCs w:val="21"/>
          <w:highlight w:val="none"/>
        </w:rPr>
      </w:pPr>
      <w:r>
        <w:rPr>
          <w:rFonts w:hint="eastAsia" w:ascii="宋体" w:hAnsi="宋体" w:eastAsia="宋体" w:cs="宋体"/>
          <w:b/>
          <w:bCs/>
          <w:color w:val="auto"/>
          <w:szCs w:val="21"/>
          <w:highlight w:val="none"/>
          <w:lang w:bidi="ar"/>
        </w:rPr>
        <w:t>附表4</w:t>
      </w:r>
    </w:p>
    <w:p>
      <w:pPr>
        <w:spacing w:line="360" w:lineRule="auto"/>
        <w:jc w:val="center"/>
        <w:rPr>
          <w:rFonts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报价文件符合性审查表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966"/>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序号</w:t>
            </w:r>
          </w:p>
        </w:tc>
        <w:tc>
          <w:tcPr>
            <w:tcW w:w="39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要求</w:t>
            </w:r>
          </w:p>
        </w:tc>
        <w:tc>
          <w:tcPr>
            <w:tcW w:w="472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cs="宋体"/>
                <w:b/>
                <w:color w:val="auto"/>
                <w:szCs w:val="21"/>
                <w:highlight w:val="none"/>
              </w:rPr>
            </w:pPr>
            <w:r>
              <w:rPr>
                <w:rFonts w:hint="eastAsia" w:ascii="宋体" w:hAnsi="宋体" w:eastAsia="宋体" w:cs="宋体"/>
                <w:b/>
                <w:color w:val="auto"/>
                <w:szCs w:val="21"/>
                <w:highlight w:val="none"/>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1</w:t>
            </w:r>
          </w:p>
        </w:tc>
        <w:tc>
          <w:tcPr>
            <w:tcW w:w="396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Cs w:val="21"/>
                <w:highlight w:val="none"/>
                <w:lang w:bidi="ar"/>
              </w:rPr>
            </w:pPr>
            <w:r>
              <w:rPr>
                <w:rFonts w:hint="eastAsia" w:ascii="宋体" w:hAnsi="宋体" w:eastAsia="宋体" w:cs="宋体"/>
                <w:color w:val="auto"/>
                <w:sz w:val="20"/>
                <w:szCs w:val="20"/>
                <w:highlight w:val="none"/>
                <w:lang w:bidi="ar"/>
              </w:rPr>
              <w:t>供应商名称与</w:t>
            </w:r>
            <w:r>
              <w:rPr>
                <w:rFonts w:hint="eastAsia" w:ascii="宋体" w:hAnsi="宋体" w:eastAsia="宋体" w:cs="宋体"/>
                <w:color w:val="auto"/>
                <w:sz w:val="20"/>
                <w:szCs w:val="20"/>
                <w:highlight w:val="none"/>
              </w:rPr>
              <w:t>企业法人营业执照名称</w:t>
            </w:r>
            <w:r>
              <w:rPr>
                <w:rFonts w:hint="eastAsia" w:ascii="宋体" w:hAnsi="宋体" w:eastAsia="宋体" w:cs="宋体"/>
                <w:color w:val="auto"/>
                <w:sz w:val="20"/>
                <w:szCs w:val="20"/>
                <w:highlight w:val="none"/>
                <w:lang w:bidi="ar"/>
              </w:rPr>
              <w:t>一致。</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eastAsia="宋体" w:cs="宋体"/>
                <w:color w:val="auto"/>
                <w:szCs w:val="21"/>
                <w:highlight w:val="none"/>
                <w:lang w:bidi="ar"/>
              </w:rPr>
            </w:pPr>
            <w:r>
              <w:rPr>
                <w:rFonts w:hint="eastAsia" w:ascii="宋体" w:hAnsi="宋体" w:eastAsia="宋体" w:cs="宋体"/>
                <w:color w:val="auto"/>
                <w:sz w:val="20"/>
                <w:szCs w:val="20"/>
                <w:highlight w:val="none"/>
                <w:lang w:bidi="ar"/>
              </w:rPr>
              <w:t>供应商名称与</w:t>
            </w:r>
            <w:r>
              <w:rPr>
                <w:rFonts w:hint="eastAsia" w:ascii="宋体" w:hAnsi="宋体" w:eastAsia="宋体" w:cs="Times New Roman"/>
                <w:color w:val="auto"/>
                <w:sz w:val="20"/>
                <w:szCs w:val="18"/>
                <w:highlight w:val="none"/>
              </w:rPr>
              <w:t>企业法人营业执照或电子营业执照名称</w:t>
            </w:r>
            <w:r>
              <w:rPr>
                <w:rFonts w:hint="eastAsia" w:ascii="宋体" w:hAnsi="宋体" w:eastAsia="宋体" w:cs="宋体"/>
                <w:color w:val="auto"/>
                <w:sz w:val="20"/>
                <w:szCs w:val="20"/>
                <w:highlight w:val="none"/>
                <w:lang w:bidi="ar"/>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2</w:t>
            </w:r>
          </w:p>
        </w:tc>
        <w:tc>
          <w:tcPr>
            <w:tcW w:w="39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auto"/>
                <w:szCs w:val="21"/>
                <w:highlight w:val="none"/>
              </w:rPr>
            </w:pPr>
            <w:r>
              <w:rPr>
                <w:rFonts w:hint="eastAsia" w:ascii="宋体" w:hAnsi="宋体" w:eastAsia="宋体" w:cs="宋体"/>
                <w:bCs/>
                <w:color w:val="auto"/>
                <w:szCs w:val="21"/>
                <w:highlight w:val="none"/>
                <w:lang w:bidi="ar"/>
              </w:rPr>
              <w:t>总投标报价超出预算价的或最高限价的投标为无效投标。</w:t>
            </w:r>
          </w:p>
        </w:tc>
        <w:tc>
          <w:tcPr>
            <w:tcW w:w="472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auto"/>
                <w:szCs w:val="21"/>
                <w:highlight w:val="none"/>
              </w:rPr>
            </w:pPr>
            <w:r>
              <w:rPr>
                <w:rFonts w:hint="eastAsia" w:ascii="宋体" w:hAnsi="宋体" w:eastAsia="宋体" w:cs="宋体"/>
                <w:bCs/>
                <w:color w:val="auto"/>
                <w:szCs w:val="21"/>
                <w:highlight w:val="none"/>
                <w:lang w:bidi="ar"/>
              </w:rPr>
              <w:t>总投标报价超出预算价或最高限价的投标为无效投标；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3</w:t>
            </w:r>
          </w:p>
        </w:tc>
        <w:tc>
          <w:tcPr>
            <w:tcW w:w="39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lang w:bidi="ar"/>
              </w:rPr>
              <w:t>投标文件的签署盖章符合第二章“投标须知”第九、2条的要求。</w:t>
            </w:r>
          </w:p>
        </w:tc>
        <w:tc>
          <w:tcPr>
            <w:tcW w:w="47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标文件的签署盖章符合第二章“投标须知”第九、2条的要求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396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供应商编制的投标文件符合法律、法规和招标文件中规定并对实质性要求完全响应。</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供应商编制的投标文件符合法律、法规和招标文件中规定的并对其他实质性要求完全响应（实质性要求招标文件中“★”标记）。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b/>
                <w:color w:val="auto"/>
                <w:szCs w:val="21"/>
                <w:highlight w:val="none"/>
                <w:lang w:bidi="ar"/>
              </w:rPr>
              <w:t>初步审查结论</w:t>
            </w:r>
          </w:p>
        </w:tc>
        <w:tc>
          <w:tcPr>
            <w:tcW w:w="472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p>
        </w:tc>
      </w:tr>
    </w:tbl>
    <w:p>
      <w:pPr>
        <w:spacing w:line="400" w:lineRule="exact"/>
        <w:rPr>
          <w:rFonts w:ascii="宋体" w:hAnsi="宋体" w:eastAsia="宋体" w:cs="宋体"/>
          <w:b/>
          <w:color w:val="auto"/>
          <w:highlight w:val="none"/>
          <w:lang w:bidi="ar"/>
        </w:rPr>
      </w:pPr>
      <w:r>
        <w:rPr>
          <w:rFonts w:hint="eastAsia" w:ascii="宋体" w:hAnsi="宋体" w:eastAsia="宋体" w:cs="宋体"/>
          <w:b/>
          <w:color w:val="auto"/>
          <w:highlight w:val="none"/>
          <w:lang w:bidi="ar"/>
        </w:rPr>
        <w:t>注：1</w:t>
      </w:r>
      <w:r>
        <w:rPr>
          <w:rFonts w:hint="eastAsia" w:ascii="宋体" w:hAnsi="宋体" w:eastAsia="宋体" w:cs="宋体"/>
          <w:b/>
          <w:color w:val="auto"/>
          <w:highlight w:val="none"/>
          <w:lang w:val="en-US" w:eastAsia="zh-CN" w:bidi="ar"/>
        </w:rPr>
        <w:t>.</w:t>
      </w:r>
      <w:r>
        <w:rPr>
          <w:rFonts w:hint="eastAsia" w:ascii="宋体" w:hAnsi="宋体" w:eastAsia="宋体" w:cs="宋体"/>
          <w:b/>
          <w:color w:val="auto"/>
          <w:highlight w:val="none"/>
          <w:lang w:bidi="ar"/>
        </w:rPr>
        <w:t>上述审查项目中，任意一项不符合的，报价文件符合性审查不合格。</w:t>
      </w:r>
    </w:p>
    <w:p>
      <w:pPr>
        <w:spacing w:line="400" w:lineRule="exact"/>
        <w:ind w:firstLine="422" w:firstLineChars="200"/>
        <w:rPr>
          <w:rFonts w:ascii="宋体" w:hAnsi="宋体" w:eastAsia="宋体" w:cs="宋体"/>
          <w:b/>
          <w:color w:val="auto"/>
          <w:highlight w:val="none"/>
          <w:lang w:bidi="ar"/>
        </w:rPr>
      </w:pPr>
      <w:r>
        <w:rPr>
          <w:rFonts w:hint="eastAsia" w:ascii="宋体" w:hAnsi="宋体" w:eastAsia="宋体" w:cs="宋体"/>
          <w:b/>
          <w:color w:val="auto"/>
          <w:highlight w:val="none"/>
          <w:lang w:bidi="ar"/>
        </w:rPr>
        <w:t>2</w:t>
      </w:r>
      <w:r>
        <w:rPr>
          <w:rFonts w:hint="eastAsia" w:ascii="宋体" w:hAnsi="宋体" w:eastAsia="宋体" w:cs="宋体"/>
          <w:b/>
          <w:color w:val="auto"/>
          <w:highlight w:val="none"/>
          <w:lang w:eastAsia="zh-CN" w:bidi="ar"/>
        </w:rPr>
        <w:t>.</w:t>
      </w:r>
      <w:r>
        <w:rPr>
          <w:rFonts w:hint="eastAsia" w:ascii="宋体" w:hAnsi="宋体" w:eastAsia="宋体" w:cs="宋体"/>
          <w:b/>
          <w:color w:val="auto"/>
          <w:highlight w:val="none"/>
          <w:lang w:bidi="ar"/>
        </w:rPr>
        <w:t>本项目实行网上投标，供应商在制作投标文件时须根据上表要求说明要求的资料，将资料逐一对应上传或关联（</w:t>
      </w:r>
      <w:r>
        <w:rPr>
          <w:rFonts w:hint="eastAsia" w:ascii="宋体" w:hAnsi="宋体" w:eastAsia="宋体" w:cs="宋体"/>
          <w:b/>
          <w:color w:val="auto"/>
          <w:highlight w:val="none"/>
          <w:lang w:val="en-US" w:eastAsia="zh-CN" w:bidi="ar"/>
        </w:rPr>
        <w:t>序号1</w:t>
      </w:r>
      <w:r>
        <w:rPr>
          <w:rFonts w:hint="eastAsia" w:ascii="宋体" w:hAnsi="宋体" w:eastAsia="宋体" w:cs="宋体"/>
          <w:b/>
          <w:color w:val="auto"/>
          <w:highlight w:val="none"/>
          <w:lang w:bidi="ar"/>
        </w:rPr>
        <w:t>除外）（若关联页码有多页而只能关联一页的，则关联相应页码的第一页）。</w:t>
      </w:r>
    </w:p>
    <w:p>
      <w:pPr>
        <w:ind w:left="630"/>
        <w:jc w:val="left"/>
        <w:rPr>
          <w:rFonts w:ascii="宋体" w:hAnsi="宋体" w:eastAsia="宋体" w:cs="宋体"/>
          <w:color w:val="auto"/>
          <w:sz w:val="18"/>
          <w:szCs w:val="21"/>
          <w:highlight w:val="none"/>
          <w:lang w:bidi="ar"/>
        </w:rPr>
      </w:pPr>
    </w:p>
    <w:p>
      <w:pPr>
        <w:rPr>
          <w:rFonts w:ascii="宋体" w:hAnsi="宋体" w:eastAsia="宋体" w:cs="宋体"/>
          <w:i/>
          <w:color w:val="auto"/>
          <w:sz w:val="18"/>
          <w:szCs w:val="21"/>
          <w:highlight w:val="none"/>
          <w:lang w:bidi="ar"/>
        </w:rPr>
      </w:pPr>
    </w:p>
    <w:p>
      <w:pPr>
        <w:ind w:left="630"/>
        <w:jc w:val="left"/>
        <w:rPr>
          <w:rFonts w:ascii="Times New Roman" w:hAnsi="Times New Roman" w:eastAsia="宋体" w:cs="Times New Roman"/>
          <w:color w:val="auto"/>
          <w:sz w:val="18"/>
          <w:szCs w:val="18"/>
          <w:highlight w:val="none"/>
        </w:rPr>
      </w:pPr>
    </w:p>
    <w:p>
      <w:pPr>
        <w:autoSpaceDE w:val="0"/>
        <w:autoSpaceDN w:val="0"/>
        <w:adjustRightInd w:val="0"/>
        <w:jc w:val="left"/>
        <w:rPr>
          <w:rFonts w:ascii="宋体" w:hAnsi="Times New Roman" w:eastAsia="宋体" w:cs="宋体"/>
          <w:color w:val="auto"/>
          <w:kern w:val="0"/>
          <w:sz w:val="24"/>
          <w:szCs w:val="24"/>
          <w:highlight w:val="none"/>
        </w:rPr>
      </w:pPr>
    </w:p>
    <w:p>
      <w:pPr>
        <w:widowControl/>
        <w:spacing w:line="340" w:lineRule="exact"/>
        <w:rPr>
          <w:rFonts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附表5</w:t>
      </w:r>
    </w:p>
    <w:p>
      <w:pPr>
        <w:spacing w:line="360" w:lineRule="auto"/>
        <w:jc w:val="center"/>
        <w:rPr>
          <w:rFonts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价格评分表</w:t>
      </w:r>
    </w:p>
    <w:p>
      <w:pPr>
        <w:spacing w:line="380" w:lineRule="exact"/>
        <w:ind w:firstLine="480" w:firstLineChars="200"/>
        <w:rPr>
          <w:rFonts w:ascii="宋体" w:hAnsi="宋体" w:eastAsia="宋体" w:cs="宋体"/>
          <w:color w:val="auto"/>
          <w:sz w:val="24"/>
          <w:szCs w:val="20"/>
          <w:highlight w:val="none"/>
        </w:rPr>
      </w:pPr>
    </w:p>
    <w:p>
      <w:pPr>
        <w:spacing w:line="360" w:lineRule="auto"/>
        <w:jc w:val="center"/>
        <w:rPr>
          <w:rFonts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eastAsia="zh-CN" w:bidi="ar"/>
        </w:rPr>
        <w:t>慈溪市交通场站经营有限公司充电桩配套电缆</w:t>
      </w:r>
      <w:r>
        <w:rPr>
          <w:rFonts w:hint="eastAsia" w:ascii="宋体" w:hAnsi="宋体" w:eastAsia="宋体" w:cs="宋体"/>
          <w:b/>
          <w:bCs/>
          <w:color w:val="auto"/>
          <w:sz w:val="28"/>
          <w:szCs w:val="28"/>
          <w:highlight w:val="none"/>
          <w:lang w:bidi="ar"/>
        </w:rPr>
        <w:t>采购项目</w:t>
      </w:r>
    </w:p>
    <w:tbl>
      <w:tblPr>
        <w:tblStyle w:val="46"/>
        <w:tblpPr w:leftFromText="180" w:rightFromText="180" w:vertAnchor="text" w:horzAnchor="page" w:tblpX="1049" w:tblpY="5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97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9000" w:type="dxa"/>
            <w:gridSpan w:val="2"/>
            <w:tcBorders>
              <w:top w:val="single" w:color="auto" w:sz="4" w:space="0"/>
              <w:left w:val="single" w:color="auto" w:sz="4" w:space="0"/>
              <w:bottom w:val="single" w:color="auto" w:sz="4" w:space="0"/>
              <w:right w:val="single" w:color="auto" w:sz="4" w:space="0"/>
              <w:tl2br w:val="single" w:color="000000" w:sz="4" w:space="0"/>
            </w:tcBorders>
          </w:tcPr>
          <w:p>
            <w:pPr>
              <w:spacing w:line="320" w:lineRule="exact"/>
              <w:ind w:right="420" w:firstLine="4410" w:firstLineChars="2100"/>
              <w:rPr>
                <w:rFonts w:ascii="宋体" w:hAnsi="宋体" w:eastAsia="宋体" w:cs="宋体"/>
                <w:color w:val="auto"/>
                <w:szCs w:val="21"/>
                <w:highlight w:val="none"/>
              </w:rPr>
            </w:pPr>
            <w:r>
              <w:rPr>
                <w:rFonts w:hint="eastAsia" w:ascii="宋体" w:hAnsi="宋体" w:eastAsia="宋体" w:cs="宋体"/>
                <w:color w:val="auto"/>
                <w:szCs w:val="21"/>
                <w:highlight w:val="none"/>
                <w:lang w:bidi="ar"/>
              </w:rPr>
              <w:t xml:space="preserve">                        供应商</w:t>
            </w:r>
          </w:p>
          <w:p>
            <w:pPr>
              <w:spacing w:line="320" w:lineRule="exact"/>
              <w:ind w:firstLine="945" w:firstLineChars="450"/>
              <w:rPr>
                <w:rFonts w:ascii="宋体" w:hAnsi="宋体" w:eastAsia="宋体" w:cs="宋体"/>
                <w:color w:val="auto"/>
                <w:szCs w:val="21"/>
                <w:highlight w:val="none"/>
                <w:lang w:val="ru-RU"/>
              </w:rPr>
            </w:pPr>
            <w:r>
              <w:rPr>
                <w:rFonts w:hint="eastAsia" w:ascii="宋体" w:hAnsi="宋体" w:eastAsia="宋体" w:cs="宋体"/>
                <w:color w:val="auto"/>
                <w:szCs w:val="21"/>
                <w:highlight w:val="none"/>
                <w:lang w:bidi="ar"/>
              </w:rPr>
              <w:t>分值</w:t>
            </w:r>
          </w:p>
        </w:tc>
        <w:tc>
          <w:tcPr>
            <w:tcW w:w="8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Cs w:val="21"/>
                <w:highlight w:val="none"/>
                <w:lang w:val="ru-RU"/>
              </w:rPr>
            </w:pPr>
            <w:r>
              <w:rPr>
                <w:rFonts w:hint="eastAsia" w:ascii="宋体" w:hAnsi="宋体" w:eastAsia="宋体" w:cs="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10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价格</w:t>
            </w:r>
          </w:p>
          <w:p>
            <w:pPr>
              <w:snapToGrid w:val="0"/>
              <w:jc w:val="center"/>
              <w:rPr>
                <w:rFonts w:ascii="宋体" w:hAnsi="宋体" w:eastAsia="宋体" w:cs="宋体"/>
                <w:color w:val="auto"/>
                <w:szCs w:val="21"/>
                <w:highlight w:val="none"/>
              </w:rPr>
            </w:pPr>
            <w:r>
              <w:rPr>
                <w:rFonts w:hint="eastAsia" w:ascii="宋体" w:hAnsi="宋体" w:eastAsia="宋体" w:cs="宋体"/>
                <w:color w:val="auto"/>
                <w:spacing w:val="-4"/>
                <w:szCs w:val="21"/>
                <w:highlight w:val="none"/>
              </w:rPr>
              <w:t>（50分）</w:t>
            </w:r>
          </w:p>
        </w:tc>
        <w:tc>
          <w:tcPr>
            <w:tcW w:w="798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参与评审的价格=评标价-小微企业价格扣除优惠值</w:t>
            </w:r>
            <w:r>
              <w:rPr>
                <w:rFonts w:hint="eastAsia" w:ascii="宋体" w:hAnsi="宋体" w:eastAsia="宋体" w:cs="Times New Roman"/>
                <w:b/>
                <w:bCs/>
                <w:color w:val="auto"/>
                <w:szCs w:val="21"/>
                <w:highlight w:val="none"/>
                <w:lang w:val="en-US" w:eastAsia="zh-CN"/>
              </w:rPr>
              <w:t>1</w:t>
            </w:r>
            <w:r>
              <w:rPr>
                <w:rFonts w:hint="eastAsia" w:ascii="宋体" w:hAnsi="宋体" w:eastAsia="宋体" w:cs="Times New Roman"/>
                <w:b/>
                <w:bCs/>
                <w:color w:val="auto"/>
                <w:szCs w:val="21"/>
                <w:highlight w:val="none"/>
              </w:rPr>
              <w:t>0%</w:t>
            </w:r>
          </w:p>
          <w:p>
            <w:pPr>
              <w:spacing w:line="34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评标基准价=满足招标文件要求且“参与评审的价格”中最低的价格为评标基准价</w:t>
            </w:r>
          </w:p>
          <w:p>
            <w:pPr>
              <w:spacing w:line="34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基准价得分为满分50分，其他供应商报价得分计算公式如下：</w:t>
            </w:r>
          </w:p>
          <w:p>
            <w:pPr>
              <w:spacing w:line="34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其他供应商报价得分=（评标基准价/参与评审的价格）×50%×100</w:t>
            </w:r>
          </w:p>
        </w:tc>
        <w:tc>
          <w:tcPr>
            <w:tcW w:w="8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Cs w:val="21"/>
                <w:highlight w:val="none"/>
              </w:rPr>
            </w:pPr>
            <w:r>
              <w:rPr>
                <w:rFonts w:hint="eastAsia" w:ascii="宋体" w:hAnsi="宋体" w:eastAsia="宋体" w:cs="宋体"/>
                <w:b/>
                <w:color w:val="auto"/>
                <w:sz w:val="22"/>
                <w:szCs w:val="18"/>
                <w:highlight w:val="none"/>
                <w:lang w:bidi="ar"/>
              </w:rPr>
              <w:t>报价得分（50分）</w:t>
            </w:r>
          </w:p>
        </w:tc>
        <w:tc>
          <w:tcPr>
            <w:tcW w:w="8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color w:val="auto"/>
                <w:szCs w:val="21"/>
                <w:highlight w:val="none"/>
              </w:rPr>
            </w:pPr>
          </w:p>
        </w:tc>
      </w:tr>
    </w:tbl>
    <w:p>
      <w:pPr>
        <w:keepNext/>
        <w:keepLines/>
        <w:spacing w:before="120" w:after="330" w:line="360" w:lineRule="auto"/>
        <w:jc w:val="center"/>
        <w:outlineLvl w:val="0"/>
        <w:rPr>
          <w:rFonts w:ascii="宋体" w:hAnsi="宋体" w:eastAsia="宋体" w:cs="宋体"/>
          <w:b/>
          <w:bCs/>
          <w:color w:val="auto"/>
          <w:kern w:val="44"/>
          <w:sz w:val="36"/>
          <w:szCs w:val="36"/>
          <w:highlight w:val="none"/>
        </w:rPr>
      </w:pPr>
      <w:r>
        <w:rPr>
          <w:rFonts w:hint="eastAsia" w:ascii="宋体" w:hAnsi="宋体" w:eastAsia="宋体" w:cs="宋体"/>
          <w:color w:val="auto"/>
          <w:kern w:val="44"/>
          <w:sz w:val="32"/>
          <w:szCs w:val="32"/>
          <w:highlight w:val="none"/>
        </w:rPr>
        <w:br w:type="page"/>
      </w:r>
      <w:r>
        <w:rPr>
          <w:rFonts w:hint="eastAsia" w:ascii="宋体" w:hAnsi="宋体" w:eastAsia="宋体" w:cs="宋体"/>
          <w:b/>
          <w:bCs/>
          <w:color w:val="auto"/>
          <w:kern w:val="44"/>
          <w:sz w:val="36"/>
          <w:szCs w:val="36"/>
          <w:highlight w:val="none"/>
        </w:rPr>
        <w:t>第四章  合同样本</w:t>
      </w:r>
      <w:bookmarkEnd w:id="20"/>
      <w:bookmarkEnd w:id="22"/>
    </w:p>
    <w:p>
      <w:pPr>
        <w:adjustRightInd w:val="0"/>
        <w:snapToGrid w:val="0"/>
        <w:spacing w:line="440" w:lineRule="exact"/>
        <w:ind w:firstLine="422" w:firstLineChars="200"/>
        <w:rPr>
          <w:rFonts w:ascii="宋体" w:hAnsi="宋体" w:eastAsia="宋体" w:cs="宋体"/>
          <w:b/>
          <w:color w:val="auto"/>
          <w:szCs w:val="21"/>
          <w:highlight w:val="none"/>
          <w:u w:val="single"/>
        </w:rPr>
      </w:pPr>
      <w:r>
        <w:rPr>
          <w:rFonts w:hint="eastAsia" w:ascii="宋体" w:hAnsi="宋体" w:eastAsia="宋体" w:cs="宋体"/>
          <w:b/>
          <w:color w:val="auto"/>
          <w:szCs w:val="21"/>
          <w:highlight w:val="none"/>
        </w:rPr>
        <w:t>甲方（买方）：</w:t>
      </w:r>
      <w:r>
        <w:rPr>
          <w:rFonts w:hint="eastAsia" w:ascii="宋体" w:hAnsi="宋体" w:eastAsia="宋体" w:cs="宋体"/>
          <w:b/>
          <w:color w:val="auto"/>
          <w:szCs w:val="21"/>
          <w:highlight w:val="none"/>
          <w:u w:val="single"/>
        </w:rPr>
        <w:t>慈溪市交通场站经营有限公司</w:t>
      </w:r>
    </w:p>
    <w:p>
      <w:pPr>
        <w:widowControl/>
        <w:adjustRightInd w:val="0"/>
        <w:snapToGrid w:val="0"/>
        <w:spacing w:before="120" w:beforeLines="50" w:after="120" w:afterLines="50" w:line="440" w:lineRule="exact"/>
        <w:ind w:firstLine="422" w:firstLineChars="200"/>
        <w:jc w:val="left"/>
        <w:rPr>
          <w:rFonts w:ascii="宋体" w:hAnsi="宋体" w:eastAsia="宋体" w:cs="宋体"/>
          <w:color w:val="auto"/>
          <w:kern w:val="0"/>
          <w:szCs w:val="21"/>
          <w:highlight w:val="none"/>
        </w:rPr>
      </w:pPr>
      <w:r>
        <w:rPr>
          <w:rFonts w:hint="eastAsia" w:ascii="宋体" w:hAnsi="宋体" w:eastAsia="宋体" w:cs="宋体"/>
          <w:b/>
          <w:color w:val="auto"/>
          <w:kern w:val="0"/>
          <w:szCs w:val="21"/>
          <w:highlight w:val="none"/>
        </w:rPr>
        <w:t>乙方（卖方）：</w:t>
      </w:r>
      <w:r>
        <w:rPr>
          <w:rFonts w:hint="eastAsia" w:ascii="宋体" w:hAnsi="宋体" w:eastAsia="宋体" w:cs="宋体"/>
          <w:b/>
          <w:color w:val="auto"/>
          <w:kern w:val="0"/>
          <w:szCs w:val="21"/>
          <w:highlight w:val="none"/>
          <w:u w:val="single"/>
        </w:rPr>
        <w:t xml:space="preserve">                          </w:t>
      </w:r>
    </w:p>
    <w:p>
      <w:pPr>
        <w:adjustRightInd w:val="0"/>
        <w:snapToGrid w:val="0"/>
        <w:spacing w:line="440" w:lineRule="exact"/>
        <w:ind w:firstLine="420" w:firstLineChars="200"/>
        <w:rPr>
          <w:rFonts w:ascii="宋体" w:hAnsi="宋体" w:eastAsia="宋体" w:cs="宋体"/>
          <w:color w:val="auto"/>
          <w:szCs w:val="21"/>
          <w:highlight w:val="none"/>
          <w:u w:val="single"/>
        </w:rPr>
      </w:pPr>
      <w:r>
        <w:rPr>
          <w:rFonts w:hint="eastAsia" w:ascii="宋体" w:hAnsi="宋体" w:eastAsia="宋体" w:cs="宋体"/>
          <w:color w:val="auto"/>
          <w:szCs w:val="21"/>
          <w:highlight w:val="none"/>
        </w:rPr>
        <w:t>根据《中华人民共和国民法典》及其他有关法律、行政法规，遵循平等、自愿、公平和诚实信用的原则，甲乙双方就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项目的供货及售后服务等事项协商一致，订立本合同。</w:t>
      </w:r>
    </w:p>
    <w:p>
      <w:pPr>
        <w:widowControl/>
        <w:adjustRightInd w:val="0"/>
        <w:snapToGrid w:val="0"/>
        <w:spacing w:before="120" w:beforeLines="50" w:after="120" w:afterLines="50" w:line="440" w:lineRule="exact"/>
        <w:ind w:firstLine="422" w:firstLineChars="200"/>
        <w:jc w:val="left"/>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一、合同范围及合同金额：</w:t>
      </w:r>
    </w:p>
    <w:p>
      <w:pPr>
        <w:spacing w:after="120" w:afterLines="50" w:line="440" w:lineRule="exact"/>
        <w:ind w:firstLine="420" w:firstLineChars="200"/>
        <w:rPr>
          <w:rFonts w:ascii="宋体" w:hAnsi="宋体" w:eastAsia="宋体" w:cs="宋体"/>
          <w:color w:val="auto"/>
          <w:szCs w:val="21"/>
          <w:highlight w:val="none"/>
          <w:u w:val="single"/>
        </w:rPr>
      </w:pPr>
      <w:r>
        <w:rPr>
          <w:rFonts w:hint="eastAsia" w:ascii="宋体" w:hAnsi="宋体" w:eastAsia="宋体" w:cs="宋体"/>
          <w:color w:val="auto"/>
          <w:szCs w:val="21"/>
          <w:highlight w:val="none"/>
        </w:rPr>
        <w:t>1、合同范围：采购一批电缆。</w:t>
      </w:r>
    </w:p>
    <w:p>
      <w:pPr>
        <w:spacing w:after="120" w:afterLines="50"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2、货物规格型号、数量及金额：</w:t>
      </w:r>
    </w:p>
    <w:tbl>
      <w:tblPr>
        <w:tblStyle w:val="46"/>
        <w:tblW w:w="97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559"/>
        <w:gridCol w:w="2127"/>
        <w:gridCol w:w="722"/>
        <w:gridCol w:w="780"/>
        <w:gridCol w:w="1191"/>
        <w:gridCol w:w="1276"/>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编号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hanging="108"/>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货物名称</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hanging="108"/>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规格型号</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单位</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数量</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单价（元）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合价（元）</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Times New Roman" w:hAnsi="Times New Roman" w:eastAsia="宋体" w:cs="Times New Roman"/>
                <w:color w:val="auto"/>
                <w:szCs w:val="21"/>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Times New Roman" w:hAnsi="Times New Roman" w:eastAsia="宋体" w:cs="Times New Roman"/>
                <w:color w:val="auto"/>
                <w:szCs w:val="21"/>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Times New Roman" w:hAnsi="Times New Roman" w:eastAsia="宋体" w:cs="Times New Roman"/>
                <w:color w:val="auto"/>
                <w:szCs w:val="21"/>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Times New Roman" w:hAnsi="Times New Roman" w:eastAsia="宋体" w:cs="Times New Roman"/>
                <w:color w:val="auto"/>
                <w:szCs w:val="21"/>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谈判价</w:t>
            </w:r>
          </w:p>
        </w:tc>
        <w:tc>
          <w:tcPr>
            <w:tcW w:w="7513"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人民币（大写）：</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none"/>
              </w:rPr>
              <w:t>元整</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p>
        </w:tc>
      </w:tr>
    </w:tbl>
    <w:p>
      <w:pPr>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kern w:val="0"/>
          <w:szCs w:val="21"/>
          <w:highlight w:val="none"/>
        </w:rPr>
        <w:t>以上合同价</w:t>
      </w:r>
      <w:r>
        <w:rPr>
          <w:rFonts w:hint="eastAsia" w:ascii="宋体" w:hAnsi="宋体" w:eastAsia="宋体" w:cs="宋体"/>
          <w:color w:val="auto"/>
          <w:szCs w:val="21"/>
          <w:highlight w:val="none"/>
        </w:rPr>
        <w:t>包括货物所含增值税、货款、运输费、装卸费、检验费及保险费等一切与本项目有关的费用。</w:t>
      </w:r>
    </w:p>
    <w:p>
      <w:pPr>
        <w:widowControl/>
        <w:adjustRightInd w:val="0"/>
        <w:snapToGrid w:val="0"/>
        <w:spacing w:before="120" w:beforeLines="50" w:after="120" w:afterLines="50" w:line="440" w:lineRule="exact"/>
        <w:ind w:firstLine="422" w:firstLineChars="200"/>
        <w:jc w:val="left"/>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二、支付条款</w:t>
      </w:r>
    </w:p>
    <w:p>
      <w:pPr>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1、签订合同后支付合同价50%</w:t>
      </w:r>
      <w:r>
        <w:rPr>
          <w:rFonts w:hint="eastAsia" w:ascii="宋体" w:hAnsi="宋体" w:eastAsia="宋体" w:cs="宋体"/>
          <w:b w:val="0"/>
          <w:i w:val="0"/>
          <w:caps w:val="0"/>
          <w:color w:val="auto"/>
          <w:spacing w:val="0"/>
          <w:w w:val="100"/>
          <w:sz w:val="21"/>
          <w:szCs w:val="21"/>
          <w:highlight w:val="none"/>
          <w:lang w:eastAsia="zh-CN"/>
        </w:rPr>
        <w:t>（</w:t>
      </w:r>
      <w:r>
        <w:rPr>
          <w:rFonts w:hint="eastAsia" w:ascii="宋体" w:hAnsi="宋体" w:eastAsia="宋体" w:cs="宋体"/>
          <w:b w:val="0"/>
          <w:i w:val="0"/>
          <w:caps w:val="0"/>
          <w:color w:val="auto"/>
          <w:spacing w:val="0"/>
          <w:w w:val="100"/>
          <w:sz w:val="21"/>
          <w:szCs w:val="21"/>
          <w:highlight w:val="none"/>
          <w:lang w:val="en-US" w:eastAsia="zh-CN"/>
        </w:rPr>
        <w:t>中标供应商</w:t>
      </w:r>
      <w:r>
        <w:rPr>
          <w:rFonts w:hint="eastAsia" w:ascii="宋体" w:hAnsi="宋体" w:eastAsia="宋体" w:cs="宋体"/>
          <w:b w:val="0"/>
          <w:i w:val="0"/>
          <w:caps w:val="0"/>
          <w:color w:val="auto"/>
          <w:spacing w:val="0"/>
          <w:w w:val="100"/>
          <w:sz w:val="21"/>
          <w:szCs w:val="21"/>
          <w:highlight w:val="none"/>
          <w:lang w:eastAsia="zh-CN"/>
        </w:rPr>
        <w:t>需提交银行、保险公司等金融机构出具的预付款保函或其他担保措施。</w:t>
      </w:r>
      <w:r>
        <w:rPr>
          <w:rFonts w:hint="eastAsia" w:ascii="宋体" w:hAnsi="宋体" w:eastAsia="宋体" w:cs="宋体"/>
          <w:b w:val="0"/>
          <w:i w:val="0"/>
          <w:caps w:val="0"/>
          <w:color w:val="auto"/>
          <w:spacing w:val="0"/>
          <w:w w:val="100"/>
          <w:sz w:val="21"/>
          <w:szCs w:val="21"/>
          <w:highlight w:val="none"/>
          <w:lang w:val="en-US" w:eastAsia="zh-CN"/>
        </w:rPr>
        <w:t>中标供应商</w:t>
      </w:r>
      <w:r>
        <w:rPr>
          <w:rFonts w:hint="eastAsia" w:ascii="宋体" w:hAnsi="宋体" w:eastAsia="宋体" w:cs="宋体"/>
          <w:b w:val="0"/>
          <w:i w:val="0"/>
          <w:caps w:val="0"/>
          <w:color w:val="auto"/>
          <w:spacing w:val="0"/>
          <w:w w:val="100"/>
          <w:sz w:val="21"/>
          <w:szCs w:val="21"/>
          <w:highlight w:val="none"/>
          <w:lang w:eastAsia="zh-CN"/>
        </w:rPr>
        <w:t>在签订合同时，表示无需预付款或主动要求降低预付款比例的，可不适用本条款）</w:t>
      </w:r>
      <w:r>
        <w:rPr>
          <w:rFonts w:hint="eastAsia" w:ascii="宋体" w:hAnsi="宋体" w:eastAsia="宋体" w:cs="宋体"/>
          <w:color w:val="auto"/>
          <w:szCs w:val="21"/>
          <w:highlight w:val="none"/>
        </w:rPr>
        <w:t>，到货后支付合同价40%，验收合格后支付合同价10%。</w:t>
      </w:r>
    </w:p>
    <w:p>
      <w:pPr>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2、如乙方延迟交货、质量有问题或其他违约行为，甲方有权延迟支付该批次货款直至乙方采取补救措施。</w:t>
      </w:r>
    </w:p>
    <w:p>
      <w:pPr>
        <w:widowControl/>
        <w:adjustRightInd w:val="0"/>
        <w:snapToGrid w:val="0"/>
        <w:spacing w:before="120" w:beforeLines="50" w:after="120" w:afterLines="50" w:line="440" w:lineRule="exact"/>
        <w:ind w:firstLine="422" w:firstLineChars="200"/>
        <w:jc w:val="left"/>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三、包装及运输</w:t>
      </w:r>
    </w:p>
    <w:p>
      <w:pPr>
        <w:widowControl/>
        <w:spacing w:line="440" w:lineRule="exact"/>
        <w:ind w:firstLine="480"/>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rPr>
        <w:t>1、乙方提供的产品，均应采取保护措施进行包装并符合国家有关强制性要求，包装费用由乙方承担。该包装应适应于远距离运输、防潮、防湿、防震、防尘及甲方其它装运要求，确保产品安全无损运抵交货现场，并经甲方验收合格。检验之前的产品损坏和损失等均由乙方承担。乙方应对因未采取适当充分的包装保护措施而造成的任何损坏负责，并赔偿甲方相应的经济损失。包装箱上的装运标志应包含订单号、生产批号、数量、重量、箱号等内容。乙方交货时应随货附装箱单，装箱单要有合同号、产品型号、数量和箱号等信息。因乙方在包装和标记方面发生的错误或混淆不清等事宜造成合同货物的误运，乙方应承担由此发生的一切费用。</w:t>
      </w:r>
    </w:p>
    <w:p>
      <w:pPr>
        <w:widowControl/>
        <w:adjustRightInd w:val="0"/>
        <w:snapToGrid w:val="0"/>
        <w:spacing w:before="120" w:beforeLines="50" w:after="120" w:afterLines="50" w:line="440" w:lineRule="exact"/>
        <w:ind w:firstLine="422" w:firstLineChars="200"/>
        <w:jc w:val="left"/>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四、交货及验收</w:t>
      </w:r>
    </w:p>
    <w:p>
      <w:pPr>
        <w:widowControl/>
        <w:spacing w:line="440" w:lineRule="exact"/>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1、交货地点及运输方式：送货上门。</w:t>
      </w:r>
    </w:p>
    <w:p>
      <w:pPr>
        <w:widowControl/>
        <w:spacing w:line="440" w:lineRule="exact"/>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2、交货时间：202</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年  月  日前。</w:t>
      </w:r>
    </w:p>
    <w:p>
      <w:pPr>
        <w:widowControl/>
        <w:spacing w:line="440" w:lineRule="exact"/>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3、交货地点： </w:t>
      </w:r>
    </w:p>
    <w:p>
      <w:pPr>
        <w:widowControl/>
        <w:spacing w:line="440" w:lineRule="exact"/>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4、开箱检验：</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（1）货送到甲方指定地点</w:t>
      </w:r>
      <w:r>
        <w:rPr>
          <w:rFonts w:hint="eastAsia" w:ascii="宋体" w:hAnsi="宋体" w:eastAsia="宋体" w:cs="宋体"/>
          <w:color w:val="auto"/>
          <w:szCs w:val="21"/>
          <w:highlight w:val="none"/>
          <w:u w:val="single"/>
        </w:rPr>
        <w:t>7</w:t>
      </w:r>
      <w:r>
        <w:rPr>
          <w:rFonts w:hint="eastAsia" w:ascii="宋体" w:hAnsi="宋体" w:eastAsia="宋体" w:cs="宋体"/>
          <w:color w:val="auto"/>
          <w:szCs w:val="21"/>
          <w:highlight w:val="none"/>
        </w:rPr>
        <w:t>天内由甲乙双方共同对货物的包装、外观、数量、型号、规格及出厂合格证等进行开箱验收，签署开箱验收证书。如乙方未按约定到甲方指定地点参加检验的，应视为乙方对甲方单方面检验的结果予以确认。验收标准执行国标。</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如发现乙方所交的货物有任何不符合合同规定之处，应做好记录，并由双方代表签字，作为甲方向乙方提出维修或退换货的依据。同时，甲方有权要求乙方对不符合合同要求的货物进行退换货处理，直到甲方检验合格为止，由此所产生的一切费用（含给甲方造成的维修、更换、返工等各项经济损失和因此而支付的检验费、鉴定费等相关费用）均由乙方承担，由此造成的最终验收合格之日超过合同约定交货日期，按逾期交货违约责任条款执行。</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（3）开箱验收证书仅证明乙方所提供的货物截至出具验收证书之日时可以按合同要求予以接受，但不能视为乙方对货物存在的潜在缺陷所应付的责任的解除。此检验不作为对货物内在质量认定的依据。</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（4）如果在质量保证期内发现合同货物存在缺陷，包括但不限于隐蔽缺陷或使用不当的原材料引起的缺陷，</w:t>
      </w:r>
      <w:r>
        <w:rPr>
          <w:rFonts w:hint="eastAsia" w:ascii="Times New Roman" w:hAnsi="Times New Roman" w:eastAsia="宋体" w:cs="Times New Roman"/>
          <w:color w:val="auto"/>
          <w:szCs w:val="21"/>
          <w:highlight w:val="none"/>
        </w:rPr>
        <w:t>乙方需无条件退换货并赔偿甲方因此造成的一切损失</w:t>
      </w:r>
      <w:r>
        <w:rPr>
          <w:rFonts w:hint="eastAsia" w:ascii="宋体" w:hAnsi="宋体" w:eastAsia="宋体" w:cs="宋体"/>
          <w:color w:val="auto"/>
          <w:szCs w:val="21"/>
          <w:highlight w:val="none"/>
        </w:rPr>
        <w:t>。</w:t>
      </w:r>
    </w:p>
    <w:p>
      <w:pPr>
        <w:widowControl/>
        <w:adjustRightInd w:val="0"/>
        <w:snapToGrid w:val="0"/>
        <w:spacing w:before="120" w:beforeLines="50" w:after="120" w:afterLines="50" w:line="440" w:lineRule="exact"/>
        <w:ind w:firstLine="422" w:firstLineChars="200"/>
        <w:jc w:val="left"/>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五、质量保证及售后服务</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1、本合同内的货物质量保证期为</w:t>
      </w:r>
      <w:r>
        <w:rPr>
          <w:rFonts w:hint="eastAsia" w:ascii="宋体" w:hAnsi="宋体" w:eastAsia="宋体" w:cs="宋体"/>
          <w:color w:val="auto"/>
          <w:szCs w:val="21"/>
          <w:highlight w:val="none"/>
          <w:u w:val="single"/>
        </w:rPr>
        <w:t>壹</w:t>
      </w:r>
      <w:r>
        <w:rPr>
          <w:rFonts w:hint="eastAsia" w:ascii="宋体" w:hAnsi="宋体" w:eastAsia="宋体" w:cs="宋体"/>
          <w:color w:val="auto"/>
          <w:szCs w:val="21"/>
          <w:highlight w:val="none"/>
        </w:rPr>
        <w:t>年，自货物到货验收之日起计算。</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2、质量保证期间如货物出现质量问题，甲方有权要求乙方进行维修或退换货，乙方在接到甲方通知后</w:t>
      </w:r>
      <w:r>
        <w:rPr>
          <w:rFonts w:hint="eastAsia" w:ascii="宋体" w:hAnsi="宋体" w:eastAsia="宋体" w:cs="宋体"/>
          <w:color w:val="auto"/>
          <w:szCs w:val="21"/>
          <w:highlight w:val="none"/>
          <w:u w:val="single"/>
        </w:rPr>
        <w:t>7</w:t>
      </w:r>
      <w:r>
        <w:rPr>
          <w:rFonts w:hint="eastAsia" w:ascii="宋体" w:hAnsi="宋体" w:eastAsia="宋体" w:cs="宋体"/>
          <w:color w:val="auto"/>
          <w:szCs w:val="21"/>
          <w:highlight w:val="none"/>
        </w:rPr>
        <w:t>天内免费派人完成维修或退换符合质量要求的货物，并由乙方承担所发生的全部费用。替换的货物的质量保证期应在甲方验收合格后按合同约定的一个质保周期顺延。</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3、质量保证期内，乙方逾期维修或退换货的，每延期一天，应按本合同总价</w:t>
      </w:r>
      <w:r>
        <w:rPr>
          <w:rFonts w:hint="eastAsia" w:ascii="宋体" w:hAnsi="宋体" w:eastAsia="宋体" w:cs="宋体"/>
          <w:color w:val="auto"/>
          <w:szCs w:val="21"/>
          <w:highlight w:val="none"/>
          <w:u w:val="single"/>
        </w:rPr>
        <w:t>1</w:t>
      </w:r>
      <w:r>
        <w:rPr>
          <w:rFonts w:hint="eastAsia" w:ascii="宋体" w:hAnsi="宋体" w:eastAsia="宋体" w:cs="宋体"/>
          <w:color w:val="auto"/>
          <w:szCs w:val="21"/>
          <w:highlight w:val="none"/>
        </w:rPr>
        <w:t>%向甲方支付违约金，乙方逾期维修超过</w:t>
      </w:r>
      <w:r>
        <w:rPr>
          <w:rFonts w:hint="eastAsia" w:ascii="宋体" w:hAnsi="宋体" w:eastAsia="宋体" w:cs="宋体"/>
          <w:color w:val="auto"/>
          <w:szCs w:val="21"/>
          <w:highlight w:val="none"/>
          <w:u w:val="single"/>
        </w:rPr>
        <w:t>7</w:t>
      </w:r>
      <w:r>
        <w:rPr>
          <w:rFonts w:hint="eastAsia" w:ascii="宋体" w:hAnsi="宋体" w:eastAsia="宋体" w:cs="宋体"/>
          <w:color w:val="auto"/>
          <w:szCs w:val="21"/>
          <w:highlight w:val="none"/>
        </w:rPr>
        <w:t>天的，甲方有权自行或委托第三方维修，因此发生的费用由乙方承担。</w:t>
      </w:r>
    </w:p>
    <w:p>
      <w:pPr>
        <w:widowControl/>
        <w:adjustRightInd w:val="0"/>
        <w:snapToGrid w:val="0"/>
        <w:spacing w:before="120" w:beforeLines="50" w:after="120" w:afterLines="50" w:line="440" w:lineRule="exact"/>
        <w:ind w:firstLine="422" w:firstLineChars="200"/>
        <w:jc w:val="left"/>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六、违约责任</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1、乙方逾期交货的，每延期一天，按延期交货部分货款总值</w:t>
      </w:r>
      <w:r>
        <w:rPr>
          <w:rFonts w:hint="eastAsia" w:ascii="宋体" w:hAnsi="宋体" w:eastAsia="宋体" w:cs="宋体"/>
          <w:color w:val="auto"/>
          <w:szCs w:val="21"/>
          <w:highlight w:val="none"/>
          <w:u w:val="single"/>
        </w:rPr>
        <w:t>1</w:t>
      </w:r>
      <w:r>
        <w:rPr>
          <w:rFonts w:hint="eastAsia" w:ascii="宋体" w:hAnsi="宋体" w:eastAsia="宋体" w:cs="宋体"/>
          <w:color w:val="auto"/>
          <w:szCs w:val="21"/>
          <w:highlight w:val="none"/>
        </w:rPr>
        <w:t>%向甲方支付违约金，因乙方逾期交货造成甲方经济损失的，乙方应予以赔偿。违约金及赔偿费用从待付货款中扣除。</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2、乙方在合同约定的交货日期届满后</w:t>
      </w:r>
      <w:r>
        <w:rPr>
          <w:rFonts w:hint="eastAsia" w:ascii="宋体" w:hAnsi="宋体" w:eastAsia="宋体" w:cs="宋体"/>
          <w:color w:val="auto"/>
          <w:szCs w:val="21"/>
          <w:highlight w:val="none"/>
          <w:u w:val="single"/>
        </w:rPr>
        <w:t>7</w:t>
      </w:r>
      <w:r>
        <w:rPr>
          <w:rFonts w:hint="eastAsia" w:ascii="宋体" w:hAnsi="宋体" w:eastAsia="宋体" w:cs="宋体"/>
          <w:color w:val="auto"/>
          <w:szCs w:val="21"/>
          <w:highlight w:val="none"/>
        </w:rPr>
        <w:t>天内仍不能交货的，视为乙方不能交货，甲方有权解除合同，且乙方应向甲方偿付不能交货部分货款</w:t>
      </w:r>
      <w:r>
        <w:rPr>
          <w:rFonts w:hint="eastAsia" w:ascii="宋体" w:hAnsi="宋体" w:eastAsia="宋体" w:cs="宋体"/>
          <w:color w:val="auto"/>
          <w:szCs w:val="21"/>
          <w:highlight w:val="none"/>
          <w:u w:val="single"/>
        </w:rPr>
        <w:t>30</w:t>
      </w:r>
      <w:r>
        <w:rPr>
          <w:rFonts w:hint="eastAsia" w:ascii="宋体" w:hAnsi="宋体" w:eastAsia="宋体" w:cs="宋体"/>
          <w:color w:val="auto"/>
          <w:szCs w:val="21"/>
          <w:highlight w:val="none"/>
        </w:rPr>
        <w:t>%的违约金；因乙方不能交货造成甲方经济损失的，乙方应予以赔偿。</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乙方所交货物品种、规格、质量不符合合同规定的，如果甲方同意利用，应当按质论价；如果甲方不同意或不能利用的，由乙方负责按甲方要求包换、包修、包退，并承担修理、调换或退货而支付的实际费用。乙方不能修理或者不能调换的，按不能交货处理，乙方逾期退换货超过</w:t>
      </w:r>
      <w:r>
        <w:rPr>
          <w:rFonts w:hint="eastAsia" w:ascii="宋体" w:hAnsi="宋体" w:eastAsia="宋体" w:cs="宋体"/>
          <w:color w:val="auto"/>
          <w:szCs w:val="21"/>
          <w:highlight w:val="none"/>
          <w:u w:val="single"/>
        </w:rPr>
        <w:t>7</w:t>
      </w:r>
      <w:r>
        <w:rPr>
          <w:rFonts w:hint="eastAsia" w:ascii="宋体" w:hAnsi="宋体" w:eastAsia="宋体" w:cs="宋体"/>
          <w:color w:val="auto"/>
          <w:szCs w:val="21"/>
          <w:highlight w:val="none"/>
        </w:rPr>
        <w:t>天的，甲方有权解除合同且扣除该批逾期退换货物的货款，并由乙方赔偿甲方由此产生的所有损失。赔偿费用从待付货款中扣除。</w:t>
      </w:r>
    </w:p>
    <w:p>
      <w:pPr>
        <w:adjustRightInd w:val="0"/>
        <w:snapToGrid w:val="0"/>
        <w:spacing w:line="4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4、乙方未按合同规定的货物数量交货时，少交的部分，甲方如果需要，应照数补交。甲方如不需要，按退货处理。由于退货所造成的损失，由乙方承担。</w:t>
      </w:r>
    </w:p>
    <w:p>
      <w:pPr>
        <w:widowControl/>
        <w:adjustRightInd w:val="0"/>
        <w:snapToGrid w:val="0"/>
        <w:spacing w:before="120" w:beforeLines="50" w:after="120" w:afterLines="50" w:line="440" w:lineRule="exact"/>
        <w:ind w:firstLine="422" w:firstLineChars="200"/>
        <w:jc w:val="left"/>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七、合同生效及其他</w:t>
      </w:r>
    </w:p>
    <w:p>
      <w:pPr>
        <w:spacing w:line="440" w:lineRule="exact"/>
        <w:ind w:firstLine="540"/>
        <w:rPr>
          <w:rFonts w:ascii="宋体" w:hAnsi="宋体" w:eastAsia="宋体" w:cs="宋体"/>
          <w:color w:val="auto"/>
          <w:szCs w:val="21"/>
          <w:highlight w:val="none"/>
        </w:rPr>
      </w:pPr>
      <w:r>
        <w:rPr>
          <w:rFonts w:hint="eastAsia" w:ascii="宋体" w:hAnsi="宋体" w:eastAsia="宋体" w:cs="宋体"/>
          <w:color w:val="auto"/>
          <w:szCs w:val="21"/>
          <w:highlight w:val="none"/>
        </w:rPr>
        <w:t>1、本合同自双方签字盖章后生效。</w:t>
      </w:r>
    </w:p>
    <w:p>
      <w:pPr>
        <w:spacing w:line="440" w:lineRule="exact"/>
        <w:ind w:firstLine="540"/>
        <w:rPr>
          <w:rFonts w:ascii="宋体" w:hAnsi="宋体" w:eastAsia="宋体" w:cs="宋体"/>
          <w:color w:val="auto"/>
          <w:szCs w:val="21"/>
          <w:highlight w:val="none"/>
        </w:rPr>
      </w:pPr>
      <w:r>
        <w:rPr>
          <w:rFonts w:hint="eastAsia" w:ascii="宋体" w:hAnsi="宋体" w:eastAsia="宋体" w:cs="宋体"/>
          <w:color w:val="auto"/>
          <w:szCs w:val="21"/>
          <w:highlight w:val="none"/>
        </w:rPr>
        <w:t>2、合同项下全部权利义务履行完毕后，本合同自动失效。合同到期后，合同项下任何尚未了结的债权和债务不受合同到期的影响。合同双方仍应履行约定义务或未完结部分，债务人仍应向债权人履行其义务。</w:t>
      </w:r>
    </w:p>
    <w:p>
      <w:pPr>
        <w:spacing w:line="440" w:lineRule="exact"/>
        <w:ind w:firstLine="54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Times New Roman" w:hAnsi="Times New Roman" w:eastAsia="宋体" w:cs="Times New Roman"/>
          <w:color w:val="auto"/>
          <w:szCs w:val="21"/>
          <w:highlight w:val="none"/>
        </w:rPr>
        <w:t>没有甲方的事先书面同意，乙方不得将合同项下的任何权利和义务转让给第三方。</w:t>
      </w:r>
    </w:p>
    <w:p>
      <w:pPr>
        <w:widowControl/>
        <w:adjustRightInd w:val="0"/>
        <w:snapToGrid w:val="0"/>
        <w:spacing w:before="120" w:beforeLines="50" w:after="120" w:afterLines="50" w:line="440" w:lineRule="exact"/>
        <w:ind w:firstLine="422" w:firstLineChars="200"/>
        <w:jc w:val="left"/>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八、合同份数</w:t>
      </w:r>
    </w:p>
    <w:p>
      <w:pPr>
        <w:adjustRightInd w:val="0"/>
        <w:snapToGrid w:val="0"/>
        <w:spacing w:after="120" w:afterLines="50" w:line="44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本合同一式</w:t>
      </w:r>
      <w:r>
        <w:rPr>
          <w:rFonts w:hint="eastAsia" w:ascii="宋体" w:hAnsi="宋体" w:eastAsia="宋体" w:cs="宋体"/>
          <w:bCs/>
          <w:color w:val="auto"/>
          <w:szCs w:val="21"/>
          <w:highlight w:val="none"/>
          <w:u w:val="single"/>
        </w:rPr>
        <w:t>3</w:t>
      </w:r>
      <w:r>
        <w:rPr>
          <w:rFonts w:hint="eastAsia" w:ascii="宋体" w:hAnsi="宋体" w:eastAsia="宋体" w:cs="宋体"/>
          <w:bCs/>
          <w:color w:val="auto"/>
          <w:szCs w:val="21"/>
          <w:highlight w:val="none"/>
        </w:rPr>
        <w:t>份，均具有同等法律效力，甲方执</w:t>
      </w:r>
      <w:r>
        <w:rPr>
          <w:rFonts w:hint="eastAsia" w:ascii="宋体" w:hAnsi="宋体" w:eastAsia="宋体" w:cs="宋体"/>
          <w:bCs/>
          <w:color w:val="auto"/>
          <w:szCs w:val="21"/>
          <w:highlight w:val="none"/>
          <w:u w:val="single"/>
        </w:rPr>
        <w:t>2</w:t>
      </w:r>
      <w:r>
        <w:rPr>
          <w:rFonts w:hint="eastAsia" w:ascii="宋体" w:hAnsi="宋体" w:eastAsia="宋体" w:cs="宋体"/>
          <w:bCs/>
          <w:color w:val="auto"/>
          <w:szCs w:val="21"/>
          <w:highlight w:val="none"/>
        </w:rPr>
        <w:t>份，乙方执</w:t>
      </w:r>
      <w:r>
        <w:rPr>
          <w:rFonts w:hint="eastAsia" w:ascii="宋体" w:hAnsi="宋体" w:eastAsia="宋体" w:cs="宋体"/>
          <w:bCs/>
          <w:color w:val="auto"/>
          <w:szCs w:val="21"/>
          <w:highlight w:val="none"/>
          <w:u w:val="single"/>
        </w:rPr>
        <w:t>1</w:t>
      </w:r>
      <w:r>
        <w:rPr>
          <w:rFonts w:hint="eastAsia" w:ascii="宋体" w:hAnsi="宋体" w:eastAsia="宋体" w:cs="宋体"/>
          <w:bCs/>
          <w:color w:val="auto"/>
          <w:szCs w:val="21"/>
          <w:highlight w:val="none"/>
        </w:rPr>
        <w:t>份。</w:t>
      </w:r>
    </w:p>
    <w:p>
      <w:pPr>
        <w:spacing w:line="440" w:lineRule="exact"/>
        <w:ind w:firstLine="420" w:firstLineChars="200"/>
        <w:rPr>
          <w:rFonts w:ascii="宋体" w:hAnsi="宋体" w:eastAsia="宋体" w:cs="Times New Roman"/>
          <w:color w:val="auto"/>
          <w:szCs w:val="21"/>
          <w:highlight w:val="none"/>
        </w:rPr>
      </w:pPr>
    </w:p>
    <w:p>
      <w:pPr>
        <w:keepNext w:val="0"/>
        <w:keepLines w:val="0"/>
        <w:pageBreakBefore w:val="0"/>
        <w:widowControl w:val="0"/>
        <w:kinsoku/>
        <w:wordWrap/>
        <w:overflowPunct/>
        <w:topLinePunct w:val="0"/>
        <w:bidi w:val="0"/>
        <w:snapToGrid/>
        <w:spacing w:line="480" w:lineRule="exact"/>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甲方：                                   乙方： </w:t>
      </w:r>
    </w:p>
    <w:p>
      <w:pPr>
        <w:pStyle w:val="2"/>
        <w:keepNext w:val="0"/>
        <w:keepLines w:val="0"/>
        <w:pageBreakBefore w:val="0"/>
        <w:widowControl w:val="0"/>
        <w:kinsoku/>
        <w:wordWrap/>
        <w:overflowPunct/>
        <w:topLinePunct w:val="0"/>
        <w:bidi w:val="0"/>
        <w:snapToGrid/>
        <w:spacing w:line="480" w:lineRule="exact"/>
        <w:ind w:firstLine="720" w:firstLineChars="300"/>
        <w:textAlignment w:val="auto"/>
        <w:rPr>
          <w:rFonts w:hint="default" w:eastAsia="宋体"/>
          <w:color w:val="auto"/>
          <w:highlight w:val="none"/>
          <w:lang w:val="en-US" w:eastAsia="zh-CN"/>
        </w:rPr>
      </w:pPr>
      <w:r>
        <w:rPr>
          <w:rFonts w:hint="eastAsia" w:hAnsi="宋体" w:cs="Times New Roman"/>
          <w:color w:val="auto"/>
          <w:szCs w:val="21"/>
          <w:highlight w:val="none"/>
          <w:lang w:val="en-US" w:eastAsia="zh-CN"/>
        </w:rPr>
        <w:t>法定代表人或委托代理人：           法定代表人或委托代理人：</w:t>
      </w:r>
    </w:p>
    <w:p>
      <w:pPr>
        <w:keepNext w:val="0"/>
        <w:keepLines w:val="0"/>
        <w:pageBreakBefore w:val="0"/>
        <w:widowControl w:val="0"/>
        <w:kinsoku/>
        <w:wordWrap/>
        <w:overflowPunct/>
        <w:topLinePunct w:val="0"/>
        <w:bidi w:val="0"/>
        <w:snapToGrid/>
        <w:spacing w:line="480" w:lineRule="exact"/>
        <w:textAlignment w:val="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lang w:val="en-US" w:eastAsia="zh-CN"/>
        </w:rPr>
        <w:t xml:space="preserve">     </w:t>
      </w:r>
      <w:r>
        <w:rPr>
          <w:rFonts w:hint="eastAsia" w:ascii="宋体" w:hAnsi="宋体" w:eastAsia="宋体" w:cs="Times New Roman"/>
          <w:color w:val="auto"/>
          <w:szCs w:val="21"/>
          <w:highlight w:val="none"/>
        </w:rPr>
        <w:t>签字日期：      年    月   日            签字日期：      年    月   日</w:t>
      </w:r>
    </w:p>
    <w:p>
      <w:pPr>
        <w:spacing w:line="6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br w:type="page"/>
      </w:r>
    </w:p>
    <w:p>
      <w:pPr>
        <w:keepNext/>
        <w:keepLines/>
        <w:spacing w:before="120" w:after="330" w:line="360" w:lineRule="auto"/>
        <w:jc w:val="center"/>
        <w:outlineLvl w:val="0"/>
        <w:rPr>
          <w:rFonts w:hint="eastAsia" w:ascii="宋体" w:hAnsi="宋体" w:eastAsia="宋体" w:cs="宋体"/>
          <w:b/>
          <w:bCs/>
          <w:color w:val="auto"/>
          <w:kern w:val="44"/>
          <w:sz w:val="36"/>
          <w:szCs w:val="36"/>
          <w:highlight w:val="none"/>
        </w:rPr>
      </w:pPr>
      <w:bookmarkStart w:id="23" w:name="_Toc21364"/>
      <w:r>
        <w:rPr>
          <w:rFonts w:hint="eastAsia" w:ascii="宋体" w:hAnsi="宋体" w:eastAsia="宋体" w:cs="宋体"/>
          <w:b/>
          <w:bCs/>
          <w:color w:val="auto"/>
          <w:kern w:val="44"/>
          <w:sz w:val="36"/>
          <w:szCs w:val="36"/>
          <w:highlight w:val="none"/>
          <w:lang w:val="en-US" w:eastAsia="zh-CN"/>
        </w:rPr>
        <w:t xml:space="preserve">第五章  </w:t>
      </w:r>
      <w:r>
        <w:rPr>
          <w:rFonts w:hint="eastAsia" w:ascii="宋体" w:hAnsi="宋体" w:eastAsia="宋体" w:cs="宋体"/>
          <w:b/>
          <w:bCs/>
          <w:color w:val="auto"/>
          <w:kern w:val="44"/>
          <w:sz w:val="36"/>
          <w:szCs w:val="36"/>
          <w:highlight w:val="none"/>
        </w:rPr>
        <w:t>招标项目需求</w:t>
      </w:r>
      <w:bookmarkEnd w:id="23"/>
    </w:p>
    <w:p>
      <w:pPr>
        <w:numPr>
          <w:ilvl w:val="0"/>
          <w:numId w:val="2"/>
        </w:numPr>
        <w:snapToGrid w:val="0"/>
        <w:spacing w:line="360" w:lineRule="atLeast"/>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采购内容</w:t>
      </w:r>
    </w:p>
    <w:tbl>
      <w:tblPr>
        <w:tblStyle w:val="46"/>
        <w:tblW w:w="0" w:type="auto"/>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3971"/>
        <w:gridCol w:w="1706"/>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序号</w:t>
            </w:r>
          </w:p>
        </w:tc>
        <w:tc>
          <w:tcPr>
            <w:tcW w:w="397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货物内容</w:t>
            </w:r>
          </w:p>
        </w:tc>
        <w:tc>
          <w:tcPr>
            <w:tcW w:w="170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单位</w:t>
            </w:r>
          </w:p>
        </w:tc>
        <w:tc>
          <w:tcPr>
            <w:tcW w:w="176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4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1</w:t>
            </w:r>
          </w:p>
        </w:tc>
        <w:tc>
          <w:tcPr>
            <w:tcW w:w="397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ZR-YJY22-0.6/1-3*95+2*50</w:t>
            </w:r>
          </w:p>
        </w:tc>
        <w:tc>
          <w:tcPr>
            <w:tcW w:w="1706"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176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2</w:t>
            </w:r>
          </w:p>
        </w:tc>
        <w:tc>
          <w:tcPr>
            <w:tcW w:w="397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ZR-YJY-0.6/1-3*95+2*50</w:t>
            </w:r>
          </w:p>
        </w:tc>
        <w:tc>
          <w:tcPr>
            <w:tcW w:w="1706"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176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3</w:t>
            </w:r>
          </w:p>
        </w:tc>
        <w:tc>
          <w:tcPr>
            <w:tcW w:w="397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YJV-0.6/1\2*95+1*25</w:t>
            </w:r>
          </w:p>
        </w:tc>
        <w:tc>
          <w:tcPr>
            <w:tcW w:w="1706"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176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4</w:t>
            </w:r>
          </w:p>
        </w:tc>
        <w:tc>
          <w:tcPr>
            <w:tcW w:w="397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RVSP-4*1</w:t>
            </w:r>
          </w:p>
        </w:tc>
        <w:tc>
          <w:tcPr>
            <w:tcW w:w="1706"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米</w:t>
            </w:r>
          </w:p>
        </w:tc>
        <w:tc>
          <w:tcPr>
            <w:tcW w:w="176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5</w:t>
            </w:r>
          </w:p>
        </w:tc>
        <w:tc>
          <w:tcPr>
            <w:tcW w:w="397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SFTP-HSYYP-5E 4*2*0.52</w:t>
            </w:r>
          </w:p>
        </w:tc>
        <w:tc>
          <w:tcPr>
            <w:tcW w:w="1706"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米</w:t>
            </w:r>
          </w:p>
        </w:tc>
        <w:tc>
          <w:tcPr>
            <w:tcW w:w="176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6</w:t>
            </w:r>
          </w:p>
        </w:tc>
        <w:tc>
          <w:tcPr>
            <w:tcW w:w="397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YJV-0.6/1\2*2.5</w:t>
            </w:r>
          </w:p>
        </w:tc>
        <w:tc>
          <w:tcPr>
            <w:tcW w:w="1706"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米</w:t>
            </w:r>
          </w:p>
        </w:tc>
        <w:tc>
          <w:tcPr>
            <w:tcW w:w="176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7</w:t>
            </w:r>
          </w:p>
        </w:tc>
        <w:tc>
          <w:tcPr>
            <w:tcW w:w="397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YJY22-0.6/1-3*120+2*70</w:t>
            </w:r>
          </w:p>
        </w:tc>
        <w:tc>
          <w:tcPr>
            <w:tcW w:w="1706"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米</w:t>
            </w:r>
          </w:p>
        </w:tc>
        <w:tc>
          <w:tcPr>
            <w:tcW w:w="176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8</w:t>
            </w:r>
          </w:p>
        </w:tc>
        <w:tc>
          <w:tcPr>
            <w:tcW w:w="3971"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YJY-0.6/1-3*120+2*70</w:t>
            </w:r>
          </w:p>
        </w:tc>
        <w:tc>
          <w:tcPr>
            <w:tcW w:w="1706"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Hans" w:bidi="ar-SA"/>
              </w:rPr>
            </w:pPr>
            <w:r>
              <w:rPr>
                <w:rFonts w:hint="eastAsia" w:ascii="宋体" w:hAnsi="宋体" w:eastAsia="宋体" w:cs="Times New Roman"/>
                <w:color w:val="auto"/>
                <w:szCs w:val="21"/>
                <w:highlight w:val="none"/>
              </w:rPr>
              <w:t>米</w:t>
            </w:r>
          </w:p>
        </w:tc>
        <w:tc>
          <w:tcPr>
            <w:tcW w:w="176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1500</w:t>
            </w:r>
          </w:p>
        </w:tc>
      </w:tr>
    </w:tbl>
    <w:p>
      <w:pPr>
        <w:rPr>
          <w:rFonts w:ascii="Times New Roman" w:hAnsi="Times New Roman" w:eastAsia="宋体" w:cs="Times New Roman"/>
          <w:color w:val="auto"/>
          <w:szCs w:val="21"/>
          <w:highlight w:val="none"/>
        </w:rPr>
      </w:pPr>
    </w:p>
    <w:p>
      <w:pPr>
        <w:rPr>
          <w:rFonts w:ascii="Times New Roman" w:hAnsi="宋体" w:eastAsia="宋体" w:cs="Times New Roman"/>
          <w:color w:val="auto"/>
          <w:szCs w:val="21"/>
          <w:highlight w:val="none"/>
        </w:rPr>
      </w:pPr>
      <w:r>
        <w:rPr>
          <w:rFonts w:hint="eastAsia" w:ascii="Times New Roman" w:hAnsi="宋体" w:eastAsia="宋体" w:cs="宋体"/>
          <w:b/>
          <w:color w:val="auto"/>
          <w:szCs w:val="21"/>
          <w:highlight w:val="none"/>
        </w:rPr>
        <w:t>二、技术要求</w:t>
      </w:r>
    </w:p>
    <w:p>
      <w:pPr>
        <w:adjustRightInd w:val="0"/>
        <w:spacing w:line="360" w:lineRule="auto"/>
        <w:ind w:firstLine="422" w:firstLineChars="200"/>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2.1通则</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▲承包商提供的每一盘或每一卷电缆应附有合格证，注明厂家、电缆尺寸、芯线数目、长度以及根据要求的技术规范所进行的试验结果和试验日期。</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▲交货时距生产日期已超过12个月的电缆，将被拒收。</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▲所有电缆交付时，其端点外侧头装拉线，内侧头应可靠密封。当从盘架上割下电缆时，二端应立即密封，以防潮气侵入。</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▲电缆每轴应提供一个牵引环。</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▲电缆不得以松散的卷状运输到工地上，但若干长度较短的电缆可用同一个盘架运输。承包商应负责所有的盘架的购买费用。</w:t>
      </w:r>
    </w:p>
    <w:p>
      <w:pPr>
        <w:adjustRightInd w:val="0"/>
        <w:spacing w:line="360" w:lineRule="auto"/>
        <w:ind w:firstLine="422" w:firstLineChars="200"/>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2.2 标准</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▲所有电缆应满足 IEC60502 标准、IEC60840 标准或 GB12706.1～3-91 标准，可直接安装在管道、支架或直接用夹子固定，所有电力电缆必须有足够的强度以满足电力排管施工的需要。</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▲本合同电缆还应该符合以下标准：</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GB2951 电线电缆 机械物理性能试验方法</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GB2952 电缆外护套</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GB3953 电工园铜线</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GB3957 电力电缆铜、铝导电线芯</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GB4005 电线电缆交货盘</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GB6995 电线电缆识别标志</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GB3048 电线电缆 电性能试验方法</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GB12666.1~7－90 电线电缆燃烧试验方法</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GB12706 额定电压 35kV 及以下铜芯、铝芯塑料绝缘电力电缆</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GB9330 塑料绝缘控制电缆</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GB3956 电气装备电线电缆铜、铝导电线芯</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IEC60840 额定电压为 30kV(Um=36kV)以上至 150kV(Um=170 Kv )以下的挤压绝缘的动力电缆试验</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IEC60502 额定电压 1kV～30kV 的挤压固体电介质绝缘电力电缆</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IEC60228 绝缘电缆的导体</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IEC60331 着火条件下电缆的试验</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IEC60332 电缆在着火条件下的试验</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IEC60754-1 电缆燃烧放出的气体的试验.第 1 部分：电缆中的聚合物燃烧时放出的氢卤酸气体量的测定</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IEC60754-2 电缆燃烧放出的气体的试验.第 2 部分：用测量 pH 值和导电性的方法对电缆中的材料燃烧时释出气体的酸度的测定</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IEC61034 在规定条件下燃烧的电缆的烟密度的测量</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NES713 小样材料燃烧产物毒性指数的测定</w:t>
      </w:r>
    </w:p>
    <w:p>
      <w:pPr>
        <w:adjustRightInd w:val="0"/>
        <w:spacing w:line="360" w:lineRule="auto"/>
        <w:ind w:firstLine="422" w:firstLineChars="200"/>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▲2.3 制造厂提供的资料</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A.长期运行时的最大载流量表</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B.导体允许最大短路电流值</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C.金属屏蔽层允许的最大短路容量</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D.电缆的一次电气参数：电容、电感、直流电阻以及零序、正序和负序阻抗值</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E.电缆的允许拉力、侧压力</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F.电缆安装中和安装后的弯曲半径</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G.绝缘厚度</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H.护套厚度</w:t>
      </w:r>
    </w:p>
    <w:p>
      <w:pPr>
        <w:adjustRightInd w:val="0"/>
        <w:spacing w:line="360" w:lineRule="auto"/>
        <w:ind w:firstLine="422" w:firstLineChars="200"/>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2.4 在制造厂检查和试验</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▲在制造厂应做的试验及其方法在 IEC60502 标准、IEC60840 标准或GB12706.1～3标准中已提到。</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承包商发出检查时间的通知，业主有权派出工程师参加检查和制造厂试验，派出费用由承包商承担。</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在制造厂检查和试验以前，一切相关权威机构以及专业的试验实验室批准的证书，应提交业主委派的监理工程师研究。</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对电缆的各项参数，承包商应列出可资证明的数据，并须经业主委派的监理工程师认可。</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▲所有电缆应按 GB12706 1～3、GB12666 或 IEC60502、IEC61034、IEC60331、IEC60332-3、NES713 标准要求进行试验，所有的试验方法在这些标准中涉及到。</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▲业主委派的监理工程师将同承包商进行现场检查和必须的试验以及抽样试验，任何不符合要求的电缆将被拒收并由承包商承担该检查和试验费用。</w:t>
      </w:r>
    </w:p>
    <w:p>
      <w:pPr>
        <w:adjustRightInd w:val="0"/>
        <w:spacing w:line="360" w:lineRule="auto"/>
        <w:ind w:firstLine="422" w:firstLineChars="200"/>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2.5 电力电缆</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▲电缆的各项电气参数应符合其使用条件下的要求，且应考虑以下因素：</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 连接负载加上 30%的容量以及敷设方法引起的降容量。</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 电缆电压等级及敷设方法</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 系统的故障水平及持续时间</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 最大环境温度</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 电缆平行敷设的数量</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 电缆均采用铜芯电缆且敷设时不受落差影响，电缆性能全部达到 IEC 和 GB 的有关要求。</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▲A.导体</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导体表面光洁、无油污、无损伤屏蔽及绝缘的毛刺、锐边，无突起或断裂的单线。</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导体应采用圆型单线绞合紧压导体，其组成、性能和外观应符合 GB/T 3956 标准的规定，紧压系数不小于 0.89。</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▲B.绝缘</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PVC（聚氯乙烯）护套，符合 GB2952标准的规定。正常运行导体最高额定温度为 70℃。护套表面应光亮，印字清晰，并有正确的计米标志，电缆截面应呈圆形，不圆度：（最大外径 －最小外径）/标称外径 ≤15%。</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▲C.强度</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聚乙烯绝缘聚乙烯护套电力电缆应满足 IEC502 标准、IEC840 标准或 GB12706.1～3－91 标准，可直接安装在管道、支架或直接用夹子固定，所有电缆必须有足够的强度以满足管线施工的需要，至少保证在间隔 50m 的管道中牵引不损伤。电力电缆应按国标GB12706 1～3 或 IEC502、IEC840 规定考核。</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钢带铠装电力电缆应满足 IEC502 标准、IEC840 标准或 GB12706.1～3－91 标准，可直埋敷设，所有电缆必须有足够的强度以满足管线施工的需要，至少保证在地下 0.7m处直埋敷设及在间隔 50m 的管道中牵引时不会受损伤。电力电缆应按国标 GB12706 1～3 或 IEC502、IEC840 规定考核。</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▲D.铠装</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钢带铠装应符合 GB12706、GB2952 标准的规定。</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▲E.护套</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护套表面应光亮，印字清晰（采用激光喷墨打印系统），并有正确的计米标志，电缆截面应呈圆形，不圆度：（电缆最大外径 －电缆最小外径） ÷标称外径 ≤15%。</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XLPE（交联聚乙烯）护套，符合 GB2952 标准的规定。正常运行导体最高额定温度为 90℃。</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▲F.电压</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0.4kV 电缆的额定工频线电压 1kV，额定工频相电压 0.6kV。</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10kV 电缆缆芯之间的最高工频电压 12kV，电缆的额定电压 8.7/10kV，缆芯对地的雷电冲击耐压峰值不小于 95kV。</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▲G.直流电阻</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电缆导体的直流电阻 20℃时应小于下列数值：</w:t>
      </w:r>
    </w:p>
    <w:tbl>
      <w:tblPr>
        <w:tblStyle w:val="4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1205"/>
        <w:gridCol w:w="1205"/>
        <w:gridCol w:w="1206"/>
        <w:gridCol w:w="120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导体标称截面(mm2)</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最大导体直流电阻(Ω/km)</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12.1</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7.41</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4.61</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3.08</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导体标称截面(mm2)</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35</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50</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最大导体直流电阻(Ω/km)</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1.15</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0.727</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0.524</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0.387</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导体标称截面(mm2)</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95</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120</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150</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185</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最大导体直流电阻(Ω/km)</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0.193</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0.153</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0.124</w:t>
            </w:r>
          </w:p>
        </w:tc>
        <w:tc>
          <w:tcPr>
            <w:tcW w:w="1205"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0.0991</w:t>
            </w:r>
          </w:p>
        </w:tc>
        <w:tc>
          <w:tcPr>
            <w:tcW w:w="1206"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0.0754</w:t>
            </w:r>
          </w:p>
        </w:tc>
      </w:tr>
    </w:tbl>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H.短路电流</w:t>
      </w:r>
    </w:p>
    <w:tbl>
      <w:tblPr>
        <w:tblStyle w:val="4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9"/>
        <w:gridCol w:w="2929"/>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导体截面积（mm2）</w:t>
            </w:r>
          </w:p>
        </w:tc>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导体短路电流值（kA）</w:t>
            </w:r>
          </w:p>
        </w:tc>
        <w:tc>
          <w:tcPr>
            <w:tcW w:w="2930"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短路电流持续时间（S）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300</w:t>
            </w:r>
          </w:p>
        </w:tc>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43</w:t>
            </w:r>
          </w:p>
        </w:tc>
        <w:tc>
          <w:tcPr>
            <w:tcW w:w="293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240</w:t>
            </w:r>
          </w:p>
        </w:tc>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34</w:t>
            </w:r>
          </w:p>
        </w:tc>
        <w:tc>
          <w:tcPr>
            <w:tcW w:w="293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auto"/>
                <w:kern w:val="0"/>
                <w:szCs w:val="21"/>
                <w:highlight w:val="none"/>
              </w:rPr>
            </w:pPr>
            <w:r>
              <w:rPr>
                <w:rFonts w:ascii="Times New Roman" w:hAnsi="宋体" w:eastAsia="宋体" w:cs="Times New Roman"/>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185</w:t>
            </w:r>
          </w:p>
        </w:tc>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26</w:t>
            </w:r>
          </w:p>
        </w:tc>
        <w:tc>
          <w:tcPr>
            <w:tcW w:w="293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auto"/>
                <w:kern w:val="0"/>
                <w:szCs w:val="21"/>
                <w:highlight w:val="none"/>
              </w:rPr>
            </w:pPr>
            <w:r>
              <w:rPr>
                <w:rFonts w:ascii="Times New Roman" w:hAnsi="宋体" w:eastAsia="宋体" w:cs="Times New Roman"/>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150</w:t>
            </w:r>
          </w:p>
        </w:tc>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293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auto"/>
                <w:kern w:val="0"/>
                <w:szCs w:val="21"/>
                <w:highlight w:val="none"/>
              </w:rPr>
            </w:pPr>
            <w:r>
              <w:rPr>
                <w:rFonts w:ascii="Times New Roman" w:hAnsi="宋体" w:eastAsia="宋体" w:cs="Times New Roman"/>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120</w:t>
            </w:r>
          </w:p>
        </w:tc>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293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auto"/>
                <w:kern w:val="0"/>
                <w:szCs w:val="21"/>
                <w:highlight w:val="none"/>
              </w:rPr>
            </w:pPr>
            <w:r>
              <w:rPr>
                <w:rFonts w:ascii="Times New Roman" w:hAnsi="宋体" w:eastAsia="宋体" w:cs="Times New Roman"/>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95</w:t>
            </w:r>
          </w:p>
        </w:tc>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2930" w:type="dxa"/>
            <w:tcBorders>
              <w:top w:val="single" w:color="auto" w:sz="4" w:space="0"/>
              <w:left w:val="single" w:color="auto" w:sz="4" w:space="0"/>
              <w:bottom w:val="single" w:color="auto" w:sz="4" w:space="0"/>
              <w:right w:val="single" w:color="auto" w:sz="4" w:space="0"/>
            </w:tcBorders>
          </w:tcPr>
          <w:p>
            <w:pPr>
              <w:jc w:val="center"/>
              <w:rPr>
                <w:rFonts w:ascii="Times New Roman"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70</w:t>
            </w:r>
          </w:p>
        </w:tc>
        <w:tc>
          <w:tcPr>
            <w:tcW w:w="2929"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2930" w:type="dxa"/>
            <w:tcBorders>
              <w:top w:val="single" w:color="auto" w:sz="4" w:space="0"/>
              <w:left w:val="single" w:color="auto" w:sz="4" w:space="0"/>
              <w:bottom w:val="single" w:color="auto" w:sz="4" w:space="0"/>
              <w:right w:val="single" w:color="auto" w:sz="4" w:space="0"/>
            </w:tcBorders>
          </w:tcPr>
          <w:p>
            <w:pPr>
              <w:jc w:val="center"/>
              <w:rPr>
                <w:rFonts w:ascii="Times New Roman" w:hAnsi="宋体" w:eastAsia="宋体" w:cs="Times New Roman"/>
                <w:color w:val="auto"/>
                <w:kern w:val="0"/>
                <w:szCs w:val="21"/>
                <w:highlight w:val="none"/>
              </w:rPr>
            </w:pPr>
          </w:p>
        </w:tc>
      </w:tr>
    </w:tbl>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▲I.交流电压试验</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0.6/ 1kV 成盘电缆的交流电压试验为：3.5 kV 下 5 分钟</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8.7/10kV 成盘电缆的交流电压试验为：22kV 下 5 分钟</w:t>
      </w:r>
    </w:p>
    <w:p>
      <w:pPr>
        <w:rPr>
          <w:rFonts w:ascii="Times New Roman" w:hAnsi="宋体" w:eastAsia="宋体" w:cs="宋体"/>
          <w:b/>
          <w:color w:val="auto"/>
          <w:szCs w:val="21"/>
          <w:highlight w:val="none"/>
        </w:rPr>
      </w:pPr>
      <w:r>
        <w:rPr>
          <w:rFonts w:hint="eastAsia" w:ascii="Times New Roman" w:hAnsi="宋体" w:eastAsia="宋体" w:cs="宋体"/>
          <w:b/>
          <w:color w:val="auto"/>
          <w:szCs w:val="21"/>
          <w:highlight w:val="none"/>
        </w:rPr>
        <w:t>三、验收</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货送到招标人指定地点7天内由甲乙双方共同对货物的包装、外观、数量、型号、规格及出厂合格证等进行开箱验收，签署开箱验收证书。如中标人未按约定到招标人指定地点参加检验的，应视为中标人对招标人单方面检验的结果予以确认。验收标准执行国标。</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如发现中标人所交的货物有任何不符合合同规定之处，应做好记录，并由双方代表签字，作为招标人向中标人提出维修或退换货的依据。同时，招标人有权要求中标人对不符合合同要求的货物进行退换货处理，直到招标人检验合格为止，由此所产生的一切费用（含给招标人造成的维修、更换、返工等各项经济损失和因此而支付的检验费、鉴定费等相关费用）均由中标人承担，由此造成的最终验收合格之日超过合同约定交货日期，按逾期交货违约责任条款执行。</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3、开箱验收证书仅证明中标人所提供的货物截至出具验收证书之日时可以按合同要求予以接受，但不能视为中标人对货物存在的潜在缺陷所应付的责任的解除。此检验不作为对货物内在质量认定的依据。</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4、如果在质量保证期内发现合同货物存在缺陷，包括但不限于隐蔽缺陷或使用不当的原材料引起的缺陷，中标人需无条件退换货并赔偿招标人因此造成的一切损失。</w:t>
      </w:r>
    </w:p>
    <w:p>
      <w:pPr>
        <w:rPr>
          <w:rFonts w:ascii="Times New Roman" w:hAnsi="宋体" w:eastAsia="宋体" w:cs="宋体"/>
          <w:b/>
          <w:color w:val="auto"/>
          <w:szCs w:val="21"/>
          <w:highlight w:val="none"/>
        </w:rPr>
      </w:pPr>
      <w:r>
        <w:rPr>
          <w:rFonts w:hint="eastAsia" w:ascii="Times New Roman" w:hAnsi="宋体" w:eastAsia="宋体" w:cs="宋体"/>
          <w:b/>
          <w:color w:val="auto"/>
          <w:szCs w:val="21"/>
          <w:highlight w:val="none"/>
        </w:rPr>
        <w:t>四、其他</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投标人应提供至少3年的质量保证期。质保期内，因投标人产品有质量问题的，投标人必须负责免费更换或维修，更换或维修后，质保期（至少3年）重新起算；质保期过后，如需维修，投标人应以成本价提供有偿服务，并保证提供的产品符合国家标准。 </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2、质保期后设备维护服务要求：质保期过后，如需维修，投标人应以成本价提供有偿服务，并保证提供的产品符合招标标准。</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3、投标人应承诺提供7×24小时技术支持和维修、更换服务，如需现场解决，投标人应保证在4小时内抵达现场，并在15天之内处理完需要维修、更换的产品。</w:t>
      </w:r>
    </w:p>
    <w:p>
      <w:pPr>
        <w:adjustRightInd w:val="0"/>
        <w:spacing w:line="36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4、投标人可提出保修期后三年的收费维修、维护内容，费用和服务方式、范围（产品、技术、模块、部件），其费用不计入总价。</w:t>
      </w:r>
    </w:p>
    <w:p>
      <w:pPr>
        <w:adjustRightIn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5、供货方式：一次性供货</w:t>
      </w:r>
    </w:p>
    <w:p>
      <w:pP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pStyle w:val="2"/>
        <w:rPr>
          <w:color w:val="auto"/>
          <w:highlight w:val="none"/>
        </w:rPr>
      </w:pPr>
    </w:p>
    <w:p>
      <w:pPr>
        <w:spacing w:line="360" w:lineRule="auto"/>
        <w:ind w:firstLine="480" w:firstLineChars="200"/>
        <w:rPr>
          <w:rFonts w:ascii="Calibri" w:hAnsi="Times New Roman" w:eastAsia="宋体" w:cs="Times New Roman"/>
          <w:color w:val="auto"/>
          <w:sz w:val="24"/>
          <w:szCs w:val="24"/>
          <w:highlight w:val="none"/>
        </w:rPr>
      </w:pPr>
    </w:p>
    <w:p>
      <w:pPr>
        <w:keepNext/>
        <w:keepLines/>
        <w:spacing w:line="360" w:lineRule="auto"/>
        <w:jc w:val="center"/>
        <w:outlineLvl w:val="0"/>
        <w:rPr>
          <w:rFonts w:ascii="宋体" w:hAnsi="宋体" w:eastAsia="宋体" w:cs="宋体"/>
          <w:b/>
          <w:bCs/>
          <w:color w:val="auto"/>
          <w:kern w:val="44"/>
          <w:sz w:val="36"/>
          <w:szCs w:val="36"/>
          <w:highlight w:val="none"/>
        </w:rPr>
      </w:pPr>
      <w:r>
        <w:rPr>
          <w:rFonts w:hint="eastAsia" w:ascii="宋体" w:hAnsi="宋体" w:eastAsia="宋体" w:cs="宋体"/>
          <w:b/>
          <w:bCs/>
          <w:color w:val="auto"/>
          <w:kern w:val="44"/>
          <w:sz w:val="36"/>
          <w:szCs w:val="36"/>
          <w:highlight w:val="none"/>
        </w:rPr>
        <w:t>第六章</w:t>
      </w:r>
      <w:bookmarkEnd w:id="21"/>
      <w:bookmarkStart w:id="24" w:name="_Toc216662965"/>
      <w:bookmarkStart w:id="25" w:name="_Toc5926"/>
      <w:r>
        <w:rPr>
          <w:rFonts w:hint="eastAsia" w:ascii="宋体" w:hAnsi="宋体" w:eastAsia="宋体" w:cs="宋体"/>
          <w:b/>
          <w:bCs/>
          <w:color w:val="auto"/>
          <w:kern w:val="44"/>
          <w:sz w:val="36"/>
          <w:szCs w:val="36"/>
          <w:highlight w:val="none"/>
        </w:rPr>
        <w:t xml:space="preserve"> 商务条款</w:t>
      </w:r>
    </w:p>
    <w:tbl>
      <w:tblPr>
        <w:tblStyle w:val="46"/>
        <w:tblW w:w="0" w:type="auto"/>
        <w:jc w:val="center"/>
        <w:tblLayout w:type="fixed"/>
        <w:tblCellMar>
          <w:top w:w="0" w:type="dxa"/>
          <w:left w:w="108" w:type="dxa"/>
          <w:bottom w:w="0" w:type="dxa"/>
          <w:right w:w="108" w:type="dxa"/>
        </w:tblCellMar>
      </w:tblPr>
      <w:tblGrid>
        <w:gridCol w:w="1080"/>
        <w:gridCol w:w="7380"/>
      </w:tblGrid>
      <w:tr>
        <w:tblPrEx>
          <w:tblCellMar>
            <w:top w:w="0" w:type="dxa"/>
            <w:left w:w="108" w:type="dxa"/>
            <w:bottom w:w="0" w:type="dxa"/>
            <w:right w:w="108" w:type="dxa"/>
          </w:tblCellMar>
        </w:tblPrEx>
        <w:trPr>
          <w:trHeight w:val="640" w:hRule="atLeast"/>
          <w:jc w:val="center"/>
        </w:trPr>
        <w:tc>
          <w:tcPr>
            <w:tcW w:w="1080" w:type="dxa"/>
            <w:tcBorders>
              <w:top w:val="single" w:color="000000" w:sz="12" w:space="0"/>
              <w:left w:val="single" w:color="000000" w:sz="12"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序号</w:t>
            </w:r>
          </w:p>
        </w:tc>
        <w:tc>
          <w:tcPr>
            <w:tcW w:w="7380" w:type="dxa"/>
            <w:tcBorders>
              <w:top w:val="single" w:color="000000" w:sz="12" w:space="0"/>
              <w:left w:val="nil"/>
              <w:bottom w:val="single" w:color="000000" w:sz="6" w:space="0"/>
              <w:right w:val="single" w:color="000000" w:sz="12" w:space="0"/>
            </w:tcBorders>
            <w:vAlign w:val="center"/>
          </w:tcPr>
          <w:p>
            <w:pPr>
              <w:autoSpaceDE w:val="0"/>
              <w:autoSpaceDN w:val="0"/>
              <w:adjustRightInd w:val="0"/>
              <w:spacing w:line="400" w:lineRule="exact"/>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lang w:val="zh-CN"/>
              </w:rPr>
              <w:t>内</w:t>
            </w:r>
            <w:r>
              <w:rPr>
                <w:rFonts w:hint="eastAsia" w:ascii="宋体" w:hAnsi="宋体" w:eastAsia="宋体" w:cs="Times New Roman"/>
                <w:b/>
                <w:bCs/>
                <w:color w:val="auto"/>
                <w:szCs w:val="21"/>
                <w:highlight w:val="none"/>
              </w:rPr>
              <w:t xml:space="preserve">      </w:t>
            </w:r>
            <w:r>
              <w:rPr>
                <w:rFonts w:hint="eastAsia" w:ascii="宋体" w:hAnsi="宋体" w:eastAsia="宋体" w:cs="Times New Roman"/>
                <w:b/>
                <w:bCs/>
                <w:color w:val="auto"/>
                <w:szCs w:val="21"/>
                <w:highlight w:val="none"/>
                <w:lang w:val="zh-CN"/>
              </w:rPr>
              <w:t>容</w:t>
            </w:r>
          </w:p>
        </w:tc>
      </w:tr>
      <w:tr>
        <w:tblPrEx>
          <w:tblCellMar>
            <w:top w:w="0" w:type="dxa"/>
            <w:left w:w="108" w:type="dxa"/>
            <w:bottom w:w="0" w:type="dxa"/>
            <w:right w:w="108" w:type="dxa"/>
          </w:tblCellMar>
        </w:tblPrEx>
        <w:trPr>
          <w:trHeight w:val="719" w:hRule="atLeast"/>
          <w:jc w:val="center"/>
        </w:trPr>
        <w:tc>
          <w:tcPr>
            <w:tcW w:w="1080" w:type="dxa"/>
            <w:tcBorders>
              <w:top w:val="single" w:color="auto" w:sz="6" w:space="0"/>
              <w:left w:val="single" w:color="000000" w:sz="12"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7380" w:type="dxa"/>
            <w:tcBorders>
              <w:top w:val="single" w:color="auto" w:sz="6" w:space="0"/>
              <w:left w:val="nil"/>
              <w:bottom w:val="single" w:color="000000" w:sz="6" w:space="0"/>
              <w:right w:val="single" w:color="000000" w:sz="12" w:space="0"/>
            </w:tcBorders>
            <w:vAlign w:val="center"/>
          </w:tcPr>
          <w:p>
            <w:pPr>
              <w:autoSpaceDE w:val="0"/>
              <w:autoSpaceDN w:val="0"/>
              <w:adjustRightInd w:val="0"/>
              <w:spacing w:line="400" w:lineRule="exact"/>
              <w:jc w:val="left"/>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供货期</w:t>
            </w:r>
            <w:r>
              <w:rPr>
                <w:rFonts w:hint="eastAsia" w:ascii="Times New Roman" w:hAnsi="Times New Roman" w:eastAsia="宋体" w:cs="Times New Roman"/>
                <w:color w:val="auto"/>
                <w:szCs w:val="20"/>
                <w:highlight w:val="none"/>
                <w:lang w:val="zh-CN"/>
              </w:rPr>
              <w:t>：</w:t>
            </w:r>
            <w:r>
              <w:rPr>
                <w:rFonts w:hint="eastAsia" w:ascii="Times New Roman" w:hAnsi="Times New Roman" w:eastAsia="宋体" w:cs="Times New Roman"/>
                <w:color w:val="auto"/>
                <w:szCs w:val="20"/>
                <w:highlight w:val="none"/>
              </w:rPr>
              <w:t>签订合同后</w:t>
            </w:r>
            <w:r>
              <w:rPr>
                <w:rFonts w:ascii="Times New Roman" w:hAnsi="Times New Roman" w:eastAsia="宋体" w:cs="Times New Roman"/>
                <w:color w:val="auto"/>
                <w:szCs w:val="20"/>
                <w:highlight w:val="none"/>
              </w:rPr>
              <w:t>15</w:t>
            </w:r>
            <w:r>
              <w:rPr>
                <w:rFonts w:hint="eastAsia" w:ascii="Times New Roman" w:hAnsi="Times New Roman" w:eastAsia="宋体" w:cs="Times New Roman"/>
                <w:color w:val="auto"/>
                <w:szCs w:val="20"/>
                <w:highlight w:val="none"/>
              </w:rPr>
              <w:t>天内完成交货。</w:t>
            </w:r>
          </w:p>
        </w:tc>
      </w:tr>
      <w:tr>
        <w:tblPrEx>
          <w:tblCellMar>
            <w:top w:w="0" w:type="dxa"/>
            <w:left w:w="108" w:type="dxa"/>
            <w:bottom w:w="0" w:type="dxa"/>
            <w:right w:w="108" w:type="dxa"/>
          </w:tblCellMar>
        </w:tblPrEx>
        <w:trPr>
          <w:trHeight w:val="1032" w:hRule="atLeast"/>
          <w:jc w:val="center"/>
        </w:trPr>
        <w:tc>
          <w:tcPr>
            <w:tcW w:w="1080" w:type="dxa"/>
            <w:tcBorders>
              <w:top w:val="single" w:color="auto" w:sz="6" w:space="0"/>
              <w:left w:val="single" w:color="000000" w:sz="12"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eastAsia="宋体" w:cs="Times New Roman"/>
                <w:color w:val="auto"/>
                <w:szCs w:val="21"/>
                <w:highlight w:val="none"/>
              </w:rPr>
            </w:pPr>
            <w:r>
              <w:rPr>
                <w:rFonts w:hint="eastAsia" w:ascii="宋体" w:hAnsi="宋体" w:eastAsia="宋体" w:cs="Times New Roman"/>
                <w:b/>
                <w:color w:val="auto"/>
                <w:szCs w:val="21"/>
                <w:highlight w:val="none"/>
              </w:rPr>
              <w:t>★</w:t>
            </w:r>
            <w:r>
              <w:rPr>
                <w:rFonts w:hint="eastAsia" w:ascii="宋体" w:hAnsi="宋体" w:eastAsia="宋体" w:cs="Times New Roman"/>
                <w:color w:val="auto"/>
                <w:szCs w:val="21"/>
                <w:highlight w:val="none"/>
              </w:rPr>
              <w:t>2</w:t>
            </w:r>
          </w:p>
        </w:tc>
        <w:tc>
          <w:tcPr>
            <w:tcW w:w="7380" w:type="dxa"/>
            <w:tcBorders>
              <w:top w:val="single" w:color="auto" w:sz="6" w:space="0"/>
              <w:left w:val="nil"/>
              <w:bottom w:val="single" w:color="000000" w:sz="6" w:space="0"/>
              <w:right w:val="single" w:color="000000" w:sz="12" w:space="0"/>
            </w:tcBorders>
            <w:vAlign w:val="center"/>
          </w:tcPr>
          <w:p>
            <w:pPr>
              <w:autoSpaceDE w:val="0"/>
              <w:autoSpaceDN w:val="0"/>
              <w:adjustRightInd w:val="0"/>
              <w:spacing w:line="400" w:lineRule="exact"/>
              <w:jc w:val="left"/>
              <w:rPr>
                <w:rFonts w:ascii="宋体" w:hAnsi="宋体" w:eastAsia="宋体" w:cs="Times New Roman"/>
                <w:color w:val="auto"/>
                <w:szCs w:val="21"/>
                <w:highlight w:val="none"/>
                <w:lang w:val="zh-CN"/>
              </w:rPr>
            </w:pPr>
            <w:r>
              <w:rPr>
                <w:rFonts w:hint="eastAsia" w:ascii="宋体" w:hAnsi="宋体" w:eastAsia="宋体" w:cs="Times New Roman"/>
                <w:color w:val="auto"/>
                <w:szCs w:val="21"/>
                <w:highlight w:val="none"/>
                <w:lang w:val="zh-CN"/>
              </w:rPr>
              <w:t>履约保证金金额：</w:t>
            </w:r>
            <w:r>
              <w:rPr>
                <w:rFonts w:hint="eastAsia" w:ascii="宋体" w:hAnsi="宋体" w:eastAsia="宋体" w:cs="Times New Roman"/>
                <w:color w:val="auto"/>
                <w:kern w:val="0"/>
                <w:szCs w:val="21"/>
                <w:highlight w:val="none"/>
              </w:rPr>
              <w:t>履约保证金按合同价的</w:t>
            </w:r>
            <w:r>
              <w:rPr>
                <w:rFonts w:hint="eastAsia" w:ascii="宋体" w:hAnsi="宋体" w:eastAsia="宋体" w:cs="Times New Roman"/>
                <w:color w:val="auto"/>
                <w:kern w:val="0"/>
                <w:szCs w:val="21"/>
                <w:highlight w:val="none"/>
                <w:lang w:eastAsia="zh-CN"/>
              </w:rPr>
              <w:t>1%</w:t>
            </w:r>
            <w:r>
              <w:rPr>
                <w:rFonts w:hint="eastAsia" w:ascii="宋体" w:hAnsi="宋体" w:eastAsia="宋体" w:cs="Times New Roman"/>
                <w:color w:val="auto"/>
                <w:kern w:val="0"/>
                <w:szCs w:val="21"/>
                <w:highlight w:val="none"/>
              </w:rPr>
              <w:t>（可以采用银行保函、保险保单、担保公司担保等方式），</w:t>
            </w:r>
            <w:r>
              <w:rPr>
                <w:rFonts w:hint="eastAsia" w:ascii="宋体" w:hAnsi="宋体" w:eastAsia="宋体" w:cs="Times New Roman"/>
                <w:color w:val="auto"/>
                <w:szCs w:val="21"/>
                <w:highlight w:val="none"/>
              </w:rPr>
              <w:t>在合同签订后7个工作日内递交给招标人。合同履行完毕（验收合格）后该款无息退还。</w:t>
            </w:r>
          </w:p>
        </w:tc>
      </w:tr>
      <w:tr>
        <w:tblPrEx>
          <w:tblCellMar>
            <w:top w:w="0" w:type="dxa"/>
            <w:left w:w="108" w:type="dxa"/>
            <w:bottom w:w="0" w:type="dxa"/>
            <w:right w:w="108" w:type="dxa"/>
          </w:tblCellMar>
        </w:tblPrEx>
        <w:trPr>
          <w:trHeight w:val="965" w:hRule="atLeast"/>
          <w:jc w:val="center"/>
        </w:trPr>
        <w:tc>
          <w:tcPr>
            <w:tcW w:w="1080" w:type="dxa"/>
            <w:tcBorders>
              <w:top w:val="single" w:color="auto" w:sz="6" w:space="0"/>
              <w:left w:val="single" w:color="000000" w:sz="12"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★3</w:t>
            </w:r>
          </w:p>
        </w:tc>
        <w:tc>
          <w:tcPr>
            <w:tcW w:w="7380" w:type="dxa"/>
            <w:tcBorders>
              <w:top w:val="single" w:color="auto" w:sz="6" w:space="0"/>
              <w:left w:val="nil"/>
              <w:bottom w:val="single" w:color="000000" w:sz="6" w:space="0"/>
              <w:right w:val="single" w:color="000000" w:sz="12" w:space="0"/>
            </w:tcBorders>
            <w:vAlign w:val="center"/>
          </w:tcPr>
          <w:p>
            <w:pPr>
              <w:spacing w:line="400" w:lineRule="exact"/>
              <w:jc w:val="left"/>
              <w:rPr>
                <w:rFonts w:ascii="宋体" w:hAnsi="宋体" w:eastAsia="宋体" w:cs="Times New Roman"/>
                <w:b/>
                <w:color w:val="auto"/>
                <w:szCs w:val="21"/>
                <w:highlight w:val="none"/>
                <w:lang w:val="zh-CN"/>
              </w:rPr>
            </w:pPr>
            <w:r>
              <w:rPr>
                <w:rFonts w:hint="eastAsia" w:ascii="宋体" w:hAnsi="宋体" w:eastAsia="宋体" w:cs="Times New Roman"/>
                <w:color w:val="auto"/>
                <w:kern w:val="0"/>
                <w:szCs w:val="21"/>
                <w:highlight w:val="none"/>
              </w:rPr>
              <w:t>签订合同：中标通知书发出后30天内。</w:t>
            </w:r>
          </w:p>
        </w:tc>
      </w:tr>
      <w:tr>
        <w:tblPrEx>
          <w:tblCellMar>
            <w:top w:w="0" w:type="dxa"/>
            <w:left w:w="108" w:type="dxa"/>
            <w:bottom w:w="0" w:type="dxa"/>
            <w:right w:w="108" w:type="dxa"/>
          </w:tblCellMar>
        </w:tblPrEx>
        <w:trPr>
          <w:trHeight w:val="860" w:hRule="atLeast"/>
          <w:jc w:val="center"/>
        </w:trPr>
        <w:tc>
          <w:tcPr>
            <w:tcW w:w="1080" w:type="dxa"/>
            <w:tcBorders>
              <w:top w:val="single" w:color="auto" w:sz="6" w:space="0"/>
              <w:left w:val="single" w:color="000000" w:sz="12" w:space="0"/>
              <w:bottom w:val="single" w:color="auto" w:sz="6" w:space="0"/>
              <w:right w:val="single" w:color="000000" w:sz="6" w:space="0"/>
            </w:tcBorders>
            <w:vAlign w:val="center"/>
          </w:tcPr>
          <w:p>
            <w:pPr>
              <w:autoSpaceDE w:val="0"/>
              <w:autoSpaceDN w:val="0"/>
              <w:adjustRightInd w:val="0"/>
              <w:spacing w:line="400" w:lineRule="exact"/>
              <w:jc w:val="center"/>
              <w:rPr>
                <w:rFonts w:ascii="宋体" w:hAnsi="宋体" w:eastAsia="宋体" w:cs="Times New Roman"/>
                <w:color w:val="auto"/>
                <w:szCs w:val="21"/>
                <w:highlight w:val="none"/>
              </w:rPr>
            </w:pPr>
            <w:r>
              <w:rPr>
                <w:rFonts w:hint="eastAsia" w:ascii="宋体" w:hAnsi="宋体" w:eastAsia="宋体" w:cs="Times New Roman"/>
                <w:b/>
                <w:color w:val="auto"/>
                <w:szCs w:val="21"/>
                <w:highlight w:val="none"/>
              </w:rPr>
              <w:t>★</w:t>
            </w:r>
            <w:r>
              <w:rPr>
                <w:rFonts w:hint="eastAsia" w:ascii="宋体" w:hAnsi="宋体" w:eastAsia="宋体" w:cs="Times New Roman"/>
                <w:color w:val="auto"/>
                <w:szCs w:val="21"/>
                <w:highlight w:val="none"/>
              </w:rPr>
              <w:t>4</w:t>
            </w:r>
          </w:p>
        </w:tc>
        <w:tc>
          <w:tcPr>
            <w:tcW w:w="7380" w:type="dxa"/>
            <w:tcBorders>
              <w:top w:val="single" w:color="auto" w:sz="6" w:space="0"/>
              <w:left w:val="nil"/>
              <w:bottom w:val="single" w:color="auto" w:sz="6" w:space="0"/>
              <w:right w:val="single" w:color="000000" w:sz="12" w:space="0"/>
            </w:tcBorders>
            <w:vAlign w:val="center"/>
          </w:tcPr>
          <w:p>
            <w:pPr>
              <w:autoSpaceDE w:val="0"/>
              <w:autoSpaceDN w:val="0"/>
              <w:adjustRightInd w:val="0"/>
              <w:spacing w:line="400" w:lineRule="exact"/>
              <w:jc w:val="left"/>
              <w:rPr>
                <w:rFonts w:ascii="宋体" w:hAnsi="宋体" w:eastAsia="宋体" w:cs="Times New Roman"/>
                <w:color w:val="auto"/>
                <w:szCs w:val="21"/>
                <w:highlight w:val="none"/>
              </w:rPr>
            </w:pPr>
            <w:r>
              <w:rPr>
                <w:rFonts w:hint="eastAsia" w:ascii="宋体" w:hAnsi="宋体" w:eastAsia="宋体" w:cs="Times New Roman"/>
                <w:color w:val="auto"/>
                <w:kern w:val="10"/>
                <w:szCs w:val="21"/>
                <w:highlight w:val="none"/>
                <w:lang w:val="zh-CN"/>
              </w:rPr>
              <w:t>付款：</w:t>
            </w:r>
            <w:r>
              <w:rPr>
                <w:rFonts w:hint="eastAsia" w:ascii="宋体" w:hAnsi="宋体" w:eastAsia="宋体" w:cs="Times New Roman"/>
                <w:color w:val="auto"/>
                <w:szCs w:val="20"/>
                <w:highlight w:val="none"/>
              </w:rPr>
              <w:t>签订合同后支付合同价50%</w:t>
            </w:r>
            <w:r>
              <w:rPr>
                <w:rFonts w:hint="eastAsia" w:ascii="宋体" w:hAnsi="宋体" w:eastAsia="宋体" w:cs="宋体"/>
                <w:b w:val="0"/>
                <w:i w:val="0"/>
                <w:caps w:val="0"/>
                <w:color w:val="auto"/>
                <w:spacing w:val="0"/>
                <w:w w:val="100"/>
                <w:sz w:val="21"/>
                <w:szCs w:val="21"/>
                <w:highlight w:val="none"/>
                <w:lang w:eastAsia="zh-CN"/>
              </w:rPr>
              <w:t>（</w:t>
            </w:r>
            <w:r>
              <w:rPr>
                <w:rFonts w:hint="eastAsia" w:ascii="宋体" w:hAnsi="宋体" w:eastAsia="宋体" w:cs="宋体"/>
                <w:b w:val="0"/>
                <w:i w:val="0"/>
                <w:caps w:val="0"/>
                <w:color w:val="auto"/>
                <w:spacing w:val="0"/>
                <w:w w:val="100"/>
                <w:sz w:val="21"/>
                <w:szCs w:val="21"/>
                <w:highlight w:val="none"/>
                <w:lang w:val="en-US" w:eastAsia="zh-CN"/>
              </w:rPr>
              <w:t>中标供应商</w:t>
            </w:r>
            <w:r>
              <w:rPr>
                <w:rFonts w:hint="eastAsia" w:ascii="宋体" w:hAnsi="宋体" w:eastAsia="宋体" w:cs="宋体"/>
                <w:b w:val="0"/>
                <w:i w:val="0"/>
                <w:caps w:val="0"/>
                <w:color w:val="auto"/>
                <w:spacing w:val="0"/>
                <w:w w:val="100"/>
                <w:sz w:val="21"/>
                <w:szCs w:val="21"/>
                <w:highlight w:val="none"/>
                <w:lang w:eastAsia="zh-CN"/>
              </w:rPr>
              <w:t>需提交银行、保险公司等金融机构出具的预付款保函或其他担保措施。</w:t>
            </w:r>
            <w:r>
              <w:rPr>
                <w:rFonts w:hint="eastAsia" w:ascii="宋体" w:hAnsi="宋体" w:eastAsia="宋体" w:cs="宋体"/>
                <w:b w:val="0"/>
                <w:i w:val="0"/>
                <w:caps w:val="0"/>
                <w:color w:val="auto"/>
                <w:spacing w:val="0"/>
                <w:w w:val="100"/>
                <w:sz w:val="21"/>
                <w:szCs w:val="21"/>
                <w:highlight w:val="none"/>
                <w:lang w:val="en-US" w:eastAsia="zh-CN"/>
              </w:rPr>
              <w:t>中标供应商</w:t>
            </w:r>
            <w:r>
              <w:rPr>
                <w:rFonts w:hint="eastAsia" w:ascii="宋体" w:hAnsi="宋体" w:eastAsia="宋体" w:cs="宋体"/>
                <w:b w:val="0"/>
                <w:i w:val="0"/>
                <w:caps w:val="0"/>
                <w:color w:val="auto"/>
                <w:spacing w:val="0"/>
                <w:w w:val="100"/>
                <w:sz w:val="21"/>
                <w:szCs w:val="21"/>
                <w:highlight w:val="none"/>
                <w:lang w:eastAsia="zh-CN"/>
              </w:rPr>
              <w:t>在签订合同时，表示无需预付款或主动要求降低预付款比例的，可不适用本条款）</w:t>
            </w:r>
            <w:r>
              <w:rPr>
                <w:rFonts w:hint="eastAsia" w:ascii="宋体" w:hAnsi="宋体" w:eastAsia="宋体" w:cs="Times New Roman"/>
                <w:color w:val="auto"/>
                <w:szCs w:val="20"/>
                <w:highlight w:val="none"/>
              </w:rPr>
              <w:t>，到货后支付合同价40%，验收合格后支付合同价10%。</w:t>
            </w:r>
          </w:p>
        </w:tc>
      </w:tr>
    </w:tbl>
    <w:p>
      <w:pPr>
        <w:spacing w:line="380" w:lineRule="exact"/>
        <w:ind w:firstLine="480" w:firstLineChars="200"/>
        <w:rPr>
          <w:rFonts w:ascii="Times New Roman" w:hAnsi="Times New Roman" w:eastAsia="方正书宋简体" w:cs="Times New Roman"/>
          <w:color w:val="auto"/>
          <w:sz w:val="24"/>
          <w:szCs w:val="20"/>
          <w:highlight w:val="none"/>
        </w:rPr>
      </w:pPr>
    </w:p>
    <w:p>
      <w:pPr>
        <w:spacing w:line="380" w:lineRule="exact"/>
        <w:ind w:firstLine="480" w:firstLineChars="200"/>
        <w:jc w:val="center"/>
        <w:rPr>
          <w:rFonts w:ascii="Times New Roman" w:hAnsi="宋体" w:eastAsia="宋体" w:cs="宋体"/>
          <w:b/>
          <w:color w:val="auto"/>
          <w:spacing w:val="-2"/>
          <w:sz w:val="30"/>
          <w:szCs w:val="30"/>
          <w:highlight w:val="none"/>
        </w:rPr>
      </w:pPr>
      <w:r>
        <w:rPr>
          <w:rFonts w:hint="eastAsia" w:ascii="宋体" w:hAnsi="宋体" w:eastAsia="方正书宋简体" w:cs="宋体"/>
          <w:color w:val="auto"/>
          <w:sz w:val="24"/>
          <w:szCs w:val="20"/>
          <w:highlight w:val="none"/>
        </w:rPr>
        <w:br w:type="page"/>
      </w:r>
      <w:r>
        <w:rPr>
          <w:rFonts w:hint="eastAsia" w:ascii="宋体" w:hAnsi="宋体" w:eastAsia="宋体" w:cs="宋体"/>
          <w:b/>
          <w:bCs/>
          <w:color w:val="auto"/>
          <w:kern w:val="44"/>
          <w:sz w:val="36"/>
          <w:szCs w:val="36"/>
          <w:highlight w:val="none"/>
        </w:rPr>
        <w:t xml:space="preserve">第七章  </w:t>
      </w:r>
      <w:bookmarkEnd w:id="24"/>
      <w:r>
        <w:rPr>
          <w:rFonts w:hint="eastAsia" w:ascii="宋体" w:hAnsi="宋体" w:eastAsia="宋体" w:cs="宋体"/>
          <w:b/>
          <w:bCs/>
          <w:color w:val="auto"/>
          <w:kern w:val="44"/>
          <w:sz w:val="36"/>
          <w:szCs w:val="36"/>
          <w:highlight w:val="none"/>
        </w:rPr>
        <w:t>附件</w:t>
      </w:r>
      <w:bookmarkEnd w:id="25"/>
    </w:p>
    <w:p>
      <w:pPr>
        <w:spacing w:line="400" w:lineRule="exact"/>
        <w:jc w:val="left"/>
        <w:rPr>
          <w:rFonts w:hint="eastAsia" w:ascii="宋体" w:hAnsi="Times New Roman" w:eastAsia="宋体" w:cs="Times New Roman"/>
          <w:color w:val="auto"/>
          <w:szCs w:val="21"/>
          <w:highlight w:val="none"/>
          <w:lang w:val="en-US" w:eastAsia="zh-CN"/>
        </w:rPr>
      </w:pPr>
      <w:r>
        <w:rPr>
          <w:rFonts w:hint="eastAsia" w:ascii="宋体" w:hAnsi="宋体" w:eastAsia="宋体" w:cs="宋体"/>
          <w:b/>
          <w:color w:val="auto"/>
          <w:spacing w:val="-2"/>
          <w:kern w:val="0"/>
          <w:sz w:val="24"/>
          <w:szCs w:val="21"/>
          <w:highlight w:val="none"/>
          <w:lang w:bidi="ar"/>
        </w:rPr>
        <w:t>附件</w:t>
      </w:r>
      <w:r>
        <w:rPr>
          <w:rFonts w:hint="eastAsia" w:ascii="宋体" w:hAnsi="宋体" w:eastAsia="宋体" w:cs="宋体"/>
          <w:b/>
          <w:color w:val="auto"/>
          <w:spacing w:val="-2"/>
          <w:kern w:val="0"/>
          <w:sz w:val="24"/>
          <w:szCs w:val="21"/>
          <w:highlight w:val="none"/>
          <w:lang w:val="en-US" w:eastAsia="zh-CN" w:bidi="ar"/>
        </w:rPr>
        <w:t>1</w:t>
      </w:r>
    </w:p>
    <w:p>
      <w:pPr>
        <w:spacing w:line="400" w:lineRule="exact"/>
        <w:jc w:val="left"/>
        <w:rPr>
          <w:rFonts w:ascii="宋体" w:hAnsi="宋体" w:eastAsia="宋体" w:cs="宋体"/>
          <w:b/>
          <w:color w:val="auto"/>
          <w:szCs w:val="21"/>
          <w:highlight w:val="none"/>
        </w:rPr>
      </w:pPr>
    </w:p>
    <w:p>
      <w:pPr>
        <w:jc w:val="center"/>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关于资格的声明函</w:t>
      </w:r>
    </w:p>
    <w:p>
      <w:pPr>
        <w:spacing w:line="400" w:lineRule="exact"/>
        <w:ind w:left="540" w:firstLine="30"/>
        <w:jc w:val="center"/>
        <w:rPr>
          <w:rFonts w:ascii="宋体" w:hAnsi="宋体" w:eastAsia="宋体" w:cs="宋体"/>
          <w:b/>
          <w:color w:val="auto"/>
          <w:szCs w:val="21"/>
          <w:highlight w:val="none"/>
        </w:rPr>
      </w:pP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致：招标人</w:t>
      </w:r>
    </w:p>
    <w:p>
      <w:pPr>
        <w:spacing w:line="40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lang w:bidi="ar"/>
        </w:rPr>
        <w:t>关于贵方对招标编号为</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u w:val="single"/>
          <w:lang w:eastAsia="zh-CN"/>
        </w:rPr>
        <w:t>QTGGZY202324</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的</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kern w:val="0"/>
          <w:szCs w:val="21"/>
          <w:highlight w:val="none"/>
          <w:u w:val="single"/>
          <w:lang w:eastAsia="zh-CN"/>
        </w:rPr>
        <w:t>慈溪市交通场站经营有限公司充电桩配套电缆</w:t>
      </w:r>
      <w:r>
        <w:rPr>
          <w:rFonts w:hint="eastAsia" w:ascii="宋体" w:hAnsi="宋体" w:eastAsia="宋体" w:cs="宋体"/>
          <w:color w:val="auto"/>
          <w:kern w:val="0"/>
          <w:szCs w:val="21"/>
          <w:highlight w:val="none"/>
          <w:u w:val="single"/>
        </w:rPr>
        <w:t>采购项目</w:t>
      </w:r>
      <w:r>
        <w:rPr>
          <w:rFonts w:hint="eastAsia" w:ascii="宋体" w:hAnsi="宋体" w:eastAsia="宋体" w:cs="宋体"/>
          <w:color w:val="auto"/>
          <w:szCs w:val="21"/>
          <w:highlight w:val="none"/>
          <w:lang w:bidi="ar"/>
        </w:rPr>
        <w:t xml:space="preserve">（项目名称），本单位申明如下： </w:t>
      </w:r>
    </w:p>
    <w:p>
      <w:pPr>
        <w:numPr>
          <w:ilvl w:val="0"/>
          <w:numId w:val="0"/>
        </w:numPr>
        <w:spacing w:line="400" w:lineRule="exact"/>
        <w:ind w:left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rPr>
        <w:t xml:space="preserve">符合《中华人民共和国招标投标法》规定的投标人资格条件。 </w:t>
      </w:r>
    </w:p>
    <w:p>
      <w:pPr>
        <w:numPr>
          <w:ilvl w:val="0"/>
          <w:numId w:val="0"/>
        </w:numPr>
        <w:spacing w:line="400" w:lineRule="exact"/>
        <w:ind w:left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未被信用中国网站（www.creditchina.gov.cn）列入失信被执行人、重大税收违法案件当事人名单。</w:t>
      </w:r>
    </w:p>
    <w:p>
      <w:pPr>
        <w:numPr>
          <w:ilvl w:val="0"/>
          <w:numId w:val="0"/>
        </w:numPr>
        <w:spacing w:line="400" w:lineRule="exact"/>
        <w:ind w:left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本项目我单位非联合体投标。</w:t>
      </w:r>
    </w:p>
    <w:p>
      <w:pPr>
        <w:spacing w:line="400" w:lineRule="exact"/>
        <w:ind w:firstLine="420" w:firstLineChars="200"/>
        <w:rPr>
          <w:rFonts w:ascii="宋体" w:hAnsi="宋体" w:eastAsia="宋体" w:cs="宋体"/>
          <w:color w:val="auto"/>
          <w:szCs w:val="21"/>
          <w:highlight w:val="none"/>
        </w:rPr>
      </w:pPr>
    </w:p>
    <w:p>
      <w:pPr>
        <w:spacing w:line="400" w:lineRule="exact"/>
        <w:ind w:firstLine="420" w:firstLineChars="200"/>
        <w:rPr>
          <w:rFonts w:ascii="宋体" w:hAnsi="宋体" w:eastAsia="宋体" w:cs="宋体"/>
          <w:color w:val="auto"/>
          <w:szCs w:val="21"/>
          <w:highlight w:val="none"/>
        </w:rPr>
      </w:pPr>
    </w:p>
    <w:p>
      <w:pPr>
        <w:spacing w:line="400" w:lineRule="exact"/>
        <w:ind w:firstLine="420" w:firstLineChars="200"/>
        <w:rPr>
          <w:rFonts w:ascii="宋体" w:hAnsi="宋体" w:eastAsia="宋体" w:cs="宋体"/>
          <w:color w:val="auto"/>
          <w:szCs w:val="21"/>
          <w:highlight w:val="none"/>
        </w:rPr>
      </w:pPr>
    </w:p>
    <w:p>
      <w:pPr>
        <w:spacing w:line="400" w:lineRule="atLeast"/>
        <w:jc w:val="left"/>
        <w:rPr>
          <w:rFonts w:ascii="宋体" w:hAnsi="宋体" w:eastAsia="宋体" w:cs="宋体"/>
          <w:color w:val="auto"/>
          <w:szCs w:val="21"/>
          <w:highlight w:val="none"/>
        </w:rPr>
      </w:pPr>
      <w:r>
        <w:rPr>
          <w:rFonts w:hint="eastAsia" w:ascii="宋体" w:hAnsi="宋体" w:eastAsia="宋体" w:cs="宋体"/>
          <w:color w:val="auto"/>
          <w:szCs w:val="21"/>
          <w:highlight w:val="none"/>
          <w:lang w:bidi="ar"/>
        </w:rPr>
        <w:t>供应商（盖章）：</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p>
    <w:p>
      <w:pPr>
        <w:spacing w:line="400" w:lineRule="atLeast"/>
        <w:rPr>
          <w:rFonts w:ascii="宋体" w:hAnsi="宋体" w:eastAsia="宋体" w:cs="宋体"/>
          <w:color w:val="auto"/>
          <w:szCs w:val="21"/>
          <w:highlight w:val="none"/>
          <w:u w:val="single"/>
        </w:rPr>
      </w:pPr>
      <w:r>
        <w:rPr>
          <w:rFonts w:hint="eastAsia" w:ascii="宋体" w:hAnsi="宋体" w:eastAsia="宋体" w:cs="宋体"/>
          <w:color w:val="auto"/>
          <w:szCs w:val="21"/>
          <w:highlight w:val="none"/>
          <w:lang w:bidi="ar"/>
        </w:rPr>
        <w:t>日            期：</w:t>
      </w:r>
      <w:r>
        <w:rPr>
          <w:rFonts w:hint="eastAsia" w:ascii="宋体" w:hAnsi="宋体" w:eastAsia="宋体" w:cs="宋体"/>
          <w:color w:val="auto"/>
          <w:szCs w:val="21"/>
          <w:highlight w:val="none"/>
          <w:u w:val="single"/>
          <w:lang w:bidi="ar"/>
        </w:rPr>
        <w:t xml:space="preserve">                             </w:t>
      </w:r>
    </w:p>
    <w:p>
      <w:pPr>
        <w:spacing w:line="400" w:lineRule="exact"/>
        <w:ind w:firstLine="600" w:firstLineChars="250"/>
        <w:jc w:val="center"/>
        <w:rPr>
          <w:rFonts w:ascii="宋体" w:hAnsi="宋体" w:eastAsia="宋体" w:cs="宋体"/>
          <w:color w:val="auto"/>
          <w:sz w:val="24"/>
          <w:szCs w:val="21"/>
          <w:highlight w:val="none"/>
        </w:rPr>
      </w:pPr>
    </w:p>
    <w:p>
      <w:pPr>
        <w:rPr>
          <w:rFonts w:ascii="Times New Roman" w:hAnsi="宋体" w:eastAsia="宋体" w:cs="Times New Roman"/>
          <w:b/>
          <w:color w:val="auto"/>
          <w:spacing w:val="-2"/>
          <w:sz w:val="24"/>
          <w:szCs w:val="24"/>
          <w:highlight w:val="none"/>
        </w:rPr>
      </w:pPr>
      <w:r>
        <w:rPr>
          <w:rFonts w:ascii="Times New Roman" w:hAnsi="宋体" w:eastAsia="宋体" w:cs="宋体"/>
          <w:b/>
          <w:color w:val="auto"/>
          <w:spacing w:val="-2"/>
          <w:sz w:val="24"/>
          <w:szCs w:val="24"/>
          <w:highlight w:val="none"/>
        </w:rPr>
        <w:br w:type="page"/>
      </w:r>
    </w:p>
    <w:p>
      <w:pPr>
        <w:rPr>
          <w:rFonts w:hint="eastAsia" w:ascii="Times New Roman" w:hAnsi="宋体" w:eastAsia="宋体" w:cs="宋体"/>
          <w:b/>
          <w:color w:val="auto"/>
          <w:spacing w:val="-2"/>
          <w:sz w:val="24"/>
          <w:szCs w:val="24"/>
          <w:highlight w:val="none"/>
          <w:lang w:val="en-US" w:eastAsia="zh-CN"/>
        </w:rPr>
      </w:pPr>
      <w:r>
        <w:rPr>
          <w:rFonts w:ascii="Times New Roman" w:hAnsi="宋体" w:eastAsia="宋体" w:cs="宋体"/>
          <w:b/>
          <w:color w:val="auto"/>
          <w:spacing w:val="-2"/>
          <w:sz w:val="24"/>
          <w:szCs w:val="24"/>
          <w:highlight w:val="none"/>
        </w:rPr>
        <w:t>附件</w:t>
      </w:r>
      <w:r>
        <w:rPr>
          <w:rFonts w:hint="eastAsia" w:ascii="Times New Roman" w:hAnsi="宋体" w:eastAsia="宋体" w:cs="宋体"/>
          <w:b/>
          <w:color w:val="auto"/>
          <w:spacing w:val="-2"/>
          <w:sz w:val="24"/>
          <w:szCs w:val="24"/>
          <w:highlight w:val="none"/>
          <w:lang w:val="en-US" w:eastAsia="zh-CN"/>
        </w:rPr>
        <w:t>2</w:t>
      </w:r>
    </w:p>
    <w:p>
      <w:pPr>
        <w:pStyle w:val="2"/>
        <w:rPr>
          <w:color w:val="auto"/>
          <w:highlight w:val="none"/>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 标 函</w:t>
      </w:r>
    </w:p>
    <w:p>
      <w:pPr>
        <w:jc w:val="center"/>
        <w:rPr>
          <w:rFonts w:hint="eastAsia" w:ascii="宋体" w:hAnsi="宋体" w:eastAsia="宋体" w:cs="宋体"/>
          <w:b/>
          <w:color w:val="auto"/>
          <w:sz w:val="30"/>
          <w:szCs w:val="30"/>
          <w:highlight w:val="none"/>
        </w:rPr>
      </w:pPr>
    </w:p>
    <w:p>
      <w:pPr>
        <w:ind w:left="540" w:leftChars="257" w:firstLine="1703" w:firstLineChars="808"/>
        <w:rPr>
          <w:rFonts w:ascii="宋体" w:hAnsi="宋体" w:eastAsia="宋体" w:cs="宋体"/>
          <w:b/>
          <w:color w:val="auto"/>
          <w:szCs w:val="21"/>
          <w:highlight w:val="none"/>
        </w:rPr>
      </w:pPr>
    </w:p>
    <w:p>
      <w:pPr>
        <w:spacing w:line="400" w:lineRule="exact"/>
        <w:ind w:firstLine="105" w:firstLineChars="50"/>
        <w:jc w:val="left"/>
        <w:rPr>
          <w:rFonts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(供应商全称)授权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（全名、职务）为全权代表，参加贵方组织的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u w:val="single"/>
          <w:lang w:eastAsia="zh-CN"/>
        </w:rPr>
        <w:t>慈溪市交通场站经营有限公司充电桩配套电缆</w:t>
      </w:r>
      <w:r>
        <w:rPr>
          <w:rFonts w:hint="eastAsia" w:ascii="宋体" w:hAnsi="宋体" w:eastAsia="宋体" w:cs="宋体"/>
          <w:color w:val="auto"/>
          <w:kern w:val="0"/>
          <w:szCs w:val="21"/>
          <w:highlight w:val="none"/>
          <w:u w:val="single"/>
        </w:rPr>
        <w:t>采购项目</w:t>
      </w:r>
      <w:r>
        <w:rPr>
          <w:rFonts w:hint="eastAsia" w:ascii="宋体" w:hAnsi="宋体" w:eastAsia="宋体" w:cs="宋体"/>
          <w:color w:val="auto"/>
          <w:szCs w:val="21"/>
          <w:highlight w:val="none"/>
        </w:rPr>
        <w:t>（招标项目名称）（编号为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 xml:space="preserve">QTGGZY202324 </w:t>
      </w:r>
      <w:r>
        <w:rPr>
          <w:rFonts w:hint="eastAsia" w:ascii="宋体" w:hAnsi="宋体" w:eastAsia="宋体" w:cs="宋体"/>
          <w:color w:val="auto"/>
          <w:szCs w:val="21"/>
          <w:highlight w:val="none"/>
        </w:rPr>
        <w:t>）招标活动并投标。为此：</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我方同意在供应商须知规定的开标日期起遵守本投标函中的承诺且在投标有效期满之前均具有约束力。</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提供供应商须知规定的全部投标文件。</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我方已详细阅读全部招标文件，包括招标文件修改书（如有的话）、参考资料及有关附件，确认无误。同意招标文件中的各项要求。</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保证忠实地执行双方所签订的合同，并承担合同规定的责任和义务。</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保证遵守招标文件中的其他有关规定。</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如果在开标后的投标有效期内撤回投标，我方同意按招标人的规定进行处罚。</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我方完全理解贵方不一定要接受最低价的投标或收到的任何投标。</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我方同意提供按照贵方可能要求的与其投标有关的一切数据或资料，并保证其真实性、合法性。</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投标有效期为自开标日起</w:t>
      </w:r>
      <w:r>
        <w:rPr>
          <w:rFonts w:hint="eastAsia" w:ascii="宋体" w:hAnsi="宋体" w:eastAsia="宋体" w:cs="宋体"/>
          <w:color w:val="auto"/>
          <w:szCs w:val="21"/>
          <w:highlight w:val="none"/>
          <w:u w:val="single"/>
        </w:rPr>
        <w:t xml:space="preserve"> 90 </w:t>
      </w:r>
      <w:r>
        <w:rPr>
          <w:rFonts w:hint="eastAsia" w:ascii="宋体" w:hAnsi="宋体" w:eastAsia="宋体" w:cs="宋体"/>
          <w:color w:val="auto"/>
          <w:szCs w:val="21"/>
          <w:highlight w:val="none"/>
        </w:rPr>
        <w:t>个日历天。</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我们郑重声明：</w:t>
      </w:r>
      <w:r>
        <w:rPr>
          <w:rFonts w:hint="eastAsia" w:ascii="宋体" w:hAnsi="宋体" w:eastAsia="宋体" w:cs="宋体"/>
          <w:bCs/>
          <w:color w:val="auto"/>
          <w:szCs w:val="21"/>
          <w:highlight w:val="none"/>
        </w:rPr>
        <w:t>在同一合同项下的招标活动中，不存在</w:t>
      </w:r>
      <w:r>
        <w:rPr>
          <w:rFonts w:hint="eastAsia" w:ascii="宋体" w:hAnsi="宋体" w:eastAsia="宋体" w:cs="宋体"/>
          <w:color w:val="auto"/>
          <w:szCs w:val="21"/>
          <w:highlight w:val="none"/>
          <w:shd w:val="clear" w:color="auto" w:fill="FFFFFF"/>
          <w:lang w:bidi="ar"/>
        </w:rPr>
        <w:t>单位负责人为同一人或者存在控股、管理关系</w:t>
      </w:r>
      <w:r>
        <w:rPr>
          <w:rFonts w:hint="eastAsia" w:ascii="宋体" w:hAnsi="宋体" w:eastAsia="宋体" w:cs="宋体"/>
          <w:bCs/>
          <w:color w:val="auto"/>
          <w:szCs w:val="21"/>
          <w:highlight w:val="none"/>
        </w:rPr>
        <w:t>，不存在</w:t>
      </w:r>
      <w:r>
        <w:rPr>
          <w:rFonts w:hint="eastAsia" w:ascii="宋体" w:hAnsi="宋体" w:eastAsia="宋体" w:cs="宋体"/>
          <w:color w:val="auto"/>
          <w:szCs w:val="21"/>
          <w:highlight w:val="none"/>
          <w:shd w:val="clear" w:color="auto" w:fill="FFFFFF"/>
          <w:lang w:bidi="ar"/>
        </w:rPr>
        <w:t>与招标人存在利害关系。</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与本投标有关的一切往来通讯请寄：</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地址：_______________________    </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邮编：_______________________　</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电话：_______________________　</w:t>
      </w:r>
    </w:p>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传真：_______________________</w:t>
      </w:r>
    </w:p>
    <w:p>
      <w:pPr>
        <w:adjustRightInd w:val="0"/>
        <w:snapToGrid w:val="0"/>
        <w:spacing w:after="120" w:afterLines="50"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p>
    <w:p>
      <w:pPr>
        <w:adjustRightInd w:val="0"/>
        <w:snapToGrid w:val="0"/>
        <w:spacing w:after="120" w:afterLines="50" w:line="400" w:lineRule="exact"/>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供应商名称（公章）：                               </w:t>
      </w:r>
    </w:p>
    <w:p>
      <w:pPr>
        <w:spacing w:line="400" w:lineRule="exact"/>
        <w:rPr>
          <w:rFonts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2023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ascii="宋体" w:hAnsi="宋体" w:eastAsia="宋体" w:cs="宋体"/>
          <w:color w:val="auto"/>
          <w:kern w:val="0"/>
          <w:szCs w:val="21"/>
          <w:highlight w:val="none"/>
          <w:u w:val="single"/>
        </w:rPr>
      </w:pPr>
    </w:p>
    <w:p>
      <w:pPr>
        <w:spacing w:line="360" w:lineRule="auto"/>
        <w:rPr>
          <w:rFonts w:ascii="宋体" w:hAnsi="宋体" w:eastAsia="宋体" w:cs="宋体"/>
          <w:color w:val="auto"/>
          <w:kern w:val="0"/>
          <w:szCs w:val="21"/>
          <w:highlight w:val="none"/>
          <w:u w:val="single"/>
        </w:rPr>
      </w:pPr>
    </w:p>
    <w:p>
      <w:pPr>
        <w:spacing w:line="360" w:lineRule="auto"/>
        <w:rPr>
          <w:rFonts w:ascii="Times New Roman" w:hAnsi="宋体" w:eastAsia="宋体" w:cs="Times New Roman"/>
          <w:b/>
          <w:color w:val="auto"/>
          <w:spacing w:val="-2"/>
          <w:sz w:val="24"/>
          <w:szCs w:val="28"/>
          <w:highlight w:val="none"/>
        </w:rPr>
      </w:pPr>
    </w:p>
    <w:p>
      <w:pPr>
        <w:spacing w:line="480" w:lineRule="auto"/>
        <w:jc w:val="left"/>
        <w:rPr>
          <w:rFonts w:ascii="Times New Roman" w:hAnsi="宋体" w:eastAsia="宋体" w:cs="宋体"/>
          <w:b/>
          <w:color w:val="auto"/>
          <w:spacing w:val="-2"/>
          <w:sz w:val="30"/>
          <w:szCs w:val="30"/>
          <w:highlight w:val="none"/>
        </w:rPr>
      </w:pPr>
    </w:p>
    <w:p>
      <w:pPr>
        <w:spacing w:line="380" w:lineRule="exact"/>
        <w:ind w:firstLine="594" w:firstLineChars="200"/>
        <w:rPr>
          <w:rFonts w:ascii="Times New Roman" w:hAnsi="宋体" w:eastAsia="宋体" w:cs="宋体"/>
          <w:b/>
          <w:color w:val="auto"/>
          <w:spacing w:val="-2"/>
          <w:sz w:val="30"/>
          <w:szCs w:val="30"/>
          <w:highlight w:val="none"/>
        </w:rPr>
      </w:pPr>
    </w:p>
    <w:p>
      <w:pPr>
        <w:spacing w:line="480" w:lineRule="auto"/>
        <w:jc w:val="left"/>
        <w:rPr>
          <w:rFonts w:ascii="Times New Roman" w:hAnsi="宋体" w:eastAsia="宋体" w:cs="宋体"/>
          <w:b/>
          <w:color w:val="auto"/>
          <w:spacing w:val="-2"/>
          <w:sz w:val="24"/>
          <w:szCs w:val="24"/>
          <w:highlight w:val="none"/>
        </w:rPr>
      </w:pPr>
    </w:p>
    <w:p>
      <w:pPr>
        <w:spacing w:line="480" w:lineRule="auto"/>
        <w:jc w:val="left"/>
        <w:rPr>
          <w:rFonts w:ascii="Times New Roman" w:hAnsi="宋体" w:eastAsia="宋体" w:cs="宋体"/>
          <w:b/>
          <w:color w:val="auto"/>
          <w:spacing w:val="-2"/>
          <w:sz w:val="24"/>
          <w:szCs w:val="24"/>
          <w:highlight w:val="none"/>
        </w:rPr>
      </w:pPr>
    </w:p>
    <w:p>
      <w:pPr>
        <w:spacing w:line="480" w:lineRule="auto"/>
        <w:jc w:val="left"/>
        <w:rPr>
          <w:rFonts w:ascii="Times New Roman" w:hAnsi="宋体" w:eastAsia="宋体" w:cs="宋体"/>
          <w:b/>
          <w:color w:val="auto"/>
          <w:spacing w:val="-2"/>
          <w:sz w:val="30"/>
          <w:szCs w:val="30"/>
          <w:highlight w:val="none"/>
        </w:rPr>
      </w:pPr>
      <w:r>
        <w:rPr>
          <w:rFonts w:ascii="Times New Roman" w:hAnsi="宋体" w:eastAsia="宋体" w:cs="宋体"/>
          <w:b/>
          <w:color w:val="auto"/>
          <w:spacing w:val="-2"/>
          <w:sz w:val="24"/>
          <w:szCs w:val="24"/>
          <w:highlight w:val="none"/>
        </w:rPr>
        <w:t>附件</w:t>
      </w:r>
      <w:r>
        <w:rPr>
          <w:rFonts w:hint="eastAsia" w:ascii="Times New Roman" w:hAnsi="宋体" w:eastAsia="宋体" w:cs="宋体"/>
          <w:b/>
          <w:color w:val="auto"/>
          <w:spacing w:val="-2"/>
          <w:sz w:val="24"/>
          <w:szCs w:val="24"/>
          <w:highlight w:val="none"/>
          <w:lang w:val="en-US" w:eastAsia="zh-CN"/>
        </w:rPr>
        <w:t>3</w:t>
      </w:r>
      <w:r>
        <w:rPr>
          <w:rFonts w:hint="eastAsia" w:ascii="宋体" w:hAnsi="宋体" w:eastAsia="宋体" w:cs="宋体"/>
          <w:b/>
          <w:color w:val="auto"/>
          <w:sz w:val="32"/>
          <w:szCs w:val="20"/>
          <w:highlight w:val="none"/>
        </w:rPr>
        <w:t xml:space="preserve"> </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法定代表人身份证明</w:t>
      </w:r>
    </w:p>
    <w:p>
      <w:pPr>
        <w:pStyle w:val="2"/>
        <w:rPr>
          <w:color w:val="auto"/>
          <w:highlight w:val="none"/>
        </w:rPr>
      </w:pPr>
    </w:p>
    <w:p>
      <w:pPr>
        <w:spacing w:line="380" w:lineRule="exact"/>
        <w:ind w:firstLine="480" w:firstLineChars="200"/>
        <w:rPr>
          <w:rFonts w:ascii="宋体" w:hAnsi="宋体" w:eastAsia="宋体" w:cs="宋体"/>
          <w:color w:val="auto"/>
          <w:sz w:val="24"/>
          <w:szCs w:val="20"/>
          <w:highlight w:val="none"/>
        </w:rPr>
      </w:pPr>
    </w:p>
    <w:p>
      <w:pPr>
        <w:spacing w:after="120" w:afterLines="50" w:line="400" w:lineRule="exact"/>
        <w:ind w:firstLine="210" w:firstLineChars="100"/>
        <w:rPr>
          <w:rFonts w:ascii="宋体" w:hAnsi="宋体" w:eastAsia="宋体" w:cs="宋体"/>
          <w:color w:val="auto"/>
          <w:szCs w:val="21"/>
          <w:highlight w:val="none"/>
          <w:u w:val="single"/>
        </w:rPr>
      </w:pPr>
      <w:r>
        <w:rPr>
          <w:rFonts w:hint="eastAsia" w:ascii="宋体" w:hAnsi="宋体" w:eastAsia="宋体" w:cs="宋体"/>
          <w:color w:val="auto"/>
          <w:szCs w:val="21"/>
          <w:highlight w:val="none"/>
          <w:lang w:bidi="ar"/>
        </w:rPr>
        <w:t>供应商名称：</w:t>
      </w:r>
      <w:r>
        <w:rPr>
          <w:rFonts w:hint="eastAsia" w:ascii="宋体" w:hAnsi="宋体" w:eastAsia="宋体" w:cs="宋体"/>
          <w:color w:val="auto"/>
          <w:szCs w:val="21"/>
          <w:highlight w:val="none"/>
          <w:u w:val="single"/>
          <w:lang w:bidi="ar"/>
        </w:rPr>
        <w:t xml:space="preserve">                                  </w:t>
      </w:r>
    </w:p>
    <w:p>
      <w:pPr>
        <w:spacing w:after="120" w:afterLines="50" w:line="400" w:lineRule="exact"/>
        <w:ind w:firstLine="210" w:firstLineChars="100"/>
        <w:rPr>
          <w:rFonts w:ascii="宋体" w:hAnsi="宋体" w:eastAsia="宋体" w:cs="宋体"/>
          <w:color w:val="auto"/>
          <w:szCs w:val="21"/>
          <w:highlight w:val="none"/>
          <w:u w:val="single"/>
        </w:rPr>
      </w:pPr>
      <w:r>
        <w:rPr>
          <w:rFonts w:hint="eastAsia" w:ascii="宋体" w:hAnsi="宋体" w:eastAsia="宋体" w:cs="宋体"/>
          <w:color w:val="auto"/>
          <w:szCs w:val="21"/>
          <w:highlight w:val="none"/>
          <w:lang w:bidi="ar"/>
        </w:rPr>
        <w:t>单位性质：</w:t>
      </w:r>
      <w:r>
        <w:rPr>
          <w:rFonts w:hint="eastAsia" w:ascii="宋体" w:hAnsi="宋体" w:eastAsia="宋体" w:cs="宋体"/>
          <w:color w:val="auto"/>
          <w:szCs w:val="21"/>
          <w:highlight w:val="none"/>
          <w:u w:val="single"/>
          <w:lang w:bidi="ar"/>
        </w:rPr>
        <w:t xml:space="preserve">                                    </w:t>
      </w:r>
    </w:p>
    <w:p>
      <w:pPr>
        <w:spacing w:after="120" w:afterLines="50" w:line="400" w:lineRule="exact"/>
        <w:ind w:firstLine="210" w:firstLineChars="100"/>
        <w:rPr>
          <w:rFonts w:ascii="宋体" w:hAnsi="宋体" w:eastAsia="宋体" w:cs="宋体"/>
          <w:color w:val="auto"/>
          <w:szCs w:val="21"/>
          <w:highlight w:val="none"/>
          <w:u w:val="single"/>
        </w:rPr>
      </w:pPr>
      <w:r>
        <w:rPr>
          <w:rFonts w:hint="eastAsia" w:ascii="宋体" w:hAnsi="宋体" w:eastAsia="宋体" w:cs="宋体"/>
          <w:color w:val="auto"/>
          <w:szCs w:val="21"/>
          <w:highlight w:val="none"/>
          <w:lang w:bidi="ar"/>
        </w:rPr>
        <w:t>地址：</w:t>
      </w:r>
      <w:r>
        <w:rPr>
          <w:rFonts w:hint="eastAsia" w:ascii="宋体" w:hAnsi="宋体" w:eastAsia="宋体" w:cs="宋体"/>
          <w:color w:val="auto"/>
          <w:szCs w:val="21"/>
          <w:highlight w:val="none"/>
          <w:u w:val="single"/>
          <w:lang w:bidi="ar"/>
        </w:rPr>
        <w:t xml:space="preserve">                                        </w:t>
      </w:r>
    </w:p>
    <w:p>
      <w:pPr>
        <w:spacing w:after="120" w:afterLines="50" w:line="400" w:lineRule="exact"/>
        <w:ind w:firstLine="210" w:firstLineChars="100"/>
        <w:rPr>
          <w:rFonts w:ascii="宋体" w:hAnsi="宋体" w:eastAsia="宋体" w:cs="宋体"/>
          <w:color w:val="auto"/>
          <w:szCs w:val="21"/>
          <w:highlight w:val="none"/>
          <w:u w:val="single"/>
        </w:rPr>
      </w:pPr>
      <w:r>
        <w:rPr>
          <w:rFonts w:hint="eastAsia" w:ascii="宋体" w:hAnsi="宋体" w:eastAsia="宋体" w:cs="宋体"/>
          <w:color w:val="auto"/>
          <w:szCs w:val="21"/>
          <w:highlight w:val="none"/>
          <w:lang w:bidi="ar"/>
        </w:rPr>
        <w:t>成立时间：</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年</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月</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日</w:t>
      </w:r>
    </w:p>
    <w:p>
      <w:pPr>
        <w:spacing w:after="120" w:afterLines="50" w:line="400" w:lineRule="exact"/>
        <w:ind w:firstLine="210" w:firstLineChars="100"/>
        <w:rPr>
          <w:rFonts w:ascii="宋体" w:hAnsi="宋体" w:eastAsia="宋体" w:cs="宋体"/>
          <w:color w:val="auto"/>
          <w:szCs w:val="21"/>
          <w:highlight w:val="none"/>
          <w:u w:val="single"/>
        </w:rPr>
      </w:pPr>
      <w:r>
        <w:rPr>
          <w:rFonts w:hint="eastAsia" w:ascii="宋体" w:hAnsi="宋体" w:eastAsia="宋体" w:cs="宋体"/>
          <w:color w:val="auto"/>
          <w:szCs w:val="21"/>
          <w:highlight w:val="none"/>
          <w:lang w:bidi="ar"/>
        </w:rPr>
        <w:t>经营期限：</w:t>
      </w:r>
      <w:r>
        <w:rPr>
          <w:rFonts w:hint="eastAsia" w:ascii="宋体" w:hAnsi="宋体" w:eastAsia="宋体" w:cs="宋体"/>
          <w:color w:val="auto"/>
          <w:szCs w:val="21"/>
          <w:highlight w:val="none"/>
          <w:u w:val="single"/>
          <w:lang w:bidi="ar"/>
        </w:rPr>
        <w:t xml:space="preserve">                                     </w:t>
      </w:r>
    </w:p>
    <w:p>
      <w:pPr>
        <w:spacing w:after="120" w:afterLines="50" w:line="400" w:lineRule="exact"/>
        <w:ind w:firstLine="210" w:firstLineChars="100"/>
        <w:rPr>
          <w:rFonts w:ascii="宋体" w:hAnsi="宋体" w:eastAsia="宋体" w:cs="宋体"/>
          <w:color w:val="auto"/>
          <w:szCs w:val="21"/>
          <w:highlight w:val="none"/>
          <w:u w:val="single"/>
        </w:rPr>
      </w:pPr>
      <w:r>
        <w:rPr>
          <w:rFonts w:hint="eastAsia" w:ascii="宋体" w:hAnsi="宋体" w:eastAsia="宋体" w:cs="宋体"/>
          <w:color w:val="auto"/>
          <w:szCs w:val="21"/>
          <w:highlight w:val="none"/>
          <w:lang w:bidi="ar"/>
        </w:rPr>
        <w:t>姓名：</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性别：</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年龄：</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r>
        <w:rPr>
          <w:rFonts w:hint="eastAsia" w:ascii="宋体" w:hAnsi="宋体" w:eastAsia="宋体" w:cs="宋体"/>
          <w:color w:val="auto"/>
          <w:szCs w:val="20"/>
          <w:highlight w:val="none"/>
          <w:lang w:bidi="ar"/>
        </w:rPr>
        <w:t>职务：</w:t>
      </w:r>
      <w:r>
        <w:rPr>
          <w:rFonts w:hint="eastAsia" w:ascii="宋体" w:hAnsi="宋体" w:eastAsia="宋体" w:cs="宋体"/>
          <w:color w:val="auto"/>
          <w:szCs w:val="20"/>
          <w:highlight w:val="none"/>
          <w:u w:val="single"/>
          <w:lang w:bidi="ar"/>
        </w:rPr>
        <w:t xml:space="preserve">          </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p>
    <w:p>
      <w:pPr>
        <w:spacing w:after="120" w:afterLines="50" w:line="400" w:lineRule="exact"/>
        <w:ind w:firstLine="210" w:firstLineChars="100"/>
        <w:rPr>
          <w:rFonts w:ascii="宋体" w:hAnsi="宋体" w:eastAsia="宋体" w:cs="宋体"/>
          <w:color w:val="auto"/>
          <w:szCs w:val="21"/>
          <w:highlight w:val="none"/>
        </w:rPr>
      </w:pPr>
      <w:r>
        <w:rPr>
          <w:rFonts w:hint="eastAsia" w:ascii="宋体" w:hAnsi="宋体" w:eastAsia="宋体" w:cs="宋体"/>
          <w:color w:val="auto"/>
          <w:szCs w:val="21"/>
          <w:highlight w:val="none"/>
          <w:lang w:bidi="ar"/>
        </w:rPr>
        <w:t>身份证号码：</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系</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（供应商名称）的法定代表人。</w:t>
      </w:r>
    </w:p>
    <w:p>
      <w:pPr>
        <w:spacing w:line="400" w:lineRule="exact"/>
        <w:ind w:firstLine="560"/>
        <w:rPr>
          <w:rFonts w:ascii="宋体" w:hAnsi="宋体" w:eastAsia="宋体" w:cs="宋体"/>
          <w:color w:val="auto"/>
          <w:szCs w:val="21"/>
          <w:highlight w:val="none"/>
        </w:rPr>
      </w:pPr>
    </w:p>
    <w:p>
      <w:pPr>
        <w:spacing w:line="400" w:lineRule="exact"/>
        <w:ind w:firstLine="210" w:firstLineChars="100"/>
        <w:rPr>
          <w:rFonts w:ascii="宋体" w:hAnsi="宋体" w:eastAsia="宋体" w:cs="宋体"/>
          <w:color w:val="auto"/>
          <w:szCs w:val="21"/>
          <w:highlight w:val="none"/>
        </w:rPr>
      </w:pPr>
      <w:r>
        <w:rPr>
          <w:rFonts w:hint="eastAsia" w:ascii="宋体" w:hAnsi="宋体" w:eastAsia="宋体" w:cs="宋体"/>
          <w:color w:val="auto"/>
          <w:szCs w:val="21"/>
          <w:highlight w:val="none"/>
          <w:lang w:bidi="ar"/>
        </w:rPr>
        <w:t>特此证明。</w:t>
      </w:r>
    </w:p>
    <w:p>
      <w:pPr>
        <w:spacing w:line="400" w:lineRule="exact"/>
        <w:rPr>
          <w:rFonts w:ascii="宋体" w:hAnsi="宋体" w:eastAsia="宋体" w:cs="宋体"/>
          <w:color w:val="auto"/>
          <w:szCs w:val="21"/>
          <w:highlight w:val="none"/>
        </w:rPr>
      </w:pPr>
    </w:p>
    <w:p>
      <w:pPr>
        <w:spacing w:line="400" w:lineRule="exact"/>
        <w:ind w:firstLine="210" w:firstLineChars="100"/>
        <w:rPr>
          <w:rFonts w:ascii="宋体" w:hAnsi="宋体" w:eastAsia="宋体" w:cs="宋体"/>
          <w:color w:val="auto"/>
          <w:szCs w:val="21"/>
          <w:highlight w:val="none"/>
        </w:rPr>
      </w:pPr>
      <w:r>
        <w:rPr>
          <w:rFonts w:hint="eastAsia" w:ascii="宋体" w:hAnsi="宋体" w:eastAsia="宋体" w:cs="宋体"/>
          <w:color w:val="auto"/>
          <w:szCs w:val="21"/>
          <w:highlight w:val="none"/>
          <w:lang w:bidi="ar"/>
        </w:rPr>
        <w:t>供应商（盖章）：</w:t>
      </w:r>
    </w:p>
    <w:p>
      <w:pPr>
        <w:spacing w:line="400" w:lineRule="exact"/>
        <w:ind w:right="560" w:firstLine="210" w:firstLineChars="100"/>
        <w:rPr>
          <w:rFonts w:ascii="宋体" w:hAnsi="宋体" w:eastAsia="宋体" w:cs="宋体"/>
          <w:color w:val="auto"/>
          <w:szCs w:val="21"/>
          <w:highlight w:val="none"/>
        </w:rPr>
      </w:pPr>
      <w:r>
        <w:rPr>
          <w:rFonts w:hint="eastAsia" w:ascii="宋体" w:hAnsi="宋体" w:eastAsia="宋体" w:cs="宋体"/>
          <w:color w:val="auto"/>
          <w:szCs w:val="21"/>
          <w:highlight w:val="none"/>
          <w:lang w:bidi="ar"/>
        </w:rPr>
        <w:t>日期：   年     月    日</w:t>
      </w:r>
    </w:p>
    <w:p>
      <w:pPr>
        <w:spacing w:line="400" w:lineRule="exact"/>
        <w:ind w:right="560"/>
        <w:rPr>
          <w:rFonts w:ascii="宋体" w:hAnsi="宋体" w:eastAsia="宋体" w:cs="宋体"/>
          <w:color w:val="auto"/>
          <w:szCs w:val="21"/>
          <w:highlight w:val="none"/>
        </w:rPr>
      </w:pPr>
    </w:p>
    <w:p>
      <w:pPr>
        <w:spacing w:line="400" w:lineRule="exact"/>
        <w:ind w:right="560"/>
        <w:rPr>
          <w:rFonts w:ascii="宋体" w:hAnsi="宋体" w:eastAsia="宋体" w:cs="宋体"/>
          <w:color w:val="auto"/>
          <w:szCs w:val="21"/>
          <w:highlight w:val="none"/>
        </w:rPr>
      </w:pPr>
    </w:p>
    <w:p>
      <w:pPr>
        <w:spacing w:line="400" w:lineRule="exact"/>
        <w:ind w:firstLine="210" w:firstLineChars="100"/>
        <w:rPr>
          <w:rFonts w:ascii="宋体" w:hAnsi="宋体" w:eastAsia="宋体" w:cs="宋体"/>
          <w:color w:val="auto"/>
          <w:szCs w:val="21"/>
          <w:highlight w:val="none"/>
        </w:rPr>
      </w:pPr>
      <w:r>
        <w:rPr>
          <w:rFonts w:hint="eastAsia" w:ascii="宋体" w:hAnsi="宋体" w:eastAsia="宋体" w:cs="宋体"/>
          <w:color w:val="auto"/>
          <w:szCs w:val="21"/>
          <w:highlight w:val="none"/>
          <w:lang w:bidi="ar"/>
        </w:rPr>
        <w:t>附：法定代表人身份证扫描件</w:t>
      </w:r>
    </w:p>
    <w:p>
      <w:pPr>
        <w:spacing w:line="400" w:lineRule="exact"/>
        <w:jc w:val="left"/>
        <w:rPr>
          <w:rFonts w:ascii="宋体" w:hAnsi="宋体" w:eastAsia="宋体" w:cs="宋体"/>
          <w:color w:val="auto"/>
          <w:sz w:val="24"/>
          <w:szCs w:val="21"/>
          <w:highlight w:val="none"/>
        </w:rPr>
      </w:pPr>
    </w:p>
    <w:p>
      <w:pPr>
        <w:spacing w:line="400" w:lineRule="exact"/>
        <w:jc w:val="left"/>
        <w:rPr>
          <w:rFonts w:ascii="宋体" w:hAnsi="宋体" w:eastAsia="宋体" w:cs="宋体"/>
          <w:color w:val="auto"/>
          <w:sz w:val="24"/>
          <w:szCs w:val="21"/>
          <w:highlight w:val="none"/>
        </w:rPr>
      </w:pPr>
    </w:p>
    <w:p>
      <w:pPr>
        <w:jc w:val="center"/>
        <w:rPr>
          <w:rFonts w:ascii="宋体" w:hAnsi="宋体" w:eastAsia="宋体" w:cs="宋体"/>
          <w:b/>
          <w:color w:val="auto"/>
          <w:spacing w:val="40"/>
          <w:sz w:val="28"/>
          <w:szCs w:val="28"/>
          <w:highlight w:val="none"/>
        </w:rPr>
      </w:pPr>
    </w:p>
    <w:p>
      <w:pPr>
        <w:jc w:val="center"/>
        <w:rPr>
          <w:rFonts w:ascii="宋体" w:hAnsi="宋体" w:eastAsia="宋体" w:cs="宋体"/>
          <w:b/>
          <w:color w:val="auto"/>
          <w:spacing w:val="40"/>
          <w:sz w:val="28"/>
          <w:szCs w:val="28"/>
          <w:highlight w:val="none"/>
        </w:rPr>
      </w:pPr>
    </w:p>
    <w:p>
      <w:pPr>
        <w:spacing w:line="400" w:lineRule="exact"/>
        <w:jc w:val="left"/>
        <w:outlineLvl w:val="0"/>
        <w:rPr>
          <w:rFonts w:ascii="Times New Roman" w:hAnsi="宋体" w:eastAsia="宋体" w:cs="Times New Roman"/>
          <w:b/>
          <w:color w:val="auto"/>
          <w:spacing w:val="-2"/>
          <w:sz w:val="30"/>
          <w:szCs w:val="30"/>
          <w:highlight w:val="none"/>
        </w:rPr>
      </w:pPr>
    </w:p>
    <w:p>
      <w:pPr>
        <w:spacing w:line="400" w:lineRule="exact"/>
        <w:jc w:val="left"/>
        <w:rPr>
          <w:rFonts w:ascii="宋体" w:hAnsi="Times New Roman" w:eastAsia="宋体" w:cs="Times New Roman"/>
          <w:color w:val="auto"/>
          <w:kern w:val="0"/>
          <w:sz w:val="24"/>
          <w:szCs w:val="21"/>
          <w:highlight w:val="none"/>
          <w:lang w:bidi="ar"/>
        </w:rPr>
      </w:pPr>
    </w:p>
    <w:p>
      <w:pPr>
        <w:spacing w:line="380" w:lineRule="exact"/>
        <w:ind w:firstLine="474" w:firstLineChars="200"/>
        <w:rPr>
          <w:rFonts w:ascii="宋体" w:hAnsi="宋体" w:eastAsia="宋体" w:cs="宋体"/>
          <w:b/>
          <w:color w:val="auto"/>
          <w:spacing w:val="-2"/>
          <w:kern w:val="0"/>
          <w:sz w:val="24"/>
          <w:szCs w:val="21"/>
          <w:highlight w:val="none"/>
          <w:lang w:bidi="ar"/>
        </w:rPr>
      </w:pPr>
    </w:p>
    <w:p>
      <w:pPr>
        <w:spacing w:line="380" w:lineRule="exact"/>
        <w:ind w:firstLine="474" w:firstLineChars="200"/>
        <w:rPr>
          <w:rFonts w:ascii="宋体" w:hAnsi="宋体" w:eastAsia="宋体" w:cs="宋体"/>
          <w:b/>
          <w:color w:val="auto"/>
          <w:spacing w:val="-2"/>
          <w:kern w:val="0"/>
          <w:sz w:val="24"/>
          <w:szCs w:val="21"/>
          <w:highlight w:val="none"/>
          <w:lang w:bidi="ar"/>
        </w:rPr>
      </w:pPr>
    </w:p>
    <w:p>
      <w:pPr>
        <w:spacing w:line="380" w:lineRule="exact"/>
        <w:ind w:firstLine="474" w:firstLineChars="200"/>
        <w:rPr>
          <w:rFonts w:ascii="宋体" w:hAnsi="宋体" w:eastAsia="宋体" w:cs="宋体"/>
          <w:b/>
          <w:color w:val="auto"/>
          <w:spacing w:val="-2"/>
          <w:kern w:val="0"/>
          <w:sz w:val="24"/>
          <w:szCs w:val="21"/>
          <w:highlight w:val="none"/>
          <w:lang w:bidi="ar"/>
        </w:rPr>
      </w:pPr>
    </w:p>
    <w:p>
      <w:pPr>
        <w:spacing w:line="380" w:lineRule="exact"/>
        <w:ind w:firstLine="474" w:firstLineChars="200"/>
        <w:rPr>
          <w:rFonts w:ascii="宋体" w:hAnsi="宋体" w:eastAsia="宋体" w:cs="宋体"/>
          <w:b/>
          <w:color w:val="auto"/>
          <w:spacing w:val="-2"/>
          <w:kern w:val="0"/>
          <w:sz w:val="24"/>
          <w:szCs w:val="21"/>
          <w:highlight w:val="none"/>
          <w:lang w:bidi="ar"/>
        </w:rPr>
      </w:pPr>
    </w:p>
    <w:p>
      <w:pPr>
        <w:spacing w:line="380" w:lineRule="exact"/>
        <w:ind w:firstLine="474" w:firstLineChars="200"/>
        <w:rPr>
          <w:rFonts w:ascii="宋体" w:hAnsi="宋体" w:eastAsia="宋体" w:cs="宋体"/>
          <w:b/>
          <w:color w:val="auto"/>
          <w:spacing w:val="-2"/>
          <w:kern w:val="0"/>
          <w:sz w:val="24"/>
          <w:szCs w:val="21"/>
          <w:highlight w:val="none"/>
          <w:lang w:bidi="ar"/>
        </w:rPr>
      </w:pPr>
    </w:p>
    <w:p>
      <w:pPr>
        <w:spacing w:line="380" w:lineRule="exact"/>
        <w:ind w:firstLine="474" w:firstLineChars="200"/>
        <w:rPr>
          <w:rFonts w:ascii="宋体" w:hAnsi="宋体" w:eastAsia="宋体" w:cs="宋体"/>
          <w:b/>
          <w:color w:val="auto"/>
          <w:spacing w:val="-2"/>
          <w:kern w:val="0"/>
          <w:sz w:val="24"/>
          <w:szCs w:val="21"/>
          <w:highlight w:val="none"/>
          <w:lang w:bidi="ar"/>
        </w:rPr>
      </w:pPr>
    </w:p>
    <w:p>
      <w:pPr>
        <w:spacing w:line="380" w:lineRule="exact"/>
        <w:ind w:firstLine="474" w:firstLineChars="200"/>
        <w:rPr>
          <w:rFonts w:ascii="宋体" w:hAnsi="宋体" w:eastAsia="宋体" w:cs="宋体"/>
          <w:b/>
          <w:color w:val="auto"/>
          <w:spacing w:val="-2"/>
          <w:kern w:val="0"/>
          <w:sz w:val="24"/>
          <w:szCs w:val="21"/>
          <w:highlight w:val="none"/>
          <w:lang w:bidi="ar"/>
        </w:rPr>
      </w:pPr>
    </w:p>
    <w:p>
      <w:pPr>
        <w:spacing w:line="380" w:lineRule="exact"/>
        <w:ind w:firstLine="474" w:firstLineChars="200"/>
        <w:rPr>
          <w:rFonts w:ascii="宋体" w:hAnsi="宋体" w:eastAsia="宋体" w:cs="宋体"/>
          <w:b/>
          <w:color w:val="auto"/>
          <w:spacing w:val="-2"/>
          <w:kern w:val="0"/>
          <w:sz w:val="24"/>
          <w:szCs w:val="21"/>
          <w:highlight w:val="none"/>
          <w:lang w:bidi="ar"/>
        </w:rPr>
      </w:pPr>
    </w:p>
    <w:p>
      <w:pPr>
        <w:spacing w:line="480" w:lineRule="auto"/>
        <w:jc w:val="left"/>
        <w:rPr>
          <w:rFonts w:hint="eastAsia" w:ascii="Times New Roman" w:hAnsi="宋体" w:eastAsia="宋体" w:cs="Times New Roman"/>
          <w:b/>
          <w:color w:val="auto"/>
          <w:spacing w:val="-2"/>
          <w:sz w:val="24"/>
          <w:szCs w:val="24"/>
          <w:highlight w:val="none"/>
          <w:lang w:val="en-US" w:eastAsia="zh-CN"/>
        </w:rPr>
      </w:pPr>
      <w:r>
        <w:rPr>
          <w:rFonts w:ascii="Times New Roman" w:hAnsi="宋体" w:eastAsia="宋体" w:cs="宋体"/>
          <w:b/>
          <w:color w:val="auto"/>
          <w:spacing w:val="-2"/>
          <w:sz w:val="24"/>
          <w:szCs w:val="24"/>
          <w:highlight w:val="none"/>
        </w:rPr>
        <w:t>附件</w:t>
      </w:r>
      <w:r>
        <w:rPr>
          <w:rFonts w:hint="eastAsia" w:ascii="Times New Roman" w:hAnsi="宋体" w:eastAsia="宋体" w:cs="宋体"/>
          <w:b/>
          <w:color w:val="auto"/>
          <w:spacing w:val="-2"/>
          <w:sz w:val="24"/>
          <w:szCs w:val="24"/>
          <w:highlight w:val="none"/>
          <w:lang w:val="en-US" w:eastAsia="zh-CN"/>
        </w:rPr>
        <w:t>4</w:t>
      </w:r>
    </w:p>
    <w:p>
      <w:pPr>
        <w:jc w:val="center"/>
        <w:rPr>
          <w:rFonts w:ascii="宋体" w:hAnsi="Times New Roman" w:eastAsia="宋体" w:cs="Times New Roman"/>
          <w:color w:val="auto"/>
          <w:sz w:val="30"/>
          <w:szCs w:val="30"/>
          <w:highlight w:val="none"/>
        </w:rPr>
      </w:pPr>
      <w:r>
        <w:rPr>
          <w:rFonts w:hint="eastAsia" w:ascii="宋体" w:hAnsi="宋体" w:eastAsia="宋体" w:cs="宋体"/>
          <w:b/>
          <w:color w:val="auto"/>
          <w:sz w:val="30"/>
          <w:szCs w:val="30"/>
          <w:highlight w:val="none"/>
        </w:rPr>
        <w:t>商务条款响应表</w:t>
      </w:r>
    </w:p>
    <w:p>
      <w:pPr>
        <w:spacing w:line="380" w:lineRule="exact"/>
        <w:ind w:firstLine="480" w:firstLineChars="200"/>
        <w:rPr>
          <w:rFonts w:ascii="Times New Roman" w:hAnsi="Times New Roman" w:eastAsia="方正书宋简体" w:cs="Times New Roman"/>
          <w:color w:val="auto"/>
          <w:sz w:val="24"/>
          <w:szCs w:val="20"/>
          <w:highlight w:val="none"/>
        </w:rPr>
      </w:pPr>
    </w:p>
    <w:p>
      <w:pPr>
        <w:spacing w:line="400" w:lineRule="exact"/>
        <w:ind w:left="540"/>
        <w:jc w:val="center"/>
        <w:rPr>
          <w:rFonts w:ascii="宋体" w:hAnsi="宋体" w:eastAsia="宋体" w:cs="宋体"/>
          <w:b/>
          <w:color w:val="auto"/>
          <w:szCs w:val="21"/>
          <w:highlight w:val="none"/>
        </w:rPr>
      </w:pPr>
    </w:p>
    <w:p>
      <w:pPr>
        <w:adjustRightInd w:val="0"/>
        <w:snapToGrid w:val="0"/>
        <w:spacing w:after="120" w:afterLines="50"/>
        <w:rPr>
          <w:rFonts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项目名称：</w:t>
      </w:r>
      <w:r>
        <w:rPr>
          <w:rFonts w:hint="eastAsia" w:ascii="宋体" w:hAnsi="宋体" w:eastAsia="宋体" w:cs="宋体"/>
          <w:color w:val="auto"/>
          <w:szCs w:val="21"/>
          <w:highlight w:val="none"/>
          <w:u w:val="single"/>
          <w:lang w:eastAsia="zh-CN"/>
        </w:rPr>
        <w:t>慈溪市交通场站经营有限公司充电桩配套电缆</w:t>
      </w:r>
      <w:r>
        <w:rPr>
          <w:rFonts w:hint="eastAsia" w:ascii="宋体" w:hAnsi="宋体" w:eastAsia="宋体" w:cs="宋体"/>
          <w:color w:val="auto"/>
          <w:szCs w:val="21"/>
          <w:highlight w:val="none"/>
          <w:u w:val="single"/>
        </w:rPr>
        <w:t>采购项目</w:t>
      </w:r>
    </w:p>
    <w:p>
      <w:pPr>
        <w:adjustRightInd w:val="0"/>
        <w:snapToGrid w:val="0"/>
        <w:spacing w:after="120" w:afterLines="50"/>
        <w:rPr>
          <w:rFonts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 xml:space="preserve">QTGGZY202324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 xml:space="preserve"> </w:t>
      </w:r>
    </w:p>
    <w:tbl>
      <w:tblPr>
        <w:tblStyle w:val="46"/>
        <w:tblW w:w="0" w:type="auto"/>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115"/>
        <w:gridCol w:w="1845"/>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序号</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招标要求</w:t>
            </w:r>
          </w:p>
        </w:tc>
        <w:tc>
          <w:tcPr>
            <w:tcW w:w="1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投标响应</w:t>
            </w:r>
          </w:p>
        </w:tc>
        <w:tc>
          <w:tcPr>
            <w:tcW w:w="3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3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3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3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3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3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37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bl>
    <w:p>
      <w:pPr>
        <w:adjustRightInd w:val="0"/>
        <w:snapToGrid w:val="0"/>
        <w:spacing w:line="400" w:lineRule="exact"/>
        <w:ind w:left="250" w:hanging="250" w:hangingChars="100"/>
        <w:rPr>
          <w:rFonts w:ascii="宋体" w:hAnsi="宋体" w:eastAsia="宋体" w:cs="宋体"/>
          <w:color w:val="auto"/>
          <w:szCs w:val="21"/>
          <w:highlight w:val="none"/>
        </w:rPr>
      </w:pPr>
      <w:r>
        <w:rPr>
          <w:rFonts w:hint="eastAsia" w:ascii="宋体" w:hAnsi="宋体" w:eastAsia="宋体" w:cs="宋体"/>
          <w:color w:val="auto"/>
          <w:spacing w:val="20"/>
          <w:szCs w:val="21"/>
          <w:highlight w:val="none"/>
        </w:rPr>
        <w:t>注：1、须与相应的商务条款逐项比较填写。</w:t>
      </w: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ind w:firstLine="5880" w:firstLineChars="2800"/>
        <w:rPr>
          <w:rFonts w:ascii="宋体" w:hAnsi="宋体" w:eastAsia="宋体" w:cs="宋体"/>
          <w:color w:val="auto"/>
          <w:szCs w:val="21"/>
          <w:highlight w:val="none"/>
        </w:rPr>
      </w:pPr>
      <w:r>
        <w:rPr>
          <w:rFonts w:hint="eastAsia" w:ascii="宋体" w:hAnsi="宋体" w:eastAsia="宋体" w:cs="宋体"/>
          <w:color w:val="auto"/>
          <w:szCs w:val="21"/>
          <w:highlight w:val="none"/>
        </w:rPr>
        <w:t>供应商盖章：</w:t>
      </w:r>
      <w:r>
        <w:rPr>
          <w:rFonts w:hint="eastAsia" w:ascii="宋体" w:hAnsi="宋体" w:eastAsia="宋体" w:cs="宋体"/>
          <w:color w:val="auto"/>
          <w:szCs w:val="21"/>
          <w:highlight w:val="none"/>
          <w:u w:val="single"/>
        </w:rPr>
        <w:t xml:space="preserve">   （公章）  　</w:t>
      </w:r>
    </w:p>
    <w:p>
      <w:pPr>
        <w:snapToGrid w:val="0"/>
        <w:spacing w:line="400" w:lineRule="exact"/>
        <w:ind w:firstLine="3150" w:firstLineChars="1500"/>
        <w:rPr>
          <w:rFonts w:ascii="宋体" w:hAnsi="宋体" w:eastAsia="宋体" w:cs="宋体"/>
          <w:color w:val="auto"/>
          <w:szCs w:val="21"/>
          <w:highlight w:val="none"/>
        </w:rPr>
      </w:pPr>
    </w:p>
    <w:p>
      <w:pPr>
        <w:spacing w:line="400" w:lineRule="exact"/>
        <w:ind w:firstLine="5880" w:firstLineChars="2800"/>
        <w:rPr>
          <w:rFonts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00" w:lineRule="exact"/>
        <w:rPr>
          <w:rFonts w:ascii="宋体" w:hAnsi="宋体" w:eastAsia="宋体" w:cs="宋体"/>
          <w:color w:val="auto"/>
          <w:szCs w:val="21"/>
          <w:highlight w:val="none"/>
        </w:rPr>
      </w:pPr>
    </w:p>
    <w:p>
      <w:pPr>
        <w:spacing w:line="480" w:lineRule="auto"/>
        <w:jc w:val="left"/>
        <w:rPr>
          <w:rFonts w:ascii="宋体" w:hAnsi="宋体" w:eastAsia="宋体" w:cs="宋体"/>
          <w:color w:val="auto"/>
          <w:spacing w:val="20"/>
          <w:sz w:val="30"/>
          <w:szCs w:val="30"/>
          <w:highlight w:val="none"/>
        </w:rPr>
      </w:pPr>
      <w:r>
        <w:rPr>
          <w:rFonts w:hint="eastAsia" w:ascii="宋体" w:hAnsi="宋体" w:eastAsia="宋体" w:cs="宋体"/>
          <w:color w:val="auto"/>
          <w:spacing w:val="20"/>
          <w:sz w:val="30"/>
          <w:szCs w:val="30"/>
          <w:highlight w:val="none"/>
        </w:rPr>
        <w:t xml:space="preserve"> </w:t>
      </w:r>
    </w:p>
    <w:p>
      <w:pPr>
        <w:spacing w:line="380" w:lineRule="exact"/>
        <w:ind w:firstLine="594" w:firstLineChars="200"/>
        <w:rPr>
          <w:rFonts w:ascii="Times New Roman" w:hAnsi="宋体" w:eastAsia="宋体" w:cs="Times New Roman"/>
          <w:b/>
          <w:color w:val="auto"/>
          <w:spacing w:val="-2"/>
          <w:sz w:val="30"/>
          <w:szCs w:val="30"/>
          <w:highlight w:val="none"/>
        </w:rPr>
      </w:pPr>
    </w:p>
    <w:p>
      <w:pPr>
        <w:spacing w:line="400" w:lineRule="exact"/>
        <w:rPr>
          <w:rFonts w:hint="eastAsia" w:ascii="宋体" w:hAnsi="Times New Roman" w:eastAsia="宋体" w:cs="Times New Roman"/>
          <w:bCs/>
          <w:iCs/>
          <w:color w:val="auto"/>
          <w:spacing w:val="20"/>
          <w:szCs w:val="21"/>
          <w:highlight w:val="none"/>
          <w:lang w:val="en-US" w:eastAsia="zh-CN"/>
        </w:rPr>
      </w:pPr>
      <w:r>
        <w:rPr>
          <w:rFonts w:ascii="Times New Roman" w:hAnsi="宋体" w:eastAsia="宋体" w:cs="宋体"/>
          <w:b/>
          <w:color w:val="auto"/>
          <w:spacing w:val="-2"/>
          <w:sz w:val="24"/>
          <w:szCs w:val="24"/>
          <w:highlight w:val="none"/>
        </w:rPr>
        <w:t>附件</w:t>
      </w:r>
      <w:r>
        <w:rPr>
          <w:rFonts w:hint="eastAsia" w:ascii="Times New Roman" w:hAnsi="宋体" w:eastAsia="宋体" w:cs="宋体"/>
          <w:b/>
          <w:color w:val="auto"/>
          <w:spacing w:val="-2"/>
          <w:sz w:val="24"/>
          <w:szCs w:val="24"/>
          <w:highlight w:val="none"/>
          <w:lang w:val="en-US" w:eastAsia="zh-CN"/>
        </w:rPr>
        <w:t>5</w:t>
      </w:r>
    </w:p>
    <w:p>
      <w:pPr>
        <w:jc w:val="center"/>
        <w:rPr>
          <w:rFonts w:ascii="宋体" w:hAnsi="宋体" w:eastAsia="宋体" w:cs="宋体"/>
          <w:b/>
          <w:color w:val="auto"/>
          <w:sz w:val="30"/>
          <w:szCs w:val="30"/>
          <w:highlight w:val="none"/>
        </w:rPr>
      </w:pPr>
    </w:p>
    <w:p>
      <w:pPr>
        <w:jc w:val="center"/>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技术要求条款响应表</w:t>
      </w:r>
    </w:p>
    <w:p>
      <w:pPr>
        <w:spacing w:line="380" w:lineRule="exact"/>
        <w:ind w:firstLine="480" w:firstLineChars="200"/>
        <w:rPr>
          <w:rFonts w:ascii="Times New Roman" w:hAnsi="Times New Roman" w:eastAsia="方正书宋简体" w:cs="Times New Roman"/>
          <w:color w:val="auto"/>
          <w:sz w:val="24"/>
          <w:szCs w:val="20"/>
          <w:highlight w:val="none"/>
        </w:rPr>
      </w:pPr>
    </w:p>
    <w:p>
      <w:pPr>
        <w:adjustRightInd w:val="0"/>
        <w:snapToGrid w:val="0"/>
        <w:spacing w:line="400" w:lineRule="exact"/>
        <w:rPr>
          <w:rFonts w:ascii="宋体" w:hAnsi="宋体" w:eastAsia="宋体" w:cs="宋体"/>
          <w:color w:val="auto"/>
          <w:szCs w:val="21"/>
          <w:highlight w:val="none"/>
        </w:rPr>
      </w:pPr>
    </w:p>
    <w:p>
      <w:pPr>
        <w:adjustRightInd w:val="0"/>
        <w:snapToGrid w:val="0"/>
        <w:spacing w:after="120" w:afterLines="50"/>
        <w:rPr>
          <w:rFonts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项目名称：</w:t>
      </w:r>
      <w:r>
        <w:rPr>
          <w:rFonts w:hint="eastAsia" w:ascii="宋体" w:hAnsi="宋体" w:eastAsia="宋体" w:cs="宋体"/>
          <w:color w:val="auto"/>
          <w:szCs w:val="21"/>
          <w:highlight w:val="none"/>
          <w:u w:val="single"/>
          <w:lang w:eastAsia="zh-CN"/>
        </w:rPr>
        <w:t>慈溪市交通场站经营有限公司充电桩配套电缆</w:t>
      </w:r>
      <w:r>
        <w:rPr>
          <w:rFonts w:hint="eastAsia" w:ascii="宋体" w:hAnsi="宋体" w:eastAsia="宋体" w:cs="宋体"/>
          <w:color w:val="auto"/>
          <w:szCs w:val="21"/>
          <w:highlight w:val="none"/>
          <w:u w:val="single"/>
        </w:rPr>
        <w:t>采购项目</w:t>
      </w:r>
    </w:p>
    <w:p>
      <w:pPr>
        <w:adjustRightInd w:val="0"/>
        <w:snapToGrid w:val="0"/>
        <w:spacing w:after="120" w:afterLines="50"/>
        <w:rPr>
          <w:rFonts w:ascii="宋体" w:hAnsi="宋体" w:eastAsia="宋体" w:cs="宋体"/>
          <w:color w:val="auto"/>
          <w:spacing w:val="20"/>
          <w:szCs w:val="21"/>
          <w:highlight w:val="none"/>
        </w:rPr>
      </w:pPr>
      <w:r>
        <w:rPr>
          <w:rFonts w:hint="eastAsia" w:ascii="宋体" w:hAnsi="宋体" w:eastAsia="宋体" w:cs="宋体"/>
          <w:color w:val="auto"/>
          <w:kern w:val="0"/>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 xml:space="preserve">QTGGZY202324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 xml:space="preserve">  </w:t>
      </w:r>
    </w:p>
    <w:tbl>
      <w:tblPr>
        <w:tblStyle w:val="46"/>
        <w:tblW w:w="0" w:type="auto"/>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205"/>
        <w:gridCol w:w="1890"/>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序号</w:t>
            </w: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招标要求</w:t>
            </w:r>
          </w:p>
        </w:tc>
        <w:tc>
          <w:tcPr>
            <w:tcW w:w="1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投标响应</w:t>
            </w:r>
          </w:p>
        </w:tc>
        <w:tc>
          <w:tcPr>
            <w:tcW w:w="4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4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4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4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4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c>
          <w:tcPr>
            <w:tcW w:w="4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eastAsia="宋体" w:cs="宋体"/>
                <w:color w:val="auto"/>
                <w:spacing w:val="20"/>
                <w:szCs w:val="21"/>
                <w:highlight w:val="none"/>
              </w:rPr>
            </w:pPr>
          </w:p>
        </w:tc>
      </w:tr>
    </w:tbl>
    <w:p>
      <w:pPr>
        <w:adjustRightInd w:val="0"/>
        <w:snapToGrid w:val="0"/>
        <w:spacing w:line="400" w:lineRule="exact"/>
        <w:rPr>
          <w:rFonts w:ascii="宋体" w:hAnsi="宋体" w:eastAsia="宋体" w:cs="宋体"/>
          <w:color w:val="auto"/>
          <w:szCs w:val="21"/>
          <w:highlight w:val="none"/>
        </w:rPr>
      </w:pPr>
      <w:r>
        <w:rPr>
          <w:rFonts w:hint="eastAsia" w:ascii="宋体" w:hAnsi="宋体" w:eastAsia="宋体" w:cs="宋体"/>
          <w:color w:val="auto"/>
          <w:spacing w:val="20"/>
          <w:szCs w:val="21"/>
          <w:highlight w:val="none"/>
        </w:rPr>
        <w:t>注：须与招标文件的“第五章 招标项目需求”技术要求中标记“▲”的条款需求逐项比较填写。</w:t>
      </w:r>
    </w:p>
    <w:p>
      <w:pPr>
        <w:adjustRightInd w:val="0"/>
        <w:snapToGrid w:val="0"/>
        <w:spacing w:line="400" w:lineRule="exact"/>
        <w:rPr>
          <w:rFonts w:ascii="宋体" w:hAnsi="宋体" w:eastAsia="宋体" w:cs="宋体"/>
          <w:color w:val="auto"/>
          <w:spacing w:val="20"/>
          <w:szCs w:val="21"/>
          <w:highlight w:val="none"/>
        </w:rPr>
      </w:pPr>
    </w:p>
    <w:p>
      <w:pPr>
        <w:adjustRightInd w:val="0"/>
        <w:snapToGrid w:val="0"/>
        <w:spacing w:line="400" w:lineRule="exact"/>
        <w:rPr>
          <w:rFonts w:ascii="宋体" w:hAnsi="宋体" w:eastAsia="宋体" w:cs="宋体"/>
          <w:color w:val="auto"/>
          <w:spacing w:val="20"/>
          <w:szCs w:val="21"/>
          <w:highlight w:val="none"/>
        </w:rPr>
      </w:pPr>
    </w:p>
    <w:p>
      <w:pPr>
        <w:spacing w:line="400" w:lineRule="exact"/>
        <w:ind w:firstLine="3360" w:firstLineChars="1600"/>
        <w:rPr>
          <w:rFonts w:ascii="宋体" w:hAnsi="宋体" w:eastAsia="宋体" w:cs="宋体"/>
          <w:color w:val="auto"/>
          <w:szCs w:val="21"/>
          <w:highlight w:val="none"/>
        </w:rPr>
      </w:pPr>
      <w:r>
        <w:rPr>
          <w:rFonts w:hint="eastAsia" w:ascii="宋体" w:hAnsi="宋体" w:eastAsia="宋体" w:cs="宋体"/>
          <w:color w:val="auto"/>
          <w:szCs w:val="21"/>
          <w:highlight w:val="none"/>
        </w:rPr>
        <w:t>供应商盖章：</w:t>
      </w:r>
      <w:r>
        <w:rPr>
          <w:rFonts w:hint="eastAsia" w:ascii="宋体" w:hAnsi="宋体" w:eastAsia="宋体" w:cs="宋体"/>
          <w:color w:val="auto"/>
          <w:szCs w:val="21"/>
          <w:highlight w:val="none"/>
          <w:u w:val="single"/>
        </w:rPr>
        <w:t xml:space="preserve">      （公章）  　</w:t>
      </w:r>
    </w:p>
    <w:p>
      <w:pPr>
        <w:spacing w:line="400" w:lineRule="exact"/>
        <w:ind w:firstLine="3570" w:firstLineChars="1700"/>
        <w:rPr>
          <w:rFonts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p>
    <w:p>
      <w:pPr>
        <w:rPr>
          <w:rFonts w:hint="eastAsia" w:ascii="宋体" w:hAnsi="宋体" w:eastAsia="宋体" w:cs="宋体"/>
          <w:b/>
          <w:color w:val="auto"/>
          <w:spacing w:val="-2"/>
          <w:kern w:val="0"/>
          <w:sz w:val="24"/>
          <w:szCs w:val="21"/>
          <w:highlight w:val="none"/>
          <w:lang w:val="en-US" w:eastAsia="zh-CN" w:bidi="ar"/>
        </w:rPr>
      </w:pPr>
      <w:r>
        <w:rPr>
          <w:rFonts w:hint="eastAsia" w:ascii="宋体" w:hAnsi="宋体" w:eastAsia="宋体" w:cs="宋体"/>
          <w:color w:val="auto"/>
          <w:szCs w:val="21"/>
          <w:highlight w:val="none"/>
          <w:u w:val="single"/>
        </w:rPr>
        <w:br w:type="page"/>
      </w:r>
      <w:r>
        <w:rPr>
          <w:rFonts w:hint="eastAsia" w:ascii="宋体" w:hAnsi="宋体" w:eastAsia="宋体" w:cs="宋体"/>
          <w:b/>
          <w:color w:val="auto"/>
          <w:spacing w:val="-2"/>
          <w:kern w:val="0"/>
          <w:sz w:val="24"/>
          <w:szCs w:val="21"/>
          <w:highlight w:val="none"/>
          <w:lang w:bidi="ar"/>
        </w:rPr>
        <w:t>附件</w:t>
      </w:r>
      <w:r>
        <w:rPr>
          <w:rFonts w:hint="eastAsia" w:ascii="宋体" w:hAnsi="宋体" w:eastAsia="宋体" w:cs="宋体"/>
          <w:b/>
          <w:color w:val="auto"/>
          <w:spacing w:val="-2"/>
          <w:kern w:val="0"/>
          <w:sz w:val="24"/>
          <w:szCs w:val="21"/>
          <w:highlight w:val="none"/>
          <w:lang w:val="en-US" w:eastAsia="zh-CN" w:bidi="ar"/>
        </w:rPr>
        <w:t>6</w:t>
      </w:r>
    </w:p>
    <w:p>
      <w:pPr>
        <w:spacing w:line="380" w:lineRule="exact"/>
        <w:ind w:firstLine="480" w:firstLineChars="200"/>
        <w:rPr>
          <w:rFonts w:ascii="Times New Roman" w:hAnsi="Times New Roman" w:eastAsia="方正书宋简体" w:cs="Times New Roman"/>
          <w:color w:val="auto"/>
          <w:sz w:val="24"/>
          <w:szCs w:val="20"/>
          <w:highlight w:val="none"/>
        </w:rPr>
      </w:pPr>
    </w:p>
    <w:p>
      <w:pPr>
        <w:jc w:val="center"/>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供应商一般情况</w:t>
      </w:r>
    </w:p>
    <w:p>
      <w:pPr>
        <w:spacing w:line="380" w:lineRule="exact"/>
        <w:ind w:firstLine="480" w:firstLineChars="200"/>
        <w:rPr>
          <w:rFonts w:ascii="Times New Roman" w:hAnsi="Times New Roman" w:eastAsia="方正书宋简体" w:cs="Times New Roman"/>
          <w:color w:val="auto"/>
          <w:sz w:val="24"/>
          <w:szCs w:val="20"/>
          <w:highlight w:val="none"/>
        </w:rPr>
      </w:pP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1</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2</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3</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4</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电  话：</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5</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传  真：</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6</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注册地：</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7</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公司的经营范围：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8</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从业人员数量</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9</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营业收入</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bidi="ar"/>
              </w:rPr>
              <w:t>10</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lang w:bidi="ar"/>
              </w:rPr>
              <w:t>其他需要说明的情况</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Cs w:val="21"/>
                <w:highlight w:val="none"/>
              </w:rPr>
            </w:pPr>
          </w:p>
        </w:tc>
      </w:tr>
    </w:tbl>
    <w:p>
      <w:pPr>
        <w:spacing w:line="400" w:lineRule="exact"/>
        <w:jc w:val="left"/>
        <w:rPr>
          <w:rFonts w:ascii="宋体" w:hAnsi="宋体" w:eastAsia="宋体" w:cs="宋体"/>
          <w:color w:val="auto"/>
          <w:szCs w:val="21"/>
          <w:highlight w:val="none"/>
        </w:rPr>
      </w:pPr>
    </w:p>
    <w:p>
      <w:pPr>
        <w:spacing w:line="380" w:lineRule="exact"/>
        <w:ind w:firstLine="480" w:firstLineChars="200"/>
        <w:rPr>
          <w:rFonts w:ascii="宋体" w:hAnsi="宋体" w:eastAsia="宋体" w:cs="宋体"/>
          <w:color w:val="auto"/>
          <w:sz w:val="24"/>
          <w:szCs w:val="20"/>
          <w:highlight w:val="none"/>
        </w:rPr>
      </w:pPr>
    </w:p>
    <w:p>
      <w:pPr>
        <w:spacing w:line="40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lang w:bidi="ar"/>
        </w:rPr>
        <w:t>供应商（盖章）：</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p>
    <w:p>
      <w:pPr>
        <w:spacing w:line="400" w:lineRule="exact"/>
        <w:rPr>
          <w:rFonts w:ascii="宋体" w:hAnsi="宋体" w:eastAsia="宋体" w:cs="宋体"/>
          <w:color w:val="auto"/>
          <w:szCs w:val="21"/>
          <w:highlight w:val="none"/>
          <w:u w:val="single"/>
        </w:rPr>
      </w:pPr>
      <w:r>
        <w:rPr>
          <w:rFonts w:hint="eastAsia" w:ascii="宋体" w:hAnsi="宋体" w:eastAsia="宋体" w:cs="宋体"/>
          <w:color w:val="auto"/>
          <w:szCs w:val="21"/>
          <w:highlight w:val="none"/>
          <w:lang w:bidi="ar"/>
        </w:rPr>
        <w:t>日            期：</w:t>
      </w:r>
      <w:r>
        <w:rPr>
          <w:rFonts w:hint="eastAsia" w:ascii="宋体" w:hAnsi="宋体" w:eastAsia="宋体" w:cs="宋体"/>
          <w:color w:val="auto"/>
          <w:szCs w:val="21"/>
          <w:highlight w:val="none"/>
          <w:u w:val="single"/>
          <w:lang w:bidi="ar"/>
        </w:rPr>
        <w:t xml:space="preserve">                             </w:t>
      </w:r>
    </w:p>
    <w:p>
      <w:pPr>
        <w:rPr>
          <w:rFonts w:ascii="Times New Roman" w:hAnsi="宋体" w:eastAsia="宋体" w:cs="Times New Roman"/>
          <w:b/>
          <w:color w:val="auto"/>
          <w:spacing w:val="-2"/>
          <w:sz w:val="24"/>
          <w:szCs w:val="24"/>
          <w:highlight w:val="none"/>
        </w:rPr>
      </w:pPr>
      <w:r>
        <w:rPr>
          <w:rFonts w:hint="eastAsia" w:ascii="宋体" w:hAnsi="宋体" w:eastAsia="宋体" w:cs="宋体"/>
          <w:b/>
          <w:color w:val="auto"/>
          <w:spacing w:val="-2"/>
          <w:sz w:val="24"/>
          <w:szCs w:val="21"/>
          <w:highlight w:val="none"/>
          <w:lang w:bidi="ar"/>
        </w:rPr>
        <w:br w:type="page"/>
      </w:r>
    </w:p>
    <w:p>
      <w:pPr>
        <w:rPr>
          <w:rFonts w:hint="eastAsia" w:ascii="Times New Roman" w:hAnsi="宋体" w:eastAsia="宋体" w:cs="宋体"/>
          <w:b/>
          <w:color w:val="auto"/>
          <w:spacing w:val="-2"/>
          <w:sz w:val="24"/>
          <w:szCs w:val="24"/>
          <w:highlight w:val="none"/>
          <w:lang w:val="en-US" w:eastAsia="zh-CN"/>
        </w:rPr>
      </w:pPr>
      <w:r>
        <w:rPr>
          <w:rFonts w:ascii="Times New Roman" w:hAnsi="宋体" w:eastAsia="宋体" w:cs="宋体"/>
          <w:b/>
          <w:color w:val="auto"/>
          <w:spacing w:val="-2"/>
          <w:sz w:val="24"/>
          <w:szCs w:val="24"/>
          <w:highlight w:val="none"/>
        </w:rPr>
        <w:t>附件</w:t>
      </w:r>
      <w:r>
        <w:rPr>
          <w:rFonts w:hint="eastAsia" w:ascii="Times New Roman" w:hAnsi="宋体" w:eastAsia="宋体" w:cs="宋体"/>
          <w:b/>
          <w:color w:val="auto"/>
          <w:spacing w:val="-2"/>
          <w:sz w:val="24"/>
          <w:szCs w:val="24"/>
          <w:highlight w:val="none"/>
          <w:lang w:val="en-US" w:eastAsia="zh-CN"/>
        </w:rPr>
        <w:t>7</w:t>
      </w:r>
    </w:p>
    <w:p>
      <w:pPr>
        <w:jc w:val="center"/>
        <w:rPr>
          <w:rFonts w:ascii="宋体" w:hAnsi="Times New Roman" w:eastAsia="宋体" w:cs="Times New Roman"/>
          <w:color w:val="auto"/>
          <w:sz w:val="32"/>
          <w:szCs w:val="32"/>
          <w:highlight w:val="none"/>
        </w:rPr>
      </w:pPr>
    </w:p>
    <w:p>
      <w:pPr>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p>
    <w:p>
      <w:pPr>
        <w:spacing w:line="460" w:lineRule="exact"/>
        <w:rPr>
          <w:rFonts w:ascii="宋体" w:hAnsi="宋体" w:eastAsia="宋体" w:cs="宋体"/>
          <w:color w:val="auto"/>
          <w:szCs w:val="20"/>
          <w:highlight w:val="none"/>
        </w:rPr>
      </w:pPr>
    </w:p>
    <w:p>
      <w:pPr>
        <w:adjustRightInd w:val="0"/>
        <w:snapToGrid w:val="0"/>
        <w:spacing w:after="120" w:afterLines="50"/>
        <w:rPr>
          <w:rFonts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项目名称：</w:t>
      </w:r>
      <w:r>
        <w:rPr>
          <w:rFonts w:hint="eastAsia" w:ascii="宋体" w:hAnsi="宋体" w:eastAsia="宋体" w:cs="宋体"/>
          <w:color w:val="auto"/>
          <w:szCs w:val="21"/>
          <w:highlight w:val="none"/>
          <w:u w:val="single"/>
          <w:lang w:eastAsia="zh-CN"/>
        </w:rPr>
        <w:t>慈溪市交通场站经营有限公司充电桩配套电缆</w:t>
      </w:r>
      <w:r>
        <w:rPr>
          <w:rFonts w:hint="eastAsia" w:ascii="宋体" w:hAnsi="宋体" w:eastAsia="宋体" w:cs="宋体"/>
          <w:color w:val="auto"/>
          <w:szCs w:val="21"/>
          <w:highlight w:val="none"/>
          <w:u w:val="single"/>
        </w:rPr>
        <w:t>采购项目</w:t>
      </w:r>
    </w:p>
    <w:p>
      <w:pPr>
        <w:adjustRightInd w:val="0"/>
        <w:snapToGrid w:val="0"/>
        <w:spacing w:after="120" w:afterLines="50"/>
        <w:rPr>
          <w:rFonts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 xml:space="preserve">QTGGZY202324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 xml:space="preserve"> </w:t>
      </w:r>
    </w:p>
    <w:p>
      <w:pPr>
        <w:adjustRightInd w:val="0"/>
        <w:snapToGrid w:val="0"/>
        <w:spacing w:after="120" w:afterLines="50"/>
        <w:rPr>
          <w:rFonts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w:t>
      </w:r>
    </w:p>
    <w:tbl>
      <w:tblPr>
        <w:tblStyle w:val="46"/>
        <w:tblW w:w="9375" w:type="dxa"/>
        <w:tblInd w:w="-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426"/>
        <w:gridCol w:w="1986"/>
        <w:gridCol w:w="1984"/>
        <w:gridCol w:w="1735"/>
        <w:gridCol w:w="12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163" w:hRule="atLeast"/>
        </w:trPr>
        <w:tc>
          <w:tcPr>
            <w:tcW w:w="2426" w:type="dxa"/>
            <w:tcBorders>
              <w:bottom w:val="single" w:color="auto" w:sz="4" w:space="0"/>
              <w:right w:val="single" w:color="auto" w:sz="4" w:space="0"/>
            </w:tcBorders>
            <w:vAlign w:val="center"/>
          </w:tcPr>
          <w:p>
            <w:pPr>
              <w:widowControl/>
              <w:spacing w:before="50" w:line="320" w:lineRule="exact"/>
              <w:jc w:val="center"/>
              <w:rPr>
                <w:rFonts w:ascii="宋体" w:hAnsi="宋体" w:eastAsia="宋体" w:cs="Times New Roman"/>
                <w:b/>
                <w:color w:val="auto"/>
                <w:sz w:val="24"/>
                <w:szCs w:val="20"/>
                <w:highlight w:val="none"/>
              </w:rPr>
            </w:pPr>
            <w:r>
              <w:rPr>
                <w:rFonts w:hint="eastAsia" w:ascii="宋体" w:hAnsi="宋体" w:eastAsia="宋体" w:cs="Times New Roman"/>
                <w:b/>
                <w:color w:val="auto"/>
                <w:sz w:val="24"/>
                <w:szCs w:val="20"/>
                <w:highlight w:val="none"/>
              </w:rPr>
              <w:t>内容</w:t>
            </w:r>
          </w:p>
        </w:tc>
        <w:tc>
          <w:tcPr>
            <w:tcW w:w="1986" w:type="dxa"/>
            <w:tcBorders>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eastAsia="宋体" w:cs="Times New Roman"/>
                <w:b/>
                <w:color w:val="auto"/>
                <w:sz w:val="24"/>
                <w:szCs w:val="20"/>
                <w:highlight w:val="none"/>
              </w:rPr>
            </w:pPr>
            <w:r>
              <w:rPr>
                <w:rFonts w:hint="eastAsia" w:ascii="宋体" w:hAnsi="宋体" w:eastAsia="宋体" w:cs="Times New Roman"/>
                <w:b/>
                <w:color w:val="auto"/>
                <w:sz w:val="24"/>
                <w:szCs w:val="20"/>
                <w:highlight w:val="none"/>
              </w:rPr>
              <w:t>投标总价（小写）</w:t>
            </w:r>
          </w:p>
        </w:tc>
        <w:tc>
          <w:tcPr>
            <w:tcW w:w="1984" w:type="dxa"/>
            <w:tcBorders>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eastAsia="宋体" w:cs="Times New Roman"/>
                <w:b/>
                <w:color w:val="auto"/>
                <w:sz w:val="24"/>
                <w:szCs w:val="20"/>
                <w:highlight w:val="none"/>
              </w:rPr>
            </w:pPr>
            <w:r>
              <w:rPr>
                <w:rFonts w:hint="eastAsia" w:ascii="宋体" w:hAnsi="宋体" w:eastAsia="宋体" w:cs="Times New Roman"/>
                <w:b/>
                <w:color w:val="auto"/>
                <w:sz w:val="24"/>
                <w:szCs w:val="20"/>
                <w:highlight w:val="none"/>
              </w:rPr>
              <w:t>投标总价（大写）</w:t>
            </w:r>
          </w:p>
        </w:tc>
        <w:tc>
          <w:tcPr>
            <w:tcW w:w="1735" w:type="dxa"/>
            <w:tcBorders>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eastAsia="宋体" w:cs="Times New Roman"/>
                <w:b/>
                <w:color w:val="auto"/>
                <w:sz w:val="24"/>
                <w:szCs w:val="20"/>
                <w:highlight w:val="none"/>
              </w:rPr>
            </w:pPr>
            <w:r>
              <w:rPr>
                <w:rFonts w:hint="eastAsia" w:ascii="宋体" w:hAnsi="宋体" w:eastAsia="宋体" w:cs="Times New Roman"/>
                <w:b/>
                <w:color w:val="auto"/>
                <w:sz w:val="24"/>
                <w:szCs w:val="20"/>
                <w:highlight w:val="none"/>
              </w:rPr>
              <w:t>供货期</w:t>
            </w:r>
          </w:p>
        </w:tc>
        <w:tc>
          <w:tcPr>
            <w:tcW w:w="1244" w:type="dxa"/>
            <w:tcBorders>
              <w:left w:val="single" w:color="auto" w:sz="4" w:space="0"/>
              <w:bottom w:val="single" w:color="auto" w:sz="4" w:space="0"/>
            </w:tcBorders>
            <w:vAlign w:val="center"/>
          </w:tcPr>
          <w:p>
            <w:pPr>
              <w:autoSpaceDE w:val="0"/>
              <w:autoSpaceDN w:val="0"/>
              <w:spacing w:line="450" w:lineRule="exact"/>
              <w:jc w:val="center"/>
              <w:textAlignment w:val="bottom"/>
              <w:rPr>
                <w:rFonts w:ascii="宋体" w:hAnsi="宋体" w:eastAsia="宋体" w:cs="Times New Roman"/>
                <w:b/>
                <w:color w:val="auto"/>
                <w:sz w:val="24"/>
                <w:szCs w:val="20"/>
                <w:highlight w:val="none"/>
              </w:rPr>
            </w:pPr>
            <w:r>
              <w:rPr>
                <w:rFonts w:hint="eastAsia" w:ascii="宋体" w:hAnsi="宋体" w:eastAsia="宋体" w:cs="Times New Roman"/>
                <w:b/>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543" w:hRule="atLeast"/>
        </w:trPr>
        <w:tc>
          <w:tcPr>
            <w:tcW w:w="2426" w:type="dxa"/>
            <w:tcBorders>
              <w:top w:val="single" w:color="auto" w:sz="4" w:space="0"/>
              <w:right w:val="single" w:color="auto" w:sz="4" w:space="0"/>
            </w:tcBorders>
            <w:vAlign w:val="center"/>
          </w:tcPr>
          <w:p>
            <w:pPr>
              <w:widowControl/>
              <w:spacing w:before="50" w:line="320" w:lineRule="exact"/>
              <w:jc w:val="center"/>
              <w:rPr>
                <w:rFonts w:ascii="宋体" w:hAnsi="宋体" w:eastAsia="宋体" w:cs="Times New Roman"/>
                <w:b/>
                <w:color w:val="auto"/>
                <w:sz w:val="24"/>
                <w:szCs w:val="20"/>
                <w:highlight w:val="none"/>
              </w:rPr>
            </w:pPr>
            <w:r>
              <w:rPr>
                <w:rFonts w:hint="eastAsia" w:ascii="宋体" w:hAnsi="宋体" w:eastAsia="宋体" w:cs="Times New Roman"/>
                <w:b/>
                <w:color w:val="auto"/>
                <w:sz w:val="24"/>
                <w:szCs w:val="20"/>
                <w:highlight w:val="none"/>
              </w:rPr>
              <w:t>充电桩配套电缆</w:t>
            </w:r>
          </w:p>
        </w:tc>
        <w:tc>
          <w:tcPr>
            <w:tcW w:w="1986" w:type="dxa"/>
            <w:tcBorders>
              <w:top w:val="single" w:color="auto" w:sz="4" w:space="0"/>
              <w:left w:val="single" w:color="auto" w:sz="4" w:space="0"/>
              <w:right w:val="single" w:color="auto" w:sz="4" w:space="0"/>
            </w:tcBorders>
            <w:vAlign w:val="center"/>
          </w:tcPr>
          <w:p>
            <w:pPr>
              <w:widowControl/>
              <w:spacing w:before="50" w:line="320" w:lineRule="exact"/>
              <w:jc w:val="center"/>
              <w:rPr>
                <w:rFonts w:ascii="宋体" w:hAnsi="宋体" w:eastAsia="宋体" w:cs="Times New Roman"/>
                <w:b/>
                <w:color w:val="auto"/>
                <w:sz w:val="24"/>
                <w:szCs w:val="20"/>
                <w:highlight w:val="none"/>
              </w:rPr>
            </w:pPr>
          </w:p>
        </w:tc>
        <w:tc>
          <w:tcPr>
            <w:tcW w:w="1984" w:type="dxa"/>
            <w:tcBorders>
              <w:top w:val="single" w:color="auto" w:sz="4" w:space="0"/>
              <w:left w:val="single" w:color="auto" w:sz="4" w:space="0"/>
              <w:right w:val="single" w:color="auto" w:sz="4" w:space="0"/>
            </w:tcBorders>
            <w:vAlign w:val="center"/>
          </w:tcPr>
          <w:p>
            <w:pPr>
              <w:widowControl/>
              <w:spacing w:before="50" w:line="320" w:lineRule="exact"/>
              <w:jc w:val="center"/>
              <w:rPr>
                <w:rFonts w:ascii="宋体" w:hAnsi="宋体" w:eastAsia="宋体" w:cs="Times New Roman"/>
                <w:b/>
                <w:color w:val="auto"/>
                <w:sz w:val="24"/>
                <w:szCs w:val="20"/>
                <w:highlight w:val="none"/>
              </w:rPr>
            </w:pPr>
          </w:p>
        </w:tc>
        <w:tc>
          <w:tcPr>
            <w:tcW w:w="1735" w:type="dxa"/>
            <w:tcBorders>
              <w:top w:val="single" w:color="auto" w:sz="4" w:space="0"/>
              <w:left w:val="single" w:color="auto" w:sz="4" w:space="0"/>
              <w:right w:val="single" w:color="auto" w:sz="4" w:space="0"/>
            </w:tcBorders>
            <w:vAlign w:val="center"/>
          </w:tcPr>
          <w:p>
            <w:pPr>
              <w:widowControl/>
              <w:spacing w:before="50" w:line="320" w:lineRule="exact"/>
              <w:jc w:val="center"/>
              <w:rPr>
                <w:rFonts w:ascii="宋体" w:hAnsi="宋体" w:eastAsia="宋体" w:cs="Times New Roman"/>
                <w:b/>
                <w:color w:val="auto"/>
                <w:sz w:val="24"/>
                <w:szCs w:val="20"/>
                <w:highlight w:val="none"/>
              </w:rPr>
            </w:pPr>
          </w:p>
        </w:tc>
        <w:tc>
          <w:tcPr>
            <w:tcW w:w="1244" w:type="dxa"/>
            <w:tcBorders>
              <w:top w:val="single" w:color="auto" w:sz="4" w:space="0"/>
              <w:left w:val="single" w:color="auto" w:sz="4" w:space="0"/>
            </w:tcBorders>
            <w:vAlign w:val="center"/>
          </w:tcPr>
          <w:p>
            <w:pPr>
              <w:widowControl/>
              <w:spacing w:before="50" w:line="320" w:lineRule="exact"/>
              <w:jc w:val="center"/>
              <w:rPr>
                <w:rFonts w:ascii="宋体" w:hAnsi="宋体" w:eastAsia="宋体" w:cs="Times New Roman"/>
                <w:b/>
                <w:color w:val="auto"/>
                <w:sz w:val="24"/>
                <w:szCs w:val="20"/>
                <w:highlight w:val="none"/>
              </w:rPr>
            </w:pPr>
          </w:p>
        </w:tc>
      </w:tr>
    </w:tbl>
    <w:p>
      <w:pPr>
        <w:spacing w:line="240" w:lineRule="atLeast"/>
        <w:ind w:firstLine="601"/>
        <w:rPr>
          <w:rFonts w:ascii="宋体" w:hAnsi="宋体" w:eastAsia="宋体" w:cs="宋体"/>
          <w:color w:val="auto"/>
          <w:szCs w:val="21"/>
          <w:highlight w:val="none"/>
          <w:u w:color="000000"/>
        </w:rPr>
      </w:pPr>
    </w:p>
    <w:p>
      <w:pPr>
        <w:spacing w:line="240" w:lineRule="atLeast"/>
        <w:ind w:firstLine="601"/>
        <w:rPr>
          <w:rFonts w:ascii="宋体" w:hAnsi="宋体" w:eastAsia="宋体" w:cs="宋体"/>
          <w:color w:val="auto"/>
          <w:szCs w:val="21"/>
          <w:highlight w:val="none"/>
          <w:u w:color="000000"/>
        </w:rPr>
      </w:pPr>
      <w:r>
        <w:rPr>
          <w:rFonts w:hint="eastAsia" w:ascii="宋体" w:hAnsi="宋体" w:eastAsia="宋体" w:cs="宋体"/>
          <w:color w:val="auto"/>
          <w:szCs w:val="21"/>
          <w:highlight w:val="none"/>
          <w:u w:color="000000"/>
        </w:rPr>
        <w:t>备注：公开招标实行一次性报价，投标报价即为最终有效价。</w:t>
      </w:r>
    </w:p>
    <w:p>
      <w:pPr>
        <w:ind w:firstLine="422"/>
        <w:rPr>
          <w:rFonts w:ascii="宋体" w:hAnsi="宋体" w:eastAsia="宋体" w:cs="宋体"/>
          <w:b/>
          <w:bCs/>
          <w:color w:val="auto"/>
          <w:szCs w:val="21"/>
          <w:highlight w:val="none"/>
        </w:rPr>
      </w:pPr>
    </w:p>
    <w:p>
      <w:pPr>
        <w:spacing w:line="400" w:lineRule="exact"/>
        <w:ind w:firstLine="3570" w:firstLineChars="1700"/>
        <w:rPr>
          <w:rFonts w:ascii="宋体" w:hAnsi="宋体" w:eastAsia="宋体" w:cs="宋体"/>
          <w:color w:val="auto"/>
          <w:szCs w:val="21"/>
          <w:highlight w:val="none"/>
        </w:rPr>
      </w:pPr>
    </w:p>
    <w:p>
      <w:pPr>
        <w:spacing w:line="360" w:lineRule="auto"/>
        <w:ind w:left="170" w:firstLine="1680" w:firstLineChars="8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投标人名称：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投标日期：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hint="eastAsia" w:ascii="Times New Roman" w:hAnsi="宋体" w:eastAsia="宋体" w:cs="宋体"/>
          <w:b/>
          <w:color w:val="auto"/>
          <w:spacing w:val="-2"/>
          <w:sz w:val="24"/>
          <w:szCs w:val="24"/>
          <w:highlight w:val="none"/>
          <w:lang w:val="en-US" w:eastAsia="zh-CN"/>
        </w:rPr>
      </w:pPr>
      <w:r>
        <w:rPr>
          <w:rFonts w:ascii="Times New Roman" w:hAnsi="宋体" w:eastAsia="宋体" w:cs="宋体"/>
          <w:b/>
          <w:color w:val="auto"/>
          <w:spacing w:val="-2"/>
          <w:sz w:val="24"/>
          <w:szCs w:val="24"/>
          <w:highlight w:val="none"/>
        </w:rPr>
        <w:br w:type="page"/>
      </w:r>
      <w:r>
        <w:rPr>
          <w:rFonts w:ascii="Times New Roman" w:hAnsi="宋体" w:eastAsia="宋体" w:cs="宋体"/>
          <w:b/>
          <w:color w:val="auto"/>
          <w:spacing w:val="-2"/>
          <w:sz w:val="24"/>
          <w:szCs w:val="24"/>
          <w:highlight w:val="none"/>
        </w:rPr>
        <w:t>附件</w:t>
      </w:r>
      <w:r>
        <w:rPr>
          <w:rFonts w:hint="eastAsia" w:ascii="Times New Roman" w:hAnsi="宋体" w:eastAsia="宋体" w:cs="宋体"/>
          <w:b/>
          <w:color w:val="auto"/>
          <w:spacing w:val="-2"/>
          <w:sz w:val="24"/>
          <w:szCs w:val="24"/>
          <w:highlight w:val="none"/>
          <w:lang w:val="en-US" w:eastAsia="zh-CN"/>
        </w:rPr>
        <w:t>8</w:t>
      </w:r>
    </w:p>
    <w:p>
      <w:pPr>
        <w:spacing w:line="380" w:lineRule="exact"/>
        <w:ind w:firstLine="480" w:firstLineChars="200"/>
        <w:rPr>
          <w:rFonts w:ascii="Times New Roman" w:hAnsi="Times New Roman" w:eastAsia="方正书宋简体" w:cs="Times New Roman"/>
          <w:color w:val="auto"/>
          <w:sz w:val="24"/>
          <w:szCs w:val="20"/>
          <w:highlight w:val="none"/>
        </w:rPr>
      </w:pPr>
    </w:p>
    <w:p>
      <w:pPr>
        <w:jc w:val="center"/>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分项报价表</w:t>
      </w:r>
    </w:p>
    <w:p>
      <w:pPr>
        <w:spacing w:line="380" w:lineRule="exact"/>
        <w:ind w:firstLine="480" w:firstLineChars="200"/>
        <w:rPr>
          <w:rFonts w:ascii="Times New Roman" w:hAnsi="Times New Roman" w:eastAsia="方正书宋简体" w:cs="Times New Roman"/>
          <w:color w:val="auto"/>
          <w:sz w:val="24"/>
          <w:szCs w:val="20"/>
          <w:highlight w:val="none"/>
        </w:rPr>
      </w:pPr>
    </w:p>
    <w:p>
      <w:pPr>
        <w:adjustRightInd w:val="0"/>
        <w:snapToGrid w:val="0"/>
        <w:spacing w:after="120" w:afterLines="50"/>
        <w:rPr>
          <w:rFonts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项目名称：</w:t>
      </w:r>
      <w:r>
        <w:rPr>
          <w:rFonts w:hint="eastAsia" w:ascii="宋体" w:hAnsi="宋体" w:eastAsia="宋体" w:cs="宋体"/>
          <w:color w:val="auto"/>
          <w:szCs w:val="21"/>
          <w:highlight w:val="none"/>
          <w:u w:val="single"/>
          <w:lang w:eastAsia="zh-CN"/>
        </w:rPr>
        <w:t>慈溪市交通场站经营有限公司充电桩配套电缆</w:t>
      </w:r>
      <w:r>
        <w:rPr>
          <w:rFonts w:hint="eastAsia" w:ascii="宋体" w:hAnsi="宋体" w:eastAsia="宋体" w:cs="宋体"/>
          <w:color w:val="auto"/>
          <w:szCs w:val="21"/>
          <w:highlight w:val="none"/>
          <w:u w:val="single"/>
        </w:rPr>
        <w:t>采购项目</w:t>
      </w:r>
    </w:p>
    <w:p>
      <w:pPr>
        <w:adjustRightInd w:val="0"/>
        <w:snapToGrid w:val="0"/>
        <w:spacing w:after="120" w:afterLines="50"/>
        <w:rPr>
          <w:rFonts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 xml:space="preserve">QTGGZY202324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 xml:space="preserv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734"/>
        <w:gridCol w:w="968"/>
        <w:gridCol w:w="785"/>
        <w:gridCol w:w="1806"/>
        <w:gridCol w:w="114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序号</w:t>
            </w:r>
          </w:p>
        </w:tc>
        <w:tc>
          <w:tcPr>
            <w:tcW w:w="27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分项名称</w:t>
            </w:r>
          </w:p>
        </w:tc>
        <w:tc>
          <w:tcPr>
            <w:tcW w:w="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单位</w:t>
            </w:r>
          </w:p>
        </w:tc>
        <w:tc>
          <w:tcPr>
            <w:tcW w:w="7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数量</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综合单价（元</w:t>
            </w:r>
            <w:r>
              <w:rPr>
                <w:rFonts w:ascii="Times New Roman" w:hAnsi="Times New Roman" w:eastAsia="宋体" w:cs="Times New Roman"/>
                <w:color w:val="auto"/>
                <w:szCs w:val="20"/>
                <w:highlight w:val="none"/>
              </w:rPr>
              <w:t>/</w:t>
            </w:r>
            <w:r>
              <w:rPr>
                <w:rFonts w:hint="eastAsia" w:ascii="Times New Roman" w:hAnsi="Times New Roman" w:eastAsia="宋体" w:cs="Times New Roman"/>
                <w:color w:val="auto"/>
                <w:szCs w:val="20"/>
                <w:highlight w:val="none"/>
              </w:rPr>
              <w:t>米）</w:t>
            </w: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小计（元）</w:t>
            </w: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1</w:t>
            </w: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ZR-YJY22-0.6/1-3*95+2*50</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78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1000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2</w:t>
            </w: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ZR-YJY-0.6/1-3*95+2*50</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78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2500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3</w:t>
            </w: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YJV-0.6/1\2*95+1*25</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78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3000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4</w:t>
            </w: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RVSP-4*1</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78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3000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5</w:t>
            </w: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SFTP-HSYYP-5E 4*2*0.52</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78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3000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6</w:t>
            </w: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YJV-0.6/1\2*2.5</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78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3000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Cs w:val="20"/>
                <w:highlight w:val="none"/>
                <w:lang w:val="en-US" w:eastAsia="zh-CN"/>
              </w:rPr>
            </w:pPr>
            <w:r>
              <w:rPr>
                <w:rFonts w:hint="eastAsia" w:ascii="Times New Roman" w:hAnsi="Times New Roman" w:eastAsia="宋体" w:cs="Times New Roman"/>
                <w:color w:val="auto"/>
                <w:szCs w:val="20"/>
                <w:highlight w:val="none"/>
                <w:lang w:val="en-US" w:eastAsia="zh-CN"/>
              </w:rPr>
              <w:t>7</w:t>
            </w: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YJY22-0.6/1-3*120+2*70</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78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1000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Cs w:val="20"/>
                <w:highlight w:val="none"/>
                <w:lang w:val="en-US" w:eastAsia="zh-CN"/>
              </w:rPr>
            </w:pPr>
            <w:r>
              <w:rPr>
                <w:rFonts w:hint="eastAsia" w:ascii="Times New Roman" w:hAnsi="Times New Roman" w:eastAsia="宋体" w:cs="Times New Roman"/>
                <w:color w:val="auto"/>
                <w:szCs w:val="20"/>
                <w:highlight w:val="none"/>
                <w:lang w:val="en-US" w:eastAsia="zh-CN"/>
              </w:rPr>
              <w:t>8</w:t>
            </w: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YJY-0.6/1-3*120+2*70</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米</w:t>
            </w:r>
          </w:p>
        </w:tc>
        <w:tc>
          <w:tcPr>
            <w:tcW w:w="785" w:type="dxa"/>
            <w:tcBorders>
              <w:top w:val="single" w:color="auto" w:sz="4" w:space="0"/>
              <w:left w:val="single" w:color="auto" w:sz="4" w:space="0"/>
              <w:bottom w:val="single" w:color="auto" w:sz="4" w:space="0"/>
              <w:right w:val="single" w:color="auto" w:sz="4" w:space="0"/>
            </w:tcBorders>
            <w:vAlign w:val="center"/>
          </w:tcPr>
          <w:p>
            <w:pPr>
              <w:tabs>
                <w:tab w:val="left" w:pos="363"/>
              </w:tabs>
              <w:adjustRightInd w:val="0"/>
              <w:snapToGrid w:val="0"/>
              <w:spacing w:line="440" w:lineRule="exact"/>
              <w:jc w:val="center"/>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lang w:val="en-US" w:eastAsia="zh-CN"/>
              </w:rPr>
              <w:t>1500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1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合计（元）</w:t>
            </w:r>
          </w:p>
        </w:tc>
        <w:tc>
          <w:tcPr>
            <w:tcW w:w="6043" w:type="dxa"/>
            <w:gridSpan w:val="5"/>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Cs w:val="20"/>
                <w:highlight w:val="none"/>
              </w:rPr>
            </w:pPr>
          </w:p>
        </w:tc>
      </w:tr>
    </w:tbl>
    <w:p>
      <w:pPr>
        <w:rPr>
          <w:rFonts w:ascii="Times New Roman" w:hAnsi="Times New Roman" w:eastAsia="宋体" w:cs="Times New Roman"/>
          <w:color w:val="auto"/>
          <w:szCs w:val="20"/>
          <w:highlight w:val="none"/>
        </w:rPr>
      </w:pPr>
    </w:p>
    <w:p>
      <w:pPr>
        <w:widowControl/>
        <w:spacing w:before="150" w:after="150" w:line="360" w:lineRule="auto"/>
        <w:ind w:firstLine="480" w:firstLineChars="200"/>
        <w:jc w:val="left"/>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注：</w:t>
      </w:r>
    </w:p>
    <w:p>
      <w:pPr>
        <w:widowControl/>
        <w:spacing w:before="150" w:after="150" w:line="360" w:lineRule="auto"/>
        <w:ind w:firstLine="480" w:firstLineChars="200"/>
        <w:jc w:val="left"/>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1、本项目均以人民币报价；</w:t>
      </w:r>
    </w:p>
    <w:p>
      <w:pPr>
        <w:widowControl/>
        <w:spacing w:before="150" w:after="150" w:line="360" w:lineRule="auto"/>
        <w:ind w:firstLine="480" w:firstLineChars="200"/>
        <w:jc w:val="left"/>
        <w:rPr>
          <w:rFonts w:ascii="宋体" w:hAnsi="宋体" w:eastAsia="宋体" w:cs="宋体"/>
          <w:color w:val="auto"/>
          <w:kern w:val="0"/>
          <w:sz w:val="24"/>
          <w:szCs w:val="20"/>
          <w:highlight w:val="none"/>
        </w:rPr>
      </w:pPr>
      <w:r>
        <w:rPr>
          <w:rFonts w:hint="eastAsia" w:ascii="宋体" w:hAnsi="宋体" w:eastAsia="宋体" w:cs="Times New Roman"/>
          <w:color w:val="auto"/>
          <w:sz w:val="24"/>
          <w:szCs w:val="24"/>
          <w:highlight w:val="none"/>
        </w:rPr>
        <w:t>2、表格内容可自行扩展。</w:t>
      </w:r>
    </w:p>
    <w:p>
      <w:pPr>
        <w:adjustRightInd w:val="0"/>
        <w:snapToGrid w:val="0"/>
        <w:ind w:firstLine="500"/>
        <w:jc w:val="left"/>
        <w:rPr>
          <w:rFonts w:ascii="宋体" w:hAnsi="宋体" w:eastAsia="宋体" w:cs="宋体"/>
          <w:color w:val="auto"/>
          <w:spacing w:val="20"/>
          <w:szCs w:val="21"/>
          <w:highlight w:val="none"/>
        </w:rPr>
      </w:pPr>
    </w:p>
    <w:p>
      <w:pPr>
        <w:spacing w:line="340" w:lineRule="exact"/>
        <w:ind w:firstLine="440" w:firstLineChars="200"/>
        <w:rPr>
          <w:rFonts w:ascii="宋体" w:hAnsi="宋体" w:eastAsia="宋体" w:cs="Times New Roman"/>
          <w:color w:val="auto"/>
          <w:sz w:val="22"/>
          <w:highlight w:val="none"/>
          <w:u w:color="000000"/>
        </w:rPr>
      </w:pPr>
    </w:p>
    <w:p>
      <w:pPr>
        <w:spacing w:line="360" w:lineRule="auto"/>
        <w:ind w:left="170" w:firstLine="1680" w:firstLineChars="800"/>
        <w:rPr>
          <w:rFonts w:ascii="宋体" w:hAnsi="宋体" w:eastAsia="宋体" w:cs="宋体"/>
          <w:color w:val="auto"/>
          <w:szCs w:val="21"/>
          <w:highlight w:val="none"/>
        </w:rPr>
      </w:pPr>
    </w:p>
    <w:p>
      <w:pPr>
        <w:spacing w:line="360" w:lineRule="auto"/>
        <w:ind w:firstLine="4840" w:firstLineChars="2200"/>
        <w:rPr>
          <w:rFonts w:ascii="宋体" w:hAnsi="宋体" w:eastAsia="宋体" w:cs="宋体"/>
          <w:color w:val="auto"/>
          <w:sz w:val="22"/>
          <w:highlight w:val="none"/>
        </w:rPr>
      </w:pPr>
      <w:r>
        <w:rPr>
          <w:rFonts w:hint="eastAsia" w:ascii="宋体" w:hAnsi="宋体" w:eastAsia="宋体" w:cs="宋体"/>
          <w:color w:val="auto"/>
          <w:sz w:val="22"/>
          <w:highlight w:val="none"/>
        </w:rPr>
        <w:t>投标人名称：</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（公章）</w:t>
      </w:r>
    </w:p>
    <w:p>
      <w:pPr>
        <w:spacing w:line="360" w:lineRule="auto"/>
        <w:jc w:val="left"/>
        <w:rPr>
          <w:rFonts w:ascii="Times New Roman" w:hAnsi="Times New Roman" w:eastAsia="宋体" w:cs="Times New Roman"/>
          <w:color w:val="auto"/>
          <w:szCs w:val="20"/>
          <w:highlight w:val="none"/>
        </w:rPr>
      </w:pPr>
      <w:r>
        <w:rPr>
          <w:rFonts w:hint="eastAsia" w:ascii="宋体" w:hAnsi="宋体" w:eastAsia="宋体" w:cs="宋体"/>
          <w:color w:val="auto"/>
          <w:sz w:val="22"/>
          <w:highlight w:val="none"/>
        </w:rPr>
        <w:t xml:space="preserve">                                            投标日期：</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年</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月</w:t>
      </w:r>
      <w:r>
        <w:rPr>
          <w:rFonts w:hint="eastAsia" w:ascii="宋体" w:hAnsi="宋体" w:eastAsia="宋体" w:cs="宋体"/>
          <w:color w:val="auto"/>
          <w:sz w:val="22"/>
          <w:highlight w:val="none"/>
          <w:u w:val="single"/>
        </w:rPr>
        <w:t xml:space="preserve">   </w:t>
      </w:r>
      <w:r>
        <w:rPr>
          <w:rFonts w:hint="eastAsia" w:ascii="宋体" w:hAnsi="宋体" w:eastAsia="宋体" w:cs="宋体"/>
          <w:color w:val="auto"/>
          <w:sz w:val="22"/>
          <w:highlight w:val="none"/>
        </w:rPr>
        <w:t>日</w:t>
      </w:r>
    </w:p>
    <w:p>
      <w:pPr>
        <w:rPr>
          <w:rFonts w:hint="eastAsia" w:ascii="Times New Roman" w:hAnsi="宋体" w:eastAsia="宋体" w:cs="宋体"/>
          <w:b/>
          <w:color w:val="auto"/>
          <w:spacing w:val="-2"/>
          <w:sz w:val="24"/>
          <w:szCs w:val="24"/>
          <w:highlight w:val="none"/>
          <w:lang w:val="en-US" w:eastAsia="zh-CN"/>
        </w:rPr>
      </w:pPr>
      <w:r>
        <w:rPr>
          <w:rFonts w:ascii="Times New Roman" w:hAnsi="Times New Roman" w:eastAsia="宋体" w:cs="Times New Roman"/>
          <w:color w:val="auto"/>
          <w:szCs w:val="20"/>
          <w:highlight w:val="none"/>
        </w:rPr>
        <w:br w:type="page"/>
      </w:r>
      <w:r>
        <w:rPr>
          <w:rFonts w:ascii="Times New Roman" w:hAnsi="宋体" w:eastAsia="宋体" w:cs="宋体"/>
          <w:b/>
          <w:color w:val="auto"/>
          <w:spacing w:val="-2"/>
          <w:sz w:val="24"/>
          <w:szCs w:val="24"/>
          <w:highlight w:val="none"/>
        </w:rPr>
        <w:t>附件</w:t>
      </w:r>
      <w:r>
        <w:rPr>
          <w:rFonts w:hint="eastAsia" w:ascii="Times New Roman" w:hAnsi="宋体" w:eastAsia="宋体" w:cs="宋体"/>
          <w:b/>
          <w:color w:val="auto"/>
          <w:spacing w:val="-2"/>
          <w:sz w:val="24"/>
          <w:szCs w:val="24"/>
          <w:highlight w:val="none"/>
          <w:lang w:val="en-US" w:eastAsia="zh-CN"/>
        </w:rPr>
        <w:t>9</w:t>
      </w:r>
    </w:p>
    <w:p>
      <w:pPr>
        <w:spacing w:line="360" w:lineRule="auto"/>
        <w:jc w:val="center"/>
        <w:rPr>
          <w:rFonts w:hint="eastAsia" w:ascii="宋体" w:hAnsi="宋体" w:eastAsia="宋体" w:cs="Times New Roman"/>
          <w:b/>
          <w:color w:val="auto"/>
          <w:szCs w:val="21"/>
          <w:highlight w:val="none"/>
        </w:rPr>
      </w:pPr>
    </w:p>
    <w:p>
      <w:pPr>
        <w:spacing w:line="360" w:lineRule="auto"/>
        <w:jc w:val="center"/>
        <w:rPr>
          <w:rFonts w:ascii="宋体" w:hAnsi="Times New Roman" w:eastAsia="宋体" w:cs="Times New Roman"/>
          <w:color w:val="auto"/>
          <w:szCs w:val="21"/>
          <w:highlight w:val="none"/>
        </w:rPr>
      </w:pPr>
      <w:r>
        <w:rPr>
          <w:rFonts w:hint="eastAsia" w:ascii="宋体" w:hAnsi="宋体" w:eastAsia="宋体" w:cs="Times New Roman"/>
          <w:b/>
          <w:color w:val="auto"/>
          <w:szCs w:val="21"/>
          <w:highlight w:val="none"/>
        </w:rPr>
        <w:t>中小企业声明函（货物）</w:t>
      </w:r>
    </w:p>
    <w:p>
      <w:pPr>
        <w:spacing w:line="400" w:lineRule="exact"/>
        <w:rPr>
          <w:rFonts w:ascii="宋体" w:hAnsi="宋体" w:eastAsia="宋体" w:cs="Times New Roman"/>
          <w:b/>
          <w:color w:val="auto"/>
          <w:spacing w:val="6"/>
          <w:szCs w:val="21"/>
          <w:highlight w:val="none"/>
        </w:rPr>
      </w:pPr>
    </w:p>
    <w:p>
      <w:pPr>
        <w:spacing w:line="400" w:lineRule="exact"/>
        <w:ind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本公司（联合体）郑重声明，根据《政府采购促进中小企业发展管理办法》（财库﹝2020﹞46 号）的规定，本公司（联合体）参加</w:t>
      </w:r>
      <w:r>
        <w:rPr>
          <w:rFonts w:hint="eastAsia" w:ascii="宋体" w:hAnsi="宋体" w:eastAsia="宋体" w:cs="宋体"/>
          <w:i/>
          <w:iCs/>
          <w:color w:val="auto"/>
          <w:kern w:val="0"/>
          <w:szCs w:val="21"/>
          <w:highlight w:val="none"/>
          <w:u w:val="single"/>
        </w:rPr>
        <w:t>（单位名称）</w:t>
      </w:r>
      <w:r>
        <w:rPr>
          <w:rFonts w:hint="eastAsia" w:ascii="宋体" w:hAnsi="宋体" w:eastAsia="宋体" w:cs="宋体"/>
          <w:color w:val="auto"/>
          <w:kern w:val="0"/>
          <w:szCs w:val="21"/>
          <w:highlight w:val="none"/>
        </w:rPr>
        <w:t>的</w:t>
      </w:r>
      <w:r>
        <w:rPr>
          <w:rFonts w:hint="eastAsia" w:ascii="宋体" w:hAnsi="宋体" w:eastAsia="宋体" w:cs="宋体"/>
          <w:i/>
          <w:iCs/>
          <w:color w:val="auto"/>
          <w:kern w:val="0"/>
          <w:szCs w:val="21"/>
          <w:highlight w:val="none"/>
          <w:u w:val="single"/>
        </w:rPr>
        <w:t>（项目名称）</w:t>
      </w:r>
      <w:r>
        <w:rPr>
          <w:rFonts w:hint="eastAsia" w:ascii="宋体" w:hAnsi="宋体" w:eastAsia="宋体" w:cs="宋体"/>
          <w:color w:val="auto"/>
          <w:kern w:val="0"/>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400" w:lineRule="exact"/>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i/>
          <w:iCs/>
          <w:color w:val="auto"/>
          <w:kern w:val="0"/>
          <w:szCs w:val="21"/>
          <w:highlight w:val="none"/>
          <w:u w:val="single"/>
        </w:rPr>
        <w:t>（标的名称）</w:t>
      </w:r>
      <w:r>
        <w:rPr>
          <w:rFonts w:hint="eastAsia" w:ascii="宋体" w:hAnsi="宋体" w:eastAsia="宋体" w:cs="宋体"/>
          <w:color w:val="auto"/>
          <w:kern w:val="0"/>
          <w:szCs w:val="21"/>
          <w:highlight w:val="none"/>
        </w:rPr>
        <w:t>，属于</w:t>
      </w:r>
      <w:r>
        <w:rPr>
          <w:rFonts w:hint="eastAsia" w:ascii="宋体" w:hAnsi="宋体" w:eastAsia="宋体" w:cs="宋体"/>
          <w:i/>
          <w:iCs/>
          <w:color w:val="auto"/>
          <w:kern w:val="0"/>
          <w:szCs w:val="21"/>
          <w:highlight w:val="none"/>
          <w:u w:val="single"/>
        </w:rPr>
        <w:t>（采购文件中明确的所属行业）</w:t>
      </w:r>
      <w:r>
        <w:rPr>
          <w:rFonts w:hint="eastAsia" w:ascii="宋体" w:hAnsi="宋体" w:eastAsia="宋体" w:cs="宋体"/>
          <w:color w:val="auto"/>
          <w:kern w:val="0"/>
          <w:szCs w:val="21"/>
          <w:highlight w:val="none"/>
        </w:rPr>
        <w:t>；制造商为</w:t>
      </w:r>
      <w:r>
        <w:rPr>
          <w:rFonts w:hint="eastAsia" w:ascii="宋体" w:hAnsi="宋体" w:eastAsia="宋体" w:cs="宋体"/>
          <w:i/>
          <w:iCs/>
          <w:color w:val="auto"/>
          <w:kern w:val="0"/>
          <w:szCs w:val="21"/>
          <w:highlight w:val="none"/>
          <w:u w:val="single"/>
        </w:rPr>
        <w:t>（企业名称）</w:t>
      </w:r>
      <w:r>
        <w:rPr>
          <w:rFonts w:hint="eastAsia" w:ascii="宋体" w:hAnsi="宋体" w:eastAsia="宋体" w:cs="宋体"/>
          <w:color w:val="auto"/>
          <w:kern w:val="0"/>
          <w:szCs w:val="21"/>
          <w:highlight w:val="none"/>
        </w:rPr>
        <w:t>，从业人员</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人，营业收入为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万元，资产总额为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万元</w:t>
      </w:r>
      <w:r>
        <w:rPr>
          <w:rFonts w:hint="eastAsia" w:ascii="宋体" w:hAnsi="宋体" w:eastAsia="宋体" w:cs="宋体"/>
          <w:color w:val="auto"/>
          <w:kern w:val="0"/>
          <w:szCs w:val="21"/>
          <w:highlight w:val="none"/>
          <w:vertAlign w:val="superscript"/>
        </w:rPr>
        <w:t>1</w:t>
      </w:r>
      <w:r>
        <w:rPr>
          <w:rFonts w:hint="eastAsia" w:ascii="宋体" w:hAnsi="宋体" w:eastAsia="宋体" w:cs="宋体"/>
          <w:color w:val="auto"/>
          <w:kern w:val="0"/>
          <w:szCs w:val="21"/>
          <w:highlight w:val="none"/>
        </w:rPr>
        <w:t>，属于</w:t>
      </w:r>
      <w:r>
        <w:rPr>
          <w:rFonts w:hint="eastAsia" w:ascii="宋体" w:hAnsi="宋体" w:eastAsia="宋体" w:cs="宋体"/>
          <w:i/>
          <w:iCs/>
          <w:color w:val="auto"/>
          <w:kern w:val="0"/>
          <w:szCs w:val="21"/>
          <w:highlight w:val="none"/>
          <w:u w:val="single"/>
        </w:rPr>
        <w:t>（中型企业、小型企业、微型企业）</w:t>
      </w:r>
      <w:r>
        <w:rPr>
          <w:rFonts w:hint="eastAsia" w:ascii="宋体" w:hAnsi="宋体" w:eastAsia="宋体" w:cs="宋体"/>
          <w:color w:val="auto"/>
          <w:kern w:val="0"/>
          <w:szCs w:val="21"/>
          <w:highlight w:val="none"/>
        </w:rPr>
        <w:t>；</w:t>
      </w:r>
    </w:p>
    <w:p>
      <w:pPr>
        <w:spacing w:line="400" w:lineRule="exact"/>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i/>
          <w:iCs/>
          <w:color w:val="auto"/>
          <w:kern w:val="0"/>
          <w:szCs w:val="21"/>
          <w:highlight w:val="none"/>
          <w:u w:val="single"/>
        </w:rPr>
        <w:t xml:space="preserve"> （标的名称）</w:t>
      </w:r>
      <w:r>
        <w:rPr>
          <w:rFonts w:hint="eastAsia" w:ascii="宋体" w:hAnsi="宋体" w:eastAsia="宋体" w:cs="宋体"/>
          <w:color w:val="auto"/>
          <w:kern w:val="0"/>
          <w:szCs w:val="21"/>
          <w:highlight w:val="none"/>
        </w:rPr>
        <w:t>，属于</w:t>
      </w:r>
      <w:r>
        <w:rPr>
          <w:rFonts w:hint="eastAsia" w:ascii="宋体" w:hAnsi="宋体" w:eastAsia="宋体" w:cs="宋体"/>
          <w:i/>
          <w:iCs/>
          <w:color w:val="auto"/>
          <w:kern w:val="0"/>
          <w:szCs w:val="21"/>
          <w:highlight w:val="none"/>
          <w:u w:val="single"/>
        </w:rPr>
        <w:t>（采购文件中明确的所属行业）</w:t>
      </w:r>
      <w:r>
        <w:rPr>
          <w:rFonts w:hint="eastAsia" w:ascii="宋体" w:hAnsi="宋体" w:eastAsia="宋体" w:cs="宋体"/>
          <w:color w:val="auto"/>
          <w:kern w:val="0"/>
          <w:szCs w:val="21"/>
          <w:highlight w:val="none"/>
        </w:rPr>
        <w:t>；制造商为</w:t>
      </w:r>
      <w:r>
        <w:rPr>
          <w:rFonts w:hint="eastAsia" w:ascii="宋体" w:hAnsi="宋体" w:eastAsia="宋体" w:cs="宋体"/>
          <w:i/>
          <w:iCs/>
          <w:color w:val="auto"/>
          <w:kern w:val="0"/>
          <w:szCs w:val="21"/>
          <w:highlight w:val="none"/>
          <w:u w:val="single"/>
        </w:rPr>
        <w:t>（企业名称）</w:t>
      </w:r>
      <w:r>
        <w:rPr>
          <w:rFonts w:hint="eastAsia" w:ascii="宋体" w:hAnsi="宋体" w:eastAsia="宋体" w:cs="宋体"/>
          <w:color w:val="auto"/>
          <w:kern w:val="0"/>
          <w:szCs w:val="21"/>
          <w:highlight w:val="none"/>
        </w:rPr>
        <w:t>，从业人员</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人，营业收入为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万元，资产总额为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万元</w:t>
      </w:r>
      <w:r>
        <w:rPr>
          <w:rFonts w:hint="eastAsia" w:ascii="宋体" w:hAnsi="宋体" w:eastAsia="宋体" w:cs="宋体"/>
          <w:color w:val="auto"/>
          <w:kern w:val="0"/>
          <w:szCs w:val="21"/>
          <w:highlight w:val="none"/>
          <w:vertAlign w:val="superscript"/>
        </w:rPr>
        <w:t>1</w:t>
      </w:r>
      <w:r>
        <w:rPr>
          <w:rFonts w:hint="eastAsia" w:ascii="宋体" w:hAnsi="宋体" w:eastAsia="宋体" w:cs="宋体"/>
          <w:color w:val="auto"/>
          <w:kern w:val="0"/>
          <w:szCs w:val="21"/>
          <w:highlight w:val="none"/>
        </w:rPr>
        <w:t>，属于</w:t>
      </w:r>
      <w:r>
        <w:rPr>
          <w:rFonts w:hint="eastAsia" w:ascii="宋体" w:hAnsi="宋体" w:eastAsia="宋体" w:cs="宋体"/>
          <w:i/>
          <w:iCs/>
          <w:color w:val="auto"/>
          <w:kern w:val="0"/>
          <w:szCs w:val="21"/>
          <w:highlight w:val="none"/>
          <w:u w:val="single"/>
        </w:rPr>
        <w:t>（中型企业、小型企业、微型企业）</w:t>
      </w:r>
      <w:r>
        <w:rPr>
          <w:rFonts w:hint="eastAsia" w:ascii="宋体" w:hAnsi="宋体" w:eastAsia="宋体" w:cs="宋体"/>
          <w:color w:val="auto"/>
          <w:kern w:val="0"/>
          <w:szCs w:val="21"/>
          <w:highlight w:val="none"/>
        </w:rPr>
        <w:t>；</w:t>
      </w:r>
    </w:p>
    <w:p>
      <w:pPr>
        <w:spacing w:line="400" w:lineRule="exact"/>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p>
    <w:p>
      <w:pPr>
        <w:spacing w:line="400" w:lineRule="exact"/>
        <w:ind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以上企业，不属于大企业的分支机构，不存在控股股东为大企业的情形，也不存在与大企业的负责人为同一人的情形。</w:t>
      </w:r>
    </w:p>
    <w:p>
      <w:pPr>
        <w:spacing w:line="400" w:lineRule="exact"/>
        <w:ind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本企业对上述声明内容的真实性负责。如有虚假，将依法承担相应责任。</w:t>
      </w:r>
    </w:p>
    <w:p>
      <w:pPr>
        <w:spacing w:line="400" w:lineRule="exact"/>
        <w:ind w:firstLine="3360" w:firstLineChars="1600"/>
        <w:jc w:val="left"/>
        <w:rPr>
          <w:rFonts w:ascii="宋体" w:hAnsi="宋体" w:eastAsia="宋体" w:cs="宋体"/>
          <w:color w:val="auto"/>
          <w:kern w:val="0"/>
          <w:szCs w:val="21"/>
          <w:highlight w:val="none"/>
        </w:rPr>
      </w:pPr>
    </w:p>
    <w:p>
      <w:pPr>
        <w:spacing w:line="400" w:lineRule="exact"/>
        <w:ind w:firstLine="4095" w:firstLineChars="195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企业名称（盖章）：</w:t>
      </w:r>
    </w:p>
    <w:p>
      <w:pPr>
        <w:spacing w:line="400" w:lineRule="exact"/>
        <w:ind w:firstLine="4095" w:firstLineChars="1950"/>
        <w:rPr>
          <w:rFonts w:ascii="宋体" w:hAnsi="宋体" w:eastAsia="宋体" w:cs="Times New Roman"/>
          <w:color w:val="auto"/>
          <w:szCs w:val="21"/>
          <w:highlight w:val="none"/>
        </w:rPr>
      </w:pPr>
      <w:r>
        <w:rPr>
          <w:rFonts w:hint="eastAsia" w:ascii="宋体" w:hAnsi="宋体" w:eastAsia="宋体" w:cs="宋体"/>
          <w:color w:val="auto"/>
          <w:szCs w:val="21"/>
          <w:highlight w:val="none"/>
        </w:rPr>
        <w:t>日 期：</w:t>
      </w:r>
    </w:p>
    <w:p>
      <w:pPr>
        <w:spacing w:line="400" w:lineRule="exact"/>
        <w:jc w:val="center"/>
        <w:rPr>
          <w:rFonts w:ascii="宋体" w:hAnsi="宋体" w:eastAsia="宋体" w:cs="Times New Roman"/>
          <w:b/>
          <w:color w:val="auto"/>
          <w:szCs w:val="21"/>
          <w:highlight w:val="none"/>
        </w:rPr>
      </w:pPr>
    </w:p>
    <w:p>
      <w:pPr>
        <w:spacing w:line="400" w:lineRule="exact"/>
        <w:jc w:val="center"/>
        <w:rPr>
          <w:rFonts w:ascii="宋体" w:hAnsi="宋体" w:eastAsia="宋体" w:cs="Times New Roman"/>
          <w:b/>
          <w:color w:val="auto"/>
          <w:szCs w:val="21"/>
          <w:highlight w:val="none"/>
        </w:rPr>
      </w:pPr>
    </w:p>
    <w:p>
      <w:pPr>
        <w:spacing w:line="400" w:lineRule="exact"/>
        <w:jc w:val="center"/>
        <w:rPr>
          <w:rFonts w:ascii="宋体" w:hAnsi="宋体" w:eastAsia="宋体" w:cs="宋体"/>
          <w:color w:val="auto"/>
          <w:szCs w:val="21"/>
          <w:highlight w:val="none"/>
        </w:rPr>
      </w:pPr>
    </w:p>
    <w:p>
      <w:pPr>
        <w:spacing w:line="400" w:lineRule="exact"/>
        <w:jc w:val="center"/>
        <w:rPr>
          <w:rFonts w:ascii="宋体" w:hAnsi="宋体" w:eastAsia="宋体" w:cs="宋体"/>
          <w:color w:val="auto"/>
          <w:szCs w:val="21"/>
          <w:highlight w:val="none"/>
        </w:rPr>
      </w:pPr>
    </w:p>
    <w:p>
      <w:pPr>
        <w:spacing w:line="400" w:lineRule="exact"/>
        <w:jc w:val="center"/>
        <w:rPr>
          <w:rFonts w:ascii="宋体" w:hAnsi="宋体" w:eastAsia="宋体" w:cs="宋体"/>
          <w:color w:val="auto"/>
          <w:szCs w:val="21"/>
          <w:highlight w:val="none"/>
        </w:rPr>
      </w:pPr>
    </w:p>
    <w:p>
      <w:pPr>
        <w:spacing w:line="400" w:lineRule="exact"/>
        <w:jc w:val="center"/>
        <w:rPr>
          <w:rFonts w:ascii="宋体" w:hAnsi="宋体" w:eastAsia="宋体" w:cs="宋体"/>
          <w:color w:val="auto"/>
          <w:szCs w:val="21"/>
          <w:highlight w:val="none"/>
        </w:rPr>
      </w:pPr>
    </w:p>
    <w:p>
      <w:pPr>
        <w:spacing w:line="400" w:lineRule="exact"/>
        <w:ind w:firstLine="3780" w:firstLineChars="1800"/>
        <w:rPr>
          <w:rFonts w:ascii="宋体" w:hAnsi="宋体" w:eastAsia="宋体" w:cs="Times New Roman"/>
          <w:color w:val="auto"/>
          <w:szCs w:val="21"/>
          <w:highlight w:val="none"/>
        </w:rPr>
      </w:pPr>
    </w:p>
    <w:p>
      <w:pPr>
        <w:numPr>
          <w:ilvl w:val="0"/>
          <w:numId w:val="0"/>
        </w:numPr>
        <w:spacing w:line="588" w:lineRule="exact"/>
        <w:ind w:left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rPr>
        <w:t>从业人员、营业收入、资产总额填报上一年度数据，无上一年度数据的新成立企业可不填报。</w:t>
      </w:r>
    </w:p>
    <w:p>
      <w:pPr>
        <w:numPr>
          <w:ilvl w:val="0"/>
          <w:numId w:val="0"/>
        </w:numPr>
        <w:spacing w:line="588" w:lineRule="exact"/>
        <w:ind w:left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采购文件中明确的所属行业：</w:t>
      </w:r>
      <w:r>
        <w:rPr>
          <w:rFonts w:hint="eastAsia" w:ascii="宋体" w:hAnsi="宋体" w:eastAsia="宋体" w:cs="Times New Roman"/>
          <w:b/>
          <w:color w:val="auto"/>
          <w:szCs w:val="21"/>
          <w:highlight w:val="none"/>
          <w:u w:val="single"/>
        </w:rPr>
        <w:t>工业</w:t>
      </w:r>
      <w:r>
        <w:rPr>
          <w:rFonts w:hint="eastAsia" w:ascii="宋体" w:hAnsi="宋体" w:eastAsia="宋体" w:cs="Times New Roman"/>
          <w:color w:val="auto"/>
          <w:szCs w:val="21"/>
          <w:highlight w:val="none"/>
        </w:rPr>
        <w:t>。</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br w:type="page"/>
      </w:r>
    </w:p>
    <w:p>
      <w:pPr>
        <w:rPr>
          <w:rFonts w:hint="eastAsia" w:ascii="宋体" w:hAnsi="宋体" w:eastAsia="宋体" w:cs="Times New Roman"/>
          <w:color w:val="auto"/>
          <w:szCs w:val="21"/>
          <w:highlight w:val="none"/>
        </w:rPr>
      </w:pPr>
    </w:p>
    <w:p>
      <w:pPr>
        <w:rPr>
          <w:rFonts w:hint="default" w:ascii="Times New Roman" w:hAnsi="Times New Roman" w:eastAsia="宋体" w:cs="宋体"/>
          <w:b/>
          <w:color w:val="auto"/>
          <w:spacing w:val="-2"/>
          <w:sz w:val="24"/>
          <w:szCs w:val="24"/>
          <w:highlight w:val="none"/>
          <w:lang w:val="en-US" w:eastAsia="zh-CN"/>
        </w:rPr>
      </w:pPr>
      <w:r>
        <w:rPr>
          <w:rFonts w:ascii="Times New Roman" w:hAnsi="Times New Roman" w:eastAsia="宋体" w:cs="宋体"/>
          <w:b/>
          <w:color w:val="auto"/>
          <w:spacing w:val="-2"/>
          <w:sz w:val="24"/>
          <w:szCs w:val="24"/>
          <w:highlight w:val="none"/>
        </w:rPr>
        <w:t>附件</w:t>
      </w:r>
      <w:r>
        <w:rPr>
          <w:rFonts w:hint="eastAsia" w:ascii="Times New Roman" w:hAnsi="Times New Roman" w:eastAsia="宋体" w:cs="宋体"/>
          <w:b/>
          <w:color w:val="auto"/>
          <w:spacing w:val="-2"/>
          <w:sz w:val="24"/>
          <w:szCs w:val="24"/>
          <w:highlight w:val="none"/>
          <w:lang w:val="en-US" w:eastAsia="zh-CN"/>
        </w:rPr>
        <w:t>10</w:t>
      </w:r>
    </w:p>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b/>
          <w:color w:val="auto"/>
          <w:szCs w:val="21"/>
          <w:highlight w:val="none"/>
        </w:rPr>
        <w:t>残疾人福利性单位声明函（如有需提供）</w:t>
      </w:r>
    </w:p>
    <w:p>
      <w:pPr>
        <w:spacing w:line="588"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本单位对上述声明的真实性负责。如有虚假，将依法承担相应责任。</w:t>
      </w:r>
    </w:p>
    <w:p>
      <w:pPr>
        <w:spacing w:line="588" w:lineRule="exact"/>
        <w:ind w:firstLine="420" w:firstLineChars="200"/>
        <w:rPr>
          <w:rFonts w:ascii="宋体" w:hAnsi="宋体" w:eastAsia="宋体" w:cs="Times New Roman"/>
          <w:color w:val="auto"/>
          <w:szCs w:val="21"/>
          <w:highlight w:val="none"/>
        </w:rPr>
      </w:pPr>
    </w:p>
    <w:p>
      <w:pPr>
        <w:spacing w:line="588" w:lineRule="exact"/>
        <w:ind w:firstLine="420" w:firstLineChars="200"/>
        <w:rPr>
          <w:rFonts w:ascii="宋体" w:hAnsi="宋体" w:eastAsia="宋体" w:cs="Times New Roman"/>
          <w:color w:val="auto"/>
          <w:szCs w:val="21"/>
          <w:highlight w:val="none"/>
        </w:rPr>
      </w:pPr>
    </w:p>
    <w:p>
      <w:pPr>
        <w:tabs>
          <w:tab w:val="left" w:pos="4860"/>
        </w:tabs>
        <w:spacing w:line="588" w:lineRule="exact"/>
        <w:ind w:right="1560"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单位名称（盖章）：</w:t>
      </w:r>
    </w:p>
    <w:p>
      <w:pPr>
        <w:tabs>
          <w:tab w:val="left" w:pos="4860"/>
        </w:tabs>
        <w:spacing w:line="588" w:lineRule="exact"/>
        <w:ind w:right="1560"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日  期：</w:t>
      </w:r>
    </w:p>
    <w:p>
      <w:pPr>
        <w:spacing w:line="400" w:lineRule="exact"/>
        <w:ind w:firstLine="422" w:firstLineChars="200"/>
        <w:rPr>
          <w:rFonts w:ascii="宋体" w:hAnsi="宋体" w:eastAsia="宋体" w:cs="Times New Roman"/>
          <w:b/>
          <w:color w:val="auto"/>
          <w:szCs w:val="21"/>
          <w:highlight w:val="none"/>
        </w:rPr>
      </w:pP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享受政府采购支持政策的残疾人福利性单位应当同时满足以下条件：</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（一）安置的残疾人占本单位在职职工人数的比例不低于25%（含25%），并且安置的残疾人人数不少于10人（含10人）；</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（二）依法与安置的每位残疾人签订了一年以上（含一年）的劳动合同或服务协议；</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（五）提供本单位制造的货物、承担的工程或者服务（以下简称产品），或者提供其他残疾人福利性单位制造的货物（不包括使用非残疾人福利性单位注册商标的货物）。</w:t>
      </w:r>
    </w:p>
    <w:p>
      <w:pPr>
        <w:spacing w:line="588" w:lineRule="exact"/>
        <w:ind w:left="36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588" w:lineRule="exact"/>
        <w:ind w:left="360"/>
        <w:jc w:val="center"/>
        <w:rPr>
          <w:rFonts w:ascii="宋体" w:hAnsi="宋体" w:eastAsia="宋体" w:cs="Times New Roman"/>
          <w:b/>
          <w:color w:val="auto"/>
          <w:szCs w:val="21"/>
          <w:highlight w:val="none"/>
        </w:rPr>
      </w:pPr>
      <w:r>
        <w:rPr>
          <w:rFonts w:hint="eastAsia" w:ascii="宋体" w:hAnsi="宋体" w:eastAsia="宋体" w:cs="Times New Roman"/>
          <w:color w:val="auto"/>
          <w:szCs w:val="21"/>
          <w:highlight w:val="none"/>
        </w:rPr>
        <w:br w:type="page"/>
      </w:r>
      <w:r>
        <w:rPr>
          <w:rFonts w:hint="eastAsia" w:ascii="宋体" w:hAnsi="宋体" w:eastAsia="宋体" w:cs="Times New Roman"/>
          <w:b/>
          <w:color w:val="auto"/>
          <w:szCs w:val="21"/>
          <w:highlight w:val="none"/>
        </w:rPr>
        <w:t>供应商认为需要的其他资料（如有需提供）</w:t>
      </w:r>
    </w:p>
    <w:p>
      <w:pPr>
        <w:widowControl/>
        <w:jc w:val="left"/>
        <w:rPr>
          <w:rFonts w:ascii="宋体" w:hAnsi="宋体" w:eastAsia="宋体" w:cs="Times New Roman"/>
          <w:color w:val="auto"/>
          <w:szCs w:val="21"/>
          <w:highlight w:val="none"/>
        </w:rPr>
        <w:sectPr>
          <w:pgSz w:w="11907" w:h="16840"/>
          <w:pgMar w:top="1077" w:right="1134" w:bottom="1077" w:left="1134" w:header="284" w:footer="992" w:gutter="0"/>
          <w:cols w:space="720" w:num="1"/>
        </w:sectPr>
      </w:pPr>
    </w:p>
    <w:tbl>
      <w:tblPr>
        <w:tblStyle w:val="46"/>
        <w:tblW w:w="15075" w:type="dxa"/>
        <w:tblInd w:w="-176" w:type="dxa"/>
        <w:tblLayout w:type="fixed"/>
        <w:tblCellMar>
          <w:top w:w="0" w:type="dxa"/>
          <w:left w:w="108" w:type="dxa"/>
          <w:bottom w:w="0" w:type="dxa"/>
          <w:right w:w="108" w:type="dxa"/>
        </w:tblCellMar>
      </w:tblPr>
      <w:tblGrid>
        <w:gridCol w:w="2002"/>
        <w:gridCol w:w="1562"/>
        <w:gridCol w:w="1728"/>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5" w:type="dxa"/>
            <w:gridSpan w:val="11"/>
            <w:vAlign w:val="bottom"/>
          </w:tcPr>
          <w:p>
            <w:pPr>
              <w:widowControl/>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24"/>
                <w:szCs w:val="20"/>
                <w:highlight w:val="none"/>
              </w:rPr>
              <w:t>中小微行业划型标准规定（根据工信部联企业〔2011〕300号制定）</w:t>
            </w:r>
          </w:p>
        </w:tc>
      </w:tr>
      <w:tr>
        <w:tblPrEx>
          <w:tblCellMar>
            <w:top w:w="0" w:type="dxa"/>
            <w:left w:w="108" w:type="dxa"/>
            <w:bottom w:w="0" w:type="dxa"/>
            <w:right w:w="108" w:type="dxa"/>
          </w:tblCellMar>
        </w:tblPrEx>
        <w:trPr>
          <w:gridAfter w:val="1"/>
          <w:wAfter w:w="6" w:type="dxa"/>
          <w:trHeight w:val="459" w:hRule="atLeast"/>
        </w:trPr>
        <w:tc>
          <w:tcPr>
            <w:tcW w:w="2002"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ascii="宋体" w:hAnsi="宋体" w:eastAsia="宋体" w:cs="宋体"/>
                <w:b/>
                <w:bCs/>
                <w:color w:val="auto"/>
                <w:kern w:val="0"/>
                <w:sz w:val="24"/>
                <w:szCs w:val="20"/>
                <w:highlight w:val="none"/>
              </w:rPr>
            </w:pPr>
            <w:r>
              <w:rPr>
                <w:rFonts w:hint="eastAsia" w:ascii="宋体" w:hAnsi="宋体" w:eastAsia="宋体" w:cs="宋体"/>
                <w:b/>
                <w:bCs/>
                <w:color w:val="auto"/>
                <w:kern w:val="0"/>
                <w:sz w:val="24"/>
                <w:szCs w:val="20"/>
                <w:highlight w:val="none"/>
              </w:rPr>
              <w:t>行业</w:t>
            </w:r>
          </w:p>
        </w:tc>
        <w:tc>
          <w:tcPr>
            <w:tcW w:w="4967"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eastAsia="宋体" w:cs="宋体"/>
                <w:b/>
                <w:bCs/>
                <w:color w:val="auto"/>
                <w:kern w:val="0"/>
                <w:sz w:val="24"/>
                <w:szCs w:val="20"/>
                <w:highlight w:val="none"/>
              </w:rPr>
            </w:pPr>
            <w:r>
              <w:rPr>
                <w:rFonts w:hint="eastAsia" w:ascii="宋体" w:hAnsi="宋体" w:eastAsia="宋体" w:cs="宋体"/>
                <w:b/>
                <w:bCs/>
                <w:color w:val="auto"/>
                <w:kern w:val="0"/>
                <w:sz w:val="24"/>
                <w:szCs w:val="20"/>
                <w:highlight w:val="none"/>
              </w:rPr>
              <w:t>中型企业</w:t>
            </w:r>
          </w:p>
        </w:tc>
        <w:tc>
          <w:tcPr>
            <w:tcW w:w="4282"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eastAsia="宋体" w:cs="宋体"/>
                <w:b/>
                <w:bCs/>
                <w:color w:val="auto"/>
                <w:kern w:val="0"/>
                <w:sz w:val="24"/>
                <w:szCs w:val="20"/>
                <w:highlight w:val="none"/>
              </w:rPr>
            </w:pPr>
            <w:r>
              <w:rPr>
                <w:rFonts w:hint="eastAsia" w:ascii="宋体" w:hAnsi="宋体" w:eastAsia="宋体" w:cs="宋体"/>
                <w:b/>
                <w:bCs/>
                <w:color w:val="auto"/>
                <w:kern w:val="0"/>
                <w:sz w:val="24"/>
                <w:szCs w:val="20"/>
                <w:highlight w:val="none"/>
              </w:rPr>
              <w:t>小型企业</w:t>
            </w:r>
          </w:p>
        </w:tc>
        <w:tc>
          <w:tcPr>
            <w:tcW w:w="381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eastAsia="宋体" w:cs="宋体"/>
                <w:b/>
                <w:bCs/>
                <w:color w:val="auto"/>
                <w:kern w:val="0"/>
                <w:sz w:val="24"/>
                <w:szCs w:val="20"/>
                <w:highlight w:val="none"/>
              </w:rPr>
            </w:pPr>
            <w:r>
              <w:rPr>
                <w:rFonts w:hint="eastAsia" w:ascii="宋体" w:hAnsi="宋体" w:eastAsia="宋体" w:cs="宋体"/>
                <w:b/>
                <w:bCs/>
                <w:color w:val="auto"/>
                <w:kern w:val="0"/>
                <w:sz w:val="24"/>
                <w:szCs w:val="20"/>
                <w:highlight w:val="none"/>
              </w:rPr>
              <w:t>微型企业</w:t>
            </w:r>
          </w:p>
        </w:tc>
      </w:tr>
      <w:tr>
        <w:tblPrEx>
          <w:tblCellMar>
            <w:top w:w="0" w:type="dxa"/>
            <w:left w:w="108" w:type="dxa"/>
            <w:bottom w:w="0" w:type="dxa"/>
            <w:right w:w="108" w:type="dxa"/>
          </w:tblCellMar>
        </w:tblPrEx>
        <w:trPr>
          <w:gridAfter w:val="1"/>
          <w:wAfter w:w="6" w:type="dxa"/>
          <w:trHeight w:val="518" w:hRule="atLeast"/>
        </w:trPr>
        <w:tc>
          <w:tcPr>
            <w:tcW w:w="2002"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ascii="宋体" w:hAnsi="宋体" w:eastAsia="宋体" w:cs="宋体"/>
                <w:b/>
                <w:bCs/>
                <w:color w:val="auto"/>
                <w:kern w:val="0"/>
                <w:sz w:val="24"/>
                <w:szCs w:val="20"/>
                <w:highlight w:val="none"/>
              </w:rPr>
            </w:pPr>
          </w:p>
        </w:tc>
        <w:tc>
          <w:tcPr>
            <w:tcW w:w="1562" w:type="dxa"/>
            <w:tcBorders>
              <w:top w:val="nil"/>
              <w:left w:val="nil"/>
              <w:bottom w:val="single" w:color="auto" w:sz="4" w:space="0"/>
              <w:right w:val="single" w:color="auto" w:sz="4"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从业人员X（人）</w:t>
            </w:r>
          </w:p>
        </w:tc>
        <w:tc>
          <w:tcPr>
            <w:tcW w:w="1728" w:type="dxa"/>
            <w:tcBorders>
              <w:top w:val="nil"/>
              <w:left w:val="nil"/>
              <w:bottom w:val="single" w:color="auto" w:sz="4" w:space="0"/>
              <w:right w:val="single" w:color="auto" w:sz="4"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营业收入Y</w:t>
            </w:r>
          </w:p>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（万元）</w:t>
            </w:r>
          </w:p>
        </w:tc>
        <w:tc>
          <w:tcPr>
            <w:tcW w:w="1677" w:type="dxa"/>
            <w:tcBorders>
              <w:top w:val="nil"/>
              <w:left w:val="nil"/>
              <w:bottom w:val="single" w:color="auto" w:sz="4" w:space="0"/>
              <w:right w:val="single" w:color="auto" w:sz="8"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资产总额Z</w:t>
            </w:r>
          </w:p>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（万元）</w:t>
            </w:r>
          </w:p>
        </w:tc>
        <w:tc>
          <w:tcPr>
            <w:tcW w:w="1252" w:type="dxa"/>
            <w:tcBorders>
              <w:top w:val="nil"/>
              <w:left w:val="nil"/>
              <w:bottom w:val="single" w:color="auto" w:sz="4" w:space="0"/>
              <w:right w:val="single" w:color="auto" w:sz="4"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从业人员X（人）</w:t>
            </w:r>
          </w:p>
        </w:tc>
        <w:tc>
          <w:tcPr>
            <w:tcW w:w="1494" w:type="dxa"/>
            <w:tcBorders>
              <w:top w:val="nil"/>
              <w:left w:val="nil"/>
              <w:bottom w:val="single" w:color="auto" w:sz="4" w:space="0"/>
              <w:right w:val="single" w:color="auto" w:sz="4"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营业收入Y</w:t>
            </w:r>
          </w:p>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（万元）</w:t>
            </w:r>
          </w:p>
        </w:tc>
        <w:tc>
          <w:tcPr>
            <w:tcW w:w="1536" w:type="dxa"/>
            <w:tcBorders>
              <w:top w:val="nil"/>
              <w:left w:val="nil"/>
              <w:bottom w:val="single" w:color="auto" w:sz="4" w:space="0"/>
              <w:right w:val="single" w:color="auto" w:sz="8"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资产总额Z</w:t>
            </w:r>
          </w:p>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（万元）</w:t>
            </w:r>
          </w:p>
        </w:tc>
        <w:tc>
          <w:tcPr>
            <w:tcW w:w="1297" w:type="dxa"/>
            <w:tcBorders>
              <w:top w:val="nil"/>
              <w:left w:val="nil"/>
              <w:bottom w:val="single" w:color="auto" w:sz="4" w:space="0"/>
              <w:right w:val="single" w:color="auto" w:sz="4"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从业人员X（人）</w:t>
            </w:r>
          </w:p>
        </w:tc>
        <w:tc>
          <w:tcPr>
            <w:tcW w:w="1287" w:type="dxa"/>
            <w:tcBorders>
              <w:top w:val="nil"/>
              <w:left w:val="nil"/>
              <w:bottom w:val="single" w:color="auto" w:sz="4" w:space="0"/>
              <w:right w:val="single" w:color="auto" w:sz="4"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营业收入Y（万元）</w:t>
            </w:r>
          </w:p>
        </w:tc>
        <w:tc>
          <w:tcPr>
            <w:tcW w:w="1234" w:type="dxa"/>
            <w:tcBorders>
              <w:top w:val="nil"/>
              <w:left w:val="nil"/>
              <w:bottom w:val="single" w:color="auto" w:sz="4" w:space="0"/>
              <w:right w:val="single" w:color="auto" w:sz="8" w:space="0"/>
            </w:tcBorders>
            <w:vAlign w:val="bottom"/>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资产总额Z（万元）</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1、农林牧渔业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500≤Y＜20000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50≤Y＜500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Y＜50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2、工业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300≤X＜1000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2000≤Y＜40000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20≤X＜300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300≤Y＜2000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X＜20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Y＜300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3、建筑业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6000≤Y＜80000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5000≤Z＜80000</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300≤Y＜6000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300≤Z＜5000</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Y＜300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Z＜300</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4、批发业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20≤X＜200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5000≤Y＜40000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5≤X＜20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1000≤Y＜5000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X＜5</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Y＜1000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5、零售业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50≤X＜300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500≤Y＜20000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10≤X＜50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100≤Y＜500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6、交通运输业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300≤X＜1000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3000≤Y＜30000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20≤X＜300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200≤Y＜3000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X＜20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V＜200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7、仓储业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100≤X＜200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1000≤Y＜30000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20≤X＜100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X＜20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8、邮政业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300≤X＜1000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2000≤Y＜30000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20≤X＜300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X＜20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9、住宿业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100≤X＜300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2000≤Y＜10000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10、餐饮业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100≤X＜300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2000≤Y＜10000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V＜100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11、信息传输业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100≤X＜2000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1000≤Y＜100000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12、软件和信息技术服务业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100≤X＜300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1000≤Y＜10000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50≤Y＜1000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Y＜50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13、房地产开发经营</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1000≤Y＜200000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5000≤Z＜10000</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2000≤Z＜5000</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Y＜100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Z＜2000</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14、物业管理</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300≤X＜1000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1000≤Y＜5000</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100≤X＜300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500≤Y＜1000</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X＜100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Y＜500</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4"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15、租赁和商务服务业</w:t>
            </w:r>
          </w:p>
        </w:tc>
        <w:tc>
          <w:tcPr>
            <w:tcW w:w="156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100≤X＜300</w:t>
            </w:r>
          </w:p>
        </w:tc>
        <w:tc>
          <w:tcPr>
            <w:tcW w:w="1728"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677"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8000≤Z＜120000</w:t>
            </w:r>
          </w:p>
        </w:tc>
        <w:tc>
          <w:tcPr>
            <w:tcW w:w="1252"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10≤X＜100</w:t>
            </w:r>
          </w:p>
        </w:tc>
        <w:tc>
          <w:tcPr>
            <w:tcW w:w="1494"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536"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 100≤Z＜8000</w:t>
            </w:r>
          </w:p>
        </w:tc>
        <w:tc>
          <w:tcPr>
            <w:tcW w:w="129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X＜10</w:t>
            </w:r>
          </w:p>
        </w:tc>
        <w:tc>
          <w:tcPr>
            <w:tcW w:w="1287" w:type="dxa"/>
            <w:tcBorders>
              <w:top w:val="nil"/>
              <w:left w:val="nil"/>
              <w:bottom w:val="single" w:color="auto" w:sz="4"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34" w:type="dxa"/>
            <w:tcBorders>
              <w:top w:val="nil"/>
              <w:left w:val="nil"/>
              <w:bottom w:val="single" w:color="auto" w:sz="4"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Z＜100</w:t>
            </w:r>
          </w:p>
        </w:tc>
      </w:tr>
      <w:tr>
        <w:tblPrEx>
          <w:tblCellMar>
            <w:top w:w="0" w:type="dxa"/>
            <w:left w:w="108" w:type="dxa"/>
            <w:bottom w:w="0" w:type="dxa"/>
            <w:right w:w="108" w:type="dxa"/>
          </w:tblCellMar>
        </w:tblPrEx>
        <w:trPr>
          <w:gridAfter w:val="1"/>
          <w:wAfter w:w="6" w:type="dxa"/>
          <w:trHeight w:val="355" w:hRule="atLeast"/>
        </w:trPr>
        <w:tc>
          <w:tcPr>
            <w:tcW w:w="2002" w:type="dxa"/>
            <w:tcBorders>
              <w:top w:val="nil"/>
              <w:left w:val="single" w:color="auto" w:sz="8" w:space="0"/>
              <w:bottom w:val="single" w:color="auto" w:sz="8" w:space="0"/>
              <w:right w:val="single" w:color="auto" w:sz="8" w:space="0"/>
            </w:tcBorders>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16、其他未列明行业</w:t>
            </w:r>
          </w:p>
        </w:tc>
        <w:tc>
          <w:tcPr>
            <w:tcW w:w="1562" w:type="dxa"/>
            <w:tcBorders>
              <w:top w:val="nil"/>
              <w:left w:val="nil"/>
              <w:bottom w:val="single" w:color="auto" w:sz="8"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100≤X＜300</w:t>
            </w:r>
          </w:p>
        </w:tc>
        <w:tc>
          <w:tcPr>
            <w:tcW w:w="1728" w:type="dxa"/>
            <w:tcBorders>
              <w:top w:val="nil"/>
              <w:left w:val="nil"/>
              <w:bottom w:val="single" w:color="auto" w:sz="8"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677" w:type="dxa"/>
            <w:tcBorders>
              <w:top w:val="nil"/>
              <w:left w:val="nil"/>
              <w:bottom w:val="single" w:color="auto" w:sz="8"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52" w:type="dxa"/>
            <w:tcBorders>
              <w:top w:val="nil"/>
              <w:left w:val="nil"/>
              <w:bottom w:val="single" w:color="auto" w:sz="8"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10≤X＜100</w:t>
            </w:r>
          </w:p>
        </w:tc>
        <w:tc>
          <w:tcPr>
            <w:tcW w:w="1494" w:type="dxa"/>
            <w:tcBorders>
              <w:top w:val="nil"/>
              <w:left w:val="nil"/>
              <w:bottom w:val="single" w:color="auto" w:sz="8" w:space="0"/>
              <w:right w:val="single" w:color="auto" w:sz="4" w:space="0"/>
            </w:tcBorders>
            <w:vAlign w:val="center"/>
          </w:tcPr>
          <w:p>
            <w:pPr>
              <w:widowControl/>
              <w:rPr>
                <w:rFonts w:ascii="宋体" w:hAnsi="宋体" w:eastAsia="宋体" w:cs="宋体"/>
                <w:color w:val="auto"/>
                <w:kern w:val="0"/>
                <w:sz w:val="20"/>
                <w:szCs w:val="20"/>
                <w:highlight w:val="none"/>
              </w:rPr>
            </w:pPr>
          </w:p>
        </w:tc>
        <w:tc>
          <w:tcPr>
            <w:tcW w:w="1536" w:type="dxa"/>
            <w:tcBorders>
              <w:top w:val="nil"/>
              <w:left w:val="nil"/>
              <w:bottom w:val="single" w:color="auto" w:sz="8"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97" w:type="dxa"/>
            <w:tcBorders>
              <w:top w:val="nil"/>
              <w:left w:val="nil"/>
              <w:bottom w:val="single" w:color="auto" w:sz="8"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X＜10</w:t>
            </w:r>
          </w:p>
        </w:tc>
        <w:tc>
          <w:tcPr>
            <w:tcW w:w="1287" w:type="dxa"/>
            <w:tcBorders>
              <w:top w:val="nil"/>
              <w:left w:val="nil"/>
              <w:bottom w:val="single" w:color="auto" w:sz="8" w:space="0"/>
              <w:right w:val="single" w:color="auto" w:sz="4"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34" w:type="dxa"/>
            <w:tcBorders>
              <w:top w:val="nil"/>
              <w:left w:val="nil"/>
              <w:bottom w:val="single" w:color="auto" w:sz="8" w:space="0"/>
              <w:right w:val="single" w:color="auto" w:sz="8" w:space="0"/>
            </w:tcBorders>
            <w:vAlign w:val="center"/>
          </w:tcPr>
          <w:p>
            <w:pPr>
              <w:widowControl/>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r>
      <w:tr>
        <w:tblPrEx>
          <w:tblCellMar>
            <w:top w:w="0" w:type="dxa"/>
            <w:left w:w="108" w:type="dxa"/>
            <w:bottom w:w="0" w:type="dxa"/>
            <w:right w:w="108" w:type="dxa"/>
          </w:tblCellMar>
        </w:tblPrEx>
        <w:trPr>
          <w:trHeight w:val="961" w:hRule="atLeast"/>
        </w:trPr>
        <w:tc>
          <w:tcPr>
            <w:tcW w:w="15075" w:type="dxa"/>
            <w:gridSpan w:val="11"/>
            <w:vAlign w:val="bottom"/>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说明　1、企业类型的划分以统计部门的统计数据为依据。</w:t>
            </w:r>
          </w:p>
          <w:p>
            <w:pPr>
              <w:widowControl/>
              <w:ind w:firstLine="600" w:firstLineChars="300"/>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2、个体工商户和本规定以外的行业，参照本规定进行划型。</w:t>
            </w:r>
          </w:p>
          <w:p>
            <w:pPr>
              <w:widowControl/>
              <w:ind w:firstLine="600" w:firstLineChars="300"/>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3、本规定的中型企业标准上限即为大型企业标准的下限。</w:t>
            </w:r>
          </w:p>
        </w:tc>
      </w:tr>
    </w:tbl>
    <w:p>
      <w:pPr>
        <w:rPr>
          <w:color w:val="auto"/>
          <w:highlight w:val="none"/>
        </w:rPr>
      </w:pPr>
    </w:p>
    <w:sectPr>
      <w:pgSz w:w="16840" w:h="11907" w:orient="landscape"/>
      <w:pgMar w:top="1134" w:right="1077" w:bottom="1134"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书宋简体">
    <w:altName w:val="Arial Unicode MS"/>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00"/>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73104"/>
    <w:multiLevelType w:val="multilevel"/>
    <w:tmpl w:val="4BE73104"/>
    <w:lvl w:ilvl="0" w:tentative="0">
      <w:start w:val="1"/>
      <w:numFmt w:val="japaneseCounting"/>
      <w:lvlText w:val="%1、"/>
      <w:lvlJc w:val="left"/>
      <w:pPr>
        <w:ind w:left="661" w:hanging="450"/>
      </w:pPr>
    </w:lvl>
    <w:lvl w:ilvl="1" w:tentative="0">
      <w:start w:val="1"/>
      <w:numFmt w:val="lowerLetter"/>
      <w:lvlText w:val="%2)"/>
      <w:lvlJc w:val="left"/>
      <w:pPr>
        <w:ind w:left="1051" w:hanging="420"/>
      </w:pPr>
    </w:lvl>
    <w:lvl w:ilvl="2" w:tentative="0">
      <w:start w:val="1"/>
      <w:numFmt w:val="lowerRoman"/>
      <w:lvlText w:val="%3."/>
      <w:lvlJc w:val="right"/>
      <w:pPr>
        <w:ind w:left="1471" w:hanging="420"/>
      </w:pPr>
    </w:lvl>
    <w:lvl w:ilvl="3" w:tentative="0">
      <w:start w:val="1"/>
      <w:numFmt w:val="decimal"/>
      <w:lvlText w:val="%4."/>
      <w:lvlJc w:val="left"/>
      <w:pPr>
        <w:ind w:left="1891" w:hanging="420"/>
      </w:pPr>
    </w:lvl>
    <w:lvl w:ilvl="4" w:tentative="0">
      <w:start w:val="1"/>
      <w:numFmt w:val="lowerLetter"/>
      <w:lvlText w:val="%5)"/>
      <w:lvlJc w:val="left"/>
      <w:pPr>
        <w:ind w:left="2311" w:hanging="420"/>
      </w:pPr>
    </w:lvl>
    <w:lvl w:ilvl="5" w:tentative="0">
      <w:start w:val="1"/>
      <w:numFmt w:val="lowerRoman"/>
      <w:lvlText w:val="%6."/>
      <w:lvlJc w:val="right"/>
      <w:pPr>
        <w:ind w:left="2731" w:hanging="420"/>
      </w:pPr>
    </w:lvl>
    <w:lvl w:ilvl="6" w:tentative="0">
      <w:start w:val="1"/>
      <w:numFmt w:val="decimal"/>
      <w:lvlText w:val="%7."/>
      <w:lvlJc w:val="left"/>
      <w:pPr>
        <w:ind w:left="3151" w:hanging="420"/>
      </w:pPr>
    </w:lvl>
    <w:lvl w:ilvl="7" w:tentative="0">
      <w:start w:val="1"/>
      <w:numFmt w:val="lowerLetter"/>
      <w:lvlText w:val="%8)"/>
      <w:lvlJc w:val="left"/>
      <w:pPr>
        <w:ind w:left="3571" w:hanging="420"/>
      </w:pPr>
    </w:lvl>
    <w:lvl w:ilvl="8" w:tentative="0">
      <w:start w:val="1"/>
      <w:numFmt w:val="lowerRoman"/>
      <w:lvlText w:val="%9."/>
      <w:lvlJc w:val="right"/>
      <w:pPr>
        <w:ind w:left="3991" w:hanging="420"/>
      </w:pPr>
    </w:lvl>
  </w:abstractNum>
  <w:abstractNum w:abstractNumId="1">
    <w:nsid w:val="510693D3"/>
    <w:multiLevelType w:val="singleLevel"/>
    <w:tmpl w:val="510693D3"/>
    <w:lvl w:ilvl="0" w:tentative="0">
      <w:start w:val="2"/>
      <w:numFmt w:val="decimal"/>
      <w:suff w:val="nothing"/>
      <w:lvlText w:val="%1、"/>
      <w:lvlJc w:val="left"/>
      <w:pPr>
        <w:ind w:left="0" w:firstLine="0"/>
      </w:pPr>
    </w:lvl>
  </w:abstractNum>
  <w:num w:numId="1">
    <w:abstractNumId w:val="1"/>
    <w:lvlOverride w:ilvl="0">
      <w:startOverride w:val="2"/>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NzAzZGE0NmJjMTVkYWYxZjM5ZjRiYzhmY2RkOGMifQ=="/>
  </w:docVars>
  <w:rsids>
    <w:rsidRoot w:val="006E1986"/>
    <w:rsid w:val="00132285"/>
    <w:rsid w:val="0021561D"/>
    <w:rsid w:val="003C60E9"/>
    <w:rsid w:val="003E106B"/>
    <w:rsid w:val="004A3AFF"/>
    <w:rsid w:val="004D17EB"/>
    <w:rsid w:val="005F6788"/>
    <w:rsid w:val="006E1986"/>
    <w:rsid w:val="00804B5F"/>
    <w:rsid w:val="00854721"/>
    <w:rsid w:val="00AF041E"/>
    <w:rsid w:val="00AF679F"/>
    <w:rsid w:val="00B3254C"/>
    <w:rsid w:val="00B46757"/>
    <w:rsid w:val="00CB77BE"/>
    <w:rsid w:val="00D4744F"/>
    <w:rsid w:val="00D85A74"/>
    <w:rsid w:val="00F16A46"/>
    <w:rsid w:val="00F878BC"/>
    <w:rsid w:val="04C16BF5"/>
    <w:rsid w:val="06C5589F"/>
    <w:rsid w:val="06C57CBA"/>
    <w:rsid w:val="074013A4"/>
    <w:rsid w:val="07A70F85"/>
    <w:rsid w:val="088766C0"/>
    <w:rsid w:val="0A4F1460"/>
    <w:rsid w:val="0B6E7D1C"/>
    <w:rsid w:val="0BCD4D32"/>
    <w:rsid w:val="0C716F52"/>
    <w:rsid w:val="0EBD6652"/>
    <w:rsid w:val="0F451083"/>
    <w:rsid w:val="0F5F2145"/>
    <w:rsid w:val="11FF551A"/>
    <w:rsid w:val="12A01DBF"/>
    <w:rsid w:val="13621CD1"/>
    <w:rsid w:val="1499542D"/>
    <w:rsid w:val="172C5003"/>
    <w:rsid w:val="1735378C"/>
    <w:rsid w:val="17361483"/>
    <w:rsid w:val="17556D50"/>
    <w:rsid w:val="17C0574B"/>
    <w:rsid w:val="189A0B75"/>
    <w:rsid w:val="19197809"/>
    <w:rsid w:val="1BDC68CC"/>
    <w:rsid w:val="1EA90CE7"/>
    <w:rsid w:val="22050C23"/>
    <w:rsid w:val="22246E5C"/>
    <w:rsid w:val="24CE5FAE"/>
    <w:rsid w:val="26610EE5"/>
    <w:rsid w:val="272C6959"/>
    <w:rsid w:val="29A44ECD"/>
    <w:rsid w:val="2A8204AD"/>
    <w:rsid w:val="30537FFA"/>
    <w:rsid w:val="30B0126C"/>
    <w:rsid w:val="326708AF"/>
    <w:rsid w:val="33A45789"/>
    <w:rsid w:val="352B48C2"/>
    <w:rsid w:val="35623DC0"/>
    <w:rsid w:val="35705772"/>
    <w:rsid w:val="365C1350"/>
    <w:rsid w:val="37383050"/>
    <w:rsid w:val="374675C3"/>
    <w:rsid w:val="37B246A1"/>
    <w:rsid w:val="383039E9"/>
    <w:rsid w:val="38A5656B"/>
    <w:rsid w:val="3D361F7F"/>
    <w:rsid w:val="3D711112"/>
    <w:rsid w:val="40493C80"/>
    <w:rsid w:val="42B86E9B"/>
    <w:rsid w:val="43B21B3C"/>
    <w:rsid w:val="43D70D6A"/>
    <w:rsid w:val="49372411"/>
    <w:rsid w:val="4F1E452A"/>
    <w:rsid w:val="51803D78"/>
    <w:rsid w:val="52DD6205"/>
    <w:rsid w:val="53191BD8"/>
    <w:rsid w:val="54922BFA"/>
    <w:rsid w:val="571E0182"/>
    <w:rsid w:val="574D00A2"/>
    <w:rsid w:val="57DB397E"/>
    <w:rsid w:val="58AE691E"/>
    <w:rsid w:val="59AD6BD6"/>
    <w:rsid w:val="5C4D42F1"/>
    <w:rsid w:val="5EFC4888"/>
    <w:rsid w:val="5F7408C2"/>
    <w:rsid w:val="62715661"/>
    <w:rsid w:val="63497970"/>
    <w:rsid w:val="650B0F5A"/>
    <w:rsid w:val="669C621B"/>
    <w:rsid w:val="6B707BE2"/>
    <w:rsid w:val="6B9B0628"/>
    <w:rsid w:val="6C663340"/>
    <w:rsid w:val="6EA75E92"/>
    <w:rsid w:val="74DD360E"/>
    <w:rsid w:val="76E21DD0"/>
    <w:rsid w:val="784F6E57"/>
    <w:rsid w:val="789F1C0F"/>
    <w:rsid w:val="78D04001"/>
    <w:rsid w:val="79296584"/>
    <w:rsid w:val="7B8F21E1"/>
    <w:rsid w:val="7D6C5397"/>
    <w:rsid w:val="7ED2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qFormat="1" w:uiPriority="0"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iPriority="0" w:name="List Number 3"/>
    <w:lsdException w:uiPriority="99" w:name="List Number 4"/>
    <w:lsdException w:qFormat="1" w:uiPriority="0"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name="Message Header"/>
    <w:lsdException w:qFormat="1" w:unhideWhenUsed="0" w:uiPriority="11" w:semiHidden="0" w:name="Subtitle"/>
    <w:lsdException w:uiPriority="99" w:name="Salutation"/>
    <w:lsdException w:qFormat="1" w:uiPriority="0" w:name="Date"/>
    <w:lsdException w:qFormat="1" w:uiPriority="0" w:name="Body Text First Indent"/>
    <w:lsdException w:qFormat="1" w:uiPriority="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uiPriority="99" w:name="Block Text"/>
    <w:lsdException w:qFormat="1" w:uiPriority="0" w:name="Hyperlink"/>
    <w:lsdException w:qFormat="1" w:uiPriority="0"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qFormat="1" w:uiPriority="0"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7"/>
    <w:qFormat/>
    <w:uiPriority w:val="0"/>
    <w:pPr>
      <w:keepNext/>
      <w:spacing w:line="380" w:lineRule="exact"/>
      <w:jc w:val="center"/>
      <w:outlineLvl w:val="0"/>
    </w:pPr>
    <w:rPr>
      <w:rFonts w:ascii="Times New Roman" w:hAnsi="Times New Roman" w:eastAsia="宋体" w:cs="Times New Roman"/>
      <w:b/>
      <w:bCs/>
      <w:kern w:val="44"/>
      <w:sz w:val="44"/>
      <w:szCs w:val="44"/>
    </w:rPr>
  </w:style>
  <w:style w:type="paragraph" w:styleId="4">
    <w:name w:val="heading 2"/>
    <w:basedOn w:val="1"/>
    <w:next w:val="1"/>
    <w:link w:val="58"/>
    <w:semiHidden/>
    <w:unhideWhenUsed/>
    <w:qFormat/>
    <w:uiPriority w:val="0"/>
    <w:pPr>
      <w:keepNext/>
      <w:keepLines/>
      <w:tabs>
        <w:tab w:val="left" w:pos="578"/>
      </w:tabs>
      <w:spacing w:beforeLines="50" w:afterLines="50" w:line="360" w:lineRule="auto"/>
      <w:ind w:left="578" w:hanging="578"/>
      <w:outlineLvl w:val="1"/>
    </w:pPr>
    <w:rPr>
      <w:rFonts w:ascii="Arial" w:hAnsi="Arial" w:eastAsia="黑体" w:cs="Times New Roman"/>
      <w:b/>
      <w:bCs/>
      <w:sz w:val="32"/>
      <w:szCs w:val="32"/>
    </w:rPr>
  </w:style>
  <w:style w:type="paragraph" w:styleId="5">
    <w:name w:val="heading 3"/>
    <w:basedOn w:val="1"/>
    <w:next w:val="1"/>
    <w:link w:val="59"/>
    <w:semiHidden/>
    <w:unhideWhenUsed/>
    <w:qFormat/>
    <w:uiPriority w:val="0"/>
    <w:pPr>
      <w:keepNext/>
      <w:keepLines/>
      <w:tabs>
        <w:tab w:val="left" w:pos="1620"/>
      </w:tabs>
      <w:spacing w:beforeLines="50" w:afterLines="50" w:line="360" w:lineRule="auto"/>
      <w:ind w:left="1620" w:hanging="720"/>
      <w:outlineLvl w:val="2"/>
    </w:pPr>
    <w:rPr>
      <w:rFonts w:ascii="Arial" w:hAnsi="Arial" w:eastAsia="黑体" w:cs="Arial"/>
      <w:b/>
      <w:bCs/>
      <w:sz w:val="30"/>
      <w:szCs w:val="32"/>
    </w:rPr>
  </w:style>
  <w:style w:type="paragraph" w:styleId="6">
    <w:name w:val="heading 4"/>
    <w:basedOn w:val="1"/>
    <w:next w:val="1"/>
    <w:link w:val="60"/>
    <w:semiHidden/>
    <w:unhideWhenUsed/>
    <w:qFormat/>
    <w:uiPriority w:val="0"/>
    <w:pPr>
      <w:keepNext/>
      <w:keepLines/>
      <w:tabs>
        <w:tab w:val="left" w:pos="864"/>
      </w:tabs>
      <w:spacing w:before="280" w:after="290" w:line="374" w:lineRule="auto"/>
      <w:ind w:left="864" w:hanging="864"/>
      <w:outlineLvl w:val="3"/>
    </w:pPr>
    <w:rPr>
      <w:rFonts w:ascii="Arial" w:hAnsi="Arial" w:eastAsia="黑体" w:cs="Times New Roman"/>
      <w:b/>
      <w:bCs/>
      <w:sz w:val="28"/>
      <w:szCs w:val="28"/>
    </w:rPr>
  </w:style>
  <w:style w:type="paragraph" w:styleId="7">
    <w:name w:val="heading 5"/>
    <w:basedOn w:val="1"/>
    <w:next w:val="1"/>
    <w:link w:val="61"/>
    <w:semiHidden/>
    <w:unhideWhenUsed/>
    <w:qFormat/>
    <w:uiPriority w:val="0"/>
    <w:pPr>
      <w:keepNext/>
      <w:keepLines/>
      <w:tabs>
        <w:tab w:val="left" w:pos="1548"/>
      </w:tabs>
      <w:spacing w:before="280" w:after="290" w:line="374" w:lineRule="auto"/>
      <w:ind w:left="1548" w:hanging="1548"/>
      <w:outlineLvl w:val="4"/>
    </w:pPr>
    <w:rPr>
      <w:rFonts w:ascii="Times New Roman" w:hAnsi="Times New Roman" w:eastAsia="宋体" w:cs="Times New Roman"/>
      <w:b/>
      <w:bCs/>
      <w:sz w:val="28"/>
      <w:szCs w:val="28"/>
    </w:rPr>
  </w:style>
  <w:style w:type="paragraph" w:styleId="8">
    <w:name w:val="heading 6"/>
    <w:basedOn w:val="1"/>
    <w:next w:val="1"/>
    <w:link w:val="62"/>
    <w:semiHidden/>
    <w:unhideWhenUsed/>
    <w:qFormat/>
    <w:uiPriority w:val="0"/>
    <w:pPr>
      <w:keepNext/>
      <w:keepLines/>
      <w:spacing w:before="240" w:after="64" w:line="319" w:lineRule="auto"/>
      <w:outlineLvl w:val="5"/>
    </w:pPr>
    <w:rPr>
      <w:rFonts w:ascii="Cambria" w:hAnsi="Cambria" w:eastAsia="宋体" w:cs="Times New Roman"/>
      <w:b/>
      <w:bCs/>
      <w:sz w:val="24"/>
      <w:szCs w:val="24"/>
    </w:rPr>
  </w:style>
  <w:style w:type="paragraph" w:styleId="9">
    <w:name w:val="heading 7"/>
    <w:basedOn w:val="1"/>
    <w:next w:val="1"/>
    <w:link w:val="63"/>
    <w:semiHidden/>
    <w:unhideWhenUsed/>
    <w:qFormat/>
    <w:uiPriority w:val="0"/>
    <w:pPr>
      <w:keepNext/>
      <w:keepLines/>
      <w:tabs>
        <w:tab w:val="left" w:pos="1296"/>
        <w:tab w:val="left" w:pos="2940"/>
      </w:tabs>
      <w:spacing w:before="240" w:after="64" w:line="316" w:lineRule="auto"/>
      <w:ind w:left="2940" w:hanging="420"/>
      <w:outlineLvl w:val="6"/>
    </w:pPr>
    <w:rPr>
      <w:rFonts w:ascii="Times New Roman" w:hAnsi="Times New Roman" w:eastAsia="宋体" w:cs="Times New Roman"/>
      <w:b/>
      <w:bCs/>
      <w:sz w:val="24"/>
      <w:szCs w:val="24"/>
    </w:rPr>
  </w:style>
  <w:style w:type="paragraph" w:styleId="10">
    <w:name w:val="heading 8"/>
    <w:basedOn w:val="1"/>
    <w:next w:val="1"/>
    <w:link w:val="64"/>
    <w:semiHidden/>
    <w:unhideWhenUsed/>
    <w:qFormat/>
    <w:uiPriority w:val="0"/>
    <w:pPr>
      <w:keepNext/>
      <w:keepLines/>
      <w:tabs>
        <w:tab w:val="left" w:pos="1440"/>
        <w:tab w:val="left" w:pos="3360"/>
      </w:tabs>
      <w:spacing w:before="240" w:after="64" w:line="316" w:lineRule="auto"/>
      <w:ind w:left="3360" w:hanging="420"/>
      <w:outlineLvl w:val="7"/>
    </w:pPr>
    <w:rPr>
      <w:rFonts w:ascii="Arial" w:hAnsi="Arial" w:eastAsia="黑体" w:cs="Times New Roman"/>
      <w:sz w:val="24"/>
      <w:szCs w:val="24"/>
    </w:rPr>
  </w:style>
  <w:style w:type="paragraph" w:styleId="11">
    <w:name w:val="heading 9"/>
    <w:basedOn w:val="1"/>
    <w:next w:val="1"/>
    <w:link w:val="65"/>
    <w:semiHidden/>
    <w:unhideWhenUsed/>
    <w:qFormat/>
    <w:uiPriority w:val="0"/>
    <w:pPr>
      <w:keepNext/>
      <w:keepLines/>
      <w:tabs>
        <w:tab w:val="left" w:pos="1584"/>
        <w:tab w:val="left" w:pos="3780"/>
      </w:tabs>
      <w:spacing w:before="240" w:after="64" w:line="316" w:lineRule="auto"/>
      <w:ind w:left="3780" w:hanging="420"/>
      <w:outlineLvl w:val="8"/>
    </w:pPr>
    <w:rPr>
      <w:rFonts w:ascii="Arial" w:hAnsi="Arial" w:eastAsia="黑体" w:cs="Times New Roman"/>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12">
    <w:name w:val="toc 7"/>
    <w:basedOn w:val="1"/>
    <w:next w:val="1"/>
    <w:semiHidden/>
    <w:unhideWhenUsed/>
    <w:qFormat/>
    <w:uiPriority w:val="0"/>
    <w:pPr>
      <w:ind w:left="1260"/>
      <w:jc w:val="left"/>
    </w:pPr>
    <w:rPr>
      <w:rFonts w:ascii="Times New Roman" w:hAnsi="Times New Roman" w:eastAsia="宋体" w:cs="Times New Roman"/>
      <w:sz w:val="18"/>
      <w:szCs w:val="18"/>
    </w:rPr>
  </w:style>
  <w:style w:type="paragraph" w:styleId="13">
    <w:name w:val="Normal Indent"/>
    <w:basedOn w:val="1"/>
    <w:link w:val="67"/>
    <w:semiHidden/>
    <w:unhideWhenUsed/>
    <w:qFormat/>
    <w:uiPriority w:val="0"/>
    <w:pPr>
      <w:ind w:firstLine="420" w:firstLineChars="200"/>
    </w:pPr>
    <w:rPr>
      <w:szCs w:val="24"/>
    </w:rPr>
  </w:style>
  <w:style w:type="paragraph" w:styleId="14">
    <w:name w:val="Document Map"/>
    <w:basedOn w:val="1"/>
    <w:link w:val="81"/>
    <w:semiHidden/>
    <w:unhideWhenUsed/>
    <w:qFormat/>
    <w:uiPriority w:val="0"/>
    <w:pPr>
      <w:shd w:val="clear" w:color="auto" w:fill="000080"/>
    </w:pPr>
    <w:rPr>
      <w:rFonts w:ascii="Times New Roman" w:hAnsi="Times New Roman" w:eastAsia="宋体" w:cs="Times New Roman"/>
      <w:szCs w:val="20"/>
    </w:rPr>
  </w:style>
  <w:style w:type="paragraph" w:styleId="15">
    <w:name w:val="annotation text"/>
    <w:basedOn w:val="1"/>
    <w:link w:val="69"/>
    <w:semiHidden/>
    <w:unhideWhenUsed/>
    <w:qFormat/>
    <w:uiPriority w:val="0"/>
    <w:pPr>
      <w:jc w:val="left"/>
    </w:pPr>
    <w:rPr>
      <w:rFonts w:ascii="Times New Roman" w:hAnsi="Times New Roman" w:eastAsia="宋体" w:cs="Times New Roman"/>
      <w:szCs w:val="20"/>
    </w:rPr>
  </w:style>
  <w:style w:type="paragraph" w:styleId="16">
    <w:name w:val="Body Text 3"/>
    <w:basedOn w:val="1"/>
    <w:link w:val="78"/>
    <w:semiHidden/>
    <w:unhideWhenUsed/>
    <w:qFormat/>
    <w:uiPriority w:val="0"/>
    <w:pPr>
      <w:spacing w:after="120" w:line="360" w:lineRule="auto"/>
    </w:pPr>
    <w:rPr>
      <w:rFonts w:ascii="Times New Roman" w:hAnsi="Times New Roman" w:eastAsia="宋体" w:cs="Times New Roman"/>
      <w:kern w:val="0"/>
      <w:sz w:val="16"/>
      <w:szCs w:val="16"/>
    </w:rPr>
  </w:style>
  <w:style w:type="paragraph" w:styleId="17">
    <w:name w:val="Body Text"/>
    <w:basedOn w:val="1"/>
    <w:next w:val="18"/>
    <w:link w:val="71"/>
    <w:semiHidden/>
    <w:unhideWhenUsed/>
    <w:qFormat/>
    <w:uiPriority w:val="0"/>
    <w:rPr>
      <w:rFonts w:ascii="Times New Roman" w:hAnsi="Times New Roman" w:eastAsia="宋体" w:cs="Times New Roman"/>
      <w:i/>
      <w:sz w:val="18"/>
      <w:szCs w:val="20"/>
    </w:rPr>
  </w:style>
  <w:style w:type="paragraph" w:styleId="18">
    <w:name w:val="Body Text First Indent"/>
    <w:basedOn w:val="17"/>
    <w:next w:val="19"/>
    <w:link w:val="72"/>
    <w:semiHidden/>
    <w:unhideWhenUsed/>
    <w:qFormat/>
    <w:uiPriority w:val="0"/>
    <w:pPr>
      <w:spacing w:after="120"/>
      <w:ind w:firstLine="420" w:firstLineChars="100"/>
    </w:pPr>
    <w:rPr>
      <w:sz w:val="21"/>
      <w:szCs w:val="24"/>
    </w:rPr>
  </w:style>
  <w:style w:type="paragraph" w:styleId="19">
    <w:name w:val="toc 6"/>
    <w:basedOn w:val="1"/>
    <w:next w:val="1"/>
    <w:semiHidden/>
    <w:unhideWhenUsed/>
    <w:qFormat/>
    <w:uiPriority w:val="0"/>
    <w:pPr>
      <w:ind w:left="1050"/>
      <w:jc w:val="left"/>
    </w:pPr>
    <w:rPr>
      <w:rFonts w:ascii="Times New Roman" w:hAnsi="Times New Roman" w:eastAsia="宋体" w:cs="Times New Roman"/>
      <w:sz w:val="18"/>
      <w:szCs w:val="18"/>
    </w:rPr>
  </w:style>
  <w:style w:type="paragraph" w:styleId="20">
    <w:name w:val="Body Text Indent"/>
    <w:basedOn w:val="1"/>
    <w:next w:val="1"/>
    <w:link w:val="159"/>
    <w:semiHidden/>
    <w:unhideWhenUsed/>
    <w:qFormat/>
    <w:uiPriority w:val="0"/>
    <w:pPr>
      <w:spacing w:line="380" w:lineRule="exact"/>
      <w:ind w:firstLine="480"/>
    </w:pPr>
    <w:rPr>
      <w:rFonts w:ascii="Times New Roman" w:hAnsi="Times New Roman" w:eastAsia="方正书宋简体" w:cs="Times New Roman"/>
      <w:sz w:val="24"/>
      <w:szCs w:val="20"/>
    </w:rPr>
  </w:style>
  <w:style w:type="paragraph" w:styleId="21">
    <w:name w:val="List Number 3"/>
    <w:basedOn w:val="1"/>
    <w:semiHidden/>
    <w:unhideWhenUsed/>
    <w:qFormat/>
    <w:uiPriority w:val="0"/>
    <w:pPr>
      <w:widowControl/>
      <w:tabs>
        <w:tab w:val="left" w:pos="482"/>
        <w:tab w:val="left" w:pos="510"/>
      </w:tabs>
      <w:spacing w:afterLines="50"/>
      <w:ind w:left="482" w:hanging="340"/>
      <w:jc w:val="left"/>
    </w:pPr>
    <w:rPr>
      <w:rFonts w:ascii="Times New Roman" w:hAnsi="Times New Roman" w:eastAsia="宋体" w:cs="Times New Roman"/>
      <w:kern w:val="0"/>
      <w:sz w:val="24"/>
      <w:szCs w:val="20"/>
    </w:rPr>
  </w:style>
  <w:style w:type="paragraph" w:styleId="22">
    <w:name w:val="toc 5"/>
    <w:basedOn w:val="1"/>
    <w:next w:val="1"/>
    <w:semiHidden/>
    <w:unhideWhenUsed/>
    <w:qFormat/>
    <w:uiPriority w:val="0"/>
    <w:pPr>
      <w:ind w:left="840"/>
      <w:jc w:val="left"/>
    </w:pPr>
    <w:rPr>
      <w:rFonts w:ascii="Times New Roman" w:hAnsi="Times New Roman" w:eastAsia="宋体" w:cs="Times New Roman"/>
      <w:sz w:val="18"/>
      <w:szCs w:val="18"/>
    </w:rPr>
  </w:style>
  <w:style w:type="paragraph" w:styleId="23">
    <w:name w:val="toc 3"/>
    <w:basedOn w:val="1"/>
    <w:next w:val="1"/>
    <w:semiHidden/>
    <w:unhideWhenUsed/>
    <w:qFormat/>
    <w:uiPriority w:val="0"/>
    <w:pPr>
      <w:ind w:left="420"/>
      <w:jc w:val="left"/>
    </w:pPr>
    <w:rPr>
      <w:rFonts w:ascii="Times New Roman" w:hAnsi="Times New Roman" w:eastAsia="宋体" w:cs="Times New Roman"/>
      <w:i/>
      <w:iCs/>
      <w:sz w:val="20"/>
      <w:szCs w:val="20"/>
    </w:rPr>
  </w:style>
  <w:style w:type="paragraph" w:styleId="24">
    <w:name w:val="Plain Text"/>
    <w:basedOn w:val="1"/>
    <w:link w:val="82"/>
    <w:semiHidden/>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5">
    <w:name w:val="toc 8"/>
    <w:basedOn w:val="1"/>
    <w:next w:val="1"/>
    <w:semiHidden/>
    <w:unhideWhenUsed/>
    <w:qFormat/>
    <w:uiPriority w:val="0"/>
    <w:pPr>
      <w:ind w:left="1470"/>
      <w:jc w:val="left"/>
    </w:pPr>
    <w:rPr>
      <w:rFonts w:ascii="Times New Roman" w:hAnsi="Times New Roman" w:eastAsia="宋体" w:cs="Times New Roman"/>
      <w:sz w:val="18"/>
      <w:szCs w:val="18"/>
    </w:rPr>
  </w:style>
  <w:style w:type="paragraph" w:styleId="26">
    <w:name w:val="Date"/>
    <w:basedOn w:val="1"/>
    <w:next w:val="1"/>
    <w:link w:val="75"/>
    <w:semiHidden/>
    <w:unhideWhenUsed/>
    <w:qFormat/>
    <w:uiPriority w:val="0"/>
    <w:pPr>
      <w:adjustRightInd w:val="0"/>
      <w:spacing w:line="312" w:lineRule="atLeast"/>
      <w:jc w:val="right"/>
    </w:pPr>
    <w:rPr>
      <w:rFonts w:ascii="宋体" w:hAnsi="Times New Roman" w:eastAsia="宋体" w:cs="Times New Roman"/>
      <w:kern w:val="0"/>
      <w:sz w:val="24"/>
      <w:szCs w:val="20"/>
    </w:rPr>
  </w:style>
  <w:style w:type="paragraph" w:styleId="27">
    <w:name w:val="Body Text Indent 2"/>
    <w:basedOn w:val="1"/>
    <w:link w:val="79"/>
    <w:semiHidden/>
    <w:unhideWhenUsed/>
    <w:qFormat/>
    <w:uiPriority w:val="0"/>
    <w:pPr>
      <w:spacing w:line="380" w:lineRule="exact"/>
      <w:ind w:left="840" w:hanging="45"/>
    </w:pPr>
    <w:rPr>
      <w:rFonts w:ascii="宋体" w:hAnsi="Times New Roman" w:eastAsia="宋体" w:cs="Times New Roman"/>
      <w:sz w:val="24"/>
      <w:szCs w:val="20"/>
    </w:rPr>
  </w:style>
  <w:style w:type="paragraph" w:styleId="28">
    <w:name w:val="Balloon Text"/>
    <w:basedOn w:val="1"/>
    <w:link w:val="84"/>
    <w:semiHidden/>
    <w:unhideWhenUsed/>
    <w:qFormat/>
    <w:uiPriority w:val="0"/>
    <w:rPr>
      <w:rFonts w:ascii="Times New Roman" w:hAnsi="Times New Roman" w:eastAsia="宋体" w:cs="Times New Roman"/>
      <w:sz w:val="18"/>
      <w:szCs w:val="18"/>
    </w:rPr>
  </w:style>
  <w:style w:type="paragraph" w:styleId="29">
    <w:name w:val="footer"/>
    <w:basedOn w:val="1"/>
    <w:link w:val="56"/>
    <w:unhideWhenUsed/>
    <w:qFormat/>
    <w:uiPriority w:val="0"/>
    <w:pPr>
      <w:tabs>
        <w:tab w:val="center" w:pos="4153"/>
        <w:tab w:val="right" w:pos="8306"/>
      </w:tabs>
      <w:snapToGrid w:val="0"/>
      <w:jc w:val="left"/>
    </w:pPr>
    <w:rPr>
      <w:sz w:val="18"/>
      <w:szCs w:val="18"/>
    </w:rPr>
  </w:style>
  <w:style w:type="paragraph" w:styleId="30">
    <w:name w:val="header"/>
    <w:basedOn w:val="1"/>
    <w:link w:val="55"/>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unhideWhenUsed/>
    <w:qFormat/>
    <w:uiPriority w:val="0"/>
    <w:pPr>
      <w:tabs>
        <w:tab w:val="right" w:leader="dot" w:pos="8721"/>
      </w:tabs>
      <w:spacing w:line="480" w:lineRule="auto"/>
    </w:pPr>
    <w:rPr>
      <w:rFonts w:ascii="宋体" w:hAnsi="宋体" w:eastAsia="宋体" w:cs="Times New Roman"/>
      <w:color w:val="000000"/>
      <w:sz w:val="32"/>
      <w:szCs w:val="32"/>
    </w:rPr>
  </w:style>
  <w:style w:type="paragraph" w:styleId="32">
    <w:name w:val="toc 4"/>
    <w:basedOn w:val="1"/>
    <w:next w:val="1"/>
    <w:semiHidden/>
    <w:unhideWhenUsed/>
    <w:qFormat/>
    <w:uiPriority w:val="0"/>
    <w:pPr>
      <w:ind w:left="630"/>
      <w:jc w:val="left"/>
    </w:pPr>
    <w:rPr>
      <w:rFonts w:ascii="Times New Roman" w:hAnsi="Times New Roman" w:eastAsia="宋体" w:cs="Times New Roman"/>
      <w:sz w:val="18"/>
      <w:szCs w:val="18"/>
    </w:rPr>
  </w:style>
  <w:style w:type="paragraph" w:styleId="33">
    <w:name w:val="List Number 5"/>
    <w:basedOn w:val="1"/>
    <w:semiHidden/>
    <w:unhideWhenUsed/>
    <w:qFormat/>
    <w:uiPriority w:val="0"/>
    <w:pPr>
      <w:tabs>
        <w:tab w:val="left" w:pos="2608"/>
      </w:tabs>
      <w:spacing w:line="360" w:lineRule="auto"/>
      <w:ind w:left="840" w:hanging="360"/>
    </w:pPr>
    <w:rPr>
      <w:rFonts w:ascii="Times New Roman" w:hAnsi="Times New Roman" w:eastAsia="宋体" w:cs="Times New Roman"/>
      <w:sz w:val="24"/>
      <w:szCs w:val="24"/>
    </w:rPr>
  </w:style>
  <w:style w:type="paragraph" w:styleId="34">
    <w:name w:val="Body Text Indent 3"/>
    <w:basedOn w:val="1"/>
    <w:link w:val="80"/>
    <w:semiHidden/>
    <w:unhideWhenUsed/>
    <w:qFormat/>
    <w:uiPriority w:val="0"/>
    <w:pPr>
      <w:spacing w:line="380" w:lineRule="exact"/>
      <w:ind w:left="525"/>
    </w:pPr>
    <w:rPr>
      <w:rFonts w:ascii="宋体" w:hAnsi="Times New Roman" w:eastAsia="宋体" w:cs="Times New Roman"/>
      <w:sz w:val="24"/>
      <w:szCs w:val="20"/>
    </w:rPr>
  </w:style>
  <w:style w:type="paragraph" w:styleId="35">
    <w:name w:val="table of figures"/>
    <w:basedOn w:val="1"/>
    <w:next w:val="1"/>
    <w:semiHidden/>
    <w:unhideWhenUsed/>
    <w:qFormat/>
    <w:uiPriority w:val="0"/>
    <w:pPr>
      <w:ind w:left="420" w:hanging="420"/>
      <w:jc w:val="left"/>
    </w:pPr>
    <w:rPr>
      <w:rFonts w:ascii="Times New Roman" w:hAnsi="Times New Roman" w:eastAsia="宋体" w:cs="Times New Roman"/>
      <w:smallCaps/>
      <w:sz w:val="20"/>
      <w:szCs w:val="20"/>
    </w:rPr>
  </w:style>
  <w:style w:type="paragraph" w:styleId="36">
    <w:name w:val="toc 2"/>
    <w:basedOn w:val="1"/>
    <w:next w:val="1"/>
    <w:semiHidden/>
    <w:unhideWhenUsed/>
    <w:qFormat/>
    <w:uiPriority w:val="0"/>
    <w:pPr>
      <w:ind w:left="210"/>
      <w:jc w:val="left"/>
    </w:pPr>
    <w:rPr>
      <w:rFonts w:ascii="Times New Roman" w:hAnsi="Times New Roman" w:eastAsia="宋体" w:cs="Times New Roman"/>
      <w:smallCaps/>
      <w:sz w:val="20"/>
      <w:szCs w:val="20"/>
    </w:rPr>
  </w:style>
  <w:style w:type="paragraph" w:styleId="37">
    <w:name w:val="toc 9"/>
    <w:basedOn w:val="1"/>
    <w:next w:val="1"/>
    <w:semiHidden/>
    <w:unhideWhenUsed/>
    <w:qFormat/>
    <w:uiPriority w:val="0"/>
    <w:pPr>
      <w:ind w:left="1680"/>
      <w:jc w:val="left"/>
    </w:pPr>
    <w:rPr>
      <w:rFonts w:ascii="Times New Roman" w:hAnsi="Times New Roman" w:eastAsia="宋体" w:cs="Times New Roman"/>
      <w:sz w:val="18"/>
      <w:szCs w:val="18"/>
    </w:rPr>
  </w:style>
  <w:style w:type="paragraph" w:styleId="38">
    <w:name w:val="Body Text 2"/>
    <w:basedOn w:val="1"/>
    <w:link w:val="77"/>
    <w:semiHidden/>
    <w:unhideWhenUsed/>
    <w:qFormat/>
    <w:uiPriority w:val="0"/>
    <w:pPr>
      <w:spacing w:after="120" w:line="480" w:lineRule="auto"/>
    </w:pPr>
    <w:rPr>
      <w:rFonts w:ascii="Times New Roman" w:hAnsi="Times New Roman" w:eastAsia="宋体" w:cs="Times New Roman"/>
      <w:kern w:val="0"/>
      <w:sz w:val="24"/>
      <w:szCs w:val="24"/>
    </w:rPr>
  </w:style>
  <w:style w:type="paragraph" w:styleId="39">
    <w:name w:val="Message Header"/>
    <w:basedOn w:val="1"/>
    <w:next w:val="1"/>
    <w:link w:val="74"/>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0"/>
    </w:rPr>
  </w:style>
  <w:style w:type="paragraph" w:styleId="40">
    <w:name w:val="HTML Preformatted"/>
    <w:basedOn w:val="1"/>
    <w:link w:val="66"/>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宋体" w:cs="Courier New"/>
      <w:sz w:val="20"/>
      <w:szCs w:val="20"/>
    </w:rPr>
  </w:style>
  <w:style w:type="paragraph" w:styleId="41">
    <w:name w:val="Normal (Web)"/>
    <w:basedOn w:val="1"/>
    <w:semiHidden/>
    <w:unhideWhenUsed/>
    <w:qFormat/>
    <w:uiPriority w:val="0"/>
    <w:pPr>
      <w:widowControl/>
      <w:spacing w:before="100" w:beforeAutospacing="1" w:after="100" w:afterAutospacing="1" w:line="300" w:lineRule="atLeast"/>
      <w:jc w:val="left"/>
    </w:pPr>
    <w:rPr>
      <w:rFonts w:ascii="宋体" w:hAnsi="宋体" w:eastAsia="宋体" w:cs="宋体"/>
      <w:kern w:val="0"/>
      <w:sz w:val="24"/>
      <w:szCs w:val="24"/>
    </w:rPr>
  </w:style>
  <w:style w:type="paragraph" w:styleId="42">
    <w:name w:val="index 1"/>
    <w:basedOn w:val="1"/>
    <w:next w:val="1"/>
    <w:semiHidden/>
    <w:unhideWhenUsed/>
    <w:qFormat/>
    <w:uiPriority w:val="0"/>
    <w:rPr>
      <w:rFonts w:ascii="Times New Roman" w:hAnsi="Times New Roman" w:eastAsia="宋体" w:cs="Times New Roman"/>
      <w:szCs w:val="20"/>
    </w:rPr>
  </w:style>
  <w:style w:type="paragraph" w:styleId="43">
    <w:name w:val="Title"/>
    <w:basedOn w:val="1"/>
    <w:next w:val="1"/>
    <w:link w:val="70"/>
    <w:qFormat/>
    <w:uiPriority w:val="0"/>
    <w:pPr>
      <w:spacing w:before="240" w:after="60"/>
      <w:jc w:val="center"/>
      <w:outlineLvl w:val="0"/>
    </w:pPr>
    <w:rPr>
      <w:rFonts w:ascii="Cambria" w:hAnsi="Cambria" w:eastAsia="宋体" w:cs="Times New Roman"/>
      <w:b/>
      <w:bCs/>
      <w:sz w:val="32"/>
      <w:szCs w:val="32"/>
    </w:rPr>
  </w:style>
  <w:style w:type="paragraph" w:styleId="44">
    <w:name w:val="annotation subject"/>
    <w:basedOn w:val="15"/>
    <w:next w:val="15"/>
    <w:link w:val="83"/>
    <w:semiHidden/>
    <w:unhideWhenUsed/>
    <w:qFormat/>
    <w:uiPriority w:val="0"/>
    <w:rPr>
      <w:b/>
      <w:bCs/>
    </w:rPr>
  </w:style>
  <w:style w:type="paragraph" w:styleId="45">
    <w:name w:val="Body Text First Indent 2"/>
    <w:basedOn w:val="20"/>
    <w:link w:val="76"/>
    <w:semiHidden/>
    <w:unhideWhenUsed/>
    <w:qFormat/>
    <w:uiPriority w:val="0"/>
    <w:pPr>
      <w:ind w:firstLine="420" w:firstLineChars="200"/>
    </w:pPr>
  </w:style>
  <w:style w:type="table" w:styleId="47">
    <w:name w:val="Table Grid"/>
    <w:basedOn w:val="4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0"/>
    <w:rPr>
      <w:b/>
      <w:bCs/>
    </w:rPr>
  </w:style>
  <w:style w:type="character" w:styleId="50">
    <w:name w:val="page number"/>
    <w:semiHidden/>
    <w:unhideWhenUsed/>
    <w:qFormat/>
    <w:uiPriority w:val="0"/>
    <w:rPr>
      <w:lang w:eastAsia="en-US"/>
    </w:rPr>
  </w:style>
  <w:style w:type="character" w:styleId="51">
    <w:name w:val="FollowedHyperlink"/>
    <w:semiHidden/>
    <w:unhideWhenUsed/>
    <w:qFormat/>
    <w:uiPriority w:val="0"/>
    <w:rPr>
      <w:color w:val="800080"/>
      <w:u w:val="none"/>
    </w:rPr>
  </w:style>
  <w:style w:type="character" w:styleId="52">
    <w:name w:val="HTML Typewriter"/>
    <w:semiHidden/>
    <w:unhideWhenUsed/>
    <w:qFormat/>
    <w:uiPriority w:val="0"/>
    <w:rPr>
      <w:rFonts w:hint="default" w:ascii="Courier New" w:hAnsi="Courier New" w:eastAsia="Times New Roman" w:cs="Courier New"/>
      <w:sz w:val="24"/>
      <w:szCs w:val="24"/>
    </w:rPr>
  </w:style>
  <w:style w:type="character" w:styleId="53">
    <w:name w:val="Hyperlink"/>
    <w:semiHidden/>
    <w:unhideWhenUsed/>
    <w:qFormat/>
    <w:uiPriority w:val="0"/>
    <w:rPr>
      <w:color w:val="0000FF"/>
      <w:u w:val="none"/>
      <w:lang w:eastAsia="en-US"/>
    </w:rPr>
  </w:style>
  <w:style w:type="character" w:styleId="54">
    <w:name w:val="annotation reference"/>
    <w:semiHidden/>
    <w:unhideWhenUsed/>
    <w:qFormat/>
    <w:uiPriority w:val="0"/>
    <w:rPr>
      <w:sz w:val="21"/>
      <w:szCs w:val="21"/>
    </w:rPr>
  </w:style>
  <w:style w:type="character" w:customStyle="1" w:styleId="55">
    <w:name w:val="页眉 Char"/>
    <w:basedOn w:val="48"/>
    <w:link w:val="30"/>
    <w:qFormat/>
    <w:uiPriority w:val="0"/>
    <w:rPr>
      <w:sz w:val="18"/>
      <w:szCs w:val="18"/>
    </w:rPr>
  </w:style>
  <w:style w:type="character" w:customStyle="1" w:styleId="56">
    <w:name w:val="页脚 Char"/>
    <w:basedOn w:val="48"/>
    <w:link w:val="29"/>
    <w:qFormat/>
    <w:uiPriority w:val="0"/>
    <w:rPr>
      <w:sz w:val="18"/>
      <w:szCs w:val="18"/>
    </w:rPr>
  </w:style>
  <w:style w:type="character" w:customStyle="1" w:styleId="57">
    <w:name w:val="标题 1 Char"/>
    <w:basedOn w:val="48"/>
    <w:link w:val="3"/>
    <w:qFormat/>
    <w:uiPriority w:val="0"/>
    <w:rPr>
      <w:rFonts w:ascii="Times New Roman" w:hAnsi="Times New Roman" w:eastAsia="宋体" w:cs="Times New Roman"/>
      <w:b/>
      <w:bCs/>
      <w:kern w:val="44"/>
      <w:sz w:val="44"/>
      <w:szCs w:val="44"/>
    </w:rPr>
  </w:style>
  <w:style w:type="character" w:customStyle="1" w:styleId="58">
    <w:name w:val="标题 2 Char"/>
    <w:basedOn w:val="48"/>
    <w:link w:val="4"/>
    <w:semiHidden/>
    <w:qFormat/>
    <w:uiPriority w:val="0"/>
    <w:rPr>
      <w:rFonts w:ascii="Arial" w:hAnsi="Arial" w:eastAsia="黑体" w:cs="Times New Roman"/>
      <w:b/>
      <w:bCs/>
      <w:sz w:val="32"/>
      <w:szCs w:val="32"/>
    </w:rPr>
  </w:style>
  <w:style w:type="character" w:customStyle="1" w:styleId="59">
    <w:name w:val="标题 3 Char"/>
    <w:basedOn w:val="48"/>
    <w:link w:val="5"/>
    <w:semiHidden/>
    <w:qFormat/>
    <w:uiPriority w:val="0"/>
    <w:rPr>
      <w:rFonts w:ascii="Arial" w:hAnsi="Arial" w:eastAsia="黑体" w:cs="Arial"/>
      <w:b/>
      <w:bCs/>
      <w:sz w:val="30"/>
      <w:szCs w:val="32"/>
    </w:rPr>
  </w:style>
  <w:style w:type="character" w:customStyle="1" w:styleId="60">
    <w:name w:val="标题 4 Char"/>
    <w:basedOn w:val="48"/>
    <w:link w:val="6"/>
    <w:semiHidden/>
    <w:qFormat/>
    <w:uiPriority w:val="0"/>
    <w:rPr>
      <w:rFonts w:ascii="Arial" w:hAnsi="Arial" w:eastAsia="黑体" w:cs="Times New Roman"/>
      <w:b/>
      <w:bCs/>
      <w:sz w:val="28"/>
      <w:szCs w:val="28"/>
    </w:rPr>
  </w:style>
  <w:style w:type="character" w:customStyle="1" w:styleId="61">
    <w:name w:val="标题 5 Char"/>
    <w:basedOn w:val="48"/>
    <w:link w:val="7"/>
    <w:semiHidden/>
    <w:qFormat/>
    <w:uiPriority w:val="0"/>
    <w:rPr>
      <w:rFonts w:ascii="Times New Roman" w:hAnsi="Times New Roman" w:eastAsia="宋体" w:cs="Times New Roman"/>
      <w:b/>
      <w:bCs/>
      <w:sz w:val="28"/>
      <w:szCs w:val="28"/>
    </w:rPr>
  </w:style>
  <w:style w:type="character" w:customStyle="1" w:styleId="62">
    <w:name w:val="标题 6 Char"/>
    <w:basedOn w:val="48"/>
    <w:link w:val="8"/>
    <w:semiHidden/>
    <w:qFormat/>
    <w:uiPriority w:val="0"/>
    <w:rPr>
      <w:rFonts w:ascii="Cambria" w:hAnsi="Cambria" w:eastAsia="宋体" w:cs="Times New Roman"/>
      <w:b/>
      <w:bCs/>
      <w:sz w:val="24"/>
      <w:szCs w:val="24"/>
    </w:rPr>
  </w:style>
  <w:style w:type="character" w:customStyle="1" w:styleId="63">
    <w:name w:val="标题 7 Char"/>
    <w:basedOn w:val="48"/>
    <w:link w:val="9"/>
    <w:semiHidden/>
    <w:qFormat/>
    <w:uiPriority w:val="0"/>
    <w:rPr>
      <w:rFonts w:ascii="Times New Roman" w:hAnsi="Times New Roman" w:eastAsia="宋体" w:cs="Times New Roman"/>
      <w:b/>
      <w:bCs/>
      <w:sz w:val="24"/>
      <w:szCs w:val="24"/>
    </w:rPr>
  </w:style>
  <w:style w:type="character" w:customStyle="1" w:styleId="64">
    <w:name w:val="标题 8 Char"/>
    <w:basedOn w:val="48"/>
    <w:link w:val="10"/>
    <w:semiHidden/>
    <w:qFormat/>
    <w:uiPriority w:val="0"/>
    <w:rPr>
      <w:rFonts w:ascii="Arial" w:hAnsi="Arial" w:eastAsia="黑体" w:cs="Times New Roman"/>
      <w:sz w:val="24"/>
      <w:szCs w:val="24"/>
    </w:rPr>
  </w:style>
  <w:style w:type="character" w:customStyle="1" w:styleId="65">
    <w:name w:val="标题 9 Char"/>
    <w:basedOn w:val="48"/>
    <w:link w:val="11"/>
    <w:semiHidden/>
    <w:qFormat/>
    <w:uiPriority w:val="0"/>
    <w:rPr>
      <w:rFonts w:ascii="Arial" w:hAnsi="Arial" w:eastAsia="黑体" w:cs="Times New Roman"/>
      <w:szCs w:val="21"/>
    </w:rPr>
  </w:style>
  <w:style w:type="character" w:customStyle="1" w:styleId="66">
    <w:name w:val="HTML 预设格式 Char"/>
    <w:basedOn w:val="48"/>
    <w:link w:val="40"/>
    <w:semiHidden/>
    <w:qFormat/>
    <w:uiPriority w:val="0"/>
    <w:rPr>
      <w:rFonts w:ascii="Courier New" w:hAnsi="Courier New" w:eastAsia="宋体" w:cs="Courier New"/>
      <w:sz w:val="20"/>
      <w:szCs w:val="20"/>
    </w:rPr>
  </w:style>
  <w:style w:type="character" w:customStyle="1" w:styleId="67">
    <w:name w:val="正文缩进 Char"/>
    <w:link w:val="13"/>
    <w:semiHidden/>
    <w:qFormat/>
    <w:locked/>
    <w:uiPriority w:val="0"/>
    <w:rPr>
      <w:szCs w:val="24"/>
    </w:rPr>
  </w:style>
  <w:style w:type="paragraph" w:customStyle="1" w:styleId="68">
    <w:name w:val="正文缩进1"/>
    <w:basedOn w:val="1"/>
    <w:next w:val="13"/>
    <w:semiHidden/>
    <w:unhideWhenUsed/>
    <w:qFormat/>
    <w:uiPriority w:val="0"/>
    <w:pPr>
      <w:ind w:firstLine="420" w:firstLineChars="200"/>
    </w:pPr>
    <w:rPr>
      <w:szCs w:val="24"/>
    </w:rPr>
  </w:style>
  <w:style w:type="character" w:customStyle="1" w:styleId="69">
    <w:name w:val="批注文字 Char"/>
    <w:basedOn w:val="48"/>
    <w:link w:val="15"/>
    <w:semiHidden/>
    <w:qFormat/>
    <w:uiPriority w:val="0"/>
    <w:rPr>
      <w:rFonts w:ascii="Times New Roman" w:hAnsi="Times New Roman" w:eastAsia="宋体" w:cs="Times New Roman"/>
      <w:szCs w:val="20"/>
    </w:rPr>
  </w:style>
  <w:style w:type="character" w:customStyle="1" w:styleId="70">
    <w:name w:val="标题 Char"/>
    <w:basedOn w:val="48"/>
    <w:link w:val="43"/>
    <w:qFormat/>
    <w:uiPriority w:val="0"/>
    <w:rPr>
      <w:rFonts w:ascii="Cambria" w:hAnsi="Cambria" w:eastAsia="宋体" w:cs="Times New Roman"/>
      <w:b/>
      <w:bCs/>
      <w:sz w:val="32"/>
      <w:szCs w:val="32"/>
    </w:rPr>
  </w:style>
  <w:style w:type="character" w:customStyle="1" w:styleId="71">
    <w:name w:val="正文文本 Char"/>
    <w:basedOn w:val="48"/>
    <w:link w:val="17"/>
    <w:semiHidden/>
    <w:qFormat/>
    <w:uiPriority w:val="0"/>
    <w:rPr>
      <w:rFonts w:ascii="Times New Roman" w:hAnsi="Times New Roman" w:eastAsia="宋体" w:cs="Times New Roman"/>
      <w:i/>
      <w:sz w:val="18"/>
      <w:szCs w:val="20"/>
    </w:rPr>
  </w:style>
  <w:style w:type="character" w:customStyle="1" w:styleId="72">
    <w:name w:val="正文首行缩进 Char"/>
    <w:basedOn w:val="71"/>
    <w:link w:val="18"/>
    <w:semiHidden/>
    <w:qFormat/>
    <w:uiPriority w:val="0"/>
    <w:rPr>
      <w:rFonts w:ascii="Times New Roman" w:hAnsi="Times New Roman" w:eastAsia="宋体" w:cs="Times New Roman"/>
      <w:sz w:val="18"/>
      <w:szCs w:val="24"/>
    </w:rPr>
  </w:style>
  <w:style w:type="character" w:customStyle="1" w:styleId="73">
    <w:name w:val="正文文本缩进 Char"/>
    <w:basedOn w:val="48"/>
    <w:semiHidden/>
    <w:qFormat/>
    <w:uiPriority w:val="0"/>
  </w:style>
  <w:style w:type="character" w:customStyle="1" w:styleId="74">
    <w:name w:val="信息标题 Char"/>
    <w:basedOn w:val="48"/>
    <w:link w:val="39"/>
    <w:semiHidden/>
    <w:qFormat/>
    <w:uiPriority w:val="0"/>
    <w:rPr>
      <w:rFonts w:ascii="Cambria" w:hAnsi="Cambria" w:eastAsia="宋体" w:cs="Times New Roman"/>
      <w:sz w:val="24"/>
      <w:szCs w:val="20"/>
      <w:shd w:val="pct20" w:color="auto" w:fill="auto"/>
    </w:rPr>
  </w:style>
  <w:style w:type="character" w:customStyle="1" w:styleId="75">
    <w:name w:val="日期 Char"/>
    <w:basedOn w:val="48"/>
    <w:link w:val="26"/>
    <w:semiHidden/>
    <w:qFormat/>
    <w:uiPriority w:val="0"/>
    <w:rPr>
      <w:rFonts w:ascii="宋体" w:hAnsi="Times New Roman" w:eastAsia="宋体" w:cs="Times New Roman"/>
      <w:kern w:val="0"/>
      <w:sz w:val="24"/>
      <w:szCs w:val="20"/>
    </w:rPr>
  </w:style>
  <w:style w:type="character" w:customStyle="1" w:styleId="76">
    <w:name w:val="正文首行缩进 2 Char"/>
    <w:basedOn w:val="73"/>
    <w:link w:val="45"/>
    <w:semiHidden/>
    <w:qFormat/>
    <w:uiPriority w:val="0"/>
    <w:rPr>
      <w:rFonts w:ascii="Times New Roman" w:hAnsi="Times New Roman" w:eastAsia="方正书宋简体" w:cs="Times New Roman"/>
      <w:sz w:val="24"/>
      <w:szCs w:val="20"/>
    </w:rPr>
  </w:style>
  <w:style w:type="character" w:customStyle="1" w:styleId="77">
    <w:name w:val="正文文本 2 Char"/>
    <w:basedOn w:val="48"/>
    <w:link w:val="38"/>
    <w:semiHidden/>
    <w:qFormat/>
    <w:uiPriority w:val="0"/>
    <w:rPr>
      <w:rFonts w:ascii="Times New Roman" w:hAnsi="Times New Roman" w:eastAsia="宋体" w:cs="Times New Roman"/>
      <w:kern w:val="0"/>
      <w:sz w:val="24"/>
      <w:szCs w:val="24"/>
    </w:rPr>
  </w:style>
  <w:style w:type="character" w:customStyle="1" w:styleId="78">
    <w:name w:val="正文文本 3 Char"/>
    <w:basedOn w:val="48"/>
    <w:link w:val="16"/>
    <w:semiHidden/>
    <w:qFormat/>
    <w:uiPriority w:val="0"/>
    <w:rPr>
      <w:rFonts w:ascii="Times New Roman" w:hAnsi="Times New Roman" w:eastAsia="宋体" w:cs="Times New Roman"/>
      <w:kern w:val="0"/>
      <w:sz w:val="16"/>
      <w:szCs w:val="16"/>
    </w:rPr>
  </w:style>
  <w:style w:type="character" w:customStyle="1" w:styleId="79">
    <w:name w:val="正文文本缩进 2 Char"/>
    <w:basedOn w:val="48"/>
    <w:link w:val="27"/>
    <w:semiHidden/>
    <w:qFormat/>
    <w:uiPriority w:val="0"/>
    <w:rPr>
      <w:rFonts w:ascii="宋体" w:hAnsi="Times New Roman" w:eastAsia="宋体" w:cs="Times New Roman"/>
      <w:sz w:val="24"/>
      <w:szCs w:val="20"/>
    </w:rPr>
  </w:style>
  <w:style w:type="character" w:customStyle="1" w:styleId="80">
    <w:name w:val="正文文本缩进 3 Char"/>
    <w:basedOn w:val="48"/>
    <w:link w:val="34"/>
    <w:semiHidden/>
    <w:qFormat/>
    <w:uiPriority w:val="0"/>
    <w:rPr>
      <w:rFonts w:ascii="宋体" w:hAnsi="Times New Roman" w:eastAsia="宋体" w:cs="Times New Roman"/>
      <w:sz w:val="24"/>
      <w:szCs w:val="20"/>
    </w:rPr>
  </w:style>
  <w:style w:type="character" w:customStyle="1" w:styleId="81">
    <w:name w:val="文档结构图 Char"/>
    <w:basedOn w:val="48"/>
    <w:link w:val="14"/>
    <w:semiHidden/>
    <w:qFormat/>
    <w:uiPriority w:val="0"/>
    <w:rPr>
      <w:rFonts w:ascii="Times New Roman" w:hAnsi="Times New Roman" w:eastAsia="宋体" w:cs="Times New Roman"/>
      <w:szCs w:val="20"/>
      <w:shd w:val="clear" w:color="auto" w:fill="000080"/>
    </w:rPr>
  </w:style>
  <w:style w:type="character" w:customStyle="1" w:styleId="82">
    <w:name w:val="纯文本 Char"/>
    <w:basedOn w:val="48"/>
    <w:link w:val="24"/>
    <w:semiHidden/>
    <w:qFormat/>
    <w:uiPriority w:val="0"/>
    <w:rPr>
      <w:rFonts w:ascii="宋体" w:hAnsi="宋体" w:eastAsia="宋体" w:cs="宋体"/>
      <w:color w:val="000000"/>
      <w:kern w:val="0"/>
      <w:sz w:val="24"/>
      <w:szCs w:val="24"/>
    </w:rPr>
  </w:style>
  <w:style w:type="character" w:customStyle="1" w:styleId="83">
    <w:name w:val="批注主题 Char"/>
    <w:basedOn w:val="69"/>
    <w:link w:val="44"/>
    <w:semiHidden/>
    <w:qFormat/>
    <w:uiPriority w:val="0"/>
    <w:rPr>
      <w:rFonts w:ascii="Times New Roman" w:hAnsi="Times New Roman" w:eastAsia="宋体" w:cs="Times New Roman"/>
      <w:b/>
      <w:bCs/>
      <w:szCs w:val="20"/>
    </w:rPr>
  </w:style>
  <w:style w:type="character" w:customStyle="1" w:styleId="84">
    <w:name w:val="批注框文本 Char"/>
    <w:basedOn w:val="48"/>
    <w:link w:val="28"/>
    <w:semiHidden/>
    <w:qFormat/>
    <w:uiPriority w:val="0"/>
    <w:rPr>
      <w:rFonts w:ascii="Times New Roman" w:hAnsi="Times New Roman" w:eastAsia="宋体" w:cs="Times New Roman"/>
      <w:sz w:val="18"/>
      <w:szCs w:val="18"/>
    </w:rPr>
  </w:style>
  <w:style w:type="paragraph" w:styleId="8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Revision"/>
    <w:semiHidden/>
    <w:qFormat/>
    <w:uiPriority w:val="99"/>
    <w:rPr>
      <w:rFonts w:ascii="Times New Roman" w:hAnsi="Times New Roman" w:eastAsia="宋体" w:cs="Times New Roman"/>
      <w:kern w:val="2"/>
      <w:sz w:val="21"/>
      <w:szCs w:val="20"/>
      <w:lang w:val="en-US" w:eastAsia="zh-CN" w:bidi="ar-SA"/>
    </w:rPr>
  </w:style>
  <w:style w:type="character" w:customStyle="1" w:styleId="87">
    <w:name w:val="列出段落 Char"/>
    <w:link w:val="88"/>
    <w:qFormat/>
    <w:locked/>
    <w:uiPriority w:val="34"/>
    <w:rPr>
      <w:sz w:val="24"/>
      <w:szCs w:val="24"/>
    </w:rPr>
  </w:style>
  <w:style w:type="paragraph" w:styleId="88">
    <w:name w:val="List Paragraph"/>
    <w:basedOn w:val="1"/>
    <w:link w:val="87"/>
    <w:qFormat/>
    <w:uiPriority w:val="34"/>
    <w:pPr>
      <w:ind w:firstLine="420" w:firstLineChars="200"/>
    </w:pPr>
    <w:rPr>
      <w:sz w:val="24"/>
      <w:szCs w:val="24"/>
    </w:rPr>
  </w:style>
  <w:style w:type="paragraph" w:customStyle="1" w:styleId="89">
    <w:name w:val="列出段落1"/>
    <w:basedOn w:val="1"/>
    <w:next w:val="88"/>
    <w:qFormat/>
    <w:uiPriority w:val="34"/>
    <w:pPr>
      <w:spacing w:line="360" w:lineRule="auto"/>
      <w:ind w:firstLine="420" w:firstLineChars="200"/>
    </w:pPr>
    <w:rPr>
      <w:sz w:val="24"/>
      <w:szCs w:val="24"/>
    </w:rPr>
  </w:style>
  <w:style w:type="paragraph" w:customStyle="1" w:styleId="90">
    <w:name w:val="Char Char Char Char"/>
    <w:basedOn w:val="1"/>
    <w:qFormat/>
    <w:uiPriority w:val="0"/>
    <w:pPr>
      <w:widowControl/>
      <w:spacing w:line="400" w:lineRule="exact"/>
      <w:jc w:val="center"/>
    </w:pPr>
    <w:rPr>
      <w:rFonts w:ascii="Verdana" w:hAnsi="Verdana" w:eastAsia="宋体" w:cs="Times New Roman"/>
      <w:kern w:val="0"/>
      <w:szCs w:val="20"/>
      <w:lang w:eastAsia="en-US"/>
    </w:rPr>
  </w:style>
  <w:style w:type="character" w:customStyle="1" w:styleId="91">
    <w:name w:val="哈哈正文 Char Char"/>
    <w:link w:val="92"/>
    <w:qFormat/>
    <w:locked/>
    <w:uiPriority w:val="0"/>
    <w:rPr>
      <w:rFonts w:ascii="宋体" w:hAnsi="宋体" w:eastAsia="宋体" w:cs="宋体"/>
      <w:sz w:val="24"/>
    </w:rPr>
  </w:style>
  <w:style w:type="paragraph" w:customStyle="1" w:styleId="92">
    <w:name w:val="哈哈正文"/>
    <w:basedOn w:val="1"/>
    <w:link w:val="91"/>
    <w:qFormat/>
    <w:uiPriority w:val="0"/>
    <w:pPr>
      <w:spacing w:line="360" w:lineRule="auto"/>
      <w:ind w:firstLine="200" w:firstLineChars="200"/>
    </w:pPr>
    <w:rPr>
      <w:rFonts w:ascii="宋体" w:hAnsi="宋体" w:eastAsia="宋体" w:cs="宋体"/>
      <w:sz w:val="24"/>
    </w:rPr>
  </w:style>
  <w:style w:type="character" w:customStyle="1" w:styleId="93">
    <w:name w:val="标题2正文 Char Char Char"/>
    <w:link w:val="94"/>
    <w:qFormat/>
    <w:locked/>
    <w:uiPriority w:val="0"/>
    <w:rPr>
      <w:sz w:val="24"/>
      <w:szCs w:val="24"/>
    </w:rPr>
  </w:style>
  <w:style w:type="paragraph" w:customStyle="1" w:styleId="94">
    <w:name w:val="标题2正文 Char"/>
    <w:basedOn w:val="1"/>
    <w:link w:val="93"/>
    <w:qFormat/>
    <w:uiPriority w:val="0"/>
    <w:pPr>
      <w:spacing w:beforeLines="50" w:afterLines="50"/>
      <w:ind w:right="38" w:rightChars="18" w:firstLine="420"/>
    </w:pPr>
    <w:rPr>
      <w:sz w:val="24"/>
      <w:szCs w:val="24"/>
    </w:rPr>
  </w:style>
  <w:style w:type="character" w:customStyle="1" w:styleId="95">
    <w:name w:val="样式4 Char Char"/>
    <w:link w:val="96"/>
    <w:qFormat/>
    <w:locked/>
    <w:uiPriority w:val="0"/>
    <w:rPr>
      <w:rFonts w:ascii="黑体" w:hAnsi="黑体" w:eastAsia="黑体"/>
      <w:bCs/>
      <w:kern w:val="44"/>
      <w:sz w:val="44"/>
      <w:szCs w:val="44"/>
    </w:rPr>
  </w:style>
  <w:style w:type="paragraph" w:customStyle="1" w:styleId="96">
    <w:name w:val="样式4"/>
    <w:basedOn w:val="3"/>
    <w:link w:val="95"/>
    <w:qFormat/>
    <w:uiPriority w:val="0"/>
    <w:pPr>
      <w:keepLines/>
      <w:spacing w:line="360" w:lineRule="auto"/>
    </w:pPr>
    <w:rPr>
      <w:rFonts w:ascii="黑体" w:hAnsi="黑体" w:eastAsia="黑体" w:cstheme="minorBidi"/>
      <w:b w:val="0"/>
    </w:rPr>
  </w:style>
  <w:style w:type="character" w:customStyle="1" w:styleId="97">
    <w:name w:val="样式2 Char Char"/>
    <w:link w:val="98"/>
    <w:qFormat/>
    <w:locked/>
    <w:uiPriority w:val="0"/>
    <w:rPr>
      <w:rFonts w:ascii="黑体" w:hAnsi="黑体" w:eastAsia="黑体"/>
      <w:bCs/>
      <w:color w:val="FF0000"/>
      <w:sz w:val="28"/>
      <w:szCs w:val="32"/>
    </w:rPr>
  </w:style>
  <w:style w:type="paragraph" w:customStyle="1" w:styleId="98">
    <w:name w:val="样式2"/>
    <w:basedOn w:val="5"/>
    <w:link w:val="97"/>
    <w:qFormat/>
    <w:uiPriority w:val="0"/>
    <w:pPr>
      <w:adjustRightInd w:val="0"/>
      <w:spacing w:beforeLines="0" w:afterLines="0"/>
      <w:ind w:left="0" w:firstLine="0"/>
    </w:pPr>
    <w:rPr>
      <w:rFonts w:ascii="黑体" w:hAnsi="黑体" w:cstheme="minorBidi"/>
      <w:b w:val="0"/>
      <w:color w:val="FF0000"/>
      <w:sz w:val="28"/>
    </w:rPr>
  </w:style>
  <w:style w:type="character" w:customStyle="1" w:styleId="99">
    <w:name w:val="样式5 Char Char"/>
    <w:link w:val="100"/>
    <w:qFormat/>
    <w:locked/>
    <w:uiPriority w:val="0"/>
    <w:rPr>
      <w:b/>
      <w:bCs/>
      <w:sz w:val="28"/>
      <w:szCs w:val="28"/>
    </w:rPr>
  </w:style>
  <w:style w:type="paragraph" w:customStyle="1" w:styleId="100">
    <w:name w:val="样式5"/>
    <w:basedOn w:val="1"/>
    <w:link w:val="99"/>
    <w:qFormat/>
    <w:uiPriority w:val="0"/>
    <w:pPr>
      <w:keepNext/>
      <w:keepLines/>
      <w:spacing w:before="280" w:after="290" w:line="374" w:lineRule="auto"/>
      <w:ind w:left="210" w:leftChars="100" w:right="210" w:rightChars="100"/>
      <w:outlineLvl w:val="4"/>
    </w:pPr>
    <w:rPr>
      <w:b/>
      <w:bCs/>
      <w:sz w:val="28"/>
      <w:szCs w:val="28"/>
    </w:rPr>
  </w:style>
  <w:style w:type="character" w:customStyle="1" w:styleId="101">
    <w:name w:val="样式1 Char Char"/>
    <w:link w:val="102"/>
    <w:qFormat/>
    <w:locked/>
    <w:uiPriority w:val="0"/>
    <w:rPr>
      <w:rFonts w:ascii="黑体" w:hAnsi="黑体" w:eastAsia="黑体"/>
      <w:b/>
      <w:bCs/>
      <w:sz w:val="32"/>
      <w:szCs w:val="32"/>
    </w:rPr>
  </w:style>
  <w:style w:type="paragraph" w:customStyle="1" w:styleId="102">
    <w:name w:val="样式1"/>
    <w:basedOn w:val="4"/>
    <w:link w:val="101"/>
    <w:qFormat/>
    <w:uiPriority w:val="0"/>
    <w:pPr>
      <w:tabs>
        <w:tab w:val="clear" w:pos="578"/>
      </w:tabs>
      <w:spacing w:beforeLines="0" w:afterLines="0"/>
      <w:ind w:left="0" w:firstLine="0"/>
    </w:pPr>
    <w:rPr>
      <w:rFonts w:ascii="黑体" w:hAnsi="黑体" w:cstheme="minorBidi"/>
    </w:rPr>
  </w:style>
  <w:style w:type="character" w:customStyle="1" w:styleId="103">
    <w:name w:val="方案－正文 Char Char"/>
    <w:link w:val="104"/>
    <w:qFormat/>
    <w:locked/>
    <w:uiPriority w:val="0"/>
    <w:rPr>
      <w:rFonts w:ascii="仿宋_GB2312" w:hAnsi="宋体" w:eastAsia="仿宋_GB2312"/>
      <w:sz w:val="24"/>
    </w:rPr>
  </w:style>
  <w:style w:type="paragraph" w:customStyle="1" w:styleId="104">
    <w:name w:val="方案－正文"/>
    <w:basedOn w:val="1"/>
    <w:link w:val="103"/>
    <w:qFormat/>
    <w:uiPriority w:val="0"/>
    <w:pPr>
      <w:spacing w:line="360" w:lineRule="auto"/>
      <w:ind w:firstLine="480" w:firstLineChars="200"/>
    </w:pPr>
    <w:rPr>
      <w:rFonts w:ascii="仿宋_GB2312" w:hAnsi="宋体" w:eastAsia="仿宋_GB2312"/>
      <w:sz w:val="24"/>
    </w:rPr>
  </w:style>
  <w:style w:type="paragraph" w:customStyle="1" w:styleId="105">
    <w:name w:val="*正文"/>
    <w:basedOn w:val="13"/>
    <w:qFormat/>
    <w:uiPriority w:val="0"/>
    <w:pPr>
      <w:ind w:firstLine="567" w:firstLineChars="0"/>
    </w:pPr>
    <w:rPr>
      <w:rFonts w:ascii="Calibri" w:hAnsi="Calibri"/>
      <w:kern w:val="0"/>
      <w:szCs w:val="22"/>
    </w:rPr>
  </w:style>
  <w:style w:type="paragraph" w:customStyle="1" w:styleId="106">
    <w:name w:val="正文编码"/>
    <w:basedOn w:val="18"/>
    <w:qFormat/>
    <w:uiPriority w:val="0"/>
    <w:pPr>
      <w:tabs>
        <w:tab w:val="center" w:pos="2185"/>
      </w:tabs>
      <w:spacing w:after="0" w:line="360" w:lineRule="auto"/>
      <w:ind w:left="1200" w:firstLine="0" w:firstLineChars="0"/>
    </w:pPr>
    <w:rPr>
      <w:rFonts w:ascii="仿宋_GB2312" w:hAnsi="宋体" w:eastAsia="仿宋_GB2312"/>
      <w:kern w:val="0"/>
      <w:sz w:val="24"/>
      <w:szCs w:val="20"/>
    </w:rPr>
  </w:style>
  <w:style w:type="paragraph" w:customStyle="1" w:styleId="107">
    <w:name w:val="公文正文"/>
    <w:qFormat/>
    <w:uiPriority w:val="0"/>
    <w:pPr>
      <w:widowControl w:val="0"/>
      <w:spacing w:line="580" w:lineRule="exact"/>
      <w:ind w:firstLine="883" w:firstLineChars="200"/>
      <w:jc w:val="both"/>
    </w:pPr>
    <w:rPr>
      <w:rFonts w:ascii="仿宋_GB2312" w:hAnsi="仿宋_GB2312" w:eastAsia="仿宋_GB2312" w:cs="Times New Roman"/>
      <w:kern w:val="0"/>
      <w:sz w:val="32"/>
      <w:szCs w:val="20"/>
      <w:lang w:val="en-US" w:eastAsia="zh-CN" w:bidi="ar-SA"/>
    </w:rPr>
  </w:style>
  <w:style w:type="paragraph" w:customStyle="1" w:styleId="108">
    <w:name w:val="Proposals body"/>
    <w:basedOn w:val="1"/>
    <w:next w:val="1"/>
    <w:qFormat/>
    <w:uiPriority w:val="0"/>
    <w:pPr>
      <w:widowControl/>
      <w:snapToGrid w:val="0"/>
      <w:spacing w:line="360" w:lineRule="auto"/>
      <w:jc w:val="left"/>
    </w:pPr>
    <w:rPr>
      <w:rFonts w:ascii="宋体" w:hAnsi="Times New Roman" w:eastAsia="宋体" w:cs="Times New Roman"/>
      <w:color w:val="000000"/>
      <w:kern w:val="0"/>
      <w:sz w:val="24"/>
      <w:szCs w:val="20"/>
    </w:rPr>
  </w:style>
  <w:style w:type="paragraph" w:customStyle="1" w:styleId="109">
    <w:name w:val="表格文字"/>
    <w:basedOn w:val="1"/>
    <w:next w:val="17"/>
    <w:qFormat/>
    <w:uiPriority w:val="0"/>
    <w:pPr>
      <w:spacing w:before="25" w:after="25"/>
    </w:pPr>
    <w:rPr>
      <w:rFonts w:ascii="Times New Roman" w:hAnsi="Times New Roman" w:eastAsia="宋体" w:cs="Times New Roman"/>
      <w:bCs/>
      <w:spacing w:val="10"/>
      <w:sz w:val="24"/>
      <w:szCs w:val="20"/>
    </w:rPr>
  </w:style>
  <w:style w:type="paragraph" w:customStyle="1" w:styleId="110">
    <w:name w:val="Char Char Char"/>
    <w:basedOn w:val="1"/>
    <w:qFormat/>
    <w:uiPriority w:val="0"/>
    <w:pPr>
      <w:spacing w:before="120" w:after="120" w:line="360" w:lineRule="auto"/>
      <w:ind w:firstLine="200" w:firstLineChars="200"/>
    </w:pPr>
    <w:rPr>
      <w:rFonts w:ascii="Tahoma" w:hAnsi="Tahoma" w:eastAsia="宋体" w:cs="Times New Roman"/>
      <w:sz w:val="24"/>
      <w:szCs w:val="20"/>
    </w:rPr>
  </w:style>
  <w:style w:type="paragraph" w:customStyle="1" w:styleId="111">
    <w:name w:val="Char Char Char1 Char"/>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12">
    <w:name w:val="_Style 3"/>
    <w:qFormat/>
    <w:uiPriority w:val="0"/>
    <w:rPr>
      <w:rFonts w:ascii="Calibri" w:hAnsi="Calibri" w:eastAsia="宋体" w:cs="Times New Roman"/>
      <w:kern w:val="0"/>
      <w:sz w:val="22"/>
      <w:szCs w:val="22"/>
      <w:lang w:val="en-US" w:eastAsia="zh-CN" w:bidi="ar-SA"/>
    </w:rPr>
  </w:style>
  <w:style w:type="paragraph" w:customStyle="1" w:styleId="113">
    <w:name w:val="正文 居中"/>
    <w:basedOn w:val="1"/>
    <w:qFormat/>
    <w:uiPriority w:val="0"/>
    <w:pPr>
      <w:spacing w:line="360" w:lineRule="auto"/>
      <w:jc w:val="center"/>
    </w:pPr>
    <w:rPr>
      <w:rFonts w:ascii="Times New Roman" w:hAnsi="Times New Roman" w:eastAsia="宋体" w:cs="宋体"/>
      <w:sz w:val="24"/>
      <w:szCs w:val="20"/>
    </w:rPr>
  </w:style>
  <w:style w:type="paragraph" w:customStyle="1" w:styleId="114">
    <w:name w:val="itemlistintab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
    <w:name w:val="xl25"/>
    <w:basedOn w:val="1"/>
    <w:qFormat/>
    <w:uiPriority w:val="0"/>
    <w:pPr>
      <w:widowControl/>
      <w:spacing w:before="100" w:beforeAutospacing="1" w:after="100" w:afterAutospacing="1"/>
      <w:jc w:val="center"/>
    </w:pPr>
    <w:rPr>
      <w:rFonts w:ascii="宋体" w:hAnsi="宋体" w:eastAsia="宋体" w:cs="Times New Roman"/>
      <w:kern w:val="0"/>
      <w:sz w:val="20"/>
      <w:szCs w:val="20"/>
    </w:rPr>
  </w:style>
  <w:style w:type="paragraph" w:customStyle="1" w:styleId="116">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117">
    <w:name w:val="List Paragraph1"/>
    <w:basedOn w:val="1"/>
    <w:qFormat/>
    <w:uiPriority w:val="0"/>
    <w:pPr>
      <w:ind w:firstLine="420" w:firstLineChars="200"/>
    </w:pPr>
    <w:rPr>
      <w:rFonts w:ascii="Calibri" w:hAnsi="Calibri" w:eastAsia="宋体" w:cs="Times New Roman"/>
      <w:kern w:val="0"/>
      <w:sz w:val="20"/>
      <w:szCs w:val="20"/>
    </w:rPr>
  </w:style>
  <w:style w:type="paragraph" w:customStyle="1" w:styleId="118">
    <w:name w:val="标题3"/>
    <w:basedOn w:val="5"/>
    <w:qFormat/>
    <w:uiPriority w:val="0"/>
    <w:pPr>
      <w:tabs>
        <w:tab w:val="left" w:pos="113"/>
        <w:tab w:val="left" w:pos="840"/>
        <w:tab w:val="left" w:pos="1260"/>
        <w:tab w:val="clear" w:pos="1620"/>
      </w:tabs>
      <w:spacing w:before="100" w:beforeLines="0" w:beforeAutospacing="1" w:after="120" w:afterLines="0" w:line="300" w:lineRule="auto"/>
      <w:ind w:left="1180" w:hanging="340"/>
    </w:pPr>
    <w:rPr>
      <w:rFonts w:ascii="Times New Roman" w:hAnsi="Times New Roman" w:cs="Times New Roman"/>
      <w:b w:val="0"/>
      <w:bCs w:val="0"/>
      <w:spacing w:val="6"/>
      <w:kern w:val="44"/>
      <w:sz w:val="28"/>
      <w:szCs w:val="20"/>
      <w:lang w:val="ru-RU"/>
    </w:rPr>
  </w:style>
  <w:style w:type="paragraph" w:customStyle="1" w:styleId="119">
    <w:name w:val="Char Char Char Char Char Char Char"/>
    <w:basedOn w:val="1"/>
    <w:qFormat/>
    <w:uiPriority w:val="0"/>
    <w:pPr>
      <w:tabs>
        <w:tab w:val="left" w:pos="432"/>
      </w:tabs>
      <w:ind w:left="432" w:hanging="432"/>
    </w:pPr>
    <w:rPr>
      <w:rFonts w:ascii="Tahoma" w:hAnsi="Tahoma" w:eastAsia="宋体" w:cs="Times New Roman"/>
      <w:sz w:val="24"/>
      <w:szCs w:val="20"/>
    </w:rPr>
  </w:style>
  <w:style w:type="paragraph" w:customStyle="1" w:styleId="120">
    <w:name w:val="Normal 2"/>
    <w:basedOn w:val="1"/>
    <w:qFormat/>
    <w:uiPriority w:val="0"/>
    <w:pPr>
      <w:keepLines/>
      <w:widowControl/>
      <w:autoSpaceDE w:val="0"/>
      <w:autoSpaceDN w:val="0"/>
      <w:adjustRightInd w:val="0"/>
      <w:spacing w:before="240"/>
      <w:ind w:left="360" w:right="900"/>
      <w:jc w:val="left"/>
    </w:pPr>
    <w:rPr>
      <w:rFonts w:ascii="Arial" w:hAnsi="Arial" w:eastAsia="宋体" w:cs="Times New Roman"/>
      <w:kern w:val="0"/>
      <w:sz w:val="22"/>
      <w:szCs w:val="20"/>
      <w:lang w:eastAsia="en-US"/>
    </w:rPr>
  </w:style>
  <w:style w:type="paragraph" w:customStyle="1" w:styleId="121">
    <w:name w:val="纯文本1"/>
    <w:basedOn w:val="1"/>
    <w:qFormat/>
    <w:uiPriority w:val="0"/>
    <w:rPr>
      <w:rFonts w:ascii="宋体" w:hAnsi="Courier New" w:eastAsia="宋体" w:cs="Times New Roman"/>
      <w:szCs w:val="20"/>
    </w:rPr>
  </w:style>
  <w:style w:type="paragraph" w:customStyle="1" w:styleId="122">
    <w:name w:val="符号 1"/>
    <w:basedOn w:val="20"/>
    <w:qFormat/>
    <w:uiPriority w:val="0"/>
    <w:pPr>
      <w:tabs>
        <w:tab w:val="left" w:pos="900"/>
        <w:tab w:val="left" w:pos="1200"/>
      </w:tabs>
      <w:spacing w:line="360" w:lineRule="auto"/>
      <w:ind w:left="1200" w:hanging="720"/>
    </w:pPr>
    <w:rPr>
      <w:rFonts w:eastAsia="宋体"/>
      <w:kern w:val="28"/>
      <w:szCs w:val="24"/>
    </w:rPr>
  </w:style>
  <w:style w:type="paragraph" w:customStyle="1" w:styleId="123">
    <w:name w:val="正文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4">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125">
    <w:name w:val="正文2"/>
    <w:basedOn w:val="1"/>
    <w:qFormat/>
    <w:uiPriority w:val="0"/>
    <w:pPr>
      <w:spacing w:beforeLines="50" w:afterLines="50" w:line="360" w:lineRule="auto"/>
      <w:ind w:firstLine="480" w:firstLineChars="200"/>
    </w:pPr>
    <w:rPr>
      <w:rFonts w:ascii="宋体" w:hAnsi="宋体" w:eastAsia="宋体" w:cs="Times New Roman"/>
      <w:sz w:val="24"/>
      <w:szCs w:val="24"/>
    </w:rPr>
  </w:style>
  <w:style w:type="paragraph" w:customStyle="1" w:styleId="126">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127">
    <w:name w:val="Char Char1 Char Char Char Char"/>
    <w:basedOn w:val="1"/>
    <w:qFormat/>
    <w:uiPriority w:val="0"/>
    <w:rPr>
      <w:rFonts w:ascii="Tahoma" w:hAnsi="Tahoma" w:eastAsia="宋体" w:cs="Times New Roman"/>
      <w:sz w:val="24"/>
      <w:szCs w:val="20"/>
    </w:rPr>
  </w:style>
  <w:style w:type="paragraph" w:customStyle="1" w:styleId="128">
    <w:name w:val="p0"/>
    <w:basedOn w:val="1"/>
    <w:qFormat/>
    <w:uiPriority w:val="0"/>
    <w:pPr>
      <w:widowControl/>
    </w:pPr>
    <w:rPr>
      <w:rFonts w:ascii="Times New Roman" w:hAnsi="Times New Roman" w:eastAsia="宋体" w:cs="Times New Roman"/>
      <w:kern w:val="0"/>
      <w:szCs w:val="21"/>
    </w:rPr>
  </w:style>
  <w:style w:type="paragraph" w:customStyle="1" w:styleId="129">
    <w:name w:val="标题1"/>
    <w:basedOn w:val="24"/>
    <w:qFormat/>
    <w:uiPriority w:val="0"/>
    <w:pPr>
      <w:keepLines/>
      <w:tabs>
        <w:tab w:val="left" w:pos="397"/>
        <w:tab w:val="left" w:pos="700"/>
      </w:tabs>
      <w:spacing w:line="300" w:lineRule="auto"/>
      <w:ind w:firstLine="340"/>
    </w:pPr>
    <w:rPr>
      <w:rFonts w:ascii="黑体" w:eastAsia="黑体"/>
      <w:b/>
      <w:bCs/>
      <w:spacing w:val="6"/>
      <w:kern w:val="44"/>
      <w:sz w:val="36"/>
    </w:rPr>
  </w:style>
  <w:style w:type="paragraph" w:customStyle="1" w:styleId="130">
    <w:name w:val="大标题"/>
    <w:basedOn w:val="1"/>
    <w:qFormat/>
    <w:uiPriority w:val="0"/>
    <w:pPr>
      <w:autoSpaceDE w:val="0"/>
      <w:autoSpaceDN w:val="0"/>
      <w:adjustRightInd w:val="0"/>
      <w:spacing w:after="560"/>
      <w:jc w:val="center"/>
    </w:pPr>
    <w:rPr>
      <w:rFonts w:ascii="Arial Black" w:hAnsi="Arial Black" w:eastAsia="宋体" w:cs="Times New Roman"/>
      <w:b/>
      <w:kern w:val="0"/>
      <w:sz w:val="56"/>
      <w:szCs w:val="20"/>
    </w:rPr>
  </w:style>
  <w:style w:type="paragraph" w:customStyle="1" w:styleId="131">
    <w:name w:val="正文无缩进"/>
    <w:basedOn w:val="1"/>
    <w:qFormat/>
    <w:uiPriority w:val="0"/>
    <w:pPr>
      <w:widowControl/>
      <w:autoSpaceDE w:val="0"/>
      <w:autoSpaceDN w:val="0"/>
      <w:spacing w:line="300" w:lineRule="auto"/>
    </w:pPr>
    <w:rPr>
      <w:rFonts w:ascii="Times New Roman" w:hAnsi="Times New Roman" w:eastAsia="楷体_GB2312" w:cs="Times New Roman"/>
      <w:szCs w:val="20"/>
    </w:rPr>
  </w:style>
  <w:style w:type="paragraph" w:customStyle="1" w:styleId="132">
    <w:name w:val="Char"/>
    <w:basedOn w:val="1"/>
    <w:qFormat/>
    <w:uiPriority w:val="0"/>
    <w:pPr>
      <w:widowControl/>
      <w:spacing w:after="160" w:line="240" w:lineRule="exact"/>
      <w:ind w:right="36" w:rightChars="15"/>
      <w:jc w:val="left"/>
    </w:pPr>
    <w:rPr>
      <w:rFonts w:ascii="Arial" w:hAnsi="Arial" w:eastAsia="Times New Roman" w:cs="Times New Roman"/>
      <w:kern w:val="0"/>
      <w:sz w:val="20"/>
      <w:szCs w:val="20"/>
      <w:lang w:eastAsia="en-US"/>
    </w:rPr>
  </w:style>
  <w:style w:type="paragraph" w:customStyle="1" w:styleId="133">
    <w:name w:val="xl28"/>
    <w:basedOn w:val="1"/>
    <w:qFormat/>
    <w:uiPriority w:val="0"/>
    <w:pPr>
      <w:widowControl/>
      <w:pBdr>
        <w:left w:val="single" w:color="auto" w:sz="8" w:space="0"/>
        <w:bottom w:val="single" w:color="auto" w:sz="4" w:space="0"/>
        <w:right w:val="single" w:color="auto" w:sz="4" w:space="0"/>
      </w:pBdr>
      <w:jc w:val="center"/>
    </w:pPr>
    <w:rPr>
      <w:rFonts w:ascii="Arial Unicode MS" w:hAnsi="Arial Unicode MS" w:eastAsia="Arial Unicode MS" w:cs="Times New Roman"/>
      <w:kern w:val="0"/>
      <w:sz w:val="24"/>
      <w:szCs w:val="20"/>
    </w:rPr>
  </w:style>
  <w:style w:type="paragraph" w:customStyle="1" w:styleId="134">
    <w:name w:val="xl33"/>
    <w:basedOn w:val="1"/>
    <w:qFormat/>
    <w:uiPriority w:val="0"/>
    <w:pPr>
      <w:widowControl/>
      <w:spacing w:before="100" w:beforeAutospacing="1" w:after="100" w:afterAutospacing="1"/>
      <w:jc w:val="center"/>
    </w:pPr>
    <w:rPr>
      <w:rFonts w:ascii="华文中宋" w:hAnsi="华文中宋" w:eastAsia="华文中宋" w:cs="Times New Roman"/>
      <w:b/>
      <w:bCs/>
      <w:kern w:val="0"/>
      <w:sz w:val="36"/>
      <w:szCs w:val="36"/>
    </w:rPr>
  </w:style>
  <w:style w:type="paragraph" w:customStyle="1" w:styleId="135">
    <w:name w:val="1 正文"/>
    <w:basedOn w:val="1"/>
    <w:qFormat/>
    <w:uiPriority w:val="0"/>
    <w:pPr>
      <w:adjustRightInd w:val="0"/>
      <w:snapToGrid w:val="0"/>
      <w:spacing w:line="360" w:lineRule="auto"/>
      <w:ind w:firstLine="200" w:firstLineChars="200"/>
      <w:jc w:val="left"/>
    </w:pPr>
    <w:rPr>
      <w:rFonts w:ascii="Times New Roman" w:hAnsi="Times New Roman" w:eastAsia="宋体" w:cs="Times New Roman"/>
      <w:sz w:val="24"/>
      <w:szCs w:val="20"/>
    </w:rPr>
  </w:style>
  <w:style w:type="paragraph" w:customStyle="1" w:styleId="136">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37">
    <w:name w:val="表内文字"/>
    <w:basedOn w:val="1"/>
    <w:qFormat/>
    <w:uiPriority w:val="0"/>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138">
    <w:name w:val="Char Char Char Char1"/>
    <w:basedOn w:val="1"/>
    <w:qFormat/>
    <w:uiPriority w:val="0"/>
    <w:rPr>
      <w:rFonts w:ascii="Tahoma" w:hAnsi="Tahoma" w:eastAsia="宋体" w:cs="Times New Roman"/>
      <w:sz w:val="24"/>
      <w:szCs w:val="20"/>
    </w:rPr>
  </w:style>
  <w:style w:type="paragraph" w:customStyle="1" w:styleId="139">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40">
    <w:name w:val="table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1">
    <w:name w:val="正文文本缩进1"/>
    <w:qFormat/>
    <w:uiPriority w:val="0"/>
    <w:pPr>
      <w:widowControl w:val="0"/>
      <w:spacing w:line="480" w:lineRule="auto"/>
      <w:ind w:firstLine="600"/>
      <w:jc w:val="both"/>
    </w:pPr>
    <w:rPr>
      <w:rFonts w:ascii="Times New Roman" w:hAnsi="Times New Roman" w:eastAsia="Times New Roman" w:cs="Times New Roman"/>
      <w:color w:val="000000"/>
      <w:kern w:val="2"/>
      <w:sz w:val="28"/>
      <w:szCs w:val="28"/>
      <w:u w:color="000000"/>
      <w:lang w:val="en-US" w:eastAsia="zh-CN" w:bidi="ar-SA"/>
    </w:rPr>
  </w:style>
  <w:style w:type="paragraph" w:customStyle="1" w:styleId="142">
    <w:name w:val="默认段落字体 Para Char Char Char Char Char Char Char Char Char Char"/>
    <w:basedOn w:val="1"/>
    <w:qFormat/>
    <w:uiPriority w:val="0"/>
    <w:rPr>
      <w:rFonts w:ascii="Tahoma" w:hAnsi="Tahoma" w:eastAsia="宋体" w:cs="Times New Roman"/>
      <w:sz w:val="24"/>
      <w:szCs w:val="20"/>
    </w:rPr>
  </w:style>
  <w:style w:type="paragraph" w:customStyle="1" w:styleId="143">
    <w:name w:val="tabletextcharcha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4">
    <w:name w:val="xl24"/>
    <w:basedOn w:val="1"/>
    <w:qFormat/>
    <w:uiPriority w:val="0"/>
    <w:pPr>
      <w:widowControl/>
      <w:spacing w:before="100" w:beforeAutospacing="1" w:after="100" w:afterAutospacing="1"/>
      <w:jc w:val="center"/>
    </w:pPr>
    <w:rPr>
      <w:rFonts w:ascii="仿宋_GB2312" w:hAnsi="宋体" w:eastAsia="仿宋_GB2312" w:cs="Times New Roman"/>
      <w:kern w:val="0"/>
      <w:sz w:val="24"/>
      <w:szCs w:val="24"/>
    </w:rPr>
  </w:style>
  <w:style w:type="paragraph" w:customStyle="1" w:styleId="145">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46">
    <w:name w:val="Char1"/>
    <w:basedOn w:val="1"/>
    <w:qFormat/>
    <w:uiPriority w:val="0"/>
    <w:rPr>
      <w:rFonts w:ascii="仿宋_GB2312" w:hAnsi="Times New Roman" w:eastAsia="仿宋_GB2312" w:cs="Times New Roman"/>
      <w:b/>
      <w:sz w:val="32"/>
      <w:szCs w:val="32"/>
    </w:rPr>
  </w:style>
  <w:style w:type="paragraph" w:customStyle="1" w:styleId="147">
    <w:name w:val="标准正文"/>
    <w:basedOn w:val="1"/>
    <w:qFormat/>
    <w:uiPriority w:val="0"/>
    <w:pPr>
      <w:adjustRightInd w:val="0"/>
      <w:spacing w:line="360" w:lineRule="auto"/>
      <w:ind w:firstLine="480" w:firstLineChars="200"/>
    </w:pPr>
    <w:rPr>
      <w:rFonts w:ascii="Times New Roman" w:hAnsi="Times New Roman" w:eastAsia="宋体" w:cs="Times New Roman"/>
      <w:kern w:val="0"/>
      <w:sz w:val="24"/>
      <w:szCs w:val="20"/>
    </w:rPr>
  </w:style>
  <w:style w:type="paragraph" w:customStyle="1" w:styleId="148">
    <w:name w:val="正文文本缩进 + 四号"/>
    <w:basedOn w:val="20"/>
    <w:qFormat/>
    <w:uiPriority w:val="0"/>
    <w:pPr>
      <w:spacing w:line="360" w:lineRule="auto"/>
      <w:ind w:firstLine="560" w:firstLineChars="200"/>
    </w:pPr>
    <w:rPr>
      <w:rFonts w:ascii="仿宋_GB2312" w:eastAsia="仿宋_GB2312"/>
      <w:color w:val="000000"/>
      <w:sz w:val="28"/>
      <w:szCs w:val="28"/>
    </w:rPr>
  </w:style>
  <w:style w:type="paragraph" w:customStyle="1" w:styleId="149">
    <w:name w:val="tabletextcha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
    <w:name w:val="1"/>
    <w:basedOn w:val="1"/>
    <w:next w:val="88"/>
    <w:qFormat/>
    <w:uiPriority w:val="0"/>
    <w:pPr>
      <w:ind w:firstLine="420" w:firstLineChars="200"/>
    </w:pPr>
    <w:rPr>
      <w:rFonts w:ascii="Times New Roman" w:hAnsi="Times New Roman" w:eastAsia="宋体" w:cs="Times New Roman"/>
      <w:szCs w:val="24"/>
    </w:rPr>
  </w:style>
  <w:style w:type="paragraph" w:customStyle="1" w:styleId="151">
    <w:name w:val="普通正文"/>
    <w:basedOn w:val="1"/>
    <w:qFormat/>
    <w:uiPriority w:val="0"/>
    <w:pPr>
      <w:adjustRightInd w:val="0"/>
      <w:spacing w:before="120" w:after="120" w:line="360" w:lineRule="auto"/>
      <w:ind w:firstLine="480"/>
      <w:jc w:val="left"/>
    </w:pPr>
    <w:rPr>
      <w:rFonts w:ascii="Arial" w:hAnsi="Arial" w:eastAsia="宋体" w:cs="Times New Roman"/>
      <w:kern w:val="0"/>
      <w:sz w:val="24"/>
      <w:szCs w:val="24"/>
    </w:rPr>
  </w:style>
  <w:style w:type="paragraph" w:customStyle="1" w:styleId="152">
    <w:name w:val="正文11"/>
    <w:qFormat/>
    <w:uiPriority w:val="0"/>
    <w:pPr>
      <w:widowControl w:val="0"/>
      <w:jc w:val="both"/>
    </w:pPr>
    <w:rPr>
      <w:rFonts w:ascii="Times New Roman" w:hAnsi="Times New Roman" w:eastAsia="宋体" w:cs="Times New Roman"/>
      <w:color w:val="000000"/>
      <w:kern w:val="2"/>
      <w:sz w:val="21"/>
      <w:szCs w:val="21"/>
      <w:u w:color="000000"/>
      <w:lang w:val="en-US" w:eastAsia="zh-CN" w:bidi="ar-SA"/>
    </w:rPr>
  </w:style>
  <w:style w:type="paragraph" w:customStyle="1" w:styleId="153">
    <w:name w:val="Char1 Char Char Char Char Char Char Char Char Char Char Char Char Char Char Char"/>
    <w:basedOn w:val="1"/>
    <w:qFormat/>
    <w:uiPriority w:val="0"/>
    <w:rPr>
      <w:rFonts w:ascii="Verdana" w:hAnsi="Verdana" w:eastAsia="Times New Roman" w:cs="Times New Roman"/>
      <w:kern w:val="0"/>
      <w:sz w:val="20"/>
      <w:szCs w:val="20"/>
      <w:lang w:eastAsia="en-US"/>
    </w:rPr>
  </w:style>
  <w:style w:type="paragraph" w:customStyle="1" w:styleId="154">
    <w:name w:val="A正文小四"/>
    <w:basedOn w:val="1"/>
    <w:qFormat/>
    <w:uiPriority w:val="0"/>
    <w:pPr>
      <w:spacing w:line="360" w:lineRule="auto"/>
      <w:ind w:firstLine="600" w:firstLineChars="200"/>
      <w:jc w:val="left"/>
    </w:pPr>
    <w:rPr>
      <w:rFonts w:ascii="Times New Roman" w:hAnsi="Times New Roman" w:eastAsia="宋体" w:cs="Times New Roman"/>
      <w:color w:val="000000"/>
      <w:szCs w:val="24"/>
    </w:rPr>
  </w:style>
  <w:style w:type="paragraph" w:customStyle="1" w:styleId="155">
    <w:name w:val="xl26"/>
    <w:basedOn w:val="1"/>
    <w:qFormat/>
    <w:uiPriority w:val="0"/>
    <w:pPr>
      <w:widowControl/>
      <w:spacing w:before="100" w:after="100"/>
      <w:ind w:left="200" w:leftChars="200"/>
      <w:jc w:val="center"/>
    </w:pPr>
    <w:rPr>
      <w:rFonts w:ascii="Times New Roman" w:hAnsi="Times New Roman" w:eastAsia="宋体" w:cs="Times New Roman"/>
      <w:kern w:val="0"/>
      <w:szCs w:val="20"/>
    </w:rPr>
  </w:style>
  <w:style w:type="paragraph" w:customStyle="1" w:styleId="156">
    <w:name w:val="正文空2格  1."/>
    <w:qFormat/>
    <w:uiPriority w:val="0"/>
    <w:pPr>
      <w:widowControl w:val="0"/>
      <w:adjustRightInd w:val="0"/>
      <w:spacing w:line="360" w:lineRule="auto"/>
      <w:ind w:firstLine="480" w:firstLineChars="200"/>
      <w:jc w:val="both"/>
    </w:pPr>
    <w:rPr>
      <w:rFonts w:ascii="宋体" w:hAnsi="Times New Roman" w:eastAsia="仿宋" w:cs="宋体"/>
      <w:kern w:val="0"/>
      <w:sz w:val="28"/>
      <w:szCs w:val="20"/>
      <w:lang w:val="en-US" w:eastAsia="zh-CN" w:bidi="ar-SA"/>
    </w:rPr>
  </w:style>
  <w:style w:type="paragraph" w:customStyle="1" w:styleId="157">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character" w:customStyle="1" w:styleId="158">
    <w:name w:val="页脚 Char2"/>
    <w:qFormat/>
    <w:uiPriority w:val="0"/>
    <w:rPr>
      <w:rFonts w:hint="eastAsia" w:ascii="宋体" w:hAnsi="宋体" w:eastAsia="宋体" w:cs="宋体"/>
      <w:kern w:val="2"/>
      <w:sz w:val="18"/>
      <w:lang w:val="en-US" w:eastAsia="zh-CN" w:bidi="ar"/>
    </w:rPr>
  </w:style>
  <w:style w:type="character" w:customStyle="1" w:styleId="159">
    <w:name w:val="正文文本缩进 Char1"/>
    <w:link w:val="20"/>
    <w:semiHidden/>
    <w:qFormat/>
    <w:locked/>
    <w:uiPriority w:val="0"/>
    <w:rPr>
      <w:rFonts w:ascii="Times New Roman" w:hAnsi="Times New Roman" w:eastAsia="方正书宋简体" w:cs="Times New Roman"/>
      <w:sz w:val="24"/>
      <w:szCs w:val="20"/>
    </w:rPr>
  </w:style>
  <w:style w:type="character" w:customStyle="1" w:styleId="160">
    <w:name w:val="页眉 Char1"/>
    <w:semiHidden/>
    <w:qFormat/>
    <w:locked/>
    <w:uiPriority w:val="0"/>
    <w:rPr>
      <w:rFonts w:ascii="Times New Roman" w:hAnsi="Times New Roman" w:eastAsia="宋体" w:cs="Times New Roman"/>
      <w:sz w:val="18"/>
      <w:szCs w:val="20"/>
    </w:rPr>
  </w:style>
  <w:style w:type="character" w:customStyle="1" w:styleId="161">
    <w:name w:val="apple-style-span"/>
    <w:qFormat/>
    <w:uiPriority w:val="0"/>
    <w:rPr>
      <w:lang w:eastAsia="en-US"/>
    </w:rPr>
  </w:style>
  <w:style w:type="character" w:customStyle="1" w:styleId="162">
    <w:name w:val="Char Char8"/>
    <w:qFormat/>
    <w:uiPriority w:val="0"/>
    <w:rPr>
      <w:b/>
      <w:bCs/>
      <w:kern w:val="2"/>
      <w:sz w:val="24"/>
      <w:szCs w:val="24"/>
      <w:lang w:eastAsia="en-US"/>
    </w:rPr>
  </w:style>
  <w:style w:type="character" w:customStyle="1" w:styleId="163">
    <w:name w:val="Char Char6"/>
    <w:qFormat/>
    <w:uiPriority w:val="0"/>
    <w:rPr>
      <w:rFonts w:hint="eastAsia" w:ascii="方正书宋简体" w:eastAsia="方正书宋简体"/>
      <w:kern w:val="2"/>
      <w:sz w:val="24"/>
      <w:lang w:val="en-US" w:eastAsia="zh-CN" w:bidi="ar-SA"/>
    </w:rPr>
  </w:style>
  <w:style w:type="character" w:customStyle="1" w:styleId="164">
    <w:name w:val="标题 2 Char1"/>
    <w:qFormat/>
    <w:uiPriority w:val="0"/>
    <w:rPr>
      <w:rFonts w:hint="default" w:ascii="Arial" w:hAnsi="Arial" w:eastAsia="黑体" w:cs="Arial"/>
      <w:b/>
      <w:bCs/>
      <w:kern w:val="2"/>
      <w:sz w:val="32"/>
      <w:szCs w:val="32"/>
      <w:lang w:val="en-US" w:eastAsia="zh-CN" w:bidi="ar-SA"/>
    </w:rPr>
  </w:style>
  <w:style w:type="character" w:customStyle="1" w:styleId="165">
    <w:name w:val="ca-8"/>
    <w:qFormat/>
    <w:uiPriority w:val="0"/>
    <w:rPr>
      <w:lang w:eastAsia="en-US"/>
    </w:rPr>
  </w:style>
  <w:style w:type="character" w:customStyle="1" w:styleId="166">
    <w:name w:val="Char Char14"/>
    <w:qFormat/>
    <w:uiPriority w:val="0"/>
    <w:rPr>
      <w:b/>
      <w:bCs/>
      <w:kern w:val="44"/>
      <w:sz w:val="44"/>
      <w:szCs w:val="44"/>
      <w:lang w:eastAsia="en-US"/>
    </w:rPr>
  </w:style>
  <w:style w:type="character" w:customStyle="1" w:styleId="167">
    <w:name w:val="Char Char4"/>
    <w:qFormat/>
    <w:uiPriority w:val="0"/>
    <w:rPr>
      <w:kern w:val="2"/>
      <w:sz w:val="18"/>
      <w:szCs w:val="18"/>
      <w:lang w:eastAsia="en-US"/>
    </w:rPr>
  </w:style>
  <w:style w:type="character" w:customStyle="1" w:styleId="168">
    <w:name w:val="Char Char1"/>
    <w:qFormat/>
    <w:uiPriority w:val="0"/>
    <w:rPr>
      <w:rFonts w:hint="default" w:ascii="Arial" w:hAnsi="Arial" w:cs="Arial"/>
      <w:b/>
      <w:bCs/>
      <w:kern w:val="2"/>
      <w:sz w:val="32"/>
      <w:szCs w:val="32"/>
    </w:rPr>
  </w:style>
  <w:style w:type="character" w:customStyle="1" w:styleId="169">
    <w:name w:val="纯文本 Char2"/>
    <w:qFormat/>
    <w:uiPriority w:val="0"/>
    <w:rPr>
      <w:rFonts w:hint="eastAsia" w:ascii="宋体" w:hAnsi="Courier New" w:eastAsia="宋体" w:cs="Courier New"/>
      <w:kern w:val="2"/>
      <w:sz w:val="21"/>
      <w:szCs w:val="21"/>
      <w:lang w:eastAsia="en-US"/>
    </w:rPr>
  </w:style>
  <w:style w:type="character" w:customStyle="1" w:styleId="170">
    <w:name w:val="Char Char7"/>
    <w:qFormat/>
    <w:uiPriority w:val="0"/>
    <w:rPr>
      <w:rFonts w:hint="default" w:ascii="Cambria" w:hAnsi="Cambria"/>
      <w:kern w:val="2"/>
      <w:sz w:val="24"/>
      <w:szCs w:val="24"/>
      <w:lang w:eastAsia="en-US"/>
    </w:rPr>
  </w:style>
  <w:style w:type="character" w:customStyle="1" w:styleId="171">
    <w:name w:val="hui3"/>
    <w:qFormat/>
    <w:uiPriority w:val="0"/>
    <w:rPr>
      <w:color w:val="333333"/>
    </w:rPr>
  </w:style>
  <w:style w:type="character" w:customStyle="1" w:styleId="172">
    <w:name w:val="Char Char3"/>
    <w:qFormat/>
    <w:uiPriority w:val="0"/>
    <w:rPr>
      <w:kern w:val="2"/>
      <w:sz w:val="21"/>
      <w:szCs w:val="22"/>
      <w:lang w:eastAsia="en-US"/>
    </w:rPr>
  </w:style>
  <w:style w:type="character" w:customStyle="1" w:styleId="173">
    <w:name w:val="Char Char12"/>
    <w:qFormat/>
    <w:uiPriority w:val="0"/>
    <w:rPr>
      <w:b/>
      <w:bCs/>
      <w:kern w:val="2"/>
      <w:sz w:val="32"/>
      <w:szCs w:val="32"/>
      <w:lang w:eastAsia="en-US"/>
    </w:rPr>
  </w:style>
  <w:style w:type="character" w:customStyle="1" w:styleId="174">
    <w:name w:val="h6 Char"/>
    <w:qFormat/>
    <w:uiPriority w:val="0"/>
    <w:rPr>
      <w:rFonts w:hint="default" w:ascii="Arial" w:hAnsi="Arial" w:eastAsia="宋体" w:cs="Arial"/>
      <w:b/>
      <w:bCs/>
      <w:kern w:val="2"/>
      <w:sz w:val="24"/>
      <w:szCs w:val="24"/>
      <w:lang w:val="en-US" w:eastAsia="zh-CN" w:bidi="ar-SA"/>
    </w:rPr>
  </w:style>
  <w:style w:type="character" w:customStyle="1" w:styleId="175">
    <w:name w:val="标题 Char1"/>
    <w:qFormat/>
    <w:uiPriority w:val="0"/>
    <w:rPr>
      <w:rFonts w:hint="default" w:ascii="Cambria" w:hAnsi="Cambria" w:cs="Times New Roman"/>
      <w:b/>
      <w:bCs/>
      <w:kern w:val="2"/>
      <w:sz w:val="32"/>
      <w:szCs w:val="32"/>
      <w:lang w:eastAsia="en-US"/>
    </w:rPr>
  </w:style>
  <w:style w:type="character" w:customStyle="1" w:styleId="176">
    <w:name w:val="Char Char9"/>
    <w:qFormat/>
    <w:uiPriority w:val="0"/>
    <w:rPr>
      <w:rFonts w:hint="default" w:ascii="Arial" w:hAnsi="Arial" w:eastAsia="黑体" w:cs="Arial"/>
      <w:b/>
      <w:bCs/>
      <w:kern w:val="2"/>
      <w:sz w:val="24"/>
      <w:szCs w:val="24"/>
      <w:lang w:eastAsia="en-US"/>
    </w:rPr>
  </w:style>
  <w:style w:type="character" w:customStyle="1" w:styleId="177">
    <w:name w:val="NormalCharacter"/>
    <w:semiHidden/>
    <w:qFormat/>
    <w:uiPriority w:val="0"/>
  </w:style>
  <w:style w:type="character" w:customStyle="1" w:styleId="178">
    <w:name w:val="页脚 Char1"/>
    <w:qFormat/>
    <w:uiPriority w:val="0"/>
    <w:rPr>
      <w:rFonts w:hint="eastAsia" w:ascii="宋体" w:hAnsi="宋体" w:eastAsia="宋体"/>
      <w:kern w:val="2"/>
      <w:sz w:val="18"/>
      <w:lang w:val="en-US" w:eastAsia="zh-CN" w:bidi="ar-SA"/>
    </w:rPr>
  </w:style>
  <w:style w:type="character" w:customStyle="1" w:styleId="179">
    <w:name w:val="Char Char5"/>
    <w:qFormat/>
    <w:uiPriority w:val="0"/>
    <w:rPr>
      <w:kern w:val="2"/>
      <w:sz w:val="18"/>
      <w:szCs w:val="18"/>
      <w:lang w:eastAsia="en-US"/>
    </w:rPr>
  </w:style>
  <w:style w:type="character" w:customStyle="1" w:styleId="180">
    <w:name w:val="Char Char24"/>
    <w:qFormat/>
    <w:uiPriority w:val="0"/>
    <w:rPr>
      <w:rFonts w:hint="eastAsia" w:ascii="宋体" w:hAnsi="宋体" w:eastAsia="宋体"/>
      <w:b/>
      <w:bCs/>
      <w:kern w:val="44"/>
      <w:sz w:val="44"/>
      <w:szCs w:val="44"/>
      <w:lang w:val="en-US" w:eastAsia="zh-CN" w:bidi="ar-SA"/>
    </w:rPr>
  </w:style>
  <w:style w:type="character" w:customStyle="1" w:styleId="181">
    <w:name w:val="Char Char21"/>
    <w:qFormat/>
    <w:uiPriority w:val="0"/>
    <w:rPr>
      <w:rFonts w:hint="eastAsia" w:ascii="宋体" w:hAnsi="宋体" w:eastAsia="宋体"/>
      <w:b/>
      <w:bCs/>
      <w:kern w:val="2"/>
      <w:sz w:val="28"/>
      <w:lang w:val="en-US" w:eastAsia="zh-CN" w:bidi="ar-SA"/>
    </w:rPr>
  </w:style>
  <w:style w:type="character" w:customStyle="1" w:styleId="182">
    <w:name w:val="Char Char11"/>
    <w:qFormat/>
    <w:uiPriority w:val="0"/>
    <w:rPr>
      <w:rFonts w:hint="default" w:ascii="Arial" w:hAnsi="Arial" w:eastAsia="黑体" w:cs="Arial"/>
      <w:b/>
      <w:bCs/>
      <w:kern w:val="2"/>
      <w:sz w:val="28"/>
      <w:szCs w:val="28"/>
      <w:lang w:eastAsia="en-US"/>
    </w:rPr>
  </w:style>
  <w:style w:type="character" w:customStyle="1" w:styleId="183">
    <w:name w:val="Char Char10"/>
    <w:qFormat/>
    <w:uiPriority w:val="0"/>
    <w:rPr>
      <w:b/>
      <w:bCs/>
      <w:kern w:val="2"/>
      <w:sz w:val="28"/>
      <w:szCs w:val="28"/>
      <w:lang w:val="zh-CN" w:eastAsia="en-US"/>
    </w:rPr>
  </w:style>
  <w:style w:type="character" w:customStyle="1" w:styleId="184">
    <w:name w:val="Char Char13"/>
    <w:qFormat/>
    <w:uiPriority w:val="0"/>
    <w:rPr>
      <w:rFonts w:hint="default" w:ascii="Arial" w:hAnsi="Arial" w:eastAsia="黑体" w:cs="Arial"/>
      <w:b/>
      <w:bCs/>
      <w:kern w:val="2"/>
      <w:sz w:val="32"/>
      <w:szCs w:val="32"/>
      <w:lang w:eastAsia="en-US"/>
    </w:rPr>
  </w:style>
  <w:style w:type="character" w:customStyle="1" w:styleId="185">
    <w:name w:val="标题 1 Char Char"/>
    <w:qFormat/>
    <w:uiPriority w:val="0"/>
    <w:rPr>
      <w:rFonts w:hint="eastAsia" w:ascii="宋体" w:hAnsi="宋体" w:eastAsia="宋体"/>
      <w:b/>
      <w:spacing w:val="-2"/>
      <w:sz w:val="24"/>
      <w:lang w:val="en-US" w:eastAsia="zh-CN" w:bidi="ar-SA"/>
    </w:rPr>
  </w:style>
  <w:style w:type="paragraph" w:customStyle="1" w:styleId="186">
    <w:name w:val="2 标题2"/>
    <w:basedOn w:val="135"/>
    <w:next w:val="135"/>
    <w:qFormat/>
    <w:uiPriority w:val="0"/>
    <w:pPr>
      <w:ind w:firstLine="0" w:firstLineChars="0"/>
      <w:outlineLvl w:val="1"/>
    </w:pPr>
    <w:rPr>
      <w:b/>
      <w:sz w:val="30"/>
    </w:rPr>
  </w:style>
  <w:style w:type="paragraph" w:customStyle="1" w:styleId="187">
    <w:name w:val="符号 2"/>
    <w:basedOn w:val="122"/>
    <w:qFormat/>
    <w:uiPriority w:val="0"/>
    <w:pPr>
      <w:tabs>
        <w:tab w:val="left" w:pos="1320"/>
        <w:tab w:val="clear" w:pos="900"/>
      </w:tabs>
      <w:ind w:left="1200" w:hanging="720"/>
    </w:pPr>
  </w:style>
  <w:style w:type="paragraph" w:customStyle="1" w:styleId="188">
    <w:name w:val="Fließtext"/>
    <w:basedOn w:val="1"/>
    <w:qFormat/>
    <w:uiPriority w:val="0"/>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41</Pages>
  <Words>23215</Words>
  <Characters>25461</Characters>
  <Lines>208</Lines>
  <Paragraphs>58</Paragraphs>
  <TotalTime>19</TotalTime>
  <ScaleCrop>false</ScaleCrop>
  <LinksUpToDate>false</LinksUpToDate>
  <CharactersWithSpaces>26997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2022-09-19T08:21:00Z</dcterms:created>
  <dc:creator>11</dc:creator>
  <cp:lastModifiedBy>猴爸</cp:lastModifiedBy>
  <cp:lastPrinted>2023-03-02T07:15:00Z</cp:lastPrinted>
  <dcterms:modified xsi:type="dcterms:W3CDTF">2023-03-02T07:37:14Z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A68C2727478C4FA18CC27EE4740FBC2D</vt:lpwstr>
  </property>
</Properties>
</file>