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pPr>
    </w:p>
    <w:p>
      <w:pPr>
        <w:spacing w:line="360" w:lineRule="auto"/>
        <w:ind w:firstLine="0" w:firstLineChars="0"/>
        <w:jc w:val="center"/>
        <w:rPr>
          <w:rFonts w:hint="eastAsia" w:eastAsia="黑体"/>
          <w:sz w:val="36"/>
          <w:szCs w:val="22"/>
          <w:lang w:eastAsia="zh-CN"/>
        </w:rPr>
      </w:pPr>
      <w:r>
        <w:rPr>
          <w:rFonts w:hint="eastAsia" w:eastAsia="黑体"/>
          <w:sz w:val="36"/>
          <w:szCs w:val="22"/>
        </w:rPr>
        <w:t>华能（大连）热电有限责任公司</w:t>
      </w:r>
      <w:r>
        <w:rPr>
          <w:rFonts w:hint="eastAsia" w:eastAsia="黑体"/>
          <w:sz w:val="36"/>
          <w:szCs w:val="22"/>
          <w:lang w:eastAsia="zh-CN"/>
        </w:rPr>
        <w:t>总线电缆</w:t>
      </w:r>
    </w:p>
    <w:p>
      <w:pPr>
        <w:spacing w:line="360" w:lineRule="auto"/>
        <w:ind w:firstLine="0" w:firstLineChars="0"/>
        <w:jc w:val="center"/>
        <w:rPr>
          <w:rFonts w:eastAsia="黑体"/>
          <w:sz w:val="36"/>
          <w:szCs w:val="22"/>
        </w:rPr>
      </w:pPr>
      <w:r>
        <w:rPr>
          <w:rFonts w:hint="eastAsia" w:eastAsia="黑体"/>
          <w:sz w:val="36"/>
          <w:szCs w:val="22"/>
        </w:rPr>
        <w:t>询价</w:t>
      </w:r>
      <w:r>
        <w:rPr>
          <w:rFonts w:eastAsia="黑体"/>
          <w:sz w:val="36"/>
          <w:szCs w:val="22"/>
        </w:rPr>
        <w:t>公告</w:t>
      </w:r>
    </w:p>
    <w:p>
      <w:pPr>
        <w:pStyle w:val="3"/>
        <w:spacing w:before="156"/>
      </w:pPr>
      <w:bookmarkStart w:id="0" w:name="_Toc352691465"/>
      <w:bookmarkEnd w:id="0"/>
      <w:bookmarkStart w:id="1" w:name="_Toc18885"/>
      <w:bookmarkEnd w:id="1"/>
      <w:bookmarkStart w:id="2" w:name="_Toc369531507"/>
      <w:bookmarkEnd w:id="2"/>
      <w:bookmarkStart w:id="3" w:name="_Toc384308199"/>
      <w:bookmarkEnd w:id="3"/>
      <w:bookmarkStart w:id="4" w:name="_Toc361508574"/>
      <w:bookmarkEnd w:id="4"/>
      <w:bookmarkStart w:id="5" w:name="_Toc361508575"/>
      <w:bookmarkStart w:id="6" w:name="_Toc384308200"/>
      <w:r>
        <w:rPr>
          <w:rFonts w:hint="eastAsia"/>
        </w:rPr>
        <w:t>一、</w:t>
      </w:r>
      <w:r>
        <w:t>项目介绍</w:t>
      </w:r>
    </w:p>
    <w:p>
      <w:pPr>
        <w:ind w:firstLine="480"/>
        <w:rPr>
          <w:rFonts w:ascii="宋体" w:hAnsi="宋体" w:cs="宋体"/>
          <w:szCs w:val="24"/>
        </w:rPr>
      </w:pPr>
      <w:r>
        <w:rPr>
          <w:rFonts w:hint="eastAsia" w:ascii="宋体" w:hAnsi="宋体" w:cs="宋体"/>
          <w:szCs w:val="24"/>
        </w:rPr>
        <w:t>1.项目概况：按照</w:t>
      </w:r>
      <w:r>
        <w:rPr>
          <w:rFonts w:hint="eastAsia" w:ascii="宋体" w:hAnsi="宋体" w:cs="宋体"/>
          <w:szCs w:val="24"/>
          <w:u w:val="single"/>
        </w:rPr>
        <w:t>2023年</w:t>
      </w:r>
      <w:r>
        <w:rPr>
          <w:rFonts w:hint="eastAsia" w:ascii="宋体" w:hAnsi="宋体" w:cs="宋体"/>
          <w:szCs w:val="24"/>
          <w:u w:val="single"/>
          <w:lang w:val="en-US" w:eastAsia="zh-CN"/>
        </w:rPr>
        <w:t>3</w:t>
      </w:r>
      <w:r>
        <w:rPr>
          <w:rFonts w:hint="eastAsia" w:ascii="宋体" w:hAnsi="宋体" w:cs="宋体"/>
          <w:szCs w:val="24"/>
          <w:u w:val="single"/>
        </w:rPr>
        <w:t>月份生产维护费物资审批</w:t>
      </w:r>
      <w:r>
        <w:rPr>
          <w:rFonts w:hint="eastAsia" w:ascii="宋体" w:hAnsi="宋体" w:cs="宋体"/>
          <w:szCs w:val="24"/>
        </w:rPr>
        <w:t>要求，采购</w:t>
      </w:r>
      <w:r>
        <w:rPr>
          <w:rFonts w:hint="eastAsia" w:ascii="宋体" w:hAnsi="宋体" w:cs="宋体"/>
          <w:szCs w:val="24"/>
          <w:u w:val="single"/>
          <w:lang w:eastAsia="zh-CN"/>
        </w:rPr>
        <w:t>总线电缆</w:t>
      </w:r>
      <w:r>
        <w:rPr>
          <w:rFonts w:hint="eastAsia" w:ascii="宋体" w:hAnsi="宋体" w:cs="宋体"/>
          <w:szCs w:val="24"/>
          <w:u w:val="single"/>
        </w:rPr>
        <w:t>物资</w:t>
      </w:r>
      <w:r>
        <w:rPr>
          <w:rFonts w:hint="eastAsia" w:ascii="宋体" w:hAnsi="宋体" w:cs="宋体"/>
          <w:szCs w:val="24"/>
        </w:rPr>
        <w:t>。</w:t>
      </w:r>
    </w:p>
    <w:p>
      <w:pPr>
        <w:ind w:firstLine="480"/>
        <w:rPr>
          <w:rFonts w:ascii="宋体" w:hAnsi="宋体" w:cs="宋体"/>
          <w:szCs w:val="24"/>
        </w:rPr>
      </w:pPr>
      <w:r>
        <w:rPr>
          <w:rFonts w:hint="eastAsia" w:ascii="宋体" w:hAnsi="宋体" w:cs="宋体"/>
          <w:szCs w:val="24"/>
        </w:rPr>
        <w:t>2.交货/施工/服务地点：华能营口热电有限责任公司施工现场指定地点。</w:t>
      </w:r>
    </w:p>
    <w:p>
      <w:pPr>
        <w:ind w:firstLine="480"/>
        <w:rPr>
          <w:rFonts w:ascii="宋体" w:hAnsi="宋体" w:cs="宋体"/>
          <w:szCs w:val="24"/>
        </w:rPr>
      </w:pPr>
      <w:r>
        <w:rPr>
          <w:rFonts w:hint="eastAsia" w:ascii="宋体" w:hAnsi="宋体" w:cs="宋体"/>
          <w:szCs w:val="24"/>
        </w:rPr>
        <w:t>3.采购内容：详见“一、项目介绍”第5项（其他需要说明内容）。</w:t>
      </w:r>
    </w:p>
    <w:p>
      <w:pPr>
        <w:ind w:firstLine="480"/>
        <w:rPr>
          <w:rFonts w:hint="default" w:ascii="宋体" w:hAnsi="宋体" w:eastAsia="宋体" w:cs="宋体"/>
          <w:szCs w:val="24"/>
          <w:lang w:val="en-US" w:eastAsia="zh-CN"/>
        </w:rPr>
      </w:pPr>
      <w:r>
        <w:rPr>
          <w:rFonts w:hint="eastAsia" w:ascii="宋体" w:hAnsi="宋体" w:cs="宋体"/>
          <w:szCs w:val="24"/>
        </w:rPr>
        <w:t>4.交货期/施工期/服务期：</w:t>
      </w:r>
      <w:r>
        <w:rPr>
          <w:rFonts w:hint="eastAsia" w:ascii="宋体" w:hAnsi="宋体" w:cs="宋体"/>
          <w:szCs w:val="24"/>
          <w:lang w:eastAsia="zh-CN"/>
        </w:rPr>
        <w:t>订单签订后</w:t>
      </w:r>
      <w:r>
        <w:rPr>
          <w:rFonts w:hint="eastAsia" w:ascii="宋体" w:hAnsi="宋体" w:cs="宋体"/>
          <w:szCs w:val="24"/>
          <w:lang w:val="en-US" w:eastAsia="zh-CN"/>
        </w:rPr>
        <w:t>15天完成全部供货。</w:t>
      </w:r>
    </w:p>
    <w:p>
      <w:pPr>
        <w:ind w:firstLine="480"/>
        <w:rPr>
          <w:rFonts w:ascii="宋体" w:hAnsi="宋体" w:cs="宋体"/>
          <w:szCs w:val="24"/>
        </w:rPr>
      </w:pPr>
      <w:r>
        <w:rPr>
          <w:rFonts w:hint="eastAsia" w:ascii="宋体" w:hAnsi="宋体" w:cs="宋体"/>
          <w:szCs w:val="24"/>
        </w:rPr>
        <w:t>5</w:t>
      </w:r>
      <w:r>
        <w:rPr>
          <w:rFonts w:ascii="宋体" w:hAnsi="宋体" w:cs="宋体"/>
          <w:szCs w:val="24"/>
        </w:rPr>
        <w:t>.</w:t>
      </w:r>
      <w:r>
        <w:rPr>
          <w:rFonts w:hint="eastAsia" w:ascii="宋体" w:hAnsi="宋体" w:cs="宋体"/>
          <w:szCs w:val="24"/>
        </w:rPr>
        <w:t xml:space="preserve">其他需要说明内容： </w:t>
      </w:r>
    </w:p>
    <w:p>
      <w:pPr>
        <w:ind w:firstLine="480"/>
        <w:rPr>
          <w:rFonts w:ascii="宋体" w:hAnsi="宋体" w:cs="宋体"/>
          <w:szCs w:val="24"/>
        </w:rPr>
      </w:pPr>
      <w:r>
        <w:rPr>
          <w:rFonts w:hint="eastAsia" w:ascii="宋体" w:hAnsi="宋体" w:cs="宋体"/>
          <w:szCs w:val="24"/>
        </w:rPr>
        <w:t>5.1</w:t>
      </w:r>
      <w:r>
        <w:rPr>
          <w:rFonts w:hint="eastAsia" w:ascii="宋体" w:hAnsi="宋体" w:cs="宋体"/>
          <w:szCs w:val="24"/>
          <w:u w:val="single"/>
        </w:rPr>
        <w:t>招标时为了准确描述某一配套设备（器件）的技术规格，招标文件或技术规范书中可能引用某一配套设备（器件）的品牌、型号，该品牌、型号不作为投标的唯一或指定产品，但投标配套设备（器件）须满足或高于引用配套设备（器件）性能参数和设备使用功能。在合同签订或履行过程中，该类品牌的选定须经招标人认可。</w:t>
      </w:r>
    </w:p>
    <w:p>
      <w:pPr>
        <w:ind w:firstLine="480"/>
        <w:rPr>
          <w:rFonts w:ascii="宋体" w:hAnsi="宋体" w:cs="宋体"/>
          <w:szCs w:val="24"/>
        </w:rPr>
      </w:pPr>
      <w:r>
        <w:rPr>
          <w:rFonts w:hint="eastAsia" w:ascii="宋体" w:hAnsi="宋体" w:cs="宋体"/>
          <w:szCs w:val="24"/>
        </w:rPr>
        <w:t>5.2技术要求，详见以下列表：</w:t>
      </w:r>
    </w:p>
    <w:p>
      <w:pPr>
        <w:ind w:firstLine="482"/>
        <w:jc w:val="center"/>
        <w:rPr>
          <w:rFonts w:ascii="宋体" w:hAnsi="宋体" w:cs="宋体"/>
          <w:b/>
          <w:szCs w:val="24"/>
        </w:rPr>
      </w:pPr>
    </w:p>
    <w:p>
      <w:pPr>
        <w:ind w:firstLine="482"/>
        <w:jc w:val="center"/>
        <w:rPr>
          <w:rFonts w:ascii="宋体" w:hAnsi="宋体" w:cs="宋体"/>
          <w:b/>
          <w:szCs w:val="24"/>
        </w:rPr>
      </w:pPr>
      <w:r>
        <w:rPr>
          <w:rFonts w:hint="eastAsia" w:ascii="宋体" w:hAnsi="宋体" w:cs="宋体"/>
          <w:b/>
          <w:szCs w:val="24"/>
        </w:rPr>
        <w:t>技术要求</w:t>
      </w:r>
    </w:p>
    <w:tbl>
      <w:tblPr>
        <w:tblStyle w:val="14"/>
        <w:tblW w:w="5138"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9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96" w:hRule="atLeast"/>
        </w:trPr>
        <w:tc>
          <w:tcPr>
            <w:tcW w:w="5000" w:type="pct"/>
            <w:vAlign w:val="center"/>
          </w:tcPr>
          <w:p>
            <w:pPr>
              <w:widowControl/>
              <w:spacing w:line="240" w:lineRule="auto"/>
              <w:ind w:firstLine="0" w:firstLineChars="0"/>
              <w:textAlignment w:val="center"/>
              <w:rPr>
                <w:rFonts w:ascii="宋体" w:hAnsi="宋体" w:cs="宋体"/>
                <w:b/>
                <w:color w:val="000000"/>
                <w:kern w:val="0"/>
                <w:sz w:val="22"/>
                <w:szCs w:val="22"/>
              </w:rPr>
            </w:pPr>
          </w:p>
          <w:p>
            <w:pPr>
              <w:numPr>
                <w:ilvl w:val="0"/>
                <w:numId w:val="1"/>
              </w:numPr>
              <w:spacing w:line="360" w:lineRule="auto"/>
              <w:ind w:left="0" w:leftChars="0" w:firstLine="480" w:firstLineChars="200"/>
              <w:rPr>
                <w:rFonts w:hint="eastAsia"/>
                <w:szCs w:val="22"/>
              </w:rPr>
            </w:pPr>
            <w:r>
              <w:rPr>
                <w:rFonts w:hint="eastAsia"/>
                <w:szCs w:val="22"/>
              </w:rPr>
              <w:t>DP总线电缆，通信、通讯电缆\Profibus DP 1X2X22AWG Ohms</w:t>
            </w:r>
            <w:r>
              <w:rPr>
                <w:rFonts w:hint="eastAsia"/>
                <w:szCs w:val="22"/>
                <w:lang w:val="en-US" w:eastAsia="zh-CN"/>
              </w:rPr>
              <w:t>,DP总线电缆损坏更换备件（蓝绿各2000米成轴供货，满足现场需求与现场一致）</w:t>
            </w:r>
          </w:p>
          <w:p>
            <w:pPr>
              <w:numPr>
                <w:ilvl w:val="0"/>
                <w:numId w:val="1"/>
              </w:numPr>
              <w:spacing w:line="360" w:lineRule="auto"/>
              <w:ind w:left="0" w:leftChars="0" w:firstLine="480" w:firstLineChars="200"/>
              <w:rPr>
                <w:szCs w:val="22"/>
              </w:rPr>
            </w:pPr>
            <w:r>
              <w:rPr>
                <w:rFonts w:hint="eastAsia"/>
                <w:szCs w:val="22"/>
                <w:lang w:eastAsia="zh-CN"/>
              </w:rPr>
              <w:t>FF总线电缆</w:t>
            </w:r>
            <w:r>
              <w:rPr>
                <w:rFonts w:hint="eastAsia"/>
                <w:szCs w:val="22"/>
              </w:rPr>
              <w:t>，通信、通讯电缆\ \FF\1*2*1.5MM2\ </w:t>
            </w:r>
            <w:r>
              <w:rPr>
                <w:rFonts w:hint="eastAsia"/>
                <w:szCs w:val="22"/>
                <w:lang w:val="en-US" w:eastAsia="zh-CN"/>
              </w:rPr>
              <w:t>,FF总线电缆损坏(橙色，,与现场一致）</w:t>
            </w:r>
            <w:bookmarkStart w:id="62" w:name="_GoBack"/>
            <w:bookmarkEnd w:id="62"/>
          </w:p>
        </w:tc>
      </w:tr>
    </w:tbl>
    <w:p>
      <w:pPr>
        <w:spacing w:line="240" w:lineRule="auto"/>
        <w:ind w:firstLine="0" w:firstLineChars="0"/>
        <w:rPr>
          <w:rFonts w:ascii="宋体" w:hAnsi="宋体" w:cs="宋体"/>
          <w:szCs w:val="24"/>
        </w:rPr>
      </w:pPr>
    </w:p>
    <w:p>
      <w:pPr>
        <w:pStyle w:val="3"/>
        <w:spacing w:before="156"/>
      </w:pPr>
      <w:r>
        <w:rPr>
          <w:rFonts w:hint="eastAsia"/>
        </w:rPr>
        <w:t>二、报价须知</w:t>
      </w:r>
    </w:p>
    <w:p>
      <w:pPr>
        <w:ind w:firstLine="480"/>
      </w:pPr>
      <w:r>
        <w:t xml:space="preserve">1. </w:t>
      </w:r>
      <w:r>
        <w:rPr>
          <w:rFonts w:hint="eastAsia"/>
        </w:rPr>
        <w:t>供应商资格要求：</w:t>
      </w:r>
    </w:p>
    <w:p>
      <w:pPr>
        <w:pStyle w:val="31"/>
        <w:numPr>
          <w:ilvl w:val="0"/>
          <w:numId w:val="2"/>
        </w:numPr>
        <w:ind w:left="142" w:firstLine="424" w:firstLineChars="177"/>
        <w:jc w:val="left"/>
      </w:pPr>
      <w:r>
        <w:rPr>
          <w:rFonts w:hint="eastAsia"/>
        </w:rPr>
        <w:t>供应商须为华能集团供应商库内合格供应商，且未处于暂停参加采购活动的处罚期限内，满足供应商参与业务的权限。</w:t>
      </w:r>
    </w:p>
    <w:p>
      <w:pPr>
        <w:pStyle w:val="31"/>
        <w:numPr>
          <w:ilvl w:val="0"/>
          <w:numId w:val="2"/>
        </w:numPr>
        <w:ind w:left="0" w:firstLine="566" w:firstLineChars="236"/>
        <w:jc w:val="left"/>
      </w:pPr>
      <w:r>
        <w:rPr>
          <w:rFonts w:hint="eastAsia"/>
        </w:rPr>
        <w:t>近三年没有严重违约，没有经鉴定部门认定的因其产品/服务/工程引起的重大及以上质量事故或重大及以上安全事故；</w:t>
      </w:r>
    </w:p>
    <w:p>
      <w:pPr>
        <w:pStyle w:val="31"/>
        <w:numPr>
          <w:ilvl w:val="0"/>
          <w:numId w:val="2"/>
        </w:numPr>
        <w:ind w:left="0" w:firstLine="566" w:firstLineChars="236"/>
        <w:jc w:val="left"/>
      </w:pPr>
      <w:r>
        <w:rPr>
          <w:rFonts w:hint="eastAsia"/>
        </w:rPr>
        <w:t>未被市场监督管理部门在全国企业信用信息公示系统中列入经营异常名录或者严重违法企业名单；</w:t>
      </w:r>
    </w:p>
    <w:p>
      <w:pPr>
        <w:pStyle w:val="31"/>
        <w:numPr>
          <w:ilvl w:val="0"/>
          <w:numId w:val="2"/>
        </w:numPr>
        <w:ind w:left="0" w:firstLine="566" w:firstLineChars="236"/>
        <w:jc w:val="left"/>
      </w:pPr>
      <w:r>
        <w:rPr>
          <w:rFonts w:hint="eastAsia"/>
        </w:rPr>
        <w:t>未被最高人民法院在“信用中国”网站（www.creditchina.gov.cn）或各级信用信息共享平台中列入失信被执行人名单；</w:t>
      </w:r>
    </w:p>
    <w:p>
      <w:pPr>
        <w:pStyle w:val="31"/>
        <w:numPr>
          <w:ilvl w:val="0"/>
          <w:numId w:val="2"/>
        </w:numPr>
        <w:ind w:left="142" w:firstLine="424" w:firstLineChars="177"/>
        <w:jc w:val="left"/>
      </w:pPr>
      <w:r>
        <w:rPr>
          <w:rFonts w:hint="eastAsia"/>
        </w:rPr>
        <w:t>不存在不同供应商的响应文件的互联网协议地址（</w:t>
      </w:r>
      <w:r>
        <w:t>IP</w:t>
      </w:r>
      <w:r>
        <w:rPr>
          <w:rFonts w:hint="eastAsia"/>
        </w:rPr>
        <w:t>地址）信息检查一致的情况。</w:t>
      </w:r>
    </w:p>
    <w:p>
      <w:pPr>
        <w:pStyle w:val="31"/>
        <w:numPr>
          <w:ilvl w:val="0"/>
          <w:numId w:val="2"/>
        </w:numPr>
        <w:ind w:left="0" w:firstLine="566" w:firstLineChars="236"/>
        <w:jc w:val="left"/>
      </w:pPr>
      <w:r>
        <w:rPr>
          <w:rFonts w:hint="eastAsia"/>
        </w:rPr>
        <w:t>与采购人存在利害关系可能影响采购公正性的法人、其他组织或者个人，不得参加询价；单位负责人为同一人或者存在控股、管理关系的不同单位，不得参加同一询价项目。</w:t>
      </w:r>
    </w:p>
    <w:p>
      <w:pPr>
        <w:pStyle w:val="31"/>
        <w:numPr>
          <w:ilvl w:val="0"/>
          <w:numId w:val="2"/>
        </w:numPr>
        <w:ind w:left="567" w:firstLine="0" w:firstLineChars="0"/>
        <w:jc w:val="left"/>
      </w:pPr>
      <w:r>
        <w:rPr>
          <w:rFonts w:hint="eastAsia"/>
        </w:rPr>
        <w:t>不存在违反国家相关法规和华能集团相关制度的情况。</w:t>
      </w:r>
    </w:p>
    <w:p>
      <w:pPr>
        <w:pStyle w:val="31"/>
        <w:numPr>
          <w:ilvl w:val="0"/>
          <w:numId w:val="2"/>
        </w:numPr>
        <w:ind w:left="567" w:firstLine="0" w:firstLineChars="0"/>
        <w:jc w:val="left"/>
      </w:pPr>
      <w:r>
        <w:rPr>
          <w:rFonts w:hint="eastAsia"/>
        </w:rPr>
        <w:t xml:space="preserve">平台录入报价时，运杂费、保费等杂项均含在报价中，不得单列。 </w:t>
      </w:r>
    </w:p>
    <w:p>
      <w:pPr>
        <w:pStyle w:val="31"/>
        <w:numPr>
          <w:ilvl w:val="0"/>
          <w:numId w:val="2"/>
        </w:numPr>
        <w:ind w:left="0" w:firstLine="566" w:firstLineChars="236"/>
        <w:jc w:val="left"/>
      </w:pPr>
      <w:r>
        <w:rPr>
          <w:rFonts w:hint="eastAsia"/>
        </w:rPr>
        <w:t>若中标总价低于10万元，按照我厂的采购要求，双方签订采购订单，订单享有合同的同等法律效力。</w:t>
      </w:r>
    </w:p>
    <w:p>
      <w:pPr>
        <w:pStyle w:val="31"/>
        <w:numPr>
          <w:ilvl w:val="0"/>
          <w:numId w:val="2"/>
        </w:numPr>
        <w:ind w:left="0" w:firstLine="566" w:firstLineChars="236"/>
        <w:jc w:val="left"/>
      </w:pPr>
      <w:r>
        <w:rPr>
          <w:rFonts w:hint="eastAsia"/>
        </w:rPr>
        <w:t>供应商报价低于概算40%及以上或者明显低于其他供应商报价时，报价单位应出具质量承诺函，招标人对供应商报价的成本存疑时，供应商应无条件提供报价是否低于成本的澄清说明。</w:t>
      </w:r>
    </w:p>
    <w:p>
      <w:pPr>
        <w:pStyle w:val="31"/>
        <w:numPr>
          <w:ilvl w:val="0"/>
          <w:numId w:val="2"/>
        </w:numPr>
        <w:ind w:left="0" w:firstLine="566" w:firstLineChars="236"/>
        <w:jc w:val="left"/>
      </w:pPr>
      <w:r>
        <w:rPr>
          <w:rFonts w:hint="eastAsia"/>
        </w:rPr>
        <w:t>供应商已投标，在未定标前，因自身原因发生弃标的或供应商未按照询价文件要求上传响应文件的应纳入轻微不良行为。</w:t>
      </w:r>
    </w:p>
    <w:p>
      <w:pPr>
        <w:pStyle w:val="31"/>
        <w:numPr>
          <w:ilvl w:val="0"/>
          <w:numId w:val="2"/>
        </w:numPr>
        <w:ind w:left="0" w:firstLine="566" w:firstLineChars="236"/>
        <w:jc w:val="left"/>
      </w:pPr>
      <w:r>
        <w:rPr>
          <w:rFonts w:hint="eastAsia"/>
        </w:rPr>
        <w:t>供应商已投标，在未定标前，因自身原因年度内累计发生两次弃标的应纳入一般不良行为，出现一般不良行为的，暂停采购业务权限6个月，从审批通过之日起计算至处罚期结束。</w:t>
      </w:r>
    </w:p>
    <w:p>
      <w:pPr>
        <w:pStyle w:val="31"/>
        <w:numPr>
          <w:ilvl w:val="0"/>
          <w:numId w:val="2"/>
        </w:numPr>
        <w:ind w:left="0" w:firstLine="566" w:firstLineChars="236"/>
        <w:jc w:val="left"/>
      </w:pPr>
      <w:r>
        <w:rPr>
          <w:rFonts w:hint="eastAsia"/>
        </w:rPr>
        <w:t>年度内已受到一般不良行为处罚的,再次受到轻微不良行为处罚的或供应商中标后因自身原因弃标的应纳入较为严重不良行为，出现较为严重不良行为的，暂停采购业务权限1年，从审批通过之日起计算至处罚期结束。</w:t>
      </w:r>
    </w:p>
    <w:p>
      <w:pPr>
        <w:ind w:firstLine="480"/>
      </w:pPr>
      <w:r>
        <w:t xml:space="preserve">2. </w:t>
      </w:r>
      <w:r>
        <w:rPr>
          <w:rFonts w:hint="eastAsia"/>
        </w:rPr>
        <w:t>报价要求：</w:t>
      </w:r>
    </w:p>
    <w:p>
      <w:pPr>
        <w:ind w:firstLine="477" w:firstLineChars="199"/>
        <w:rPr>
          <w:rFonts w:hint="eastAsia"/>
        </w:rPr>
      </w:pPr>
      <w:r>
        <w:rPr>
          <w:rFonts w:hint="eastAsia"/>
        </w:rPr>
        <w:t>本次报价要求为</w:t>
      </w:r>
      <w:r>
        <w:rPr>
          <w:rFonts w:hint="eastAsia"/>
        </w:rPr>
        <w:sym w:font="Wingdings" w:char="F0FE"/>
      </w:r>
      <w:r>
        <w:rPr>
          <w:rFonts w:hint="eastAsia"/>
          <w:u w:val="single"/>
        </w:rPr>
        <w:t>含税价/□不含税价</w:t>
      </w:r>
      <w:r>
        <w:rPr>
          <w:rFonts w:hint="eastAsia"/>
        </w:rPr>
        <w:t>；</w:t>
      </w:r>
    </w:p>
    <w:p>
      <w:pPr>
        <w:ind w:firstLine="477" w:firstLineChars="199"/>
        <w:rPr>
          <w:u w:val="single"/>
        </w:rPr>
      </w:pPr>
      <w:r>
        <w:rPr>
          <w:rFonts w:hint="eastAsia"/>
        </w:rPr>
        <w:t>需提供增值税发票类型：</w:t>
      </w:r>
      <w:r>
        <w:rPr>
          <w:rFonts w:hint="eastAsia"/>
        </w:rPr>
        <w:sym w:font="Wingdings" w:char="F0FE"/>
      </w:r>
      <w:r>
        <w:rPr>
          <w:rFonts w:hint="eastAsia"/>
          <w:u w:val="single"/>
        </w:rPr>
        <w:t>专用/□普通/□不作要求</w:t>
      </w:r>
      <w:r>
        <w:rPr>
          <w:rFonts w:hint="eastAsia"/>
        </w:rPr>
        <w:t>，税率要求：</w:t>
      </w:r>
      <w:r>
        <w:rPr>
          <w:rFonts w:hint="eastAsia"/>
          <w:u w:val="single"/>
        </w:rPr>
        <w:t>13</w:t>
      </w:r>
      <w:r>
        <w:rPr>
          <w:u w:val="single"/>
        </w:rPr>
        <w:t>%</w:t>
      </w:r>
      <w:r>
        <w:rPr>
          <w:rFonts w:hint="eastAsia"/>
        </w:rPr>
        <w:t>。</w:t>
      </w:r>
    </w:p>
    <w:p>
      <w:pPr>
        <w:ind w:firstLine="480"/>
      </w:pPr>
      <w:r>
        <w:t xml:space="preserve">3. </w:t>
      </w:r>
      <w:r>
        <w:rPr>
          <w:rFonts w:hint="eastAsia"/>
        </w:rPr>
        <w:t>价格评审：</w:t>
      </w:r>
    </w:p>
    <w:p>
      <w:pPr>
        <w:ind w:firstLine="480"/>
      </w:pPr>
      <w:r>
        <w:rPr>
          <w:rFonts w:hint="eastAsia"/>
        </w:rPr>
        <w:sym w:font="Wingdings" w:char="F0FE"/>
      </w:r>
      <w:r>
        <w:rPr>
          <w:rFonts w:hint="eastAsia"/>
        </w:rPr>
        <w:t>以含税总价进行评审。</w:t>
      </w:r>
    </w:p>
    <w:p>
      <w:pPr>
        <w:ind w:firstLine="480"/>
      </w:pPr>
      <w:r>
        <w:rPr>
          <w:rFonts w:hint="eastAsia"/>
        </w:rPr>
        <w:t>□其他：。</w:t>
      </w:r>
    </w:p>
    <w:p>
      <w:pPr>
        <w:ind w:firstLine="360" w:firstLineChars="150"/>
      </w:pPr>
      <w:r>
        <w:t xml:space="preserve">4. </w:t>
      </w:r>
      <w:r>
        <w:rPr>
          <w:rFonts w:hint="eastAsia"/>
        </w:rPr>
        <w:t>成交候选供应商推荐原则：本项目评审办法采用最低价法。按照供应商报价由低到高的顺序依次推荐成交候选供应商。若价格相同，按照提交报价时间由先到后顺序推荐成交候选供应商。</w:t>
      </w:r>
    </w:p>
    <w:p>
      <w:pPr>
        <w:ind w:firstLine="480"/>
      </w:pPr>
      <w:r>
        <w:rPr>
          <w:rFonts w:hint="eastAsia"/>
        </w:rPr>
        <w:t>本项目</w:t>
      </w:r>
      <w:r>
        <w:rPr>
          <w:rFonts w:hint="eastAsia"/>
        </w:rPr>
        <w:sym w:font="Wingdings" w:char="F0FE"/>
      </w:r>
      <w:r>
        <w:rPr>
          <w:rFonts w:hint="eastAsia"/>
        </w:rPr>
        <w:t>只能有一个成交供应商；</w:t>
      </w:r>
    </w:p>
    <w:p>
      <w:pPr>
        <w:ind w:firstLine="1200" w:firstLineChars="500"/>
        <w:rPr>
          <w:rFonts w:hint="eastAsia"/>
        </w:rPr>
      </w:pPr>
      <w:r>
        <w:rPr>
          <w:rFonts w:hint="eastAsia"/>
        </w:rPr>
        <w:t>□允许多个成交供应商，</w:t>
      </w:r>
    </w:p>
    <w:p>
      <w:pPr>
        <w:ind w:firstLine="1200" w:firstLineChars="500"/>
        <w:rPr>
          <w:rFonts w:ascii="宋体" w:hAnsi="宋体" w:cs="宋体"/>
          <w:szCs w:val="24"/>
        </w:rPr>
      </w:pPr>
      <w:r>
        <w:rPr>
          <w:rFonts w:hint="eastAsia"/>
        </w:rPr>
        <w:t>成交原则是</w:t>
      </w:r>
      <w:r>
        <w:rPr>
          <w:rFonts w:hint="eastAsia"/>
          <w:u w:val="single"/>
        </w:rPr>
        <w:t xml:space="preserve"> □单行单价最低推荐成交候选供应商/□其他：</w:t>
      </w:r>
      <w:r>
        <w:rPr>
          <w:rFonts w:hint="eastAsia" w:ascii="宋体" w:hAnsi="宋体" w:cs="宋体"/>
          <w:szCs w:val="24"/>
        </w:rPr>
        <w:t>。</w:t>
      </w:r>
    </w:p>
    <w:p>
      <w:pPr>
        <w:ind w:firstLine="480"/>
      </w:pPr>
      <w:r>
        <w:t>5.</w:t>
      </w:r>
      <w:r>
        <w:rPr>
          <w:rFonts w:hint="eastAsia"/>
        </w:rPr>
        <w:t>本项目</w:t>
      </w:r>
      <w:r>
        <w:rPr>
          <w:rFonts w:hint="eastAsia"/>
          <w:u w:val="single"/>
        </w:rPr>
        <w:t>□是 /</w:t>
      </w:r>
      <w:r>
        <w:rPr>
          <w:rFonts w:hint="eastAsia"/>
          <w:u w:val="single"/>
        </w:rPr>
        <w:sym w:font="Wingdings 2" w:char="0052"/>
      </w:r>
      <w:r>
        <w:rPr>
          <w:rFonts w:hint="eastAsia"/>
          <w:u w:val="single"/>
        </w:rPr>
        <w:t>不是</w:t>
      </w:r>
      <w:r>
        <w:rPr>
          <w:rFonts w:hint="eastAsia"/>
        </w:rPr>
        <w:t>采购代理项目，收取采购代理服务费，收费标准：</w:t>
      </w:r>
      <w:r>
        <w:rPr>
          <w:rFonts w:hint="eastAsia"/>
          <w:u w:val="single"/>
        </w:rPr>
        <w:t xml:space="preserve">□参照国家计委印发的《招标代理服务收费管理暂行办法》规定的计费原则100%标准计取/□其他： </w:t>
      </w:r>
      <w:r>
        <w:rPr>
          <w:rFonts w:hint="eastAsia"/>
        </w:rPr>
        <w:t>。</w:t>
      </w:r>
    </w:p>
    <w:bookmarkEnd w:id="5"/>
    <w:bookmarkEnd w:id="6"/>
    <w:p>
      <w:pPr>
        <w:pStyle w:val="3"/>
        <w:spacing w:before="156"/>
      </w:pPr>
      <w:r>
        <w:rPr>
          <w:rFonts w:hint="eastAsia"/>
        </w:rPr>
        <w:t>三、</w:t>
      </w:r>
      <w:r>
        <w:t>基本信息</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131"/>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9"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采购方案名称</w:t>
            </w:r>
          </w:p>
        </w:tc>
        <w:tc>
          <w:tcPr>
            <w:tcW w:w="2131" w:type="dxa"/>
            <w:shd w:val="clear" w:color="auto" w:fill="auto"/>
            <w:vAlign w:val="center"/>
          </w:tcPr>
          <w:p>
            <w:pPr>
              <w:widowControl/>
              <w:spacing w:line="240" w:lineRule="auto"/>
              <w:ind w:firstLine="0" w:firstLineChars="0"/>
              <w:rPr>
                <w:rFonts w:ascii="宋体" w:hAnsi="宋体" w:cs="宋体"/>
                <w:sz w:val="21"/>
                <w:szCs w:val="21"/>
              </w:rPr>
            </w:pPr>
            <w:r>
              <w:rPr>
                <w:rFonts w:hint="eastAsia" w:ascii="宋体" w:hAnsi="宋体" w:cs="宋体"/>
                <w:sz w:val="21"/>
                <w:szCs w:val="21"/>
              </w:rPr>
              <w:t>详见华能电子商务平台</w:t>
            </w:r>
          </w:p>
        </w:tc>
        <w:tc>
          <w:tcPr>
            <w:tcW w:w="213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采购单位</w:t>
            </w:r>
          </w:p>
        </w:tc>
        <w:tc>
          <w:tcPr>
            <w:tcW w:w="2131" w:type="dxa"/>
            <w:shd w:val="clear" w:color="auto" w:fill="auto"/>
            <w:vAlign w:val="center"/>
          </w:tcPr>
          <w:p>
            <w:pPr>
              <w:widowControl/>
              <w:spacing w:line="240" w:lineRule="auto"/>
              <w:ind w:firstLine="0" w:firstLineChars="0"/>
              <w:rPr>
                <w:rFonts w:hint="eastAsia" w:ascii="宋体" w:hAnsi="宋体" w:eastAsia="宋体" w:cs="宋体"/>
                <w:sz w:val="21"/>
                <w:szCs w:val="21"/>
                <w:lang w:eastAsia="zh-CN"/>
              </w:rPr>
            </w:pPr>
            <w:r>
              <w:rPr>
                <w:rFonts w:hint="eastAsia" w:ascii="宋体" w:hAnsi="宋体" w:cs="宋体"/>
                <w:sz w:val="21"/>
                <w:szCs w:val="21"/>
              </w:rPr>
              <w:t>华能</w:t>
            </w:r>
            <w:r>
              <w:rPr>
                <w:rFonts w:hint="eastAsia" w:ascii="宋体" w:hAnsi="宋体" w:cs="宋体"/>
                <w:sz w:val="21"/>
                <w:szCs w:val="21"/>
                <w:lang w:eastAsia="zh-CN"/>
              </w:rPr>
              <w:t>（大连）热电有限责任公司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9"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采购项目类型</w:t>
            </w:r>
          </w:p>
        </w:tc>
        <w:tc>
          <w:tcPr>
            <w:tcW w:w="2131" w:type="dxa"/>
            <w:shd w:val="clear" w:color="auto" w:fill="auto"/>
            <w:vAlign w:val="center"/>
          </w:tcPr>
          <w:p>
            <w:pPr>
              <w:widowControl/>
              <w:spacing w:line="240" w:lineRule="auto"/>
              <w:ind w:firstLine="420"/>
              <w:rPr>
                <w:rFonts w:ascii="宋体" w:hAnsi="宋体" w:cs="宋体"/>
                <w:sz w:val="21"/>
                <w:szCs w:val="21"/>
              </w:rPr>
            </w:pPr>
            <w:r>
              <w:rPr>
                <w:rFonts w:hint="eastAsia" w:ascii="宋体" w:hAnsi="宋体" w:cs="宋体"/>
                <w:sz w:val="21"/>
                <w:szCs w:val="21"/>
              </w:rPr>
              <w:t>货物/物资</w:t>
            </w:r>
          </w:p>
        </w:tc>
        <w:tc>
          <w:tcPr>
            <w:tcW w:w="213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采购项目类别</w:t>
            </w:r>
          </w:p>
        </w:tc>
        <w:tc>
          <w:tcPr>
            <w:tcW w:w="2131" w:type="dxa"/>
            <w:shd w:val="clear" w:color="auto" w:fill="auto"/>
            <w:vAlign w:val="center"/>
          </w:tcPr>
          <w:p>
            <w:pPr>
              <w:widowControl/>
              <w:spacing w:line="240" w:lineRule="auto"/>
              <w:ind w:firstLine="420"/>
              <w:jc w:val="center"/>
              <w:rPr>
                <w:rFonts w:ascii="宋体" w:hAnsi="宋体" w:cs="宋体"/>
                <w:sz w:val="21"/>
                <w:szCs w:val="21"/>
              </w:rPr>
            </w:pPr>
            <w:r>
              <w:rPr>
                <w:rFonts w:hint="eastAsia" w:ascii="宋体" w:hAnsi="宋体" w:cs="宋体"/>
                <w:sz w:val="21"/>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9"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工程项目编号</w:t>
            </w:r>
          </w:p>
        </w:tc>
        <w:tc>
          <w:tcPr>
            <w:tcW w:w="2131" w:type="dxa"/>
            <w:shd w:val="clear" w:color="auto" w:fill="auto"/>
            <w:vAlign w:val="center"/>
          </w:tcPr>
          <w:p>
            <w:pPr>
              <w:spacing w:line="240" w:lineRule="auto"/>
              <w:ind w:firstLine="0" w:firstLineChars="0"/>
              <w:rPr>
                <w:rFonts w:ascii="宋体" w:hAnsi="宋体" w:cs="宋体"/>
                <w:sz w:val="21"/>
                <w:szCs w:val="21"/>
              </w:rPr>
            </w:pPr>
            <w:r>
              <w:rPr>
                <w:rFonts w:hint="eastAsia" w:ascii="宋体" w:hAnsi="宋体" w:cs="宋体"/>
                <w:sz w:val="21"/>
                <w:szCs w:val="21"/>
              </w:rPr>
              <w:t>详见华能电子商务平台</w:t>
            </w:r>
          </w:p>
        </w:tc>
        <w:tc>
          <w:tcPr>
            <w:tcW w:w="213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工程项目名称</w:t>
            </w:r>
          </w:p>
        </w:tc>
        <w:tc>
          <w:tcPr>
            <w:tcW w:w="2131" w:type="dxa"/>
            <w:shd w:val="clear" w:color="auto" w:fill="auto"/>
            <w:vAlign w:val="center"/>
          </w:tcPr>
          <w:p>
            <w:pPr>
              <w:widowControl/>
              <w:spacing w:line="240" w:lineRule="auto"/>
              <w:ind w:firstLine="420"/>
              <w:jc w:val="center"/>
              <w:rPr>
                <w:rFonts w:ascii="宋体" w:hAnsi="宋体" w:cs="宋体"/>
                <w:sz w:val="21"/>
                <w:szCs w:val="21"/>
              </w:rPr>
            </w:pPr>
            <w:r>
              <w:rPr>
                <w:rFonts w:hint="eastAsia" w:ascii="宋体" w:hAnsi="宋体" w:cs="宋体"/>
                <w:sz w:val="21"/>
                <w:szCs w:val="21"/>
              </w:rPr>
              <w:t>详见华能电子商务平台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9"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寻源类型</w:t>
            </w:r>
          </w:p>
        </w:tc>
        <w:tc>
          <w:tcPr>
            <w:tcW w:w="213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询价</w:t>
            </w:r>
          </w:p>
        </w:tc>
        <w:tc>
          <w:tcPr>
            <w:tcW w:w="213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寻源方式</w:t>
            </w:r>
          </w:p>
        </w:tc>
        <w:tc>
          <w:tcPr>
            <w:tcW w:w="213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合格供应商公开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9"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评价原则</w:t>
            </w:r>
          </w:p>
        </w:tc>
        <w:tc>
          <w:tcPr>
            <w:tcW w:w="213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lang w:eastAsia="zh-CN"/>
              </w:rPr>
              <w:t>经评审的</w:t>
            </w:r>
            <w:r>
              <w:rPr>
                <w:rFonts w:hint="eastAsia" w:ascii="宋体" w:hAnsi="宋体" w:cs="宋体"/>
                <w:kern w:val="0"/>
                <w:sz w:val="21"/>
                <w:szCs w:val="21"/>
              </w:rPr>
              <w:t>最低价法</w:t>
            </w:r>
          </w:p>
        </w:tc>
        <w:tc>
          <w:tcPr>
            <w:tcW w:w="213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是否紧急采购</w:t>
            </w:r>
          </w:p>
        </w:tc>
        <w:tc>
          <w:tcPr>
            <w:tcW w:w="2131" w:type="dxa"/>
            <w:shd w:val="clear" w:color="auto" w:fill="auto"/>
            <w:vAlign w:val="center"/>
          </w:tcPr>
          <w:p>
            <w:pPr>
              <w:widowControl/>
              <w:spacing w:line="240" w:lineRule="auto"/>
              <w:ind w:firstLine="420"/>
              <w:jc w:val="center"/>
              <w:rPr>
                <w:rFonts w:ascii="宋体" w:hAnsi="宋体" w:cs="宋体"/>
                <w:sz w:val="21"/>
                <w:szCs w:val="21"/>
              </w:rPr>
            </w:pPr>
            <w:r>
              <w:rPr>
                <w:rFonts w:ascii="宋体" w:hAnsi="宋体" w:cs="宋体"/>
                <w:sz w:val="21"/>
                <w:szCs w:val="21"/>
              </w:rPr>
              <w:t>否</w:t>
            </w:r>
          </w:p>
        </w:tc>
      </w:tr>
    </w:tbl>
    <w:p>
      <w:pPr>
        <w:pStyle w:val="3"/>
        <w:spacing w:before="156"/>
      </w:pPr>
      <w:r>
        <w:rPr>
          <w:rFonts w:hint="eastAsia"/>
        </w:rPr>
        <w:t>四、</w:t>
      </w:r>
      <w:r>
        <w:t>报价要求</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5"/>
        <w:gridCol w:w="2125"/>
        <w:gridCol w:w="2167"/>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5"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结算币种</w:t>
            </w:r>
          </w:p>
        </w:tc>
        <w:tc>
          <w:tcPr>
            <w:tcW w:w="2125"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人民币</w:t>
            </w:r>
          </w:p>
        </w:tc>
        <w:tc>
          <w:tcPr>
            <w:tcW w:w="2167"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报价截止前是否允许 供应商修改报价</w:t>
            </w:r>
          </w:p>
        </w:tc>
        <w:tc>
          <w:tcPr>
            <w:tcW w:w="2105"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5"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是否缴纳保证金</w:t>
            </w:r>
          </w:p>
        </w:tc>
        <w:tc>
          <w:tcPr>
            <w:tcW w:w="2125"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否</w:t>
            </w:r>
          </w:p>
        </w:tc>
        <w:tc>
          <w:tcPr>
            <w:tcW w:w="2167"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保证金金额（元）</w:t>
            </w:r>
          </w:p>
        </w:tc>
        <w:tc>
          <w:tcPr>
            <w:tcW w:w="2105" w:type="dxa"/>
            <w:shd w:val="clear" w:color="auto" w:fill="auto"/>
            <w:vAlign w:val="center"/>
          </w:tcPr>
          <w:p>
            <w:pPr>
              <w:spacing w:line="240" w:lineRule="auto"/>
              <w:ind w:firstLine="420"/>
              <w:jc w:val="center"/>
              <w:rPr>
                <w:rFonts w:ascii="宋体" w:hAnsi="宋体" w:cs="宋体"/>
                <w:kern w:val="0"/>
                <w:sz w:val="21"/>
                <w:szCs w:val="21"/>
              </w:rPr>
            </w:pPr>
            <w:r>
              <w:rPr>
                <w:rFonts w:hint="eastAsia" w:ascii="宋体" w:hAnsi="宋体" w:cs="宋体"/>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5"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报价开始时间</w:t>
            </w:r>
          </w:p>
        </w:tc>
        <w:tc>
          <w:tcPr>
            <w:tcW w:w="2125"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sz w:val="21"/>
                <w:szCs w:val="21"/>
              </w:rPr>
              <w:t>以华能电子商务平台时间为准</w:t>
            </w:r>
          </w:p>
        </w:tc>
        <w:tc>
          <w:tcPr>
            <w:tcW w:w="2167"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报价截止时间</w:t>
            </w:r>
          </w:p>
        </w:tc>
        <w:tc>
          <w:tcPr>
            <w:tcW w:w="2105"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sz w:val="21"/>
                <w:szCs w:val="21"/>
              </w:rPr>
              <w:t>以华能电子商务平台时间为准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5"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答疑／澄清时间</w:t>
            </w:r>
          </w:p>
        </w:tc>
        <w:tc>
          <w:tcPr>
            <w:tcW w:w="6397" w:type="dxa"/>
            <w:gridSpan w:val="3"/>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sz w:val="21"/>
                <w:szCs w:val="21"/>
              </w:rPr>
              <w:t>以华能电子商务平台时间为准</w:t>
            </w:r>
          </w:p>
        </w:tc>
      </w:tr>
    </w:tbl>
    <w:p>
      <w:pPr>
        <w:pStyle w:val="3"/>
        <w:spacing w:before="156"/>
      </w:pPr>
      <w:r>
        <w:rPr>
          <w:rFonts w:hint="eastAsia"/>
        </w:rPr>
        <w:t>五、采购需求</w:t>
      </w:r>
      <w:r>
        <w:t>信息</w:t>
      </w:r>
    </w:p>
    <w:p>
      <w:pPr>
        <w:spacing w:before="120"/>
        <w:ind w:firstLine="0" w:firstLineChars="0"/>
      </w:pPr>
    </w:p>
    <w:p>
      <w:pPr>
        <w:pStyle w:val="3"/>
        <w:spacing w:before="156"/>
      </w:pPr>
      <w:r>
        <w:rPr>
          <w:rFonts w:hint="eastAsia"/>
        </w:rPr>
        <w:t>六、</w:t>
      </w:r>
      <w:r>
        <w:t>联系人信息</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8"/>
        <w:gridCol w:w="2108"/>
        <w:gridCol w:w="2158"/>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联系人（采购人）</w:t>
            </w:r>
          </w:p>
        </w:tc>
        <w:tc>
          <w:tcPr>
            <w:tcW w:w="2108" w:type="dxa"/>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eastAsia="zh-CN"/>
              </w:rPr>
            </w:pPr>
            <w:r>
              <w:rPr>
                <w:rFonts w:hint="eastAsia" w:ascii="宋体" w:hAnsi="宋体" w:cs="宋体"/>
                <w:kern w:val="0"/>
                <w:sz w:val="21"/>
                <w:szCs w:val="21"/>
                <w:lang w:eastAsia="zh-CN"/>
              </w:rPr>
              <w:t>孙先生</w:t>
            </w:r>
          </w:p>
        </w:tc>
        <w:tc>
          <w:tcPr>
            <w:tcW w:w="215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询价单位</w:t>
            </w:r>
          </w:p>
        </w:tc>
        <w:tc>
          <w:tcPr>
            <w:tcW w:w="210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sz w:val="21"/>
                <w:szCs w:val="21"/>
              </w:rPr>
              <w:t>华能</w:t>
            </w:r>
            <w:r>
              <w:rPr>
                <w:rFonts w:hint="eastAsia" w:ascii="宋体" w:hAnsi="宋体" w:cs="宋体"/>
                <w:sz w:val="21"/>
                <w:szCs w:val="21"/>
                <w:lang w:eastAsia="zh-CN"/>
              </w:rPr>
              <w:t>（大连）热电有限责任公司</w:t>
            </w:r>
            <w:r>
              <w:rPr>
                <w:rFonts w:hint="eastAsia" w:ascii="宋体" w:hAnsi="宋体" w:cs="宋体"/>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联系电话</w:t>
            </w:r>
          </w:p>
        </w:tc>
        <w:tc>
          <w:tcPr>
            <w:tcW w:w="2108" w:type="dxa"/>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w:t>
            </w:r>
          </w:p>
        </w:tc>
        <w:tc>
          <w:tcPr>
            <w:tcW w:w="215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传真</w:t>
            </w:r>
          </w:p>
        </w:tc>
        <w:tc>
          <w:tcPr>
            <w:tcW w:w="2108" w:type="dxa"/>
            <w:shd w:val="clear" w:color="auto" w:fill="auto"/>
            <w:vAlign w:val="center"/>
          </w:tcPr>
          <w:p>
            <w:pPr>
              <w:spacing w:line="240" w:lineRule="auto"/>
              <w:ind w:firstLine="420"/>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邮编</w:t>
            </w:r>
          </w:p>
        </w:tc>
        <w:tc>
          <w:tcPr>
            <w:tcW w:w="2108" w:type="dxa"/>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w:t>
            </w:r>
          </w:p>
        </w:tc>
        <w:tc>
          <w:tcPr>
            <w:tcW w:w="215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Email</w:t>
            </w:r>
          </w:p>
        </w:tc>
        <w:tc>
          <w:tcPr>
            <w:tcW w:w="2108" w:type="dxa"/>
            <w:shd w:val="clear" w:color="auto" w:fill="auto"/>
            <w:vAlign w:val="center"/>
          </w:tcPr>
          <w:p>
            <w:pPr>
              <w:widowControl/>
              <w:spacing w:line="240" w:lineRule="auto"/>
              <w:ind w:firstLine="0" w:firstLineChars="0"/>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手机</w:t>
            </w:r>
          </w:p>
        </w:tc>
        <w:tc>
          <w:tcPr>
            <w:tcW w:w="2108" w:type="dxa"/>
            <w:shd w:val="clear" w:color="auto" w:fill="auto"/>
            <w:vAlign w:val="center"/>
          </w:tcPr>
          <w:p>
            <w:pPr>
              <w:widowControl/>
              <w:spacing w:line="240" w:lineRule="auto"/>
              <w:ind w:firstLine="0" w:firstLineChars="0"/>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18141177713</w:t>
            </w:r>
          </w:p>
        </w:tc>
        <w:tc>
          <w:tcPr>
            <w:tcW w:w="215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联系地址</w:t>
            </w:r>
          </w:p>
        </w:tc>
        <w:tc>
          <w:tcPr>
            <w:tcW w:w="2108" w:type="dxa"/>
            <w:shd w:val="clear" w:color="auto" w:fill="auto"/>
            <w:vAlign w:val="center"/>
          </w:tcPr>
          <w:p>
            <w:pPr>
              <w:widowControl/>
              <w:spacing w:line="240" w:lineRule="auto"/>
              <w:ind w:firstLine="0" w:firstLineChars="0"/>
              <w:jc w:val="center"/>
              <w:rPr>
                <w:rFonts w:hint="default" w:ascii="宋体" w:hAnsi="宋体" w:eastAsia="宋体" w:cs="宋体"/>
                <w:kern w:val="0"/>
                <w:sz w:val="21"/>
                <w:szCs w:val="21"/>
                <w:lang w:val="en-US" w:eastAsia="zh-CN"/>
              </w:rPr>
            </w:pPr>
            <w:r>
              <w:rPr>
                <w:rFonts w:hint="eastAsia" w:ascii="宋体" w:hAnsi="宋体" w:cs="宋体"/>
                <w:kern w:val="0"/>
                <w:sz w:val="21"/>
                <w:szCs w:val="21"/>
                <w:lang w:eastAsia="zh-CN"/>
              </w:rPr>
              <w:t>辽宁省大连市甘井子区海北路</w:t>
            </w:r>
            <w:r>
              <w:rPr>
                <w:rFonts w:hint="eastAsia" w:ascii="宋体" w:hAnsi="宋体" w:cs="宋体"/>
                <w:kern w:val="0"/>
                <w:sz w:val="21"/>
                <w:szCs w:val="21"/>
                <w:lang w:val="en-US" w:eastAsia="zh-CN"/>
              </w:rPr>
              <w:t>2华能(大连)热电有限责任公司</w:t>
            </w:r>
          </w:p>
        </w:tc>
      </w:tr>
    </w:tbl>
    <w:p>
      <w:pPr>
        <w:pStyle w:val="3"/>
        <w:spacing w:before="156"/>
      </w:pPr>
      <w:r>
        <w:rPr>
          <w:rFonts w:hint="eastAsia"/>
        </w:rPr>
        <w:t>七、</w:t>
      </w:r>
      <w:r>
        <w:t>附件</w:t>
      </w:r>
    </w:p>
    <w:p>
      <w:pPr>
        <w:pStyle w:val="3"/>
        <w:spacing w:before="156"/>
      </w:pPr>
      <w:r>
        <w:rPr>
          <w:rFonts w:ascii="宋体" w:hAnsi="宋体" w:cs="宋体"/>
          <w:szCs w:val="24"/>
        </w:rPr>
        <w:t>只接受供应商</w:t>
      </w:r>
      <w:r>
        <w:rPr>
          <w:rFonts w:hint="eastAsia" w:ascii="宋体" w:hAnsi="宋体" w:cs="宋体"/>
          <w:szCs w:val="24"/>
        </w:rPr>
        <w:t>通过电子商务平台线上对需要澄清的内容提出问询</w:t>
      </w:r>
      <w:r>
        <w:rPr>
          <w:rFonts w:hint="eastAsia"/>
        </w:rPr>
        <w:t>。</w:t>
      </w:r>
    </w:p>
    <w:p>
      <w:pPr>
        <w:pStyle w:val="3"/>
        <w:spacing w:before="156"/>
      </w:pPr>
      <w:r>
        <w:rPr>
          <w:rFonts w:hint="eastAsia"/>
        </w:rPr>
        <w:t>八、采购合同</w:t>
      </w:r>
    </w:p>
    <w:p>
      <w:pPr>
        <w:ind w:firstLine="0" w:firstLineChars="0"/>
        <w:jc w:val="center"/>
      </w:pPr>
    </w:p>
    <w:p>
      <w:pPr>
        <w:ind w:firstLine="640"/>
        <w:rPr>
          <w:rFonts w:ascii="黑体" w:hAnsi="黑体" w:eastAsia="黑体"/>
          <w:sz w:val="32"/>
          <w:szCs w:val="32"/>
        </w:rPr>
      </w:pPr>
      <w:r>
        <w:rPr>
          <w:rFonts w:ascii="黑体" w:hAnsi="黑体" w:eastAsia="黑体"/>
          <w:sz w:val="32"/>
          <w:szCs w:val="32"/>
        </w:rPr>
        <w:drawing>
          <wp:anchor distT="0" distB="0" distL="114300" distR="114300" simplePos="0" relativeHeight="251659264" behindDoc="0" locked="0" layoutInCell="1" allowOverlap="1">
            <wp:simplePos x="0" y="0"/>
            <wp:positionH relativeFrom="column">
              <wp:posOffset>3843020</wp:posOffset>
            </wp:positionH>
            <wp:positionV relativeFrom="paragraph">
              <wp:posOffset>128270</wp:posOffset>
            </wp:positionV>
            <wp:extent cx="1840230" cy="396875"/>
            <wp:effectExtent l="0" t="0" r="7620" b="3175"/>
            <wp:wrapSquare wrapText="bothSides"/>
            <wp:docPr id="1" name="图片 4" descr="说明: 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说明: 未标题-1副本"/>
                    <pic:cNvPicPr>
                      <a:picLocks noChangeAspect="1" noChangeArrowheads="1"/>
                    </pic:cNvPicPr>
                  </pic:nvPicPr>
                  <pic:blipFill>
                    <a:blip r:embed="rId14" cstate="print"/>
                    <a:srcRect/>
                    <a:stretch>
                      <a:fillRect/>
                    </a:stretch>
                  </pic:blipFill>
                  <pic:spPr>
                    <a:xfrm>
                      <a:off x="0" y="0"/>
                      <a:ext cx="1840230" cy="396875"/>
                    </a:xfrm>
                    <a:prstGeom prst="rect">
                      <a:avLst/>
                    </a:prstGeom>
                    <a:noFill/>
                    <a:ln w="9525">
                      <a:noFill/>
                      <a:miter lim="800000"/>
                      <a:headEnd/>
                      <a:tailEnd/>
                    </a:ln>
                  </pic:spPr>
                </pic:pic>
              </a:graphicData>
            </a:graphic>
          </wp:anchor>
        </w:drawing>
      </w:r>
      <w:r>
        <w:rPr>
          <w:rFonts w:ascii="黑体" w:hAnsi="黑体" w:eastAsia="黑体"/>
          <w:sz w:val="32"/>
          <w:szCs w:val="32"/>
        </w:rPr>
        <w:t xml:space="preserve"> </w:t>
      </w:r>
    </w:p>
    <w:p>
      <w:pPr>
        <w:ind w:firstLine="640"/>
        <w:jc w:val="left"/>
        <w:rPr>
          <w:rFonts w:ascii="黑体" w:hAnsi="黑体" w:eastAsia="黑体"/>
          <w:sz w:val="32"/>
          <w:szCs w:val="32"/>
        </w:rPr>
      </w:pPr>
    </w:p>
    <w:p>
      <w:pPr>
        <w:autoSpaceDE w:val="0"/>
        <w:autoSpaceDN w:val="0"/>
        <w:snapToGrid/>
        <w:spacing w:line="360" w:lineRule="auto"/>
        <w:ind w:firstLine="0" w:firstLineChars="0"/>
        <w:rPr>
          <w:rFonts w:ascii="宋体" w:hAnsi="宋体"/>
          <w:kern w:val="0"/>
          <w:sz w:val="28"/>
          <w:szCs w:val="28"/>
          <w:lang w:val="zh-CN"/>
        </w:rPr>
      </w:pPr>
      <w:r>
        <w:rPr>
          <w:rFonts w:hint="eastAsia" w:ascii="宋体" w:hAnsi="宋体"/>
          <w:kern w:val="0"/>
          <w:sz w:val="28"/>
          <w:szCs w:val="28"/>
          <w:lang w:val="zh-CN"/>
        </w:rPr>
        <w:t>买方合同编号：</w:t>
      </w:r>
    </w:p>
    <w:p>
      <w:pPr>
        <w:autoSpaceDE w:val="0"/>
        <w:autoSpaceDN w:val="0"/>
        <w:snapToGrid/>
        <w:spacing w:line="360" w:lineRule="auto"/>
        <w:ind w:firstLine="0" w:firstLineChars="0"/>
        <w:rPr>
          <w:rFonts w:ascii="宋体" w:hAnsi="宋体"/>
          <w:kern w:val="0"/>
          <w:sz w:val="28"/>
          <w:szCs w:val="28"/>
          <w:lang w:val="zh-CN"/>
        </w:rPr>
      </w:pPr>
      <w:r>
        <w:rPr>
          <w:rFonts w:hint="eastAsia" w:ascii="宋体" w:hAnsi="宋体"/>
          <w:kern w:val="0"/>
          <w:sz w:val="28"/>
          <w:szCs w:val="28"/>
          <w:lang w:val="zh-CN"/>
        </w:rPr>
        <w:t>卖方合同编号：</w:t>
      </w:r>
    </w:p>
    <w:p>
      <w:pPr>
        <w:ind w:firstLine="560"/>
        <w:rPr>
          <w:rFonts w:hAnsi="宋体"/>
          <w:sz w:val="28"/>
          <w:szCs w:val="28"/>
        </w:rPr>
      </w:pPr>
    </w:p>
    <w:p>
      <w:pPr>
        <w:autoSpaceDE w:val="0"/>
        <w:autoSpaceDN w:val="0"/>
        <w:spacing w:line="360" w:lineRule="auto"/>
        <w:ind w:firstLine="0" w:firstLineChars="0"/>
        <w:jc w:val="center"/>
        <w:rPr>
          <w:rFonts w:ascii="华文中宋" w:hAnsi="华文中宋" w:eastAsia="华文中宋"/>
          <w:kern w:val="0"/>
          <w:sz w:val="48"/>
          <w:szCs w:val="48"/>
          <w:lang w:val="zh-CN"/>
        </w:rPr>
      </w:pPr>
      <w:r>
        <w:rPr>
          <w:rFonts w:hint="eastAsia" w:ascii="华文中宋" w:hAnsi="华文中宋" w:eastAsia="华文中宋"/>
          <w:kern w:val="0"/>
          <w:sz w:val="48"/>
          <w:szCs w:val="48"/>
          <w:lang w:val="zh-CN"/>
        </w:rPr>
        <w:t>华能（大连）热电有限责任公司</w:t>
      </w:r>
      <w:r>
        <w:rPr>
          <w:rFonts w:hint="eastAsia" w:ascii="华文中宋" w:hAnsi="华文中宋" w:eastAsia="华文中宋"/>
          <w:kern w:val="0"/>
          <w:sz w:val="48"/>
          <w:szCs w:val="48"/>
          <w:lang w:val="en-US" w:eastAsia="zh-CN"/>
        </w:rPr>
        <w:t>**</w:t>
      </w:r>
      <w:r>
        <w:rPr>
          <w:rFonts w:hint="eastAsia" w:ascii="华文中宋" w:hAnsi="华文中宋" w:eastAsia="华文中宋"/>
          <w:kern w:val="0"/>
          <w:sz w:val="48"/>
          <w:szCs w:val="48"/>
          <w:lang w:val="zh-CN"/>
        </w:rPr>
        <w:t>采购项目</w:t>
      </w:r>
    </w:p>
    <w:p>
      <w:pPr>
        <w:autoSpaceDE w:val="0"/>
        <w:autoSpaceDN w:val="0"/>
        <w:spacing w:line="360" w:lineRule="auto"/>
        <w:ind w:firstLine="0" w:firstLineChars="0"/>
        <w:jc w:val="center"/>
        <w:rPr>
          <w:rFonts w:ascii="华文中宋" w:hAnsi="华文中宋" w:eastAsia="华文中宋"/>
          <w:kern w:val="0"/>
          <w:sz w:val="48"/>
          <w:szCs w:val="48"/>
          <w:lang w:val="zh-CN"/>
        </w:rPr>
      </w:pPr>
    </w:p>
    <w:p>
      <w:pPr>
        <w:autoSpaceDE w:val="0"/>
        <w:autoSpaceDN w:val="0"/>
        <w:snapToGrid/>
        <w:spacing w:line="360" w:lineRule="auto"/>
        <w:ind w:firstLine="0" w:firstLineChars="0"/>
        <w:jc w:val="center"/>
        <w:rPr>
          <w:rFonts w:ascii="黑体" w:hAnsi="黑体" w:eastAsia="黑体"/>
          <w:kern w:val="0"/>
          <w:sz w:val="84"/>
          <w:szCs w:val="84"/>
          <w:lang w:val="zh-CN"/>
        </w:rPr>
      </w:pPr>
      <w:r>
        <w:rPr>
          <w:rFonts w:hint="eastAsia" w:ascii="黑体" w:hAnsi="黑体" w:eastAsia="黑体"/>
          <w:kern w:val="0"/>
          <w:sz w:val="84"/>
          <w:szCs w:val="84"/>
          <w:lang w:val="zh-CN"/>
        </w:rPr>
        <w:t>采购合同</w:t>
      </w:r>
    </w:p>
    <w:p>
      <w:pPr>
        <w:ind w:firstLine="640"/>
        <w:jc w:val="center"/>
        <w:rPr>
          <w:rFonts w:hAnsi="宋体"/>
          <w:sz w:val="32"/>
          <w:szCs w:val="32"/>
        </w:rPr>
      </w:pPr>
    </w:p>
    <w:p>
      <w:pPr>
        <w:ind w:firstLine="640"/>
        <w:jc w:val="center"/>
        <w:rPr>
          <w:rFonts w:hAnsi="宋体"/>
          <w:sz w:val="32"/>
          <w:szCs w:val="32"/>
        </w:rPr>
      </w:pPr>
    </w:p>
    <w:p>
      <w:pPr>
        <w:ind w:firstLine="640"/>
        <w:jc w:val="center"/>
        <w:rPr>
          <w:rFonts w:hAnsi="宋体"/>
          <w:sz w:val="32"/>
          <w:szCs w:val="32"/>
        </w:rPr>
      </w:pPr>
    </w:p>
    <w:p>
      <w:pPr>
        <w:ind w:firstLine="640"/>
        <w:jc w:val="center"/>
        <w:rPr>
          <w:rFonts w:hAnsi="宋体"/>
          <w:sz w:val="32"/>
          <w:szCs w:val="32"/>
        </w:rPr>
      </w:pPr>
    </w:p>
    <w:p>
      <w:pPr>
        <w:ind w:firstLine="640"/>
        <w:rPr>
          <w:rFonts w:hAnsi="宋体"/>
          <w:sz w:val="32"/>
          <w:szCs w:val="32"/>
        </w:rPr>
      </w:pPr>
    </w:p>
    <w:tbl>
      <w:tblPr>
        <w:tblStyle w:val="13"/>
        <w:tblW w:w="6971" w:type="dxa"/>
        <w:jc w:val="center"/>
        <w:tblLayout w:type="fixed"/>
        <w:tblCellMar>
          <w:top w:w="0" w:type="dxa"/>
          <w:left w:w="108" w:type="dxa"/>
          <w:bottom w:w="0" w:type="dxa"/>
          <w:right w:w="108" w:type="dxa"/>
        </w:tblCellMar>
      </w:tblPr>
      <w:tblGrid>
        <w:gridCol w:w="2024"/>
        <w:gridCol w:w="334"/>
        <w:gridCol w:w="4613"/>
      </w:tblGrid>
      <w:tr>
        <w:tblPrEx>
          <w:tblCellMar>
            <w:top w:w="0" w:type="dxa"/>
            <w:left w:w="108" w:type="dxa"/>
            <w:bottom w:w="0" w:type="dxa"/>
            <w:right w:w="108" w:type="dxa"/>
          </w:tblCellMar>
        </w:tblPrEx>
        <w:trPr>
          <w:trHeight w:val="1174" w:hRule="exact"/>
          <w:jc w:val="center"/>
        </w:trPr>
        <w:tc>
          <w:tcPr>
            <w:tcW w:w="2024" w:type="dxa"/>
            <w:vAlign w:val="center"/>
          </w:tcPr>
          <w:p>
            <w:pPr>
              <w:ind w:firstLine="0" w:firstLineChars="0"/>
              <w:jc w:val="distribute"/>
              <w:rPr>
                <w:rFonts w:ascii="黑体" w:hAnsi="黑体" w:eastAsia="黑体"/>
                <w:spacing w:val="-20"/>
                <w:sz w:val="30"/>
                <w:szCs w:val="30"/>
              </w:rPr>
            </w:pPr>
            <w:r>
              <w:rPr>
                <w:rFonts w:hint="eastAsia" w:ascii="黑体" w:hAnsi="黑体" w:eastAsia="黑体"/>
                <w:spacing w:val="-20"/>
                <w:sz w:val="30"/>
                <w:szCs w:val="30"/>
              </w:rPr>
              <w:t>买方</w:t>
            </w:r>
          </w:p>
        </w:tc>
        <w:tc>
          <w:tcPr>
            <w:tcW w:w="334" w:type="dxa"/>
            <w:vAlign w:val="center"/>
          </w:tcPr>
          <w:p>
            <w:pPr>
              <w:ind w:firstLine="560"/>
              <w:jc w:val="distribute"/>
              <w:rPr>
                <w:rFonts w:hAnsi="宋体"/>
                <w:spacing w:val="-20"/>
                <w:sz w:val="32"/>
                <w:szCs w:val="32"/>
              </w:rPr>
            </w:pPr>
            <w:r>
              <w:rPr>
                <w:rFonts w:hint="eastAsia" w:hAnsi="宋体"/>
                <w:spacing w:val="-20"/>
                <w:sz w:val="32"/>
                <w:szCs w:val="32"/>
              </w:rPr>
              <w:t>：</w:t>
            </w:r>
          </w:p>
        </w:tc>
        <w:tc>
          <w:tcPr>
            <w:tcW w:w="4613" w:type="dxa"/>
            <w:vAlign w:val="center"/>
          </w:tcPr>
          <w:p>
            <w:pPr>
              <w:ind w:firstLine="0" w:firstLineChars="0"/>
              <w:jc w:val="distribute"/>
              <w:rPr>
                <w:rFonts w:ascii="华文中宋" w:hAnsi="华文中宋" w:eastAsia="华文中宋"/>
                <w:spacing w:val="-20"/>
                <w:sz w:val="32"/>
                <w:szCs w:val="32"/>
              </w:rPr>
            </w:pPr>
            <w:r>
              <w:rPr>
                <w:rFonts w:hint="eastAsia" w:ascii="华文中宋" w:hAnsi="华文中宋" w:eastAsia="华文中宋"/>
                <w:spacing w:val="-20"/>
                <w:sz w:val="32"/>
                <w:szCs w:val="32"/>
              </w:rPr>
              <w:t>华能（大连）热电有限责任公司</w:t>
            </w:r>
          </w:p>
        </w:tc>
      </w:tr>
      <w:tr>
        <w:tblPrEx>
          <w:tblCellMar>
            <w:top w:w="0" w:type="dxa"/>
            <w:left w:w="108" w:type="dxa"/>
            <w:bottom w:w="0" w:type="dxa"/>
            <w:right w:w="108" w:type="dxa"/>
          </w:tblCellMar>
        </w:tblPrEx>
        <w:trPr>
          <w:trHeight w:val="832" w:hRule="exact"/>
          <w:jc w:val="center"/>
        </w:trPr>
        <w:tc>
          <w:tcPr>
            <w:tcW w:w="2024" w:type="dxa"/>
            <w:vAlign w:val="center"/>
          </w:tcPr>
          <w:p>
            <w:pPr>
              <w:ind w:firstLine="0" w:firstLineChars="0"/>
              <w:jc w:val="distribute"/>
              <w:rPr>
                <w:rFonts w:ascii="黑体" w:hAnsi="黑体" w:eastAsia="黑体"/>
                <w:spacing w:val="-20"/>
                <w:sz w:val="30"/>
                <w:szCs w:val="30"/>
              </w:rPr>
            </w:pPr>
            <w:r>
              <w:rPr>
                <w:rFonts w:hint="eastAsia" w:ascii="黑体" w:hAnsi="黑体" w:eastAsia="黑体"/>
                <w:spacing w:val="-20"/>
                <w:sz w:val="30"/>
                <w:szCs w:val="30"/>
              </w:rPr>
              <w:t>卖方</w:t>
            </w:r>
          </w:p>
        </w:tc>
        <w:tc>
          <w:tcPr>
            <w:tcW w:w="334" w:type="dxa"/>
            <w:vAlign w:val="center"/>
          </w:tcPr>
          <w:p>
            <w:pPr>
              <w:ind w:firstLine="640"/>
              <w:jc w:val="distribute"/>
              <w:rPr>
                <w:rFonts w:hAnsi="宋体"/>
                <w:sz w:val="32"/>
                <w:szCs w:val="32"/>
              </w:rPr>
            </w:pPr>
            <w:r>
              <w:rPr>
                <w:rFonts w:hint="eastAsia" w:hAnsi="宋体"/>
                <w:sz w:val="32"/>
                <w:szCs w:val="32"/>
              </w:rPr>
              <w:t>：</w:t>
            </w:r>
          </w:p>
        </w:tc>
        <w:tc>
          <w:tcPr>
            <w:tcW w:w="4613" w:type="dxa"/>
            <w:vAlign w:val="center"/>
          </w:tcPr>
          <w:p>
            <w:pPr>
              <w:ind w:firstLine="0" w:firstLineChars="0"/>
              <w:jc w:val="distribute"/>
              <w:rPr>
                <w:rFonts w:hint="default" w:ascii="华文中宋" w:hAnsi="华文中宋" w:eastAsia="华文中宋"/>
                <w:sz w:val="32"/>
                <w:szCs w:val="32"/>
                <w:lang w:val="en-US" w:eastAsia="zh-CN"/>
              </w:rPr>
            </w:pPr>
            <w:r>
              <w:rPr>
                <w:rFonts w:hint="eastAsia" w:ascii="华文中宋" w:hAnsi="华文中宋" w:eastAsia="华文中宋"/>
                <w:sz w:val="32"/>
                <w:szCs w:val="32"/>
                <w:lang w:val="en-US" w:eastAsia="zh-CN"/>
              </w:rPr>
              <w:t>****</w:t>
            </w:r>
          </w:p>
        </w:tc>
      </w:tr>
    </w:tbl>
    <w:p>
      <w:pPr>
        <w:ind w:left="520" w:hanging="520" w:hangingChars="200"/>
        <w:jc w:val="center"/>
        <w:rPr>
          <w:rFonts w:ascii="黑体" w:hAnsi="黑体" w:eastAsia="黑体"/>
          <w:spacing w:val="-20"/>
          <w:sz w:val="30"/>
          <w:szCs w:val="30"/>
        </w:rPr>
      </w:pPr>
      <w:r>
        <w:rPr>
          <w:rFonts w:hint="eastAsia" w:ascii="黑体" w:hAnsi="黑体" w:eastAsia="黑体"/>
          <w:spacing w:val="-20"/>
          <w:sz w:val="30"/>
          <w:szCs w:val="30"/>
        </w:rPr>
        <w:t>20</w:t>
      </w:r>
      <w:r>
        <w:rPr>
          <w:rFonts w:hint="eastAsia" w:ascii="黑体" w:hAnsi="黑体" w:eastAsia="黑体"/>
          <w:spacing w:val="-20"/>
          <w:sz w:val="30"/>
          <w:szCs w:val="30"/>
          <w:lang w:val="en-US" w:eastAsia="zh-CN"/>
        </w:rPr>
        <w:t>23</w:t>
      </w:r>
      <w:r>
        <w:rPr>
          <w:rFonts w:hint="eastAsia" w:ascii="黑体" w:hAnsi="黑体" w:eastAsia="黑体"/>
          <w:spacing w:val="-20"/>
          <w:sz w:val="30"/>
          <w:szCs w:val="30"/>
        </w:rPr>
        <w:t>年</w:t>
      </w:r>
      <w:r>
        <w:rPr>
          <w:rFonts w:hint="eastAsia" w:ascii="黑体" w:hAnsi="黑体" w:eastAsia="黑体"/>
          <w:sz w:val="30"/>
          <w:szCs w:val="30"/>
          <w:lang w:val="en-US" w:eastAsia="zh-CN"/>
        </w:rPr>
        <w:t>*</w:t>
      </w:r>
      <w:r>
        <w:rPr>
          <w:rFonts w:hint="eastAsia" w:ascii="黑体" w:hAnsi="黑体" w:eastAsia="黑体"/>
          <w:spacing w:val="-20"/>
          <w:sz w:val="30"/>
          <w:szCs w:val="30"/>
        </w:rPr>
        <w:t>月</w:t>
      </w:r>
    </w:p>
    <w:p>
      <w:pPr>
        <w:ind w:firstLine="482"/>
        <w:rPr>
          <w:rFonts w:hAnsi="宋体"/>
          <w:b/>
          <w:szCs w:val="24"/>
        </w:rPr>
      </w:pPr>
    </w:p>
    <w:p>
      <w:pPr>
        <w:ind w:firstLine="482"/>
        <w:rPr>
          <w:rFonts w:hAnsi="宋体"/>
          <w:b/>
          <w:szCs w:val="24"/>
        </w:rPr>
      </w:pPr>
    </w:p>
    <w:p>
      <w:pPr>
        <w:ind w:firstLine="482"/>
        <w:rPr>
          <w:rFonts w:hAnsi="宋体"/>
          <w:b/>
          <w:szCs w:val="24"/>
        </w:rPr>
      </w:pPr>
    </w:p>
    <w:p>
      <w:pPr>
        <w:ind w:firstLine="482"/>
        <w:jc w:val="center"/>
        <w:rPr>
          <w:rFonts w:hAnsi="宋体"/>
          <w:b/>
          <w:szCs w:val="24"/>
        </w:rPr>
      </w:pPr>
    </w:p>
    <w:p>
      <w:pPr>
        <w:ind w:firstLine="482"/>
        <w:jc w:val="center"/>
        <w:rPr>
          <w:rFonts w:hAnsi="宋体"/>
          <w:b/>
          <w:szCs w:val="24"/>
        </w:rPr>
      </w:pPr>
    </w:p>
    <w:p>
      <w:pPr>
        <w:ind w:firstLine="482"/>
        <w:jc w:val="center"/>
        <w:rPr>
          <w:rFonts w:hAnsi="宋体"/>
          <w:b/>
          <w:szCs w:val="24"/>
        </w:rPr>
      </w:pPr>
      <w:r>
        <w:rPr>
          <w:rFonts w:hint="eastAsia" w:hAnsi="宋体"/>
          <w:b/>
          <w:szCs w:val="24"/>
        </w:rPr>
        <w:t>华能（大连）热电有限责任公司</w:t>
      </w:r>
      <w:r>
        <w:rPr>
          <w:rFonts w:hint="eastAsia" w:hAnsi="宋体"/>
          <w:b/>
          <w:szCs w:val="24"/>
          <w:lang w:val="en-US" w:eastAsia="zh-CN"/>
        </w:rPr>
        <w:t>**</w:t>
      </w:r>
      <w:r>
        <w:rPr>
          <w:rFonts w:hint="eastAsia" w:hAnsi="宋体"/>
          <w:b/>
          <w:szCs w:val="24"/>
        </w:rPr>
        <w:t>采购</w:t>
      </w:r>
    </w:p>
    <w:p>
      <w:pPr>
        <w:ind w:firstLine="482"/>
        <w:jc w:val="center"/>
        <w:rPr>
          <w:rFonts w:hAnsi="宋体"/>
          <w:b/>
          <w:szCs w:val="24"/>
        </w:rPr>
      </w:pPr>
      <w:r>
        <w:rPr>
          <w:rFonts w:hAnsi="宋体"/>
          <w:b/>
          <w:szCs w:val="24"/>
        </w:rPr>
        <w:t>合同</w:t>
      </w:r>
    </w:p>
    <w:p>
      <w:pPr>
        <w:ind w:firstLine="480"/>
        <w:rPr>
          <w:rFonts w:ascii="Arial" w:hAnsi="Arial" w:cs="Arial"/>
        </w:rPr>
      </w:pPr>
    </w:p>
    <w:p>
      <w:pPr>
        <w:ind w:firstLine="480"/>
        <w:rPr>
          <w:rFonts w:hAnsi="宋体"/>
          <w:sz w:val="28"/>
          <w:szCs w:val="28"/>
        </w:rPr>
      </w:pPr>
      <w:r>
        <w:rPr>
          <w:rFonts w:ascii="Arial" w:hAnsi="Arial" w:cs="Arial"/>
        </w:rPr>
        <w:t>合同编号：</w:t>
      </w:r>
    </w:p>
    <w:p>
      <w:pPr>
        <w:ind w:firstLine="480"/>
        <w:rPr>
          <w:rFonts w:ascii="Arial" w:hAnsi="Arial" w:cs="Arial"/>
        </w:rPr>
      </w:pPr>
      <w:r>
        <w:rPr>
          <w:rFonts w:ascii="Arial" w:hAnsi="Arial" w:cs="Arial"/>
        </w:rPr>
        <w:t>签订日期及地点：</w:t>
      </w:r>
      <w:r>
        <w:rPr>
          <w:rFonts w:hint="eastAsia" w:ascii="Arial" w:hAnsi="Arial" w:cs="Arial"/>
          <w:lang w:val="en-US" w:eastAsia="zh-CN"/>
        </w:rPr>
        <w:t>****</w:t>
      </w:r>
      <w:r>
        <w:rPr>
          <w:rFonts w:ascii="Arial" w:hAnsi="Arial" w:cs="Arial"/>
        </w:rPr>
        <w:t>年</w:t>
      </w:r>
      <w:r>
        <w:rPr>
          <w:rFonts w:hint="eastAsia" w:ascii="Arial" w:hAnsi="Arial" w:cs="Arial"/>
          <w:lang w:val="en-US" w:eastAsia="zh-CN"/>
        </w:rPr>
        <w:t>**</w:t>
      </w:r>
      <w:r>
        <w:rPr>
          <w:rFonts w:ascii="Arial" w:hAnsi="Arial" w:cs="Arial"/>
        </w:rPr>
        <w:t>月</w:t>
      </w:r>
      <w:r>
        <w:rPr>
          <w:rFonts w:hint="eastAsia" w:ascii="Arial" w:hAnsi="Arial" w:cs="Arial"/>
          <w:lang w:val="en-US" w:eastAsia="zh-CN"/>
        </w:rPr>
        <w:t>**</w:t>
      </w:r>
      <w:r>
        <w:rPr>
          <w:rFonts w:ascii="Arial" w:hAnsi="Arial" w:cs="Arial"/>
        </w:rPr>
        <w:t>日，于</w:t>
      </w:r>
      <w:r>
        <w:rPr>
          <w:rFonts w:hint="eastAsia" w:ascii="Arial" w:hAnsi="Arial" w:cs="Arial"/>
        </w:rPr>
        <w:t>大连。</w:t>
      </w:r>
    </w:p>
    <w:p>
      <w:pPr>
        <w:ind w:firstLine="480"/>
      </w:pPr>
      <w:r>
        <w:rPr>
          <w:rFonts w:ascii="Arial" w:hAnsi="Arial" w:cs="Arial"/>
        </w:rPr>
        <w:t>合同双方：</w:t>
      </w:r>
      <w:r>
        <w:rPr>
          <w:rFonts w:hint="eastAsia"/>
        </w:rPr>
        <w:t>华能（大连）热电有限责任公司</w:t>
      </w:r>
      <w:r>
        <w:t>（以下简称买方）为一方；</w:t>
      </w:r>
    </w:p>
    <w:p>
      <w:pPr>
        <w:ind w:firstLine="1680" w:firstLineChars="700"/>
      </w:pPr>
      <w:r>
        <w:rPr>
          <w:rFonts w:hint="eastAsia"/>
          <w:lang w:val="en-US" w:eastAsia="zh-CN"/>
        </w:rPr>
        <w:t>**</w:t>
      </w:r>
      <w:r>
        <w:t>为另一方；</w:t>
      </w:r>
    </w:p>
    <w:p>
      <w:pPr>
        <w:ind w:firstLine="480"/>
        <w:jc w:val="center"/>
      </w:pPr>
      <w:r>
        <w:rPr>
          <w:rFonts w:ascii="Arial" w:hAnsi="Arial" w:cs="Arial"/>
        </w:rPr>
        <w:t>以上双方同意由卖方出售，买方购买本合同列明</w:t>
      </w:r>
      <w:r>
        <w:rPr>
          <w:rFonts w:hint="eastAsia" w:ascii="Arial" w:hAnsi="Arial" w:cs="Arial"/>
        </w:rPr>
        <w:t>的华能（大连）热电有限责任公司</w:t>
      </w:r>
      <w:r>
        <w:rPr>
          <w:rFonts w:hint="eastAsia" w:ascii="Arial" w:hAnsi="Arial" w:cs="Arial"/>
          <w:lang w:val="en-US" w:eastAsia="zh-CN"/>
        </w:rPr>
        <w:t>**</w:t>
      </w:r>
      <w:r>
        <w:rPr>
          <w:rFonts w:ascii="Arial" w:hAnsi="Arial" w:cs="Arial"/>
        </w:rPr>
        <w:t>和技术服务，并签订合同如下：</w:t>
      </w:r>
    </w:p>
    <w:p>
      <w:pPr>
        <w:adjustRightInd/>
        <w:ind w:left="480" w:hanging="480" w:hangingChars="200"/>
        <w:jc w:val="center"/>
        <w:rPr>
          <w:rFonts w:hAnsi="宋体"/>
          <w:b/>
          <w:sz w:val="36"/>
          <w:szCs w:val="36"/>
        </w:rPr>
      </w:pPr>
      <w:r>
        <w:rPr>
          <w:rFonts w:ascii="Arial" w:hAnsi="Arial" w:cs="Arial"/>
        </w:rPr>
        <w:br w:type="page"/>
      </w:r>
      <w:r>
        <w:rPr>
          <w:rFonts w:hint="eastAsia" w:hAnsi="宋体"/>
          <w:b/>
          <w:sz w:val="36"/>
          <w:szCs w:val="36"/>
        </w:rPr>
        <w:t>目   录</w:t>
      </w:r>
    </w:p>
    <w:p>
      <w:pPr>
        <w:pStyle w:val="9"/>
        <w:ind w:firstLine="600"/>
        <w:rPr>
          <w:rFonts w:ascii="Calibri" w:hAnsi="Calibri"/>
          <w:bCs/>
          <w:caps/>
          <w:sz w:val="21"/>
          <w:szCs w:val="22"/>
        </w:rPr>
      </w:pPr>
      <w:r>
        <w:rPr>
          <w:rFonts w:ascii="黑体" w:hAnsi="黑体" w:eastAsia="黑体"/>
          <w:bCs/>
          <w:caps/>
          <w:sz w:val="30"/>
          <w:szCs w:val="30"/>
        </w:rPr>
        <w:fldChar w:fldCharType="begin"/>
      </w:r>
      <w:r>
        <w:rPr>
          <w:rFonts w:ascii="黑体" w:hAnsi="黑体" w:eastAsia="黑体"/>
          <w:sz w:val="30"/>
          <w:szCs w:val="30"/>
        </w:rPr>
        <w:instrText xml:space="preserve"> TOC \o "1-3" \h \z \u </w:instrText>
      </w:r>
      <w:r>
        <w:rPr>
          <w:rFonts w:ascii="黑体" w:hAnsi="黑体" w:eastAsia="黑体"/>
          <w:bCs/>
          <w:caps/>
          <w:sz w:val="30"/>
          <w:szCs w:val="30"/>
        </w:rPr>
        <w:fldChar w:fldCharType="separate"/>
      </w:r>
      <w:r>
        <w:fldChar w:fldCharType="begin"/>
      </w:r>
      <w:r>
        <w:instrText xml:space="preserve"> HYPERLINK \l "_Toc479858080" </w:instrText>
      </w:r>
      <w:r>
        <w:fldChar w:fldCharType="separate"/>
      </w:r>
      <w:r>
        <w:rPr>
          <w:rStyle w:val="16"/>
          <w:rFonts w:hint="eastAsia"/>
          <w:b/>
        </w:rPr>
        <w:t>定义</w:t>
      </w:r>
      <w:r>
        <w:tab/>
      </w:r>
      <w:r>
        <w:fldChar w:fldCharType="begin"/>
      </w:r>
      <w:r>
        <w:instrText xml:space="preserve"> PAGEREF _Toc479858080 \h </w:instrText>
      </w:r>
      <w:r>
        <w:fldChar w:fldCharType="separate"/>
      </w:r>
      <w:r>
        <w:t>4</w:t>
      </w:r>
      <w:r>
        <w:fldChar w:fldCharType="end"/>
      </w:r>
      <w:r>
        <w:fldChar w:fldCharType="end"/>
      </w:r>
    </w:p>
    <w:p>
      <w:pPr>
        <w:pStyle w:val="9"/>
        <w:ind w:firstLine="480"/>
        <w:rPr>
          <w:rFonts w:ascii="Calibri" w:hAnsi="Calibri"/>
          <w:bCs/>
          <w:caps/>
          <w:sz w:val="21"/>
          <w:szCs w:val="22"/>
        </w:rPr>
      </w:pPr>
      <w:r>
        <w:fldChar w:fldCharType="begin"/>
      </w:r>
      <w:r>
        <w:instrText xml:space="preserve"> HYPERLINK \l "_Toc479858081" </w:instrText>
      </w:r>
      <w:r>
        <w:fldChar w:fldCharType="separate"/>
      </w:r>
      <w:r>
        <w:rPr>
          <w:rStyle w:val="16"/>
          <w:rFonts w:hint="eastAsia"/>
          <w:b/>
        </w:rPr>
        <w:t>第一章合同标的</w:t>
      </w:r>
      <w:r>
        <w:tab/>
      </w:r>
      <w:r>
        <w:fldChar w:fldCharType="begin"/>
      </w:r>
      <w:r>
        <w:instrText xml:space="preserve"> PAGEREF _Toc479858081 \h </w:instrText>
      </w:r>
      <w:r>
        <w:fldChar w:fldCharType="separate"/>
      </w:r>
      <w:r>
        <w:t>5</w:t>
      </w:r>
      <w:r>
        <w:fldChar w:fldCharType="end"/>
      </w:r>
      <w:r>
        <w:fldChar w:fldCharType="end"/>
      </w:r>
    </w:p>
    <w:p>
      <w:pPr>
        <w:pStyle w:val="9"/>
        <w:ind w:firstLine="480"/>
        <w:rPr>
          <w:rFonts w:ascii="Calibri" w:hAnsi="Calibri"/>
          <w:bCs/>
          <w:caps/>
          <w:sz w:val="21"/>
          <w:szCs w:val="22"/>
        </w:rPr>
      </w:pPr>
      <w:r>
        <w:fldChar w:fldCharType="begin"/>
      </w:r>
      <w:r>
        <w:instrText xml:space="preserve"> HYPERLINK \l "_Toc479858082" </w:instrText>
      </w:r>
      <w:r>
        <w:fldChar w:fldCharType="separate"/>
      </w:r>
      <w:r>
        <w:rPr>
          <w:rStyle w:val="16"/>
          <w:rFonts w:hint="eastAsia"/>
          <w:b/>
        </w:rPr>
        <w:t>第二章价格</w:t>
      </w:r>
      <w:r>
        <w:tab/>
      </w:r>
      <w:r>
        <w:fldChar w:fldCharType="begin"/>
      </w:r>
      <w:r>
        <w:instrText xml:space="preserve"> PAGEREF _Toc479858082 \h </w:instrText>
      </w:r>
      <w:r>
        <w:fldChar w:fldCharType="separate"/>
      </w:r>
      <w:r>
        <w:t>7</w:t>
      </w:r>
      <w:r>
        <w:fldChar w:fldCharType="end"/>
      </w:r>
      <w:r>
        <w:fldChar w:fldCharType="end"/>
      </w:r>
    </w:p>
    <w:p>
      <w:pPr>
        <w:pStyle w:val="9"/>
        <w:ind w:firstLine="480"/>
        <w:rPr>
          <w:rFonts w:ascii="Calibri" w:hAnsi="Calibri"/>
          <w:bCs/>
          <w:caps/>
          <w:sz w:val="21"/>
          <w:szCs w:val="22"/>
        </w:rPr>
      </w:pPr>
      <w:r>
        <w:fldChar w:fldCharType="begin"/>
      </w:r>
      <w:r>
        <w:instrText xml:space="preserve"> HYPERLINK \l "_Toc479858083" </w:instrText>
      </w:r>
      <w:r>
        <w:fldChar w:fldCharType="separate"/>
      </w:r>
      <w:r>
        <w:rPr>
          <w:rStyle w:val="16"/>
          <w:rFonts w:hint="eastAsia"/>
          <w:b/>
        </w:rPr>
        <w:t>第三章支付与支付条件</w:t>
      </w:r>
      <w:r>
        <w:tab/>
      </w:r>
      <w:r>
        <w:fldChar w:fldCharType="begin"/>
      </w:r>
      <w:r>
        <w:instrText xml:space="preserve"> PAGEREF _Toc479858083 \h </w:instrText>
      </w:r>
      <w:r>
        <w:fldChar w:fldCharType="separate"/>
      </w:r>
      <w:r>
        <w:t>8</w:t>
      </w:r>
      <w:r>
        <w:fldChar w:fldCharType="end"/>
      </w:r>
      <w:r>
        <w:fldChar w:fldCharType="end"/>
      </w:r>
    </w:p>
    <w:p>
      <w:pPr>
        <w:pStyle w:val="9"/>
        <w:ind w:firstLine="480"/>
        <w:rPr>
          <w:rFonts w:ascii="Calibri" w:hAnsi="Calibri"/>
          <w:bCs/>
          <w:caps/>
          <w:sz w:val="21"/>
          <w:szCs w:val="22"/>
        </w:rPr>
      </w:pPr>
      <w:r>
        <w:fldChar w:fldCharType="begin"/>
      </w:r>
      <w:r>
        <w:instrText xml:space="preserve"> HYPERLINK \l "_Toc479858084" </w:instrText>
      </w:r>
      <w:r>
        <w:fldChar w:fldCharType="separate"/>
      </w:r>
      <w:r>
        <w:rPr>
          <w:rStyle w:val="16"/>
          <w:rFonts w:hint="eastAsia"/>
          <w:b/>
        </w:rPr>
        <w:t>第四章交货与交货条件</w:t>
      </w:r>
      <w:r>
        <w:tab/>
      </w:r>
      <w:r>
        <w:fldChar w:fldCharType="begin"/>
      </w:r>
      <w:r>
        <w:instrText xml:space="preserve"> PAGEREF _Toc479858084 \h </w:instrText>
      </w:r>
      <w:r>
        <w:fldChar w:fldCharType="separate"/>
      </w:r>
      <w:r>
        <w:t>10</w:t>
      </w:r>
      <w:r>
        <w:fldChar w:fldCharType="end"/>
      </w:r>
      <w:r>
        <w:fldChar w:fldCharType="end"/>
      </w:r>
    </w:p>
    <w:p>
      <w:pPr>
        <w:pStyle w:val="9"/>
        <w:ind w:firstLine="480"/>
        <w:rPr>
          <w:rFonts w:ascii="Calibri" w:hAnsi="Calibri"/>
          <w:bCs/>
          <w:caps/>
          <w:sz w:val="21"/>
          <w:szCs w:val="22"/>
        </w:rPr>
      </w:pPr>
      <w:r>
        <w:fldChar w:fldCharType="begin"/>
      </w:r>
      <w:r>
        <w:instrText xml:space="preserve"> HYPERLINK \l "_Toc479858085" </w:instrText>
      </w:r>
      <w:r>
        <w:fldChar w:fldCharType="separate"/>
      </w:r>
      <w:r>
        <w:rPr>
          <w:rStyle w:val="16"/>
          <w:rFonts w:hint="eastAsia"/>
          <w:b/>
        </w:rPr>
        <w:t>第五章包装与标记</w:t>
      </w:r>
      <w:r>
        <w:tab/>
      </w:r>
      <w:r>
        <w:fldChar w:fldCharType="begin"/>
      </w:r>
      <w:r>
        <w:instrText xml:space="preserve"> PAGEREF _Toc479858085 \h </w:instrText>
      </w:r>
      <w:r>
        <w:fldChar w:fldCharType="separate"/>
      </w:r>
      <w:r>
        <w:t>11</w:t>
      </w:r>
      <w:r>
        <w:fldChar w:fldCharType="end"/>
      </w:r>
      <w:r>
        <w:fldChar w:fldCharType="end"/>
      </w:r>
    </w:p>
    <w:p>
      <w:pPr>
        <w:pStyle w:val="9"/>
        <w:ind w:firstLine="480"/>
        <w:rPr>
          <w:rFonts w:ascii="Calibri" w:hAnsi="Calibri"/>
          <w:bCs/>
          <w:caps/>
          <w:sz w:val="21"/>
          <w:szCs w:val="22"/>
        </w:rPr>
      </w:pPr>
      <w:r>
        <w:fldChar w:fldCharType="begin"/>
      </w:r>
      <w:r>
        <w:instrText xml:space="preserve"> HYPERLINK \l "_Toc479858086" </w:instrText>
      </w:r>
      <w:r>
        <w:fldChar w:fldCharType="separate"/>
      </w:r>
      <w:r>
        <w:rPr>
          <w:rStyle w:val="16"/>
          <w:rFonts w:hint="eastAsia"/>
          <w:b/>
        </w:rPr>
        <w:t>第六章技术服务、技术指导和联络</w:t>
      </w:r>
      <w:r>
        <w:tab/>
      </w:r>
      <w:r>
        <w:fldChar w:fldCharType="begin"/>
      </w:r>
      <w:r>
        <w:instrText xml:space="preserve"> PAGEREF _Toc479858086 \h </w:instrText>
      </w:r>
      <w:r>
        <w:fldChar w:fldCharType="separate"/>
      </w:r>
      <w:r>
        <w:t>12</w:t>
      </w:r>
      <w:r>
        <w:fldChar w:fldCharType="end"/>
      </w:r>
      <w:r>
        <w:fldChar w:fldCharType="end"/>
      </w:r>
    </w:p>
    <w:p>
      <w:pPr>
        <w:pStyle w:val="9"/>
        <w:ind w:firstLine="480"/>
        <w:rPr>
          <w:rFonts w:ascii="Calibri" w:hAnsi="Calibri"/>
          <w:bCs/>
          <w:caps/>
          <w:sz w:val="21"/>
          <w:szCs w:val="22"/>
        </w:rPr>
      </w:pPr>
      <w:r>
        <w:fldChar w:fldCharType="begin"/>
      </w:r>
      <w:r>
        <w:instrText xml:space="preserve"> HYPERLINK \l "_Toc479858087" </w:instrText>
      </w:r>
      <w:r>
        <w:fldChar w:fldCharType="separate"/>
      </w:r>
      <w:r>
        <w:rPr>
          <w:rStyle w:val="16"/>
          <w:rFonts w:hint="eastAsia"/>
          <w:b/>
        </w:rPr>
        <w:t>第七章标准与检验</w:t>
      </w:r>
      <w:r>
        <w:tab/>
      </w:r>
      <w:r>
        <w:fldChar w:fldCharType="begin"/>
      </w:r>
      <w:r>
        <w:instrText xml:space="preserve"> PAGEREF _Toc479858087 \h </w:instrText>
      </w:r>
      <w:r>
        <w:fldChar w:fldCharType="separate"/>
      </w:r>
      <w:r>
        <w:t>14</w:t>
      </w:r>
      <w:r>
        <w:fldChar w:fldCharType="end"/>
      </w:r>
      <w:r>
        <w:fldChar w:fldCharType="end"/>
      </w:r>
    </w:p>
    <w:p>
      <w:pPr>
        <w:pStyle w:val="9"/>
        <w:ind w:firstLine="480"/>
        <w:rPr>
          <w:rFonts w:ascii="Calibri" w:hAnsi="Calibri"/>
          <w:bCs/>
          <w:caps/>
          <w:sz w:val="21"/>
          <w:szCs w:val="22"/>
        </w:rPr>
      </w:pPr>
      <w:r>
        <w:fldChar w:fldCharType="begin"/>
      </w:r>
      <w:r>
        <w:instrText xml:space="preserve"> HYPERLINK \l "_Toc479858088" </w:instrText>
      </w:r>
      <w:r>
        <w:fldChar w:fldCharType="separate"/>
      </w:r>
      <w:r>
        <w:rPr>
          <w:rStyle w:val="16"/>
          <w:rFonts w:hint="eastAsia"/>
          <w:b/>
        </w:rPr>
        <w:t>第八章安装、调试、试运行、性能考核试验和验收</w:t>
      </w:r>
      <w:r>
        <w:tab/>
      </w:r>
      <w:r>
        <w:fldChar w:fldCharType="begin"/>
      </w:r>
      <w:r>
        <w:instrText xml:space="preserve"> PAGEREF _Toc479858088 \h </w:instrText>
      </w:r>
      <w:r>
        <w:fldChar w:fldCharType="separate"/>
      </w:r>
      <w:r>
        <w:t>16</w:t>
      </w:r>
      <w:r>
        <w:fldChar w:fldCharType="end"/>
      </w:r>
      <w:r>
        <w:fldChar w:fldCharType="end"/>
      </w:r>
    </w:p>
    <w:p>
      <w:pPr>
        <w:pStyle w:val="9"/>
        <w:ind w:firstLine="480"/>
        <w:rPr>
          <w:rFonts w:ascii="Calibri" w:hAnsi="Calibri"/>
          <w:bCs/>
          <w:caps/>
          <w:sz w:val="21"/>
          <w:szCs w:val="22"/>
        </w:rPr>
      </w:pPr>
      <w:r>
        <w:fldChar w:fldCharType="begin"/>
      </w:r>
      <w:r>
        <w:instrText xml:space="preserve"> HYPERLINK \l "_Toc479858089" </w:instrText>
      </w:r>
      <w:r>
        <w:fldChar w:fldCharType="separate"/>
      </w:r>
      <w:r>
        <w:rPr>
          <w:rStyle w:val="16"/>
          <w:rFonts w:hint="eastAsia"/>
          <w:b/>
        </w:rPr>
        <w:t>第九章保证、索赔与罚款</w:t>
      </w:r>
      <w:r>
        <w:tab/>
      </w:r>
      <w:r>
        <w:fldChar w:fldCharType="begin"/>
      </w:r>
      <w:r>
        <w:instrText xml:space="preserve"> PAGEREF _Toc479858089 \h </w:instrText>
      </w:r>
      <w:r>
        <w:fldChar w:fldCharType="separate"/>
      </w:r>
      <w:r>
        <w:t>18</w:t>
      </w:r>
      <w:r>
        <w:fldChar w:fldCharType="end"/>
      </w:r>
      <w:r>
        <w:fldChar w:fldCharType="end"/>
      </w:r>
    </w:p>
    <w:p>
      <w:pPr>
        <w:pStyle w:val="9"/>
        <w:ind w:firstLine="480"/>
        <w:rPr>
          <w:rFonts w:ascii="Calibri" w:hAnsi="Calibri"/>
          <w:bCs/>
          <w:caps/>
          <w:sz w:val="21"/>
          <w:szCs w:val="22"/>
        </w:rPr>
      </w:pPr>
      <w:r>
        <w:fldChar w:fldCharType="begin"/>
      </w:r>
      <w:r>
        <w:instrText xml:space="preserve"> HYPERLINK \l "_Toc479858090" </w:instrText>
      </w:r>
      <w:r>
        <w:fldChar w:fldCharType="separate"/>
      </w:r>
      <w:r>
        <w:rPr>
          <w:rStyle w:val="16"/>
          <w:rFonts w:hint="eastAsia"/>
          <w:b/>
        </w:rPr>
        <w:t>第十章保险</w:t>
      </w:r>
      <w:r>
        <w:tab/>
      </w:r>
      <w:r>
        <w:fldChar w:fldCharType="begin"/>
      </w:r>
      <w:r>
        <w:instrText xml:space="preserve"> PAGEREF _Toc479858090 \h </w:instrText>
      </w:r>
      <w:r>
        <w:fldChar w:fldCharType="separate"/>
      </w:r>
      <w:r>
        <w:t>21</w:t>
      </w:r>
      <w:r>
        <w:fldChar w:fldCharType="end"/>
      </w:r>
      <w:r>
        <w:fldChar w:fldCharType="end"/>
      </w:r>
    </w:p>
    <w:p>
      <w:pPr>
        <w:pStyle w:val="9"/>
        <w:ind w:firstLine="480"/>
        <w:rPr>
          <w:rFonts w:ascii="Calibri" w:hAnsi="Calibri"/>
          <w:bCs/>
          <w:caps/>
          <w:sz w:val="21"/>
          <w:szCs w:val="22"/>
        </w:rPr>
      </w:pPr>
      <w:r>
        <w:fldChar w:fldCharType="begin"/>
      </w:r>
      <w:r>
        <w:instrText xml:space="preserve"> HYPERLINK \l "_Toc479858091" </w:instrText>
      </w:r>
      <w:r>
        <w:fldChar w:fldCharType="separate"/>
      </w:r>
      <w:r>
        <w:rPr>
          <w:rStyle w:val="16"/>
          <w:rFonts w:hint="eastAsia"/>
          <w:b/>
        </w:rPr>
        <w:t>第十一章不可抗力</w:t>
      </w:r>
      <w:r>
        <w:tab/>
      </w:r>
      <w:r>
        <w:fldChar w:fldCharType="begin"/>
      </w:r>
      <w:r>
        <w:instrText xml:space="preserve"> PAGEREF _Toc479858091 \h </w:instrText>
      </w:r>
      <w:r>
        <w:fldChar w:fldCharType="separate"/>
      </w:r>
      <w:r>
        <w:t>22</w:t>
      </w:r>
      <w:r>
        <w:fldChar w:fldCharType="end"/>
      </w:r>
      <w:r>
        <w:fldChar w:fldCharType="end"/>
      </w:r>
    </w:p>
    <w:p>
      <w:pPr>
        <w:pStyle w:val="9"/>
        <w:ind w:firstLine="480"/>
        <w:rPr>
          <w:rFonts w:ascii="Calibri" w:hAnsi="Calibri"/>
          <w:bCs/>
          <w:caps/>
          <w:sz w:val="21"/>
          <w:szCs w:val="22"/>
        </w:rPr>
      </w:pPr>
      <w:r>
        <w:fldChar w:fldCharType="begin"/>
      </w:r>
      <w:r>
        <w:instrText xml:space="preserve"> HYPERLINK \l "_Toc479858092" </w:instrText>
      </w:r>
      <w:r>
        <w:fldChar w:fldCharType="separate"/>
      </w:r>
      <w:r>
        <w:rPr>
          <w:rStyle w:val="16"/>
          <w:rFonts w:hint="eastAsia"/>
          <w:b/>
        </w:rPr>
        <w:t>第十二章税费</w:t>
      </w:r>
      <w:r>
        <w:tab/>
      </w:r>
      <w:r>
        <w:fldChar w:fldCharType="begin"/>
      </w:r>
      <w:r>
        <w:instrText xml:space="preserve"> PAGEREF _Toc479858092 \h </w:instrText>
      </w:r>
      <w:r>
        <w:fldChar w:fldCharType="separate"/>
      </w:r>
      <w:r>
        <w:t>23</w:t>
      </w:r>
      <w:r>
        <w:fldChar w:fldCharType="end"/>
      </w:r>
      <w:r>
        <w:fldChar w:fldCharType="end"/>
      </w:r>
    </w:p>
    <w:p>
      <w:pPr>
        <w:pStyle w:val="9"/>
        <w:ind w:firstLine="480"/>
        <w:rPr>
          <w:rFonts w:ascii="Calibri" w:hAnsi="Calibri"/>
          <w:bCs/>
          <w:caps/>
          <w:sz w:val="21"/>
          <w:szCs w:val="22"/>
        </w:rPr>
      </w:pPr>
      <w:r>
        <w:fldChar w:fldCharType="begin"/>
      </w:r>
      <w:r>
        <w:instrText xml:space="preserve"> HYPERLINK \l "_Toc479858093" </w:instrText>
      </w:r>
      <w:r>
        <w:fldChar w:fldCharType="separate"/>
      </w:r>
      <w:r>
        <w:rPr>
          <w:rStyle w:val="16"/>
          <w:rFonts w:hint="eastAsia"/>
          <w:b/>
        </w:rPr>
        <w:t>第十三章仲裁</w:t>
      </w:r>
      <w:r>
        <w:tab/>
      </w:r>
      <w:r>
        <w:fldChar w:fldCharType="begin"/>
      </w:r>
      <w:r>
        <w:instrText xml:space="preserve"> PAGEREF _Toc479858093 \h </w:instrText>
      </w:r>
      <w:r>
        <w:fldChar w:fldCharType="separate"/>
      </w:r>
      <w:r>
        <w:t>24</w:t>
      </w:r>
      <w:r>
        <w:fldChar w:fldCharType="end"/>
      </w:r>
      <w:r>
        <w:fldChar w:fldCharType="end"/>
      </w:r>
    </w:p>
    <w:p>
      <w:pPr>
        <w:pStyle w:val="9"/>
        <w:ind w:firstLine="480"/>
        <w:rPr>
          <w:rFonts w:ascii="Calibri" w:hAnsi="Calibri"/>
          <w:bCs/>
          <w:caps/>
          <w:sz w:val="21"/>
          <w:szCs w:val="22"/>
        </w:rPr>
      </w:pPr>
      <w:r>
        <w:fldChar w:fldCharType="begin"/>
      </w:r>
      <w:r>
        <w:instrText xml:space="preserve"> HYPERLINK \l "_Toc479858094" </w:instrText>
      </w:r>
      <w:r>
        <w:fldChar w:fldCharType="separate"/>
      </w:r>
      <w:r>
        <w:rPr>
          <w:rStyle w:val="16"/>
          <w:rFonts w:hint="eastAsia"/>
          <w:b/>
        </w:rPr>
        <w:t>第十四章合同生效、变更、暂停、终止及其它</w:t>
      </w:r>
      <w:r>
        <w:tab/>
      </w:r>
      <w:r>
        <w:fldChar w:fldCharType="begin"/>
      </w:r>
      <w:r>
        <w:instrText xml:space="preserve"> PAGEREF _Toc479858094 \h </w:instrText>
      </w:r>
      <w:r>
        <w:fldChar w:fldCharType="separate"/>
      </w:r>
      <w:r>
        <w:t>25</w:t>
      </w:r>
      <w:r>
        <w:fldChar w:fldCharType="end"/>
      </w:r>
      <w:r>
        <w:fldChar w:fldCharType="end"/>
      </w:r>
    </w:p>
    <w:p>
      <w:pPr>
        <w:pStyle w:val="9"/>
        <w:ind w:firstLine="480"/>
        <w:rPr>
          <w:rFonts w:ascii="Calibri" w:hAnsi="Calibri"/>
          <w:bCs/>
          <w:caps/>
          <w:sz w:val="21"/>
          <w:szCs w:val="22"/>
        </w:rPr>
      </w:pPr>
      <w:r>
        <w:fldChar w:fldCharType="begin"/>
      </w:r>
      <w:r>
        <w:instrText xml:space="preserve"> HYPERLINK \l "_Toc479858095" </w:instrText>
      </w:r>
      <w:r>
        <w:fldChar w:fldCharType="separate"/>
      </w:r>
      <w:r>
        <w:rPr>
          <w:rStyle w:val="16"/>
          <w:rFonts w:hint="eastAsia"/>
          <w:b/>
        </w:rPr>
        <w:t>第十五章履约保证函</w:t>
      </w:r>
      <w:r>
        <w:tab/>
      </w:r>
      <w:r>
        <w:fldChar w:fldCharType="begin"/>
      </w:r>
      <w:r>
        <w:instrText xml:space="preserve"> PAGEREF _Toc479858095 \h </w:instrText>
      </w:r>
      <w:r>
        <w:fldChar w:fldCharType="separate"/>
      </w:r>
      <w:r>
        <w:t>27</w:t>
      </w:r>
      <w:r>
        <w:fldChar w:fldCharType="end"/>
      </w:r>
      <w:r>
        <w:fldChar w:fldCharType="end"/>
      </w:r>
    </w:p>
    <w:p>
      <w:pPr>
        <w:pStyle w:val="9"/>
        <w:ind w:firstLine="480"/>
        <w:rPr>
          <w:rFonts w:ascii="Calibri" w:hAnsi="Calibri"/>
          <w:bCs/>
          <w:caps/>
          <w:sz w:val="21"/>
          <w:szCs w:val="22"/>
        </w:rPr>
      </w:pPr>
      <w:r>
        <w:fldChar w:fldCharType="begin"/>
      </w:r>
      <w:r>
        <w:instrText xml:space="preserve"> HYPERLINK \l "_Toc479858096" </w:instrText>
      </w:r>
      <w:r>
        <w:fldChar w:fldCharType="separate"/>
      </w:r>
      <w:r>
        <w:rPr>
          <w:rStyle w:val="16"/>
          <w:rFonts w:hint="eastAsia"/>
          <w:b/>
        </w:rPr>
        <w:t>第十六章法定地址</w:t>
      </w:r>
      <w:r>
        <w:tab/>
      </w:r>
      <w:r>
        <w:fldChar w:fldCharType="begin"/>
      </w:r>
      <w:r>
        <w:instrText xml:space="preserve"> PAGEREF _Toc479858096 \h </w:instrText>
      </w:r>
      <w:r>
        <w:fldChar w:fldCharType="separate"/>
      </w:r>
      <w:r>
        <w:t>28</w:t>
      </w:r>
      <w:r>
        <w:fldChar w:fldCharType="end"/>
      </w:r>
      <w:r>
        <w:fldChar w:fldCharType="end"/>
      </w:r>
    </w:p>
    <w:p>
      <w:pPr>
        <w:ind w:firstLine="480"/>
        <w:jc w:val="center"/>
        <w:rPr>
          <w:rFonts w:ascii="Arial" w:hAnsi="Arial" w:cs="Arial"/>
          <w:sz w:val="30"/>
        </w:rPr>
      </w:pPr>
      <w:r>
        <w:rPr>
          <w:rFonts w:ascii="Arial" w:hAnsi="Arial" w:cs="Arial"/>
        </w:rPr>
        <w:fldChar w:fldCharType="end"/>
      </w:r>
      <w:r>
        <w:rPr>
          <w:rFonts w:ascii="Arial" w:hAnsi="Arial" w:cs="Arial"/>
        </w:rPr>
        <w:br w:type="page"/>
      </w:r>
      <w:r>
        <w:rPr>
          <w:rFonts w:ascii="黑体" w:hAnsi="黑体" w:eastAsia="黑体" w:cs="Arial"/>
          <w:sz w:val="30"/>
          <w:szCs w:val="30"/>
        </w:rPr>
        <w:t>合 同 附 件 目 录</w:t>
      </w:r>
    </w:p>
    <w:p>
      <w:pPr>
        <w:pStyle w:val="9"/>
        <w:ind w:firstLine="480"/>
        <w:rPr>
          <w:rStyle w:val="16"/>
        </w:rPr>
      </w:pPr>
      <w:r>
        <w:rPr>
          <w:rStyle w:val="16"/>
        </w:rPr>
        <w:t>附件一  技术</w:t>
      </w:r>
      <w:r>
        <w:rPr>
          <w:rStyle w:val="16"/>
          <w:rFonts w:hint="eastAsia"/>
        </w:rPr>
        <w:t>规范书</w:t>
      </w:r>
    </w:p>
    <w:p>
      <w:pPr>
        <w:pStyle w:val="9"/>
        <w:ind w:firstLine="480"/>
        <w:rPr>
          <w:rStyle w:val="16"/>
        </w:rPr>
      </w:pPr>
      <w:r>
        <w:rPr>
          <w:rStyle w:val="16"/>
        </w:rPr>
        <w:t>附件二  供货范围及分项价格表</w:t>
      </w:r>
    </w:p>
    <w:p>
      <w:pPr>
        <w:pStyle w:val="9"/>
        <w:ind w:firstLine="480"/>
      </w:pPr>
      <w:r>
        <w:rPr>
          <w:rStyle w:val="16"/>
        </w:rPr>
        <w:t xml:space="preserve">附件三  </w:t>
      </w:r>
      <w:r>
        <w:fldChar w:fldCharType="begin"/>
      </w:r>
      <w:r>
        <w:instrText xml:space="preserve"> HYPERLINK \l "_Toc75864811" </w:instrText>
      </w:r>
      <w:r>
        <w:fldChar w:fldCharType="separate"/>
      </w:r>
      <w:r>
        <w:rPr>
          <w:rStyle w:val="16"/>
        </w:rPr>
        <w:t>卖方银行不可撤消的履约保证函（</w:t>
      </w:r>
      <w:r>
        <w:rPr>
          <w:rStyle w:val="16"/>
          <w:rFonts w:hint="eastAsia"/>
        </w:rPr>
        <w:t>格式</w:t>
      </w:r>
      <w:r>
        <w:rPr>
          <w:rStyle w:val="16"/>
        </w:rPr>
        <w:t>）</w:t>
      </w:r>
      <w:r>
        <w:rPr>
          <w:rStyle w:val="16"/>
        </w:rPr>
        <w:fldChar w:fldCharType="end"/>
      </w:r>
    </w:p>
    <w:p>
      <w:pPr>
        <w:pStyle w:val="2"/>
        <w:tabs>
          <w:tab w:val="left" w:pos="3734"/>
        </w:tabs>
        <w:ind w:firstLine="883"/>
        <w:rPr>
          <w:rFonts w:ascii="Arial" w:hAnsi="Arial" w:cs="Arial"/>
        </w:rPr>
      </w:pPr>
      <w:r>
        <w:rPr>
          <w:rFonts w:ascii="Arial" w:hAnsi="Arial" w:cs="Arial"/>
        </w:rPr>
        <w:tab/>
      </w:r>
    </w:p>
    <w:p>
      <w:pPr>
        <w:pStyle w:val="2"/>
        <w:tabs>
          <w:tab w:val="left" w:pos="9120"/>
        </w:tabs>
        <w:ind w:firstLine="883"/>
        <w:jc w:val="center"/>
        <w:rPr>
          <w:rFonts w:ascii="宋体" w:hAnsi="宋体" w:cs="Arial"/>
          <w:b w:val="0"/>
          <w:sz w:val="32"/>
          <w:szCs w:val="32"/>
        </w:rPr>
      </w:pPr>
      <w:r>
        <w:br w:type="page"/>
      </w:r>
      <w:bookmarkStart w:id="7" w:name="_Toc479858080"/>
      <w:bookmarkStart w:id="8" w:name="_Toc400967537"/>
      <w:bookmarkStart w:id="9" w:name="_Toc239524386"/>
      <w:r>
        <w:rPr>
          <w:rFonts w:ascii="宋体" w:hAnsi="宋体" w:cs="Arial"/>
          <w:sz w:val="32"/>
          <w:szCs w:val="32"/>
        </w:rPr>
        <w:t>定  义</w:t>
      </w:r>
      <w:bookmarkEnd w:id="7"/>
      <w:bookmarkEnd w:id="8"/>
      <w:bookmarkEnd w:id="9"/>
    </w:p>
    <w:p>
      <w:pPr>
        <w:ind w:left="600" w:leftChars="250" w:firstLine="120" w:firstLineChars="50"/>
        <w:rPr>
          <w:rFonts w:ascii="Arial" w:hAnsi="Arial" w:cs="Arial"/>
        </w:rPr>
      </w:pPr>
      <w:r>
        <w:rPr>
          <w:rFonts w:ascii="Arial" w:hAnsi="Arial" w:cs="Arial"/>
        </w:rPr>
        <w:t>为本合同双方共同理解之目的，双方同意下列定义适用于本合同。</w:t>
      </w:r>
    </w:p>
    <w:p>
      <w:pPr>
        <w:numPr>
          <w:ilvl w:val="0"/>
          <w:numId w:val="3"/>
        </w:numPr>
        <w:snapToGrid/>
        <w:spacing w:line="360" w:lineRule="auto"/>
        <w:ind w:left="708" w:hanging="708" w:hangingChars="295"/>
        <w:jc w:val="left"/>
        <w:textAlignment w:val="baseline"/>
        <w:rPr>
          <w:rFonts w:hAnsi="宋体" w:cs="Arial"/>
        </w:rPr>
      </w:pPr>
      <w:r>
        <w:rPr>
          <w:rFonts w:hAnsi="宋体" w:cs="Arial"/>
        </w:rPr>
        <w:t>合同：指买方与卖方签订的关于设计和供应“合同设备”及施工、安装、调试、试运行和性能保证考核试验的指导的协议，协议包括所有有关的技术资料，如附件及设计联络会纪要，此纪要可能做出一些修正，以便确定双方在本协议下的权利和义务。</w:t>
      </w:r>
    </w:p>
    <w:p>
      <w:pPr>
        <w:numPr>
          <w:ilvl w:val="0"/>
          <w:numId w:val="3"/>
        </w:numPr>
        <w:snapToGrid/>
        <w:spacing w:line="360" w:lineRule="auto"/>
        <w:ind w:left="708" w:hanging="708" w:hangingChars="295"/>
        <w:jc w:val="left"/>
        <w:textAlignment w:val="baseline"/>
        <w:rPr>
          <w:rFonts w:hAnsi="宋体" w:cs="Arial"/>
        </w:rPr>
      </w:pPr>
      <w:r>
        <w:rPr>
          <w:rFonts w:hAnsi="宋体" w:cs="Arial"/>
        </w:rPr>
        <w:t>买方</w:t>
      </w:r>
      <w:r>
        <w:rPr>
          <w:rFonts w:hint="eastAsia" w:hAnsi="宋体" w:cs="Arial"/>
        </w:rPr>
        <w:t>：指</w:t>
      </w:r>
      <w:r>
        <w:rPr>
          <w:rFonts w:hint="eastAsia" w:ascii="Arial" w:hAnsi="Arial" w:cs="Arial"/>
          <w:u w:val="single"/>
        </w:rPr>
        <w:t>华能（大连）热电有限责任公司</w:t>
      </w:r>
      <w:r>
        <w:rPr>
          <w:rFonts w:hAnsi="宋体" w:cs="Arial"/>
        </w:rPr>
        <w:t>，包括其法人，该法人继任人和该法人允许的受让人。</w:t>
      </w:r>
    </w:p>
    <w:p>
      <w:pPr>
        <w:numPr>
          <w:ilvl w:val="0"/>
          <w:numId w:val="3"/>
        </w:numPr>
        <w:snapToGrid/>
        <w:spacing w:line="360" w:lineRule="auto"/>
        <w:ind w:left="708" w:hanging="708" w:hangingChars="295"/>
        <w:jc w:val="left"/>
        <w:textAlignment w:val="baseline"/>
        <w:rPr>
          <w:rFonts w:hAnsi="宋体" w:cs="Arial"/>
        </w:rPr>
      </w:pPr>
      <w:r>
        <w:rPr>
          <w:rFonts w:hAnsi="宋体" w:cs="Arial"/>
        </w:rPr>
        <w:t>卖方：</w:t>
      </w:r>
      <w:r>
        <w:rPr>
          <w:rFonts w:hint="eastAsia" w:hAnsi="宋体" w:cs="Arial"/>
          <w:lang w:val="en-US" w:eastAsia="zh-CN"/>
        </w:rPr>
        <w:t>**</w:t>
      </w:r>
      <w:r>
        <w:rPr>
          <w:rFonts w:hAnsi="宋体" w:cs="Arial"/>
        </w:rPr>
        <w:t>包括其法人，该法人继任人和该法人允许的受让人。</w:t>
      </w:r>
    </w:p>
    <w:p>
      <w:pPr>
        <w:numPr>
          <w:ilvl w:val="0"/>
          <w:numId w:val="3"/>
        </w:numPr>
        <w:snapToGrid/>
        <w:spacing w:line="360" w:lineRule="auto"/>
        <w:ind w:left="708" w:hanging="708" w:hangingChars="295"/>
        <w:jc w:val="left"/>
        <w:textAlignment w:val="baseline"/>
        <w:rPr>
          <w:rFonts w:hAnsi="宋体" w:cs="Arial"/>
        </w:rPr>
      </w:pPr>
      <w:r>
        <w:rPr>
          <w:rFonts w:hAnsi="宋体" w:cs="Arial"/>
        </w:rPr>
        <w:t>合同设备：</w:t>
      </w:r>
      <w:r>
        <w:rPr>
          <w:rFonts w:hint="eastAsia" w:hAnsi="宋体" w:cs="Arial"/>
        </w:rPr>
        <w:t>本合同项下由卖方供应的包括附件一、二所规定的全部设备、材料、随机备品备件、专用工具及技术资料。</w:t>
      </w:r>
    </w:p>
    <w:p>
      <w:pPr>
        <w:numPr>
          <w:ilvl w:val="0"/>
          <w:numId w:val="3"/>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技术资料：附件一中所规定的全部的技术文件。</w:t>
      </w:r>
    </w:p>
    <w:p>
      <w:pPr>
        <w:numPr>
          <w:ilvl w:val="0"/>
          <w:numId w:val="3"/>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服务：指按合同规定所列的由卖方提供的全部设备在设计、施工、安装、调试、试运行、性能保证考核试验和验收等，直到合同期满的各个阶段中的指导和服务及合同期满后卖方的售后服务。</w:t>
      </w:r>
    </w:p>
    <w:p>
      <w:pPr>
        <w:numPr>
          <w:ilvl w:val="0"/>
          <w:numId w:val="3"/>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现场：合同设备的安装地点。</w:t>
      </w:r>
    </w:p>
    <w:p>
      <w:pPr>
        <w:numPr>
          <w:ilvl w:val="0"/>
          <w:numId w:val="3"/>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分包商：指由本合同的卖方将本合同任何部分转包给的任何法人及该法人的继任人和该法人允许的受让人。</w:t>
      </w:r>
    </w:p>
    <w:p>
      <w:pPr>
        <w:numPr>
          <w:ilvl w:val="0"/>
          <w:numId w:val="3"/>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安装：指按照合同设备的所有设备的设计图纸对设备进行联接就位的安装工作，其中包括现场加工工作。</w:t>
      </w:r>
    </w:p>
    <w:p>
      <w:pPr>
        <w:numPr>
          <w:ilvl w:val="0"/>
          <w:numId w:val="3"/>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末批货物：指合同设备的已交付的货物其总价格已达到第二章第</w:t>
      </w:r>
      <w:r>
        <w:rPr>
          <w:rFonts w:hAnsi="宋体"/>
          <w:color w:val="000000"/>
        </w:rPr>
        <w:t>2.1</w:t>
      </w:r>
      <w:r>
        <w:rPr>
          <w:rFonts w:hint="eastAsia" w:hAnsi="宋体"/>
          <w:color w:val="000000"/>
        </w:rPr>
        <w:t>条款合同总价中第（</w:t>
      </w:r>
      <w:r>
        <w:rPr>
          <w:rFonts w:hAnsi="宋体"/>
          <w:color w:val="000000"/>
        </w:rPr>
        <w:t>1</w:t>
      </w:r>
      <w:r>
        <w:rPr>
          <w:rFonts w:hint="eastAsia" w:hAnsi="宋体"/>
          <w:color w:val="000000"/>
        </w:rPr>
        <w:t>）项和第（</w:t>
      </w:r>
      <w:r>
        <w:rPr>
          <w:rFonts w:hAnsi="宋体"/>
          <w:color w:val="000000"/>
        </w:rPr>
        <w:t>2</w:t>
      </w:r>
      <w:r>
        <w:rPr>
          <w:rFonts w:hint="eastAsia" w:hAnsi="宋体"/>
          <w:color w:val="000000"/>
        </w:rPr>
        <w:t>）项的</w:t>
      </w:r>
      <w:r>
        <w:rPr>
          <w:rFonts w:hAnsi="宋体"/>
          <w:color w:val="000000"/>
        </w:rPr>
        <w:t>98%</w:t>
      </w:r>
      <w:r>
        <w:rPr>
          <w:rFonts w:hint="eastAsia" w:hAnsi="宋体"/>
          <w:color w:val="000000"/>
        </w:rPr>
        <w:t>，并且不影响机组的安装、调试和试运行，余下设备则应在不影响项目进度下，于机组临时验收前交齐。</w:t>
      </w:r>
    </w:p>
    <w:p>
      <w:pPr>
        <w:numPr>
          <w:ilvl w:val="0"/>
          <w:numId w:val="3"/>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试运行：指对合同设备安装调试后进入商业运行前的运行。</w:t>
      </w:r>
    </w:p>
    <w:p>
      <w:pPr>
        <w:numPr>
          <w:ilvl w:val="0"/>
          <w:numId w:val="3"/>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性能保证考核试验：指按本合同附件规定而进行的合同设备的性能保证值的考核试验。</w:t>
      </w:r>
    </w:p>
    <w:p>
      <w:pPr>
        <w:numPr>
          <w:ilvl w:val="0"/>
          <w:numId w:val="3"/>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临时验收：合同设备的性能保证考核试验结果达到本合同附件规定的所有保证值后进行的验收。</w:t>
      </w:r>
    </w:p>
    <w:p>
      <w:pPr>
        <w:numPr>
          <w:ilvl w:val="0"/>
          <w:numId w:val="3"/>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最终验收：按合同规定的保证期满后对合同设备进行的验收。</w:t>
      </w:r>
    </w:p>
    <w:p>
      <w:pPr>
        <w:numPr>
          <w:ilvl w:val="0"/>
          <w:numId w:val="3"/>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保证期：临时验收证书签发后的12个月</w:t>
      </w:r>
      <w:r>
        <w:rPr>
          <w:rFonts w:hint="eastAsia" w:hAnsi="宋体"/>
        </w:rPr>
        <w:t>期</w:t>
      </w:r>
      <w:r>
        <w:rPr>
          <w:rFonts w:hint="eastAsia" w:hAnsi="宋体"/>
          <w:color w:val="000000"/>
        </w:rPr>
        <w:t>间。</w:t>
      </w:r>
    </w:p>
    <w:p>
      <w:pPr>
        <w:numPr>
          <w:ilvl w:val="0"/>
          <w:numId w:val="3"/>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大件：重量超过二十公吨</w:t>
      </w:r>
      <w:r>
        <w:rPr>
          <w:rFonts w:hAnsi="宋体"/>
          <w:color w:val="000000"/>
        </w:rPr>
        <w:t>/</w:t>
      </w:r>
      <w:r>
        <w:rPr>
          <w:rFonts w:hint="eastAsia" w:hAnsi="宋体"/>
          <w:color w:val="000000"/>
        </w:rPr>
        <w:t>或尺寸超过</w:t>
      </w:r>
      <w:r>
        <w:rPr>
          <w:rFonts w:hAnsi="宋体"/>
          <w:color w:val="000000"/>
        </w:rPr>
        <w:t>9</w:t>
      </w:r>
      <w:r>
        <w:rPr>
          <w:rFonts w:hint="eastAsia" w:hAnsi="宋体"/>
          <w:color w:val="000000"/>
        </w:rPr>
        <w:t>×</w:t>
      </w:r>
      <w:r>
        <w:rPr>
          <w:rFonts w:hAnsi="宋体"/>
          <w:color w:val="000000"/>
        </w:rPr>
        <w:t>3</w:t>
      </w:r>
      <w:r>
        <w:rPr>
          <w:rFonts w:hint="eastAsia" w:hAnsi="宋体"/>
          <w:color w:val="000000"/>
        </w:rPr>
        <w:t>×</w:t>
      </w:r>
      <w:r>
        <w:rPr>
          <w:rFonts w:hAnsi="宋体"/>
          <w:color w:val="000000"/>
        </w:rPr>
        <w:t>3</w:t>
      </w:r>
      <w:r>
        <w:rPr>
          <w:rFonts w:hint="eastAsia" w:hAnsi="宋体"/>
          <w:color w:val="000000"/>
        </w:rPr>
        <w:t>米的货物。</w:t>
      </w:r>
    </w:p>
    <w:p>
      <w:pPr>
        <w:numPr>
          <w:ilvl w:val="0"/>
          <w:numId w:val="3"/>
        </w:numPr>
        <w:snapToGrid/>
        <w:spacing w:line="360" w:lineRule="auto"/>
        <w:ind w:left="708" w:hanging="708" w:hangingChars="295"/>
        <w:jc w:val="left"/>
        <w:textAlignment w:val="baseline"/>
        <w:rPr>
          <w:rFonts w:hAnsi="宋体" w:cs="Arial"/>
        </w:rPr>
      </w:pPr>
      <w:r>
        <w:rPr>
          <w:rFonts w:hAnsi="宋体" w:cs="Arial"/>
        </w:rPr>
        <w:t>交货地点：</w:t>
      </w:r>
      <w:r>
        <w:rPr>
          <w:rFonts w:hint="eastAsia" w:hAnsi="宋体"/>
        </w:rPr>
        <w:t>华能（大连）热电有限责任公司新建工程施工现场指定地点车板交货。</w:t>
      </w:r>
    </w:p>
    <w:p>
      <w:pPr>
        <w:pStyle w:val="2"/>
        <w:tabs>
          <w:tab w:val="left" w:pos="9120"/>
        </w:tabs>
        <w:ind w:firstLine="643"/>
        <w:jc w:val="center"/>
        <w:rPr>
          <w:rFonts w:hAnsi="宋体" w:cs="Arial"/>
          <w:b w:val="0"/>
          <w:sz w:val="32"/>
          <w:szCs w:val="32"/>
        </w:rPr>
      </w:pPr>
      <w:bookmarkStart w:id="10" w:name="_Toc479858081"/>
      <w:bookmarkStart w:id="11" w:name="_Toc400967538"/>
      <w:bookmarkStart w:id="12" w:name="_Toc239524387"/>
      <w:r>
        <w:rPr>
          <w:rFonts w:hint="eastAsia" w:ascii="宋体" w:hAnsi="宋体" w:cs="Arial"/>
          <w:sz w:val="32"/>
          <w:szCs w:val="32"/>
        </w:rPr>
        <w:t>第一章    合同标的</w:t>
      </w:r>
      <w:bookmarkEnd w:id="10"/>
      <w:bookmarkEnd w:id="11"/>
      <w:bookmarkEnd w:id="12"/>
    </w:p>
    <w:p>
      <w:pPr>
        <w:numPr>
          <w:ilvl w:val="1"/>
          <w:numId w:val="4"/>
        </w:numPr>
        <w:adjustRightInd/>
        <w:snapToGrid/>
        <w:spacing w:line="360" w:lineRule="auto"/>
        <w:ind w:left="708" w:hanging="708" w:hangingChars="295"/>
        <w:jc w:val="left"/>
        <w:textAlignment w:val="baseline"/>
        <w:rPr>
          <w:rFonts w:hAnsi="宋体" w:cs="Arial"/>
        </w:rPr>
      </w:pPr>
      <w:r>
        <w:rPr>
          <w:rFonts w:hAnsi="宋体" w:cs="Arial"/>
        </w:rPr>
        <w:t>买方为</w:t>
      </w:r>
      <w:r>
        <w:rPr>
          <w:rFonts w:hint="eastAsia" w:hAnsi="宋体"/>
        </w:rPr>
        <w:t>华能（大连）热电有限责任公司新建工程</w:t>
      </w:r>
      <w:r>
        <w:rPr>
          <w:rFonts w:hAnsi="宋体" w:cs="Arial"/>
        </w:rPr>
        <w:t>购买</w:t>
      </w:r>
      <w:r>
        <w:rPr>
          <w:rFonts w:hint="eastAsia" w:hAnsi="宋体" w:cs="Arial"/>
        </w:rPr>
        <w:t>的华能（大连）热电有限责任公司</w:t>
      </w:r>
      <w:r>
        <w:rPr>
          <w:rFonts w:hint="eastAsia" w:hAnsi="宋体" w:cs="Arial"/>
          <w:lang w:val="en-US" w:eastAsia="zh-CN"/>
        </w:rPr>
        <w:t>**</w:t>
      </w:r>
      <w:r>
        <w:rPr>
          <w:rFonts w:hAnsi="宋体" w:cs="Arial"/>
        </w:rPr>
        <w:t>（以下简称“合同设备”)，</w:t>
      </w:r>
      <w:r>
        <w:rPr>
          <w:rFonts w:hint="eastAsia" w:hAnsi="宋体"/>
          <w:color w:val="000000"/>
        </w:rPr>
        <w:t>包括全部设备、材料、备品备件和其它一切物品（以下在本合同中统称“设备”），还包括为保证“合同设备”安全、可靠、经济高效和稳定运行所需的设计服务及装配、施工、安装、调试、试运行、技术指导、正常运行、维修、设备管理所需要的技术资料（以下在本合同中统称“技术资料”）。该设备应是全新的，技术先进</w:t>
      </w:r>
      <w:r>
        <w:rPr>
          <w:rFonts w:hint="eastAsia" w:hAnsi="宋体" w:cs="Arial"/>
        </w:rPr>
        <w:t>的、成熟的、完整的，并按特定的标准设计，其性能应符合附件规定的性能保证值要求。卖方具体供货范围按本同附件提供，卖方供应的技术资料按本合同附件提供。</w:t>
      </w:r>
    </w:p>
    <w:p>
      <w:pPr>
        <w:ind w:left="720" w:leftChars="300" w:firstLine="480"/>
        <w:rPr>
          <w:rFonts w:hAnsi="宋体"/>
          <w:color w:val="000000"/>
        </w:rPr>
      </w:pPr>
      <w:r>
        <w:rPr>
          <w:rFonts w:hint="eastAsia" w:hAnsi="宋体"/>
          <w:color w:val="000000"/>
        </w:rPr>
        <w:t>本合同货物为：</w:t>
      </w:r>
      <w:bookmarkStart w:id="13" w:name="_Toc400967539"/>
      <w:bookmarkStart w:id="14" w:name="_Toc239524388"/>
      <w:r>
        <w:rPr>
          <w:rFonts w:hint="eastAsia" w:hAnsi="宋体"/>
          <w:color w:val="000000"/>
          <w:lang w:val="en-US" w:eastAsia="zh-CN"/>
        </w:rPr>
        <w:t>***</w:t>
      </w:r>
      <w:r>
        <w:rPr>
          <w:rFonts w:hint="eastAsia" w:hAnsi="宋体"/>
          <w:color w:val="000000"/>
        </w:rPr>
        <w:t>，具体要求详见技术规范书。</w:t>
      </w:r>
    </w:p>
    <w:p>
      <w:pPr>
        <w:numPr>
          <w:ilvl w:val="1"/>
          <w:numId w:val="4"/>
        </w:numPr>
        <w:adjustRightInd/>
        <w:snapToGrid/>
        <w:spacing w:line="360" w:lineRule="auto"/>
        <w:ind w:left="708" w:hanging="708" w:hangingChars="295"/>
        <w:jc w:val="left"/>
        <w:textAlignment w:val="baseline"/>
        <w:rPr>
          <w:rFonts w:hAnsi="宋体" w:cs="Arial"/>
        </w:rPr>
      </w:pPr>
      <w:r>
        <w:rPr>
          <w:rFonts w:hint="eastAsia" w:hAnsi="宋体" w:cs="Arial"/>
        </w:rPr>
        <w:t>本“合同设备”的技术规范、技术经济指标、设备性能和有关技术条件按本合同附件。</w:t>
      </w:r>
    </w:p>
    <w:p>
      <w:pPr>
        <w:numPr>
          <w:ilvl w:val="1"/>
          <w:numId w:val="4"/>
        </w:numPr>
        <w:adjustRightInd/>
        <w:snapToGrid/>
        <w:spacing w:line="360" w:lineRule="auto"/>
        <w:ind w:left="708" w:hanging="708" w:hangingChars="295"/>
        <w:jc w:val="left"/>
        <w:textAlignment w:val="baseline"/>
        <w:rPr>
          <w:rFonts w:hAnsi="宋体" w:cs="Arial"/>
        </w:rPr>
      </w:pPr>
      <w:r>
        <w:rPr>
          <w:rFonts w:hint="eastAsia" w:hAnsi="宋体" w:cs="Arial"/>
        </w:rPr>
        <w:t>卖方将负责本“合同设备”的工程设计服务，具体内容按本合同第六章，其费用包括在合同第二章第</w:t>
      </w:r>
      <w:r>
        <w:rPr>
          <w:rFonts w:hAnsi="宋体" w:cs="Arial"/>
        </w:rPr>
        <w:t>2.1</w:t>
      </w:r>
      <w:r>
        <w:rPr>
          <w:rFonts w:hint="eastAsia" w:hAnsi="宋体" w:cs="Arial"/>
        </w:rPr>
        <w:t>条总价第（</w:t>
      </w:r>
      <w:r>
        <w:rPr>
          <w:rFonts w:hAnsi="宋体" w:cs="Arial"/>
        </w:rPr>
        <w:t>1</w:t>
      </w:r>
      <w:r>
        <w:rPr>
          <w:rFonts w:hint="eastAsia" w:hAnsi="宋体" w:cs="Arial"/>
        </w:rPr>
        <w:t>）项设备价格内。</w:t>
      </w:r>
    </w:p>
    <w:p>
      <w:pPr>
        <w:numPr>
          <w:ilvl w:val="1"/>
          <w:numId w:val="4"/>
        </w:numPr>
        <w:adjustRightInd/>
        <w:snapToGrid/>
        <w:spacing w:line="360" w:lineRule="auto"/>
        <w:ind w:left="708" w:hanging="708" w:hangingChars="295"/>
        <w:jc w:val="left"/>
        <w:textAlignment w:val="baseline"/>
        <w:rPr>
          <w:rFonts w:hAnsi="宋体" w:cs="Arial"/>
        </w:rPr>
      </w:pPr>
      <w:r>
        <w:rPr>
          <w:rFonts w:hint="eastAsia" w:hAnsi="宋体" w:cs="Arial"/>
        </w:rPr>
        <w:t>卖方应自费派遣负责设计服务的代表和开箱检验人员到合同设备的安装现场，其派遣人员的要求、职责范围和有关规定见附件。卖方还应派遣有经验的、身体健康的、适合现场工作、有</w:t>
      </w:r>
      <w:r>
        <w:rPr>
          <w:rFonts w:hAnsi="宋体" w:cs="Arial"/>
        </w:rPr>
        <w:t>10</w:t>
      </w:r>
      <w:r>
        <w:rPr>
          <w:rFonts w:hint="eastAsia" w:hAnsi="宋体" w:cs="Arial"/>
        </w:rPr>
        <w:t>年以上工作经验的称职技术人员作为技术指导人员（包括卖方分包商的技术指导人员）赴本“合同设备”现场对施工、安装、调试、试运行和性能保证考核试验进行正确的技术服务，具体按本合同附件的规定执行。卖方派遣的技术人员的要求、专业、人日数、责任范围等按本合同附件。</w:t>
      </w:r>
    </w:p>
    <w:p>
      <w:pPr>
        <w:numPr>
          <w:ilvl w:val="1"/>
          <w:numId w:val="4"/>
        </w:numPr>
        <w:adjustRightInd/>
        <w:snapToGrid/>
        <w:spacing w:line="360" w:lineRule="auto"/>
        <w:ind w:left="708" w:hanging="708" w:hangingChars="295"/>
        <w:jc w:val="left"/>
        <w:textAlignment w:val="baseline"/>
        <w:rPr>
          <w:rFonts w:hAnsi="宋体" w:cs="Arial"/>
        </w:rPr>
      </w:pPr>
      <w:r>
        <w:rPr>
          <w:rFonts w:hint="eastAsia" w:hAnsi="宋体" w:cs="Arial"/>
        </w:rPr>
        <w:t>卖方应负责对买方派遣的技术人员进行培训，具体规定按本合同附件。</w:t>
      </w:r>
    </w:p>
    <w:p>
      <w:pPr>
        <w:numPr>
          <w:ilvl w:val="1"/>
          <w:numId w:val="4"/>
        </w:numPr>
        <w:adjustRightInd/>
        <w:snapToGrid/>
        <w:spacing w:line="360" w:lineRule="auto"/>
        <w:ind w:left="708" w:hanging="708" w:hangingChars="295"/>
        <w:jc w:val="left"/>
        <w:textAlignment w:val="baseline"/>
        <w:rPr>
          <w:rFonts w:hAnsi="宋体" w:cs="Arial"/>
        </w:rPr>
      </w:pPr>
      <w:r>
        <w:rPr>
          <w:rFonts w:hint="eastAsia" w:hAnsi="宋体" w:cs="Arial"/>
        </w:rPr>
        <w:t>自本合同生效日起十年内，卖方有义务向买方免费提供与本“合同设备”有关的最新或经改进的运行经验及技术和安全方面的改进资料，提供这些资料不构成任何专利转让和技术转让。</w:t>
      </w:r>
    </w:p>
    <w:p>
      <w:pPr>
        <w:numPr>
          <w:ilvl w:val="1"/>
          <w:numId w:val="4"/>
        </w:numPr>
        <w:adjustRightInd/>
        <w:snapToGrid/>
        <w:spacing w:line="360" w:lineRule="auto"/>
        <w:ind w:left="708" w:hanging="708" w:hangingChars="295"/>
        <w:jc w:val="left"/>
        <w:textAlignment w:val="baseline"/>
        <w:rPr>
          <w:rFonts w:hAnsi="宋体" w:cs="Arial"/>
        </w:rPr>
      </w:pPr>
      <w:r>
        <w:rPr>
          <w:rFonts w:hint="eastAsia" w:hAnsi="宋体" w:cs="Arial"/>
        </w:rPr>
        <w:t>在机组临时验收后，对机组进行第一次停机检查和修理时，则卖方有义务根据买方需要随时派出技术人员参加这项工作。</w:t>
      </w:r>
    </w:p>
    <w:p>
      <w:pPr>
        <w:numPr>
          <w:ilvl w:val="1"/>
          <w:numId w:val="4"/>
        </w:numPr>
        <w:adjustRightInd/>
        <w:snapToGrid/>
        <w:spacing w:line="360" w:lineRule="auto"/>
        <w:ind w:left="708" w:hanging="708" w:hangingChars="295"/>
        <w:jc w:val="left"/>
        <w:textAlignment w:val="baseline"/>
        <w:rPr>
          <w:rFonts w:hAnsi="宋体"/>
          <w:color w:val="000000"/>
        </w:rPr>
      </w:pPr>
      <w:r>
        <w:rPr>
          <w:rFonts w:hint="eastAsia" w:hAnsi="宋体"/>
          <w:color w:val="000000"/>
        </w:rPr>
        <w:t>在本“合同设备”最终验收后的十年内，卖方有义务随时继续以优惠的价格和条件，供应买方为维护本“合同设备”正常运行所需的备品备件，如在此期间卖方欲停止或不能制造某些备品备件，卖方应提前通知买方以便买方有足够的时间可以最后选购一批备品备件或从卖方免费取得制造该项主要设备的备品备件的图纸、样板、工具、模具及技术资料，但买方应在用毕后适当的时候以其收到时的类似状况归还以上各项物品。如买方需要，卖方有义务提供卖方自己加工制造的备品备件制造图纸。</w:t>
      </w:r>
    </w:p>
    <w:p>
      <w:pPr>
        <w:numPr>
          <w:ilvl w:val="1"/>
          <w:numId w:val="4"/>
        </w:numPr>
        <w:adjustRightInd/>
        <w:snapToGrid/>
        <w:spacing w:line="360" w:lineRule="auto"/>
        <w:ind w:left="708" w:hanging="708" w:hangingChars="295"/>
        <w:jc w:val="left"/>
        <w:textAlignment w:val="baseline"/>
        <w:rPr>
          <w:rFonts w:hAnsi="宋体"/>
          <w:color w:val="000000"/>
        </w:rPr>
      </w:pPr>
      <w:r>
        <w:rPr>
          <w:rFonts w:hint="eastAsia" w:hAnsi="宋体"/>
          <w:color w:val="000000"/>
        </w:rPr>
        <w:t>双方确认的本合同设备的供货商及分包商，未经买方同意不得改变。</w:t>
      </w:r>
    </w:p>
    <w:p>
      <w:pPr>
        <w:numPr>
          <w:ilvl w:val="1"/>
          <w:numId w:val="4"/>
        </w:numPr>
        <w:adjustRightInd/>
        <w:snapToGrid/>
        <w:spacing w:line="360" w:lineRule="auto"/>
        <w:ind w:left="708" w:hanging="708" w:hangingChars="295"/>
        <w:jc w:val="left"/>
        <w:textAlignment w:val="baseline"/>
        <w:rPr>
          <w:rFonts w:hAnsi="宋体"/>
          <w:color w:val="000000"/>
        </w:rPr>
      </w:pPr>
      <w:r>
        <w:rPr>
          <w:rFonts w:hint="eastAsia" w:hAnsi="宋体"/>
          <w:color w:val="000000"/>
        </w:rPr>
        <w:t>对卖方选择的设备分包商，必须事先经买方确认。卖方应对分包设备的设计、质量、交货进度、接口、技术服务等技术和商务方面的问题负全责。</w:t>
      </w:r>
    </w:p>
    <w:p>
      <w:pPr>
        <w:numPr>
          <w:ilvl w:val="1"/>
          <w:numId w:val="4"/>
        </w:numPr>
        <w:adjustRightInd/>
        <w:snapToGrid/>
        <w:spacing w:line="360" w:lineRule="auto"/>
        <w:ind w:left="708" w:hanging="708" w:hangingChars="295"/>
        <w:jc w:val="left"/>
        <w:textAlignment w:val="baseline"/>
        <w:rPr>
          <w:rFonts w:hAnsi="宋体"/>
          <w:color w:val="000000"/>
        </w:rPr>
      </w:pPr>
      <w:r>
        <w:rPr>
          <w:rFonts w:hint="eastAsia" w:hAnsi="宋体"/>
          <w:color w:val="000000"/>
        </w:rPr>
        <w:t>卖方应负责提供设备商业运行前所需的所有备品备件（包括消耗品）及专用工具。</w:t>
      </w:r>
    </w:p>
    <w:p>
      <w:pPr>
        <w:numPr>
          <w:ilvl w:val="1"/>
          <w:numId w:val="4"/>
        </w:numPr>
        <w:adjustRightInd/>
        <w:snapToGrid/>
        <w:spacing w:line="360" w:lineRule="auto"/>
        <w:ind w:left="708" w:hanging="708" w:hangingChars="295"/>
        <w:jc w:val="left"/>
        <w:textAlignment w:val="baseline"/>
        <w:rPr>
          <w:rFonts w:hAnsi="宋体"/>
          <w:color w:val="000000"/>
        </w:rPr>
        <w:sectPr>
          <w:footerReference r:id="rId5" w:type="default"/>
          <w:pgSz w:w="11907" w:h="16840"/>
          <w:pgMar w:top="1304" w:right="1134" w:bottom="1134" w:left="1304" w:header="567" w:footer="850" w:gutter="0"/>
          <w:pgNumType w:start="0"/>
          <w:cols w:space="720" w:num="1"/>
          <w:titlePg/>
          <w:docGrid w:linePitch="326" w:charSpace="0"/>
        </w:sectPr>
      </w:pPr>
      <w:r>
        <w:rPr>
          <w:rFonts w:hint="eastAsia" w:hAnsi="宋体"/>
          <w:color w:val="000000"/>
        </w:rPr>
        <w:t>为了满足工期进度要求，合同签字（而不是合同生效）后，卖方应按合同附件的要求及时向买方提供所需技术资料和图纸。</w:t>
      </w:r>
    </w:p>
    <w:p>
      <w:pPr>
        <w:tabs>
          <w:tab w:val="left" w:pos="709"/>
        </w:tabs>
        <w:ind w:left="708" w:firstLine="480"/>
        <w:textAlignment w:val="baseline"/>
        <w:rPr>
          <w:color w:val="000000"/>
        </w:rPr>
      </w:pPr>
    </w:p>
    <w:p>
      <w:pPr>
        <w:pStyle w:val="2"/>
        <w:tabs>
          <w:tab w:val="left" w:pos="9120"/>
        </w:tabs>
        <w:ind w:firstLine="643"/>
        <w:jc w:val="center"/>
        <w:rPr>
          <w:rFonts w:ascii="Arial" w:hAnsi="Arial" w:cs="Arial"/>
          <w:b w:val="0"/>
          <w:sz w:val="32"/>
          <w:szCs w:val="32"/>
        </w:rPr>
      </w:pPr>
      <w:bookmarkStart w:id="15" w:name="_Toc479858082"/>
      <w:r>
        <w:rPr>
          <w:rFonts w:ascii="宋体" w:hAnsi="宋体" w:cs="Arial"/>
          <w:sz w:val="32"/>
          <w:szCs w:val="32"/>
        </w:rPr>
        <w:t>第二章    价格</w:t>
      </w:r>
      <w:bookmarkEnd w:id="13"/>
      <w:bookmarkEnd w:id="14"/>
      <w:bookmarkEnd w:id="15"/>
    </w:p>
    <w:p>
      <w:pPr>
        <w:numPr>
          <w:ilvl w:val="1"/>
          <w:numId w:val="5"/>
        </w:numPr>
        <w:tabs>
          <w:tab w:val="left" w:pos="709"/>
        </w:tabs>
        <w:snapToGrid/>
        <w:spacing w:line="360" w:lineRule="auto"/>
        <w:ind w:left="708" w:hanging="708" w:hangingChars="295"/>
        <w:jc w:val="left"/>
        <w:textAlignment w:val="baseline"/>
        <w:rPr>
          <w:rFonts w:hAnsi="宋体"/>
          <w:color w:val="000000"/>
        </w:rPr>
      </w:pPr>
      <w:r>
        <w:rPr>
          <w:rFonts w:hAnsi="宋体"/>
          <w:color w:val="000000"/>
        </w:rPr>
        <w:t>本合同第一章中规定的由卖方供应的“合同设备”</w:t>
      </w:r>
      <w:r>
        <w:rPr>
          <w:rFonts w:hint="eastAsia" w:hAnsi="宋体"/>
          <w:color w:val="000000"/>
        </w:rPr>
        <w:t>和技术资料、设计服务、随机备品备件及专用工具、技术指导服务的</w:t>
      </w:r>
      <w:r>
        <w:rPr>
          <w:rFonts w:hAnsi="宋体"/>
          <w:color w:val="000000"/>
        </w:rPr>
        <w:t>总价为元人民币，（大写：</w:t>
      </w:r>
      <w:r>
        <w:rPr>
          <w:rFonts w:hint="eastAsia" w:hAnsi="宋体"/>
          <w:color w:val="000000"/>
        </w:rPr>
        <w:t>圆整</w:t>
      </w:r>
      <w:r>
        <w:rPr>
          <w:rFonts w:hAnsi="宋体"/>
          <w:color w:val="000000"/>
        </w:rPr>
        <w:t>），上述合同总价为</w:t>
      </w:r>
      <w:r>
        <w:rPr>
          <w:rFonts w:hint="eastAsia" w:hAnsi="宋体"/>
          <w:color w:val="000000"/>
        </w:rPr>
        <w:t>招标</w:t>
      </w:r>
      <w:r>
        <w:rPr>
          <w:rFonts w:hAnsi="宋体"/>
          <w:color w:val="000000"/>
        </w:rPr>
        <w:t>价格</w:t>
      </w:r>
      <w:r>
        <w:rPr>
          <w:rFonts w:hint="eastAsia" w:hAnsi="宋体"/>
          <w:color w:val="000000"/>
        </w:rPr>
        <w:t>，买方有权根据使用需求调整供货量。</w:t>
      </w:r>
      <w:r>
        <w:rPr>
          <w:rFonts w:hAnsi="宋体"/>
          <w:color w:val="000000"/>
        </w:rPr>
        <w:t>其分项价格如下：</w:t>
      </w:r>
    </w:p>
    <w:p>
      <w:pPr>
        <w:tabs>
          <w:tab w:val="left" w:pos="993"/>
        </w:tabs>
        <w:ind w:left="708" w:leftChars="250" w:hanging="108" w:hangingChars="45"/>
        <w:textAlignment w:val="baseline"/>
        <w:rPr>
          <w:rFonts w:hAnsi="宋体"/>
          <w:color w:val="000000"/>
        </w:rPr>
      </w:pPr>
      <w:r>
        <w:rPr>
          <w:rFonts w:hint="eastAsia" w:hAnsi="宋体"/>
          <w:color w:val="000000"/>
        </w:rPr>
        <w:t>（1</w:t>
      </w:r>
      <w:r>
        <w:rPr>
          <w:rFonts w:hAnsi="宋体"/>
          <w:color w:val="000000"/>
        </w:rPr>
        <w:t>）</w:t>
      </w:r>
      <w:r>
        <w:rPr>
          <w:rFonts w:hint="eastAsia" w:hAnsi="宋体"/>
        </w:rPr>
        <w:t>设备（包括相应的设计服务及技术资料）</w:t>
      </w:r>
      <w:r>
        <w:rPr>
          <w:rFonts w:hint="eastAsia" w:hAnsi="宋体"/>
          <w:color w:val="000000"/>
        </w:rPr>
        <w:t>：</w:t>
      </w:r>
      <w:r>
        <w:rPr>
          <w:rFonts w:hint="eastAsia" w:hAnsi="宋体" w:cs="Arial"/>
        </w:rPr>
        <w:t>元人民币，（大写：）</w:t>
      </w:r>
      <w:r>
        <w:rPr>
          <w:rFonts w:hint="eastAsia" w:hAnsi="宋体"/>
          <w:color w:val="000000"/>
        </w:rPr>
        <w:t>。</w:t>
      </w:r>
    </w:p>
    <w:p>
      <w:pPr>
        <w:numPr>
          <w:ilvl w:val="0"/>
          <w:numId w:val="6"/>
        </w:numPr>
        <w:tabs>
          <w:tab w:val="left" w:pos="993"/>
        </w:tabs>
        <w:snapToGrid/>
        <w:spacing w:line="360" w:lineRule="auto"/>
        <w:ind w:firstLineChars="0"/>
        <w:jc w:val="left"/>
        <w:textAlignment w:val="baseline"/>
        <w:rPr>
          <w:rFonts w:hAnsi="宋体"/>
          <w:color w:val="000000"/>
        </w:rPr>
      </w:pPr>
      <w:r>
        <w:rPr>
          <w:rFonts w:hint="eastAsia" w:hAnsi="宋体"/>
        </w:rPr>
        <w:t>必备的随机备品备件（包括消耗品）及专用工具，</w:t>
      </w:r>
      <w:r>
        <w:rPr>
          <w:rFonts w:hint="eastAsia" w:hAnsi="宋体"/>
          <w:color w:val="000000"/>
        </w:rPr>
        <w:t>价格：免费。</w:t>
      </w:r>
    </w:p>
    <w:p>
      <w:pPr>
        <w:adjustRightInd/>
        <w:ind w:left="120" w:leftChars="50" w:firstLine="480"/>
        <w:textAlignment w:val="baseline"/>
        <w:rPr>
          <w:rFonts w:hAnsi="宋体"/>
          <w:color w:val="000000"/>
        </w:rPr>
      </w:pPr>
      <w:r>
        <w:rPr>
          <w:rFonts w:hint="eastAsia" w:hAnsi="宋体"/>
          <w:color w:val="000000"/>
        </w:rPr>
        <w:t>（3</w:t>
      </w:r>
      <w:r>
        <w:rPr>
          <w:rFonts w:hAnsi="宋体"/>
          <w:color w:val="000000"/>
        </w:rPr>
        <w:t>）</w:t>
      </w:r>
      <w:r>
        <w:rPr>
          <w:rFonts w:hint="eastAsia" w:hAnsi="宋体"/>
        </w:rPr>
        <w:t>技术指导（包括培训）服务费</w:t>
      </w:r>
      <w:r>
        <w:rPr>
          <w:rFonts w:hAnsi="宋体" w:cs="Arial"/>
        </w:rPr>
        <w:t>：</w:t>
      </w:r>
      <w:r>
        <w:rPr>
          <w:rFonts w:hint="eastAsia" w:hAnsi="宋体" w:cs="Arial"/>
        </w:rPr>
        <w:t>免费</w:t>
      </w:r>
      <w:r>
        <w:rPr>
          <w:rFonts w:hint="eastAsia" w:hAnsi="宋体"/>
          <w:color w:val="000000"/>
        </w:rPr>
        <w:t>。</w:t>
      </w:r>
    </w:p>
    <w:p>
      <w:pPr>
        <w:numPr>
          <w:ilvl w:val="1"/>
          <w:numId w:val="5"/>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上述合同总价中第2.1条第（1）项的设备价格，第（2）项的备品备件价格是合同设备在施工现场买方指定地点车板交货价格。包括适于长途内陆运输和多次装卸搬运的坚固包装，以及货物堆放和装到车辆，运输保险和将货物运到指定地点的一切费用。在保证交货期的前提下，无论采用公路、水路、铁路等何种运输方式，均由供应商负责运输至电厂施工现场买方指定地点车板交货，且保持总价不变。</w:t>
      </w:r>
    </w:p>
    <w:p>
      <w:pPr>
        <w:numPr>
          <w:ilvl w:val="1"/>
          <w:numId w:val="5"/>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上述合同总价中第</w:t>
      </w:r>
      <w:r>
        <w:rPr>
          <w:rFonts w:hAnsi="宋体"/>
          <w:color w:val="000000"/>
        </w:rPr>
        <w:t>2.1</w:t>
      </w:r>
      <w:r>
        <w:rPr>
          <w:rFonts w:hint="eastAsia" w:hAnsi="宋体"/>
          <w:color w:val="000000"/>
        </w:rPr>
        <w:t>条第（</w:t>
      </w:r>
      <w:r>
        <w:rPr>
          <w:rFonts w:hAnsi="宋体"/>
          <w:color w:val="000000"/>
        </w:rPr>
        <w:t>1</w:t>
      </w:r>
      <w:r>
        <w:rPr>
          <w:rFonts w:hint="eastAsia" w:hAnsi="宋体"/>
          <w:color w:val="000000"/>
        </w:rPr>
        <w:t>）项的设备价格包括技术资料的费用及合同设备相应的工程设计服务费用在内。</w:t>
      </w:r>
    </w:p>
    <w:p>
      <w:pPr>
        <w:numPr>
          <w:ilvl w:val="1"/>
          <w:numId w:val="5"/>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合同设备的“技术资料”应由卖方负责交付买方，卖方应负担所有的相关的费用。</w:t>
      </w:r>
    </w:p>
    <w:p>
      <w:pPr>
        <w:numPr>
          <w:ilvl w:val="1"/>
          <w:numId w:val="5"/>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上述合同总价中第</w:t>
      </w:r>
      <w:r>
        <w:rPr>
          <w:rFonts w:hAnsi="宋体"/>
          <w:color w:val="000000"/>
        </w:rPr>
        <w:t>2.1</w:t>
      </w:r>
      <w:r>
        <w:rPr>
          <w:rFonts w:hint="eastAsia" w:hAnsi="宋体"/>
          <w:color w:val="000000"/>
        </w:rPr>
        <w:t>条第（</w:t>
      </w:r>
      <w:r>
        <w:rPr>
          <w:rFonts w:hAnsi="宋体"/>
          <w:color w:val="000000"/>
        </w:rPr>
        <w:t>3</w:t>
      </w:r>
      <w:r>
        <w:rPr>
          <w:rFonts w:hint="eastAsia" w:hAnsi="宋体"/>
          <w:color w:val="000000"/>
        </w:rPr>
        <w:t>）项技术指导服务费应包括按本合同第六章中及附件中的卖方服务范围和卖方技术指导人员费用，包括为买方技术人员的技术培训费，但不包括买方人员赴生产制造厂（包括国外厂家）的交通、食宿费用。</w:t>
      </w:r>
    </w:p>
    <w:p>
      <w:pPr>
        <w:numPr>
          <w:ilvl w:val="1"/>
          <w:numId w:val="5"/>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“合同设备”总价的详细分项价格表见本合同附件二。</w:t>
      </w:r>
    </w:p>
    <w:p>
      <w:pPr>
        <w:numPr>
          <w:ilvl w:val="1"/>
          <w:numId w:val="5"/>
        </w:numPr>
        <w:tabs>
          <w:tab w:val="left" w:pos="709"/>
        </w:tabs>
        <w:snapToGrid/>
        <w:spacing w:line="360" w:lineRule="auto"/>
        <w:ind w:left="708" w:hanging="708" w:hangingChars="295"/>
        <w:jc w:val="left"/>
        <w:textAlignment w:val="baseline"/>
        <w:rPr>
          <w:rFonts w:hAnsi="宋体"/>
          <w:color w:val="000000"/>
        </w:rPr>
        <w:sectPr>
          <w:pgSz w:w="11907" w:h="16840"/>
          <w:pgMar w:top="1304" w:right="1134" w:bottom="1134" w:left="1304" w:header="567" w:footer="850" w:gutter="0"/>
          <w:cols w:space="720" w:num="1"/>
          <w:docGrid w:linePitch="326" w:charSpace="0"/>
        </w:sectPr>
      </w:pPr>
      <w:r>
        <w:rPr>
          <w:rFonts w:hint="eastAsia" w:hAnsi="宋体"/>
          <w:color w:val="000000"/>
        </w:rPr>
        <w:t>虽然本合同附件包括了所有设备、资料、备品备件、设计服务及技术指导服务，但在执行合同过程中发现有任何漏项、短缺、在合同附件中并未列入和未提供而且确实是卖方供货范围中应该有的，并且是需要来满足本合同附件对“合同设备”的性能保证值要求的，均应由卖方负责免费将漏缺的设备及备品备件和技术资料补上。</w:t>
      </w:r>
    </w:p>
    <w:p>
      <w:pPr>
        <w:tabs>
          <w:tab w:val="left" w:pos="709"/>
        </w:tabs>
        <w:ind w:left="708" w:firstLine="480"/>
        <w:textAlignment w:val="baseline"/>
        <w:rPr>
          <w:rFonts w:hAnsi="宋体"/>
          <w:color w:val="000000"/>
        </w:rPr>
      </w:pPr>
    </w:p>
    <w:p>
      <w:pPr>
        <w:pStyle w:val="2"/>
        <w:tabs>
          <w:tab w:val="left" w:pos="9120"/>
        </w:tabs>
        <w:ind w:firstLine="643"/>
        <w:jc w:val="center"/>
        <w:rPr>
          <w:rFonts w:ascii="宋体" w:hAnsi="宋体" w:cs="Arial"/>
          <w:b w:val="0"/>
          <w:sz w:val="32"/>
          <w:szCs w:val="32"/>
        </w:rPr>
      </w:pPr>
      <w:bookmarkStart w:id="16" w:name="_Toc400967540"/>
      <w:bookmarkStart w:id="17" w:name="_Toc479858083"/>
      <w:bookmarkStart w:id="18" w:name="_Toc239524389"/>
      <w:r>
        <w:rPr>
          <w:rFonts w:ascii="宋体" w:hAnsi="宋体" w:cs="Arial"/>
          <w:sz w:val="32"/>
          <w:szCs w:val="32"/>
        </w:rPr>
        <w:t>第</w:t>
      </w:r>
      <w:r>
        <w:rPr>
          <w:rFonts w:hint="eastAsia" w:ascii="宋体" w:hAnsi="宋体" w:cs="Arial"/>
          <w:sz w:val="32"/>
          <w:szCs w:val="32"/>
        </w:rPr>
        <w:t>三</w:t>
      </w:r>
      <w:r>
        <w:rPr>
          <w:rFonts w:ascii="宋体" w:hAnsi="宋体" w:cs="Arial"/>
          <w:sz w:val="32"/>
          <w:szCs w:val="32"/>
        </w:rPr>
        <w:t>章    支付与支付条件</w:t>
      </w:r>
      <w:bookmarkEnd w:id="16"/>
      <w:bookmarkEnd w:id="17"/>
      <w:bookmarkEnd w:id="18"/>
    </w:p>
    <w:p>
      <w:pPr>
        <w:ind w:left="480" w:hanging="480" w:hangingChars="200"/>
      </w:pPr>
      <w:r>
        <w:t xml:space="preserve">3.1  </w:t>
      </w:r>
      <w:r>
        <w:rPr>
          <w:rFonts w:hint="eastAsia"/>
        </w:rPr>
        <w:t>本合同项下的一切支付，</w:t>
      </w:r>
      <w:r>
        <w:rPr>
          <w:rFonts w:hint="eastAsia" w:hAnsi="宋体"/>
        </w:rPr>
        <w:t>买方均以人民币用电汇或汇票方式汇入卖方的账户</w:t>
      </w:r>
      <w:r>
        <w:rPr>
          <w:rFonts w:hint="eastAsia"/>
        </w:rPr>
        <w:t>。卖方应支付给买方的任何费用，将由卖方通过电汇方式汇入买方的帐户。</w:t>
      </w:r>
    </w:p>
    <w:p>
      <w:pPr>
        <w:ind w:left="480" w:hanging="480" w:hangingChars="200"/>
      </w:pPr>
      <w:r>
        <w:t>3.2</w:t>
      </w:r>
      <w:r>
        <w:rPr>
          <w:rFonts w:hint="eastAsia"/>
        </w:rPr>
        <w:t xml:space="preserve">  买方在本合同生效后，将对本合同项下</w:t>
      </w:r>
      <w:r>
        <w:t>2.1</w:t>
      </w:r>
      <w:r>
        <w:rPr>
          <w:rFonts w:hint="eastAsia"/>
        </w:rPr>
        <w:t>条中规定的合同总价按下列办法及比例支付给卖方。</w:t>
      </w:r>
    </w:p>
    <w:p>
      <w:pPr>
        <w:ind w:left="-480" w:leftChars="-200" w:firstLine="480"/>
        <w:textAlignment w:val="baseline"/>
      </w:pPr>
      <w:r>
        <w:t>3.2.1</w:t>
      </w:r>
      <w:r>
        <w:rPr>
          <w:rFonts w:hint="eastAsia"/>
        </w:rPr>
        <w:t>删除</w:t>
      </w:r>
    </w:p>
    <w:p>
      <w:pPr>
        <w:ind w:left="480" w:hanging="480" w:hangingChars="200"/>
      </w:pPr>
      <w:r>
        <w:rPr>
          <w:rFonts w:hint="eastAsia"/>
        </w:rPr>
        <w:t>3.2.2买方收到卖方提交的下列单据且经审核无误后三十天内将合同总价第（1）、（2）项的90%，总计元人民币（大写：），支付给卖方作为到货设备款。</w:t>
      </w:r>
    </w:p>
    <w:p>
      <w:pPr>
        <w:numPr>
          <w:ilvl w:val="0"/>
          <w:numId w:val="7"/>
        </w:numPr>
        <w:autoSpaceDN w:val="0"/>
        <w:snapToGrid/>
        <w:spacing w:line="360" w:lineRule="auto"/>
        <w:ind w:left="785" w:firstLineChars="0"/>
        <w:jc w:val="left"/>
        <w:textAlignment w:val="baseline"/>
      </w:pPr>
      <w:r>
        <w:rPr>
          <w:rFonts w:hint="eastAsia"/>
        </w:rPr>
        <w:t>全部到货设备清单一份。</w:t>
      </w:r>
    </w:p>
    <w:p>
      <w:pPr>
        <w:numPr>
          <w:ilvl w:val="0"/>
          <w:numId w:val="7"/>
        </w:numPr>
        <w:autoSpaceDN w:val="0"/>
        <w:snapToGrid/>
        <w:spacing w:line="360" w:lineRule="auto"/>
        <w:ind w:left="785" w:firstLineChars="0"/>
        <w:jc w:val="left"/>
        <w:textAlignment w:val="baseline"/>
      </w:pPr>
      <w:r>
        <w:rPr>
          <w:rFonts w:hint="eastAsia"/>
        </w:rPr>
        <w:t>提供原产地证明一份。</w:t>
      </w:r>
    </w:p>
    <w:p>
      <w:pPr>
        <w:numPr>
          <w:ilvl w:val="0"/>
          <w:numId w:val="7"/>
        </w:numPr>
        <w:autoSpaceDN w:val="0"/>
        <w:snapToGrid/>
        <w:spacing w:line="360" w:lineRule="auto"/>
        <w:ind w:left="785" w:firstLineChars="0"/>
        <w:jc w:val="left"/>
        <w:textAlignment w:val="baseline"/>
      </w:pPr>
      <w:r>
        <w:rPr>
          <w:rFonts w:hint="eastAsia"/>
        </w:rPr>
        <w:t>由买方施工现场代表签署的此批到货设备已移交买方的证明书原件一份。</w:t>
      </w:r>
    </w:p>
    <w:p>
      <w:pPr>
        <w:numPr>
          <w:ilvl w:val="0"/>
          <w:numId w:val="7"/>
        </w:numPr>
        <w:autoSpaceDN w:val="0"/>
        <w:snapToGrid/>
        <w:spacing w:line="360" w:lineRule="auto"/>
        <w:ind w:left="785" w:firstLineChars="0"/>
        <w:jc w:val="left"/>
        <w:textAlignment w:val="baseline"/>
      </w:pPr>
      <w:r>
        <w:rPr>
          <w:rFonts w:hint="eastAsia"/>
        </w:rPr>
        <w:t>此批到货设备（100%）货值的增值税专用发票正本一份。</w:t>
      </w:r>
    </w:p>
    <w:p>
      <w:pPr>
        <w:numPr>
          <w:ilvl w:val="0"/>
          <w:numId w:val="7"/>
        </w:numPr>
        <w:autoSpaceDN w:val="0"/>
        <w:snapToGrid/>
        <w:spacing w:line="360" w:lineRule="auto"/>
        <w:ind w:left="785" w:firstLineChars="0"/>
        <w:jc w:val="left"/>
        <w:textAlignment w:val="baseline"/>
      </w:pPr>
      <w:r>
        <w:rPr>
          <w:rFonts w:hint="eastAsia"/>
        </w:rPr>
        <w:t>应注明此批到货设备货价及支付金额（即货价90%）的资金往来发票或正式收据正本一份。</w:t>
      </w:r>
    </w:p>
    <w:p>
      <w:pPr>
        <w:ind w:firstLine="480"/>
        <w:textAlignment w:val="baseline"/>
        <w:rPr>
          <w:rFonts w:hAnsi="宋体" w:cs="Arial"/>
        </w:rPr>
      </w:pPr>
      <w:r>
        <w:rPr>
          <w:rFonts w:hint="eastAsia" w:hAnsi="宋体" w:cs="Arial"/>
        </w:rPr>
        <w:t>3.2.3删除。</w:t>
      </w:r>
    </w:p>
    <w:p>
      <w:pPr>
        <w:pStyle w:val="31"/>
        <w:autoSpaceDE/>
        <w:ind w:left="720" w:hanging="720" w:hangingChars="300"/>
        <w:textAlignment w:val="baseline"/>
        <w:rPr>
          <w:rFonts w:hAnsi="宋体" w:cs="Arial"/>
        </w:rPr>
      </w:pPr>
      <w:r>
        <w:rPr>
          <w:rFonts w:hint="eastAsia" w:hAnsi="宋体" w:cs="Arial"/>
        </w:rPr>
        <w:t>3.2.4合同设备通过最终验收后，买方在收到卖方提交的下列单据且经审核无误后三十天内向卖方支付合同总价第（1）、（2）项的</w:t>
      </w:r>
      <w:r>
        <w:rPr>
          <w:rFonts w:hint="eastAsia" w:hAnsi="宋体" w:cs="Arial"/>
          <w:lang w:val="en-US"/>
        </w:rPr>
        <w:t>10</w:t>
      </w:r>
      <w:r>
        <w:rPr>
          <w:rFonts w:hint="eastAsia" w:hAnsi="宋体" w:cs="Arial"/>
        </w:rPr>
        <w:t>%，计元人民币（大写：）：</w:t>
      </w:r>
    </w:p>
    <w:p>
      <w:pPr>
        <w:ind w:left="708" w:firstLine="480"/>
        <w:textAlignment w:val="baseline"/>
        <w:rPr>
          <w:rFonts w:hAnsi="宋体" w:cs="Arial"/>
        </w:rPr>
      </w:pPr>
      <w:r>
        <w:rPr>
          <w:rFonts w:hint="eastAsia" w:hAnsi="宋体" w:cs="Arial"/>
        </w:rPr>
        <w:t>1）买方根据本合同第八章和第九章的规定签发的全部</w:t>
      </w:r>
      <w:r>
        <w:rPr>
          <w:rFonts w:hint="eastAsia" w:ascii="Arial" w:hAnsi="Arial" w:cs="Arial"/>
        </w:rPr>
        <w:t>专用卸煤码头应急物资</w:t>
      </w:r>
      <w:r>
        <w:rPr>
          <w:rFonts w:hint="eastAsia" w:hAnsi="宋体" w:cs="Arial"/>
        </w:rPr>
        <w:t>的最终验收证书副本一份。</w:t>
      </w:r>
    </w:p>
    <w:p>
      <w:pPr>
        <w:ind w:left="708" w:firstLine="480"/>
        <w:textAlignment w:val="baseline"/>
        <w:rPr>
          <w:rFonts w:hAnsi="宋体" w:cs="Arial"/>
        </w:rPr>
      </w:pPr>
      <w:r>
        <w:rPr>
          <w:rFonts w:hint="eastAsia" w:hAnsi="宋体" w:cs="Arial"/>
        </w:rPr>
        <w:t>2）删除</w:t>
      </w:r>
    </w:p>
    <w:p>
      <w:pPr>
        <w:ind w:left="708" w:firstLine="480"/>
        <w:textAlignment w:val="baseline"/>
        <w:rPr>
          <w:rFonts w:hAnsi="宋体" w:cs="Arial"/>
        </w:rPr>
      </w:pPr>
      <w:r>
        <w:rPr>
          <w:rFonts w:hint="eastAsia" w:hAnsi="宋体" w:cs="Arial"/>
        </w:rPr>
        <w:t>3）正式收据正本一份。</w:t>
      </w:r>
    </w:p>
    <w:p>
      <w:pPr>
        <w:ind w:left="708" w:firstLine="480"/>
        <w:textAlignment w:val="baseline"/>
        <w:rPr>
          <w:rFonts w:hAnsi="宋体" w:cs="Arial"/>
        </w:rPr>
      </w:pPr>
      <w:r>
        <w:rPr>
          <w:rFonts w:hint="eastAsia" w:hAnsi="宋体" w:cs="Arial"/>
        </w:rPr>
        <w:t>4）删除。</w:t>
      </w:r>
    </w:p>
    <w:p>
      <w:pPr>
        <w:ind w:firstLine="480"/>
      </w:pPr>
      <w:r>
        <w:rPr>
          <w:rFonts w:hint="eastAsia" w:hAnsi="宋体" w:cs="Arial"/>
        </w:rPr>
        <w:t>3.2.5删除</w:t>
      </w:r>
    </w:p>
    <w:p>
      <w:pPr>
        <w:ind w:left="480" w:hanging="480" w:hangingChars="200"/>
      </w:pPr>
      <w:r>
        <w:t xml:space="preserve">3.3  </w:t>
      </w:r>
      <w:r>
        <w:rPr>
          <w:rFonts w:hint="eastAsia"/>
        </w:rPr>
        <w:t>根据本合同第六章到第九章的规定，如果卖方向买方支付损坏赔偿费、现场加工及罚款时，卖方应在接到买方的书面索赔通知后一个月内，用电汇方式汇入买方银行的帐户。如逾期不交，买方有权在本合同项下的下一期应支付给卖方的款项中将这部分索赔金额及其利息（按银行当年利率计算）扣除。</w:t>
      </w:r>
    </w:p>
    <w:p>
      <w:pPr>
        <w:ind w:left="480" w:hanging="480" w:hangingChars="200"/>
      </w:pPr>
      <w:r>
        <w:t xml:space="preserve">3.4  </w:t>
      </w:r>
      <w:r>
        <w:rPr>
          <w:rFonts w:hint="eastAsia"/>
        </w:rPr>
        <w:t>卖方出具的保函等方面的银行费用均由卖方自己承担。</w:t>
      </w:r>
    </w:p>
    <w:p>
      <w:pPr>
        <w:numPr>
          <w:ilvl w:val="1"/>
          <w:numId w:val="8"/>
        </w:numPr>
        <w:tabs>
          <w:tab w:val="left" w:pos="600"/>
          <w:tab w:val="clear" w:pos="900"/>
        </w:tabs>
        <w:snapToGrid/>
        <w:spacing w:line="360" w:lineRule="auto"/>
        <w:ind w:left="480" w:hanging="480" w:hangingChars="200"/>
        <w:jc w:val="left"/>
        <w:textAlignment w:val="baseline"/>
      </w:pPr>
      <w:r>
        <w:rPr>
          <w:rFonts w:hint="eastAsia"/>
        </w:rPr>
        <w:t>卖方提交的增值税发票价值应与相应设备的实际价值相符，商业发票价值应与相应技术服务的实际价值相符，如有不符，买方有权拒付货款/技术服务款。</w:t>
      </w:r>
    </w:p>
    <w:p>
      <w:pPr>
        <w:numPr>
          <w:ilvl w:val="1"/>
          <w:numId w:val="8"/>
        </w:numPr>
        <w:tabs>
          <w:tab w:val="left" w:pos="600"/>
          <w:tab w:val="clear" w:pos="900"/>
        </w:tabs>
        <w:snapToGrid/>
        <w:spacing w:line="360" w:lineRule="auto"/>
        <w:ind w:left="480" w:hanging="480" w:hangingChars="200"/>
        <w:jc w:val="left"/>
        <w:textAlignment w:val="baseline"/>
      </w:pPr>
      <w:r>
        <w:rPr>
          <w:rFonts w:hint="eastAsia"/>
        </w:rPr>
        <w:t>本合同项下卖方向买方开具的所有单据按如下内容填写:</w:t>
      </w:r>
    </w:p>
    <w:p>
      <w:pPr>
        <w:tabs>
          <w:tab w:val="left" w:pos="851"/>
        </w:tabs>
        <w:ind w:left="540" w:firstLine="480"/>
        <w:rPr>
          <w:rFonts w:hAnsi="宋体"/>
        </w:rPr>
      </w:pPr>
      <w:r>
        <w:rPr>
          <w:rFonts w:hint="eastAsia" w:hAnsi="宋体"/>
          <w:bCs/>
          <w:snapToGrid w:val="0"/>
          <w:szCs w:val="24"/>
        </w:rPr>
        <w:t>单位名称:</w:t>
      </w:r>
      <w:r>
        <w:rPr>
          <w:rFonts w:hint="eastAsia" w:hAnsi="宋体"/>
        </w:rPr>
        <w:t xml:space="preserve"> 华能（大连）热电有限责任公司</w:t>
      </w:r>
    </w:p>
    <w:p>
      <w:pPr>
        <w:tabs>
          <w:tab w:val="left" w:pos="851"/>
        </w:tabs>
        <w:ind w:left="540" w:firstLine="480"/>
        <w:rPr>
          <w:rFonts w:hAnsi="宋体"/>
          <w:bCs/>
          <w:snapToGrid w:val="0"/>
          <w:szCs w:val="24"/>
        </w:rPr>
      </w:pPr>
      <w:r>
        <w:rPr>
          <w:rFonts w:hint="eastAsia" w:hAnsi="宋体"/>
          <w:bCs/>
          <w:snapToGrid w:val="0"/>
          <w:szCs w:val="24"/>
        </w:rPr>
        <w:t xml:space="preserve">地    址: </w:t>
      </w:r>
      <w:r>
        <w:rPr>
          <w:rFonts w:hint="eastAsia" w:hAnsi="宋体"/>
        </w:rPr>
        <w:t>大连市甘井子区大连湾街道前盐村</w:t>
      </w:r>
    </w:p>
    <w:p>
      <w:pPr>
        <w:tabs>
          <w:tab w:val="left" w:pos="851"/>
        </w:tabs>
        <w:ind w:left="540" w:firstLine="480"/>
        <w:rPr>
          <w:rFonts w:hAnsi="宋体"/>
          <w:szCs w:val="24"/>
        </w:rPr>
      </w:pPr>
      <w:r>
        <w:rPr>
          <w:rFonts w:hint="eastAsia" w:hAnsi="宋体"/>
          <w:bCs/>
          <w:snapToGrid w:val="0"/>
          <w:szCs w:val="24"/>
        </w:rPr>
        <w:t>电话号码:</w:t>
      </w:r>
      <w:r>
        <w:rPr>
          <w:rFonts w:hint="eastAsia" w:hAnsi="宋体"/>
        </w:rPr>
        <w:t xml:space="preserve"> 0411-87118838</w:t>
      </w:r>
    </w:p>
    <w:p>
      <w:pPr>
        <w:tabs>
          <w:tab w:val="left" w:pos="851"/>
        </w:tabs>
        <w:ind w:left="540" w:firstLine="480"/>
        <w:rPr>
          <w:rFonts w:hAnsi="宋体"/>
        </w:rPr>
      </w:pPr>
      <w:r>
        <w:rPr>
          <w:rFonts w:hint="eastAsia" w:hAnsi="宋体"/>
          <w:bCs/>
          <w:snapToGrid w:val="0"/>
          <w:szCs w:val="24"/>
        </w:rPr>
        <w:t xml:space="preserve">传真号码: </w:t>
      </w:r>
      <w:r>
        <w:rPr>
          <w:rFonts w:hint="eastAsia" w:hAnsi="宋体"/>
        </w:rPr>
        <w:t>0411-87118888</w:t>
      </w:r>
    </w:p>
    <w:p>
      <w:pPr>
        <w:tabs>
          <w:tab w:val="left" w:pos="851"/>
        </w:tabs>
        <w:ind w:left="540" w:firstLine="480"/>
        <w:rPr>
          <w:rFonts w:hAnsi="宋体"/>
          <w:bCs/>
          <w:snapToGrid w:val="0"/>
          <w:szCs w:val="24"/>
        </w:rPr>
      </w:pPr>
      <w:r>
        <w:rPr>
          <w:rFonts w:hint="eastAsia" w:hAnsi="宋体"/>
          <w:bCs/>
          <w:snapToGrid w:val="0"/>
          <w:szCs w:val="24"/>
        </w:rPr>
        <w:t xml:space="preserve">邮政编码: </w:t>
      </w:r>
      <w:r>
        <w:rPr>
          <w:rFonts w:hint="eastAsia" w:hAnsi="宋体"/>
        </w:rPr>
        <w:t>116113</w:t>
      </w:r>
    </w:p>
    <w:p>
      <w:pPr>
        <w:tabs>
          <w:tab w:val="left" w:pos="851"/>
        </w:tabs>
        <w:ind w:left="540" w:firstLine="480"/>
        <w:rPr>
          <w:rFonts w:hAnsi="宋体"/>
          <w:bCs/>
          <w:snapToGrid w:val="0"/>
          <w:szCs w:val="24"/>
        </w:rPr>
      </w:pPr>
      <w:r>
        <w:rPr>
          <w:rFonts w:hint="eastAsia" w:hAnsi="宋体"/>
          <w:bCs/>
          <w:snapToGrid w:val="0"/>
          <w:szCs w:val="24"/>
        </w:rPr>
        <w:t xml:space="preserve">开户银行: </w:t>
      </w:r>
      <w:r>
        <w:rPr>
          <w:rFonts w:hint="eastAsia" w:hAnsi="宋体"/>
        </w:rPr>
        <w:t>中国农业银行沙河口支行营业部</w:t>
      </w:r>
    </w:p>
    <w:p>
      <w:pPr>
        <w:tabs>
          <w:tab w:val="left" w:pos="851"/>
        </w:tabs>
        <w:ind w:left="540" w:firstLine="480"/>
        <w:rPr>
          <w:rFonts w:hAnsi="宋体"/>
          <w:szCs w:val="24"/>
        </w:rPr>
      </w:pPr>
      <w:r>
        <w:rPr>
          <w:rFonts w:hint="eastAsia" w:hAnsi="宋体"/>
          <w:bCs/>
          <w:snapToGrid w:val="0"/>
          <w:szCs w:val="24"/>
        </w:rPr>
        <w:t xml:space="preserve">账    号: </w:t>
      </w:r>
      <w:r>
        <w:rPr>
          <w:rFonts w:hint="eastAsia" w:hAnsi="宋体"/>
        </w:rPr>
        <w:t>34202001040039160</w:t>
      </w:r>
    </w:p>
    <w:p>
      <w:pPr>
        <w:ind w:left="540" w:firstLine="480"/>
        <w:rPr>
          <w:color w:val="FF0000"/>
        </w:rPr>
      </w:pPr>
      <w:r>
        <w:rPr>
          <w:rFonts w:hint="eastAsia" w:hAnsi="宋体"/>
          <w:bCs/>
          <w:snapToGrid w:val="0"/>
          <w:szCs w:val="24"/>
        </w:rPr>
        <w:t>纳税人登记号:</w:t>
      </w:r>
      <w:r>
        <w:rPr>
          <w:rFonts w:hint="eastAsia" w:hAnsi="宋体"/>
        </w:rPr>
        <w:t>912</w:t>
      </w:r>
      <w:r>
        <w:rPr>
          <w:rFonts w:hint="eastAsia" w:hAnsi="宋体"/>
          <w:color w:val="000000"/>
        </w:rPr>
        <w:t>102003115368737</w:t>
      </w:r>
    </w:p>
    <w:p>
      <w:pPr>
        <w:ind w:firstLine="480"/>
        <w:jc w:val="center"/>
        <w:textAlignment w:val="baseline"/>
        <w:rPr>
          <w:rFonts w:hAnsi="宋体" w:cs="Arial"/>
          <w:b/>
          <w:sz w:val="32"/>
          <w:szCs w:val="32"/>
        </w:rPr>
      </w:pPr>
      <w:r>
        <w:br w:type="page"/>
      </w:r>
      <w:bookmarkStart w:id="19" w:name="_Toc239524390"/>
      <w:bookmarkStart w:id="20" w:name="_Toc479858084"/>
      <w:bookmarkStart w:id="21" w:name="_Toc400967541"/>
      <w:r>
        <w:rPr>
          <w:rFonts w:hAnsi="宋体" w:cs="Arial"/>
          <w:b/>
          <w:sz w:val="32"/>
          <w:szCs w:val="32"/>
        </w:rPr>
        <w:t>第四章    交货与交货条件</w:t>
      </w:r>
      <w:bookmarkEnd w:id="19"/>
      <w:bookmarkEnd w:id="20"/>
      <w:bookmarkEnd w:id="21"/>
    </w:p>
    <w:p>
      <w:pPr>
        <w:numPr>
          <w:ilvl w:val="1"/>
          <w:numId w:val="9"/>
        </w:numPr>
        <w:tabs>
          <w:tab w:val="left" w:pos="709"/>
          <w:tab w:val="clear" w:pos="360"/>
        </w:tabs>
        <w:snapToGrid/>
        <w:spacing w:line="360" w:lineRule="auto"/>
        <w:ind w:left="708" w:hanging="708" w:hangingChars="295"/>
        <w:jc w:val="left"/>
        <w:textAlignment w:val="baseline"/>
        <w:rPr>
          <w:rFonts w:hAnsi="宋体"/>
          <w:color w:val="000000"/>
        </w:rPr>
      </w:pPr>
      <w:r>
        <w:rPr>
          <w:rFonts w:hint="eastAsia" w:hAnsi="宋体"/>
          <w:color w:val="000000"/>
        </w:rPr>
        <w:t>卖方应按本合同所规定的供货范围及交货进度、交货条件等要求交于买方。所有大件应运到买方指定的地点。要求卖方所供设备（具体详见供货范围清单）同时下料、连续供货。</w:t>
      </w:r>
    </w:p>
    <w:p>
      <w:pPr>
        <w:numPr>
          <w:ilvl w:val="1"/>
          <w:numId w:val="9"/>
        </w:numPr>
        <w:tabs>
          <w:tab w:val="left" w:pos="709"/>
          <w:tab w:val="clear" w:pos="360"/>
        </w:tabs>
        <w:snapToGrid/>
        <w:spacing w:line="360" w:lineRule="auto"/>
        <w:ind w:left="708" w:hanging="708" w:hangingChars="295"/>
        <w:jc w:val="left"/>
        <w:textAlignment w:val="baseline"/>
        <w:rPr>
          <w:rFonts w:hAnsi="宋体"/>
          <w:color w:val="000000"/>
        </w:rPr>
      </w:pPr>
      <w:r>
        <w:rPr>
          <w:rFonts w:hint="eastAsia" w:hAnsi="宋体"/>
          <w:color w:val="000000"/>
        </w:rPr>
        <w:t>卖方应在合同生效后，按本合同附件的规定，向买方提交一份清楚的分期交货一览表，包括每批货物名称、粗略的总重量、交货日期等。</w:t>
      </w:r>
    </w:p>
    <w:p>
      <w:pPr>
        <w:numPr>
          <w:ilvl w:val="1"/>
          <w:numId w:val="9"/>
        </w:numPr>
        <w:tabs>
          <w:tab w:val="left" w:pos="709"/>
          <w:tab w:val="clear" w:pos="360"/>
        </w:tabs>
        <w:snapToGrid/>
        <w:spacing w:line="360" w:lineRule="auto"/>
        <w:ind w:left="708" w:hanging="708" w:hangingChars="295"/>
        <w:jc w:val="left"/>
        <w:textAlignment w:val="baseline"/>
        <w:rPr>
          <w:rFonts w:hAnsi="宋体"/>
          <w:color w:val="000000"/>
        </w:rPr>
      </w:pPr>
      <w:r>
        <w:rPr>
          <w:rFonts w:hint="eastAsia" w:hAnsi="宋体"/>
          <w:color w:val="000000"/>
        </w:rPr>
        <w:t>货物运抵施工现场的（由买方施工现场代表签发收货证明的）日期为实际交付日期。此日期即本合同</w:t>
      </w:r>
      <w:r>
        <w:rPr>
          <w:rFonts w:hAnsi="宋体"/>
          <w:color w:val="000000"/>
        </w:rPr>
        <w:t>9.11</w:t>
      </w:r>
      <w:r>
        <w:rPr>
          <w:rFonts w:hint="eastAsia" w:hAnsi="宋体"/>
          <w:color w:val="000000"/>
        </w:rPr>
        <w:t>条计算清偿迟交货物损失的根据。</w:t>
      </w:r>
    </w:p>
    <w:p>
      <w:pPr>
        <w:numPr>
          <w:ilvl w:val="1"/>
          <w:numId w:val="9"/>
        </w:numPr>
        <w:tabs>
          <w:tab w:val="left" w:pos="709"/>
          <w:tab w:val="clear" w:pos="360"/>
        </w:tabs>
        <w:snapToGrid/>
        <w:spacing w:line="360" w:lineRule="auto"/>
        <w:ind w:left="708" w:hanging="708" w:hangingChars="295"/>
        <w:jc w:val="left"/>
        <w:textAlignment w:val="baseline"/>
        <w:rPr>
          <w:rFonts w:hAnsi="宋体"/>
          <w:color w:val="000000"/>
        </w:rPr>
      </w:pPr>
      <w:r>
        <w:rPr>
          <w:rFonts w:hint="eastAsia" w:hAnsi="宋体"/>
          <w:color w:val="000000"/>
        </w:rPr>
        <w:t>在每批货物启运前</w:t>
      </w:r>
      <w:r>
        <w:rPr>
          <w:rFonts w:hAnsi="宋体"/>
          <w:color w:val="000000"/>
        </w:rPr>
        <w:t>10</w:t>
      </w:r>
      <w:r>
        <w:rPr>
          <w:rFonts w:hint="eastAsia" w:hAnsi="宋体"/>
          <w:color w:val="000000"/>
        </w:rPr>
        <w:t>天内，卖方应以传真通知买方：货物备妥待运日期，货物机组号、货物清单、货物重量、货物体积、包装数量和预期运抵现场的时间。</w:t>
      </w:r>
    </w:p>
    <w:p>
      <w:pPr>
        <w:numPr>
          <w:ilvl w:val="1"/>
          <w:numId w:val="9"/>
        </w:numPr>
        <w:tabs>
          <w:tab w:val="left" w:pos="709"/>
          <w:tab w:val="clear" w:pos="360"/>
        </w:tabs>
        <w:snapToGrid/>
        <w:spacing w:line="360" w:lineRule="auto"/>
        <w:ind w:left="708" w:hanging="708" w:hangingChars="295"/>
        <w:jc w:val="left"/>
        <w:textAlignment w:val="baseline"/>
        <w:rPr>
          <w:rFonts w:hAnsi="宋体"/>
          <w:color w:val="000000"/>
        </w:rPr>
      </w:pPr>
      <w:r>
        <w:rPr>
          <w:rFonts w:hAnsi="宋体"/>
          <w:color w:val="000000"/>
        </w:rPr>
        <w:t>在没有满足本合同第七章规定的检查和试验前，卖方不得发出任何货物；在没有取得买方同意前，卖方不得超前发货计划进行发货。</w:t>
      </w:r>
    </w:p>
    <w:p>
      <w:pPr>
        <w:numPr>
          <w:ilvl w:val="1"/>
          <w:numId w:val="9"/>
        </w:numPr>
        <w:tabs>
          <w:tab w:val="left" w:pos="709"/>
          <w:tab w:val="clear" w:pos="360"/>
        </w:tabs>
        <w:snapToGrid/>
        <w:spacing w:line="360" w:lineRule="auto"/>
        <w:ind w:left="708" w:hanging="708" w:hangingChars="295"/>
        <w:jc w:val="left"/>
        <w:textAlignment w:val="baseline"/>
        <w:rPr>
          <w:rFonts w:hAnsi="宋体"/>
          <w:color w:val="000000"/>
        </w:rPr>
      </w:pPr>
      <w:r>
        <w:rPr>
          <w:rFonts w:hAnsi="宋体"/>
          <w:color w:val="000000"/>
        </w:rPr>
        <w:t>在附件发货计划中没有列明的货物应经双方同意，按照安装进度进行交货。</w:t>
      </w:r>
    </w:p>
    <w:p>
      <w:pPr>
        <w:numPr>
          <w:ilvl w:val="1"/>
          <w:numId w:val="9"/>
        </w:numPr>
        <w:tabs>
          <w:tab w:val="left" w:pos="709"/>
          <w:tab w:val="clear" w:pos="360"/>
        </w:tabs>
        <w:snapToGrid/>
        <w:spacing w:line="360" w:lineRule="auto"/>
        <w:ind w:left="708" w:hanging="708" w:hangingChars="295"/>
        <w:jc w:val="left"/>
        <w:textAlignment w:val="baseline"/>
        <w:rPr>
          <w:rFonts w:hAnsi="宋体"/>
          <w:color w:val="000000"/>
        </w:rPr>
      </w:pPr>
      <w:r>
        <w:rPr>
          <w:rFonts w:hAnsi="宋体"/>
          <w:color w:val="000000"/>
        </w:rPr>
        <w:t>不论是按照本合同或在以后由卖方供应的备品备件均应与原来相应的部件完全相同或可互相调换，在技术规格上也应完全符合。</w:t>
      </w:r>
    </w:p>
    <w:p>
      <w:pPr>
        <w:numPr>
          <w:ilvl w:val="1"/>
          <w:numId w:val="9"/>
        </w:numPr>
        <w:tabs>
          <w:tab w:val="left" w:pos="709"/>
          <w:tab w:val="clear" w:pos="360"/>
        </w:tabs>
        <w:snapToGrid/>
        <w:spacing w:line="360" w:lineRule="auto"/>
        <w:ind w:left="708" w:hanging="708" w:hangingChars="295"/>
        <w:jc w:val="left"/>
        <w:textAlignment w:val="baseline"/>
        <w:rPr>
          <w:rFonts w:hAnsi="宋体"/>
          <w:color w:val="000000"/>
        </w:rPr>
      </w:pPr>
      <w:r>
        <w:rPr>
          <w:rFonts w:hAnsi="宋体"/>
          <w:color w:val="000000"/>
        </w:rPr>
        <w:t>在保证期内由于卖方过失或疏忽造成的其供应的设备缺陷或在保证期满后三年内由于卖方供应的设备的潜在缺陷，而动用了买方库存中的备品备件以调换损坏的部件或设备，则卖方应免费负责将动用的备品备件补齐，并运到</w:t>
      </w:r>
      <w:r>
        <w:rPr>
          <w:rFonts w:hint="eastAsia" w:hAnsi="宋体"/>
          <w:color w:val="000000"/>
        </w:rPr>
        <w:t>项目施工现场</w:t>
      </w:r>
      <w:r>
        <w:rPr>
          <w:rFonts w:hAnsi="宋体"/>
          <w:color w:val="000000"/>
        </w:rPr>
        <w:t>。</w:t>
      </w:r>
    </w:p>
    <w:p>
      <w:pPr>
        <w:numPr>
          <w:ilvl w:val="1"/>
          <w:numId w:val="9"/>
        </w:numPr>
        <w:tabs>
          <w:tab w:val="left" w:pos="709"/>
          <w:tab w:val="clear" w:pos="360"/>
        </w:tabs>
        <w:snapToGrid/>
        <w:spacing w:line="360" w:lineRule="auto"/>
        <w:ind w:left="708" w:hanging="708" w:hangingChars="295"/>
        <w:jc w:val="left"/>
        <w:textAlignment w:val="baseline"/>
        <w:rPr>
          <w:rFonts w:hAnsi="宋体"/>
          <w:color w:val="000000"/>
        </w:rPr>
      </w:pPr>
      <w:r>
        <w:rPr>
          <w:rFonts w:hAnsi="宋体"/>
          <w:color w:val="000000"/>
        </w:rPr>
        <w:t>全部技术资料由卖方负责，交给买方或买方在施工现场的代表。其一切相关费用均由卖方承担。</w:t>
      </w:r>
      <w:r>
        <w:rPr>
          <w:rFonts w:hint="eastAsia" w:hAnsi="宋体"/>
          <w:color w:val="000000"/>
        </w:rPr>
        <w:t>资料内容和交付计划按本合同附件规定办理。</w:t>
      </w:r>
    </w:p>
    <w:p>
      <w:pPr>
        <w:numPr>
          <w:ilvl w:val="1"/>
          <w:numId w:val="9"/>
        </w:numPr>
        <w:tabs>
          <w:tab w:val="left" w:pos="709"/>
          <w:tab w:val="clear" w:pos="360"/>
        </w:tabs>
        <w:snapToGrid/>
        <w:spacing w:line="360" w:lineRule="auto"/>
        <w:ind w:left="708" w:hanging="708" w:hangingChars="295"/>
        <w:jc w:val="left"/>
        <w:textAlignment w:val="baseline"/>
        <w:rPr>
          <w:rFonts w:hAnsi="宋体"/>
          <w:color w:val="000000"/>
        </w:rPr>
      </w:pPr>
      <w:r>
        <w:rPr>
          <w:rFonts w:hint="eastAsia" w:hAnsi="宋体"/>
          <w:color w:val="000000"/>
        </w:rPr>
        <w:t>技术资料交给买方的日期即为技术资料的实际交付日期.此日期将为按合同第九章计算任何延期交付资料延期罚款的依据。</w:t>
      </w:r>
    </w:p>
    <w:p>
      <w:pPr>
        <w:numPr>
          <w:ilvl w:val="1"/>
          <w:numId w:val="9"/>
        </w:numPr>
        <w:tabs>
          <w:tab w:val="left" w:pos="709"/>
          <w:tab w:val="clear" w:pos="360"/>
        </w:tabs>
        <w:snapToGrid/>
        <w:spacing w:line="360" w:lineRule="auto"/>
        <w:ind w:left="708" w:hanging="708" w:hangingChars="295"/>
        <w:jc w:val="left"/>
        <w:textAlignment w:val="baseline"/>
        <w:rPr>
          <w:rFonts w:hAnsi="宋体"/>
          <w:color w:val="000000"/>
        </w:rPr>
      </w:pPr>
      <w:r>
        <w:rPr>
          <w:rFonts w:hAnsi="宋体"/>
          <w:color w:val="000000"/>
        </w:rPr>
        <w:t>卖方应在每批货物交运时随货物提供装箱单明细。</w:t>
      </w:r>
    </w:p>
    <w:p>
      <w:pPr>
        <w:numPr>
          <w:ilvl w:val="1"/>
          <w:numId w:val="9"/>
        </w:numPr>
        <w:tabs>
          <w:tab w:val="left" w:pos="709"/>
          <w:tab w:val="clear" w:pos="360"/>
        </w:tabs>
        <w:snapToGrid/>
        <w:spacing w:line="360" w:lineRule="auto"/>
        <w:ind w:left="708" w:hanging="708" w:hangingChars="295"/>
        <w:jc w:val="left"/>
        <w:textAlignment w:val="baseline"/>
        <w:rPr>
          <w:rFonts w:hAnsi="宋体"/>
          <w:color w:val="000000"/>
        </w:rPr>
      </w:pPr>
      <w:r>
        <w:rPr>
          <w:rFonts w:hint="eastAsia" w:hAnsi="宋体"/>
          <w:color w:val="000000"/>
        </w:rPr>
        <w:t>收货单位：华能（大连）热电有限责任公司。</w:t>
      </w:r>
    </w:p>
    <w:p>
      <w:pPr>
        <w:numPr>
          <w:ilvl w:val="1"/>
          <w:numId w:val="9"/>
        </w:numPr>
        <w:tabs>
          <w:tab w:val="left" w:pos="709"/>
          <w:tab w:val="clear" w:pos="360"/>
        </w:tabs>
        <w:snapToGrid/>
        <w:spacing w:line="360" w:lineRule="auto"/>
        <w:ind w:left="708" w:hanging="708" w:hangingChars="295"/>
        <w:jc w:val="left"/>
        <w:textAlignment w:val="baseline"/>
        <w:rPr>
          <w:rFonts w:hAnsi="宋体"/>
          <w:color w:val="000000"/>
        </w:rPr>
      </w:pPr>
      <w:r>
        <w:rPr>
          <w:rFonts w:hint="eastAsia" w:hAnsi="宋体"/>
          <w:color w:val="000000"/>
        </w:rPr>
        <w:t>交货地点：华能（大连）热电有限责任公司新建工程施工现场指定地点车板交货。</w:t>
      </w:r>
    </w:p>
    <w:p>
      <w:pPr>
        <w:pStyle w:val="2"/>
        <w:tabs>
          <w:tab w:val="left" w:pos="9120"/>
        </w:tabs>
        <w:ind w:firstLine="883"/>
        <w:jc w:val="center"/>
        <w:rPr>
          <w:rFonts w:ascii="Arial" w:hAnsi="Arial" w:cs="Arial"/>
          <w:b w:val="0"/>
          <w:sz w:val="28"/>
          <w:szCs w:val="28"/>
        </w:rPr>
      </w:pPr>
      <w:r>
        <w:rPr>
          <w:rFonts w:ascii="宋体" w:hAnsi="宋体"/>
        </w:rPr>
        <w:br w:type="page"/>
      </w:r>
      <w:bookmarkStart w:id="22" w:name="_Toc479858085"/>
      <w:bookmarkStart w:id="23" w:name="_Toc400967542"/>
      <w:bookmarkStart w:id="24" w:name="_Toc239524391"/>
      <w:r>
        <w:rPr>
          <w:rFonts w:ascii="宋体" w:hAnsi="宋体" w:cs="Arial"/>
          <w:sz w:val="32"/>
          <w:szCs w:val="32"/>
        </w:rPr>
        <w:t>第五章    包装与标记</w:t>
      </w:r>
      <w:bookmarkEnd w:id="22"/>
      <w:bookmarkEnd w:id="23"/>
      <w:bookmarkEnd w:id="24"/>
    </w:p>
    <w:p>
      <w:pPr>
        <w:numPr>
          <w:ilvl w:val="1"/>
          <w:numId w:val="10"/>
        </w:numPr>
        <w:tabs>
          <w:tab w:val="left" w:pos="709"/>
          <w:tab w:val="clear" w:pos="360"/>
        </w:tabs>
        <w:snapToGrid/>
        <w:spacing w:line="360" w:lineRule="auto"/>
        <w:ind w:left="708" w:hanging="708" w:hangingChars="295"/>
        <w:jc w:val="left"/>
        <w:textAlignment w:val="baseline"/>
        <w:rPr>
          <w:color w:val="000000"/>
        </w:rPr>
      </w:pPr>
      <w:r>
        <w:rPr>
          <w:rFonts w:hint="eastAsia" w:hAnsi="宋体"/>
          <w:color w:val="000000"/>
        </w:rPr>
        <w:t>卖方交付的所有货物应按附件的要求具有适合长途内陆运输多次搬运</w:t>
      </w:r>
      <w:r>
        <w:rPr>
          <w:color w:val="000000"/>
        </w:rPr>
        <w:t>\</w:t>
      </w:r>
      <w:r>
        <w:rPr>
          <w:rFonts w:hint="eastAsia" w:hAnsi="宋体"/>
          <w:color w:val="000000"/>
        </w:rPr>
        <w:t>装卸的坚固包装，并应加上防潮、防霉防腐蚀的保护措施，以保证货物在没有任何损坏和腐蚀的情况下，安全无损地运抵合同设备的施工现场。</w:t>
      </w:r>
    </w:p>
    <w:p>
      <w:pPr>
        <w:numPr>
          <w:ilvl w:val="1"/>
          <w:numId w:val="10"/>
        </w:numPr>
        <w:tabs>
          <w:tab w:val="left" w:pos="709"/>
          <w:tab w:val="clear" w:pos="360"/>
        </w:tabs>
        <w:snapToGrid/>
        <w:spacing w:line="360" w:lineRule="auto"/>
        <w:ind w:left="708" w:hanging="708" w:hangingChars="295"/>
        <w:jc w:val="left"/>
        <w:textAlignment w:val="baseline"/>
        <w:rPr>
          <w:rFonts w:hAnsi="宋体"/>
          <w:color w:val="000000"/>
        </w:rPr>
      </w:pPr>
      <w:r>
        <w:rPr>
          <w:rFonts w:hAnsi="宋体"/>
          <w:color w:val="000000"/>
        </w:rPr>
        <w:t>卖方对包装箱内和捆内的各散装部件均应系加标签，注明合同号，主要设备名称，本部件名称以及该部件在装配图中的位号、零件号。</w:t>
      </w:r>
    </w:p>
    <w:p>
      <w:pPr>
        <w:numPr>
          <w:ilvl w:val="1"/>
          <w:numId w:val="10"/>
        </w:numPr>
        <w:tabs>
          <w:tab w:val="left" w:pos="709"/>
          <w:tab w:val="clear" w:pos="360"/>
        </w:tabs>
        <w:snapToGrid/>
        <w:spacing w:line="360" w:lineRule="auto"/>
        <w:ind w:left="708" w:hanging="708" w:hangingChars="295"/>
        <w:jc w:val="left"/>
        <w:textAlignment w:val="baseline"/>
        <w:rPr>
          <w:rFonts w:hAnsi="宋体"/>
          <w:color w:val="000000"/>
        </w:rPr>
      </w:pPr>
      <w:r>
        <w:rPr>
          <w:rFonts w:hAnsi="宋体"/>
          <w:color w:val="000000"/>
        </w:rPr>
        <w:t>备品备件、专用工具应分别包装并按上述5.2条注明内容。</w:t>
      </w:r>
    </w:p>
    <w:p>
      <w:pPr>
        <w:numPr>
          <w:ilvl w:val="1"/>
          <w:numId w:val="10"/>
        </w:numPr>
        <w:tabs>
          <w:tab w:val="left" w:pos="709"/>
          <w:tab w:val="clear" w:pos="360"/>
        </w:tabs>
        <w:snapToGrid/>
        <w:spacing w:line="360" w:lineRule="auto"/>
        <w:ind w:left="708" w:hanging="708" w:hangingChars="295"/>
        <w:jc w:val="left"/>
        <w:textAlignment w:val="baseline"/>
        <w:rPr>
          <w:rFonts w:hAnsi="宋体"/>
          <w:color w:val="000000"/>
        </w:rPr>
      </w:pPr>
      <w:r>
        <w:rPr>
          <w:rFonts w:hint="eastAsia" w:hAnsi="宋体"/>
          <w:color w:val="000000"/>
        </w:rPr>
        <w:t>卖方应在每件包装箱的四个侧面上，用不褪色的油漆注明以下标记：</w:t>
      </w:r>
    </w:p>
    <w:p>
      <w:pPr>
        <w:ind w:left="708" w:leftChars="295" w:firstLine="480"/>
        <w:textAlignment w:val="baseline"/>
        <w:rPr>
          <w:rFonts w:ascii="Arial" w:hAnsi="Arial" w:cs="Arial"/>
        </w:rPr>
      </w:pPr>
      <w:r>
        <w:rPr>
          <w:rFonts w:hint="eastAsia" w:ascii="Arial" w:hAnsi="Arial" w:cs="Arial"/>
        </w:rPr>
        <w:t>（1</w:t>
      </w:r>
      <w:r>
        <w:rPr>
          <w:rFonts w:ascii="Arial" w:hAnsi="Arial" w:cs="Arial"/>
        </w:rPr>
        <w:t>）合同号；</w:t>
      </w:r>
    </w:p>
    <w:p>
      <w:pPr>
        <w:ind w:left="708" w:leftChars="295" w:firstLine="480"/>
        <w:textAlignment w:val="baseline"/>
        <w:rPr>
          <w:rFonts w:ascii="Arial" w:hAnsi="Arial" w:cs="Arial"/>
        </w:rPr>
      </w:pPr>
      <w:r>
        <w:rPr>
          <w:rFonts w:hint="eastAsia" w:ascii="Arial" w:hAnsi="Arial" w:cs="Arial"/>
        </w:rPr>
        <w:t>（2</w:t>
      </w:r>
      <w:r>
        <w:rPr>
          <w:rFonts w:ascii="Arial" w:hAnsi="Arial" w:cs="Arial"/>
        </w:rPr>
        <w:t>）目的地；</w:t>
      </w:r>
      <w:r>
        <w:rPr>
          <w:rFonts w:hint="eastAsia" w:ascii="Arial" w:hAnsi="Arial" w:cs="Arial"/>
        </w:rPr>
        <w:t>大连市甘井子区海北路2号</w:t>
      </w:r>
    </w:p>
    <w:p>
      <w:pPr>
        <w:ind w:left="708" w:leftChars="295" w:firstLine="480"/>
        <w:textAlignment w:val="baseline"/>
        <w:rPr>
          <w:rFonts w:ascii="Arial" w:hAnsi="Arial" w:cs="Arial"/>
        </w:rPr>
      </w:pPr>
      <w:r>
        <w:rPr>
          <w:rFonts w:hint="eastAsia" w:hAnsi="宋体"/>
          <w:color w:val="000000"/>
        </w:rPr>
        <w:t>（3</w:t>
      </w:r>
      <w:r>
        <w:rPr>
          <w:rFonts w:hAnsi="宋体"/>
          <w:color w:val="000000"/>
        </w:rPr>
        <w:t>）</w:t>
      </w:r>
      <w:r>
        <w:rPr>
          <w:rFonts w:hint="eastAsia" w:hAnsi="宋体"/>
          <w:color w:val="000000"/>
        </w:rPr>
        <w:t>收货人名称；华能（大连）热电有限责任公司  物资部</w:t>
      </w:r>
    </w:p>
    <w:p>
      <w:pPr>
        <w:ind w:left="708" w:leftChars="295" w:firstLine="480"/>
        <w:textAlignment w:val="baseline"/>
        <w:rPr>
          <w:rFonts w:ascii="Arial" w:hAnsi="Arial" w:cs="Arial"/>
        </w:rPr>
      </w:pPr>
      <w:r>
        <w:rPr>
          <w:rFonts w:hint="eastAsia" w:hAnsi="宋体"/>
          <w:color w:val="000000"/>
        </w:rPr>
        <w:t>（4）设备名称及项号；</w:t>
      </w:r>
    </w:p>
    <w:p>
      <w:pPr>
        <w:tabs>
          <w:tab w:val="left" w:pos="709"/>
        </w:tabs>
        <w:ind w:left="708" w:leftChars="295" w:firstLine="480"/>
        <w:rPr>
          <w:color w:val="000000"/>
        </w:rPr>
      </w:pPr>
      <w:r>
        <w:rPr>
          <w:rFonts w:hint="eastAsia" w:hAnsi="宋体"/>
          <w:color w:val="000000"/>
        </w:rPr>
        <w:t>凡重量为二吨或超过二吨的货物，应在包装箱的侧面注以常用的标记，标明重量及挂绳位置，以便装卸搬运。</w:t>
      </w:r>
    </w:p>
    <w:p>
      <w:pPr>
        <w:numPr>
          <w:ilvl w:val="1"/>
          <w:numId w:val="10"/>
        </w:numPr>
        <w:tabs>
          <w:tab w:val="left" w:pos="709"/>
          <w:tab w:val="clear" w:pos="360"/>
        </w:tabs>
        <w:snapToGrid/>
        <w:spacing w:line="360" w:lineRule="auto"/>
        <w:ind w:left="708" w:hanging="708" w:hangingChars="295"/>
        <w:jc w:val="left"/>
        <w:textAlignment w:val="baseline"/>
        <w:rPr>
          <w:rFonts w:hAnsi="宋体"/>
          <w:color w:val="000000"/>
        </w:rPr>
      </w:pPr>
      <w:r>
        <w:rPr>
          <w:rFonts w:hint="eastAsia" w:hAnsi="宋体"/>
          <w:color w:val="000000"/>
        </w:rPr>
        <w:t>每件包装箱内，应附有详细装箱单一份。</w:t>
      </w:r>
    </w:p>
    <w:p>
      <w:pPr>
        <w:numPr>
          <w:ilvl w:val="1"/>
          <w:numId w:val="10"/>
        </w:numPr>
        <w:tabs>
          <w:tab w:val="left" w:pos="709"/>
          <w:tab w:val="clear" w:pos="360"/>
        </w:tabs>
        <w:snapToGrid/>
        <w:spacing w:line="360" w:lineRule="auto"/>
        <w:ind w:left="708" w:hanging="708" w:hangingChars="295"/>
        <w:jc w:val="left"/>
        <w:textAlignment w:val="baseline"/>
        <w:rPr>
          <w:rFonts w:hAnsi="宋体"/>
          <w:color w:val="000000"/>
        </w:rPr>
      </w:pPr>
      <w:r>
        <w:rPr>
          <w:rFonts w:hint="eastAsia" w:hAnsi="宋体"/>
          <w:color w:val="000000"/>
        </w:rPr>
        <w:t>专用工具，安装调试、试运行用的备件和消耗品应按用途分别包装并作出标记。</w:t>
      </w:r>
    </w:p>
    <w:p>
      <w:pPr>
        <w:numPr>
          <w:ilvl w:val="1"/>
          <w:numId w:val="10"/>
        </w:numPr>
        <w:tabs>
          <w:tab w:val="left" w:pos="709"/>
          <w:tab w:val="clear" w:pos="360"/>
        </w:tabs>
        <w:snapToGrid/>
        <w:spacing w:line="360" w:lineRule="auto"/>
        <w:ind w:left="708" w:hanging="708" w:hangingChars="295"/>
        <w:jc w:val="left"/>
        <w:textAlignment w:val="baseline"/>
        <w:rPr>
          <w:rFonts w:hAnsi="宋体"/>
          <w:color w:val="000000"/>
        </w:rPr>
      </w:pPr>
      <w:r>
        <w:rPr>
          <w:rFonts w:hint="eastAsia" w:hAnsi="宋体"/>
          <w:color w:val="000000"/>
        </w:rPr>
        <w:t>各种材料及散部件或零件应采用合格的包装方式进行包装。</w:t>
      </w:r>
    </w:p>
    <w:p>
      <w:pPr>
        <w:numPr>
          <w:ilvl w:val="1"/>
          <w:numId w:val="10"/>
        </w:numPr>
        <w:tabs>
          <w:tab w:val="left" w:pos="709"/>
          <w:tab w:val="clear" w:pos="360"/>
        </w:tabs>
        <w:snapToGrid/>
        <w:spacing w:line="360" w:lineRule="auto"/>
        <w:ind w:left="708" w:hanging="708" w:hangingChars="295"/>
        <w:jc w:val="left"/>
        <w:textAlignment w:val="baseline"/>
        <w:rPr>
          <w:rFonts w:hAnsi="宋体"/>
          <w:color w:val="000000"/>
        </w:rPr>
      </w:pPr>
      <w:r>
        <w:rPr>
          <w:rFonts w:hint="eastAsia" w:hAnsi="宋体"/>
          <w:color w:val="000000"/>
        </w:rPr>
        <w:t>所有管子和管件的端口必须用保护盖或其它方式妥善防护。对需要充氮气保护运输的设备周围应冲氮保护，并配备带有指示仪表的氮气瓶。</w:t>
      </w:r>
    </w:p>
    <w:p>
      <w:pPr>
        <w:numPr>
          <w:ilvl w:val="1"/>
          <w:numId w:val="10"/>
        </w:numPr>
        <w:tabs>
          <w:tab w:val="left" w:pos="709"/>
          <w:tab w:val="clear" w:pos="360"/>
        </w:tabs>
        <w:snapToGrid/>
        <w:spacing w:line="360" w:lineRule="auto"/>
        <w:ind w:left="708" w:hanging="708" w:hangingChars="295"/>
        <w:jc w:val="left"/>
        <w:textAlignment w:val="baseline"/>
        <w:rPr>
          <w:rFonts w:hAnsi="宋体"/>
          <w:color w:val="000000"/>
        </w:rPr>
      </w:pPr>
      <w:r>
        <w:rPr>
          <w:rFonts w:hint="eastAsia" w:hAnsi="宋体"/>
          <w:color w:val="000000"/>
        </w:rPr>
        <w:t>卖方所有合同设备（包含分包设备）的箱件上必须使用统一的箱号标记，不得用同一箱号标明任何两个箱件。</w:t>
      </w:r>
    </w:p>
    <w:p>
      <w:pPr>
        <w:numPr>
          <w:ilvl w:val="1"/>
          <w:numId w:val="10"/>
        </w:numPr>
        <w:tabs>
          <w:tab w:val="left" w:pos="709"/>
          <w:tab w:val="clear" w:pos="360"/>
        </w:tabs>
        <w:snapToGrid/>
        <w:spacing w:line="360" w:lineRule="auto"/>
        <w:ind w:left="708" w:hanging="708" w:hangingChars="295"/>
        <w:jc w:val="left"/>
        <w:textAlignment w:val="baseline"/>
        <w:rPr>
          <w:rFonts w:hAnsi="宋体"/>
          <w:color w:val="000000"/>
        </w:rPr>
      </w:pPr>
      <w:r>
        <w:rPr>
          <w:rFonts w:hint="eastAsia" w:hAnsi="宋体"/>
          <w:color w:val="000000"/>
        </w:rPr>
        <w:t>设备和</w:t>
      </w:r>
      <w:r>
        <w:rPr>
          <w:rFonts w:hAnsi="宋体"/>
          <w:color w:val="000000"/>
        </w:rPr>
        <w:t>/</w:t>
      </w:r>
      <w:r>
        <w:rPr>
          <w:rFonts w:hint="eastAsia" w:hAnsi="宋体"/>
          <w:color w:val="000000"/>
        </w:rPr>
        <w:t>或备品备件和</w:t>
      </w:r>
      <w:r>
        <w:rPr>
          <w:rFonts w:hAnsi="宋体"/>
          <w:color w:val="000000"/>
        </w:rPr>
        <w:t>/</w:t>
      </w:r>
      <w:r>
        <w:rPr>
          <w:rFonts w:hint="eastAsia" w:hAnsi="宋体"/>
          <w:color w:val="000000"/>
        </w:rPr>
        <w:t>或包装的重心位置应明确标示。</w:t>
      </w:r>
    </w:p>
    <w:p>
      <w:pPr>
        <w:numPr>
          <w:ilvl w:val="1"/>
          <w:numId w:val="10"/>
        </w:numPr>
        <w:tabs>
          <w:tab w:val="left" w:pos="709"/>
          <w:tab w:val="clear" w:pos="360"/>
        </w:tabs>
        <w:snapToGrid/>
        <w:spacing w:line="360" w:lineRule="auto"/>
        <w:ind w:left="708" w:hanging="708" w:hangingChars="295"/>
        <w:jc w:val="left"/>
        <w:textAlignment w:val="baseline"/>
        <w:rPr>
          <w:rFonts w:hAnsi="宋体"/>
          <w:color w:val="000000"/>
        </w:rPr>
      </w:pPr>
      <w:r>
        <w:rPr>
          <w:rFonts w:hint="eastAsia" w:hAnsi="宋体"/>
          <w:color w:val="000000"/>
        </w:rPr>
        <w:t>对于为保证精确装配而需具备明亮洁净加工面的货物，这些加工面应采用优良、耐久的保护层（不得用油漆）以防止在安装前发生锈蚀。</w:t>
      </w:r>
    </w:p>
    <w:p>
      <w:pPr>
        <w:numPr>
          <w:ilvl w:val="1"/>
          <w:numId w:val="10"/>
        </w:numPr>
        <w:tabs>
          <w:tab w:val="left" w:pos="709"/>
          <w:tab w:val="clear" w:pos="360"/>
        </w:tabs>
        <w:snapToGrid/>
        <w:spacing w:line="360" w:lineRule="auto"/>
        <w:ind w:left="708" w:hanging="708" w:hangingChars="295"/>
        <w:jc w:val="left"/>
        <w:textAlignment w:val="baseline"/>
        <w:rPr>
          <w:rFonts w:hAnsi="宋体"/>
          <w:color w:val="000000"/>
        </w:rPr>
      </w:pPr>
      <w:r>
        <w:rPr>
          <w:rFonts w:hint="eastAsia" w:hAnsi="宋体"/>
          <w:color w:val="000000"/>
        </w:rPr>
        <w:t>卖方交付的技术资料内应附有技术资料的详细清单一式二份，标明技术资料的序号、文件项号、名称和页数。</w:t>
      </w:r>
      <w:bookmarkStart w:id="25" w:name="_Toc239524392"/>
      <w:bookmarkStart w:id="26" w:name="_Toc400967543"/>
    </w:p>
    <w:p>
      <w:pPr>
        <w:numPr>
          <w:ilvl w:val="1"/>
          <w:numId w:val="10"/>
        </w:numPr>
        <w:tabs>
          <w:tab w:val="left" w:pos="709"/>
          <w:tab w:val="clear" w:pos="360"/>
        </w:tabs>
        <w:snapToGrid/>
        <w:spacing w:line="360" w:lineRule="auto"/>
        <w:ind w:left="708" w:hanging="708" w:hangingChars="295"/>
        <w:jc w:val="left"/>
        <w:textAlignment w:val="baseline"/>
        <w:rPr>
          <w:rFonts w:hAnsi="宋体"/>
          <w:color w:val="000000"/>
        </w:rPr>
      </w:pPr>
      <w:r>
        <w:rPr>
          <w:rFonts w:hint="eastAsia" w:hAnsi="宋体"/>
          <w:color w:val="000000"/>
        </w:rPr>
        <w:t>凡由于卖方包装不善，货运中保管不良致使货物遭到损坏或丢失时，卖方均应按本合同第九章的规定负责修理、更换或赔偿。</w:t>
      </w:r>
    </w:p>
    <w:p>
      <w:pPr>
        <w:numPr>
          <w:ilvl w:val="1"/>
          <w:numId w:val="10"/>
        </w:numPr>
        <w:tabs>
          <w:tab w:val="left" w:pos="709"/>
          <w:tab w:val="clear" w:pos="360"/>
        </w:tabs>
        <w:snapToGrid/>
        <w:spacing w:line="360" w:lineRule="auto"/>
        <w:ind w:left="708" w:hanging="708" w:hangingChars="295"/>
        <w:jc w:val="left"/>
        <w:textAlignment w:val="baseline"/>
        <w:rPr>
          <w:rFonts w:hAnsi="宋体"/>
          <w:color w:val="000000"/>
        </w:rPr>
      </w:pPr>
      <w:r>
        <w:rPr>
          <w:rFonts w:hint="eastAsia" w:hAnsi="宋体"/>
          <w:color w:val="000000"/>
        </w:rPr>
        <w:t>买方有权自费派遣人员到卖方制造厂、主要分包商对设备包装进行检验。但该检验均不能减轻或解除卖方对包装质量应负的责任。</w:t>
      </w:r>
    </w:p>
    <w:p>
      <w:pPr>
        <w:pStyle w:val="2"/>
        <w:tabs>
          <w:tab w:val="left" w:pos="9120"/>
        </w:tabs>
        <w:ind w:firstLine="640"/>
        <w:jc w:val="center"/>
        <w:rPr>
          <w:rFonts w:ascii="宋体" w:hAnsi="宋体" w:cs="Arial"/>
          <w:b w:val="0"/>
          <w:sz w:val="32"/>
          <w:szCs w:val="32"/>
        </w:rPr>
        <w:sectPr>
          <w:footerReference r:id="rId6" w:type="default"/>
          <w:pgSz w:w="11907" w:h="16840"/>
          <w:pgMar w:top="1304" w:right="1134" w:bottom="1134" w:left="1304" w:header="567" w:footer="850" w:gutter="0"/>
          <w:cols w:space="720" w:num="1"/>
          <w:docGrid w:linePitch="326" w:charSpace="0"/>
        </w:sectPr>
      </w:pPr>
    </w:p>
    <w:p>
      <w:pPr>
        <w:pStyle w:val="2"/>
        <w:tabs>
          <w:tab w:val="left" w:pos="9120"/>
        </w:tabs>
        <w:ind w:firstLine="643"/>
        <w:jc w:val="center"/>
        <w:rPr>
          <w:rFonts w:ascii="Arial" w:hAnsi="Arial" w:cs="Arial"/>
          <w:sz w:val="32"/>
          <w:szCs w:val="32"/>
        </w:rPr>
      </w:pPr>
      <w:bookmarkStart w:id="27" w:name="_Toc479858086"/>
      <w:r>
        <w:rPr>
          <w:rFonts w:ascii="宋体" w:hAnsi="宋体" w:cs="Arial"/>
          <w:sz w:val="32"/>
          <w:szCs w:val="32"/>
        </w:rPr>
        <w:t>第六章    技术服务、技术指导和联络</w:t>
      </w:r>
      <w:bookmarkEnd w:id="25"/>
      <w:bookmarkEnd w:id="26"/>
      <w:bookmarkEnd w:id="27"/>
    </w:p>
    <w:p>
      <w:pPr>
        <w:numPr>
          <w:ilvl w:val="0"/>
          <w:numId w:val="11"/>
        </w:numPr>
        <w:tabs>
          <w:tab w:val="left" w:pos="709"/>
        </w:tabs>
        <w:snapToGrid/>
        <w:spacing w:line="360" w:lineRule="auto"/>
        <w:ind w:left="708" w:hanging="708" w:hangingChars="295"/>
        <w:jc w:val="left"/>
        <w:textAlignment w:val="baseline"/>
        <w:rPr>
          <w:color w:val="000000"/>
        </w:rPr>
      </w:pPr>
      <w:r>
        <w:rPr>
          <w:rFonts w:hint="eastAsia" w:hAnsi="宋体"/>
          <w:color w:val="000000"/>
        </w:rPr>
        <w:t>卖方负责提供“合同设备”的工程设计服务、施工、安装、组装、调试、试运行和性能保证考核试验的技术服务、检验及培训服务工作。</w:t>
      </w:r>
    </w:p>
    <w:p>
      <w:pPr>
        <w:numPr>
          <w:ilvl w:val="0"/>
          <w:numId w:val="11"/>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卖方应在合同生效后三个月内向买方提交执行</w:t>
      </w:r>
      <w:r>
        <w:rPr>
          <w:rFonts w:hAnsi="宋体"/>
          <w:color w:val="000000"/>
        </w:rPr>
        <w:t>6.1</w:t>
      </w:r>
      <w:r>
        <w:rPr>
          <w:rFonts w:hint="eastAsia" w:hAnsi="宋体"/>
          <w:color w:val="000000"/>
        </w:rPr>
        <w:t>条款中规定的服务工作详细组织计划一式两份。</w:t>
      </w:r>
    </w:p>
    <w:p>
      <w:pPr>
        <w:numPr>
          <w:ilvl w:val="0"/>
          <w:numId w:val="11"/>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如遇有重大问题，需要双方立即研究协商时，任何一方均可提出召开临时会议的方案及开会的日期地点，无特殊情况下，另一方应同意参加。</w:t>
      </w:r>
    </w:p>
    <w:p>
      <w:pPr>
        <w:numPr>
          <w:ilvl w:val="0"/>
          <w:numId w:val="11"/>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各次联络会议及其正式会议双方均须签订会议纪要，各个纪要均成为本合同的一部分，双方均应执行，当纪要内容与合同条款有矛盾时，则以合同条款为准。</w:t>
      </w:r>
    </w:p>
    <w:p>
      <w:pPr>
        <w:numPr>
          <w:ilvl w:val="0"/>
          <w:numId w:val="11"/>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卖方提出的并经双方在联络会上确定的详细设计图纸（安装设计）及技术指导方案在未经买方书面同意前不得改变或修改，但买方有权随时提出变更或修改，以适应现场条件的要求，并向卖方作相应的通知，如果这种修改严重影响卖方的利益，双方将就要求变更的请求，共同进行研究，协商其对执行合同的影响，买方将据此提出变更通知书的条款和条件（如果有的话）。</w:t>
      </w:r>
    </w:p>
    <w:p>
      <w:pPr>
        <w:numPr>
          <w:ilvl w:val="0"/>
          <w:numId w:val="11"/>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买方有权将卖方的概念设计、施工设计技术指导方案以及卖方所提供的一切有关“合同设备”的资料、图纸等复印分发给买方为本项目工程而签订的其它合同的供货商。</w:t>
      </w:r>
    </w:p>
    <w:p>
      <w:pPr>
        <w:numPr>
          <w:ilvl w:val="0"/>
          <w:numId w:val="11"/>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在进行各次联络会议及其它各项联络以及在施工工程中商议有关施工、安装、调试、试运行、检验、验收等事项时，合同各方应指派授权人员，其行为、指导和决定将被视为是代表各自一方的。</w:t>
      </w:r>
    </w:p>
    <w:p>
      <w:pPr>
        <w:numPr>
          <w:ilvl w:val="0"/>
          <w:numId w:val="11"/>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为了进行有关“合同设备”的技术指导工作，卖方应派遣称职的、合格的、有经验的人员到现场进行技术指导和监督。</w:t>
      </w:r>
    </w:p>
    <w:p>
      <w:pPr>
        <w:numPr>
          <w:ilvl w:val="0"/>
          <w:numId w:val="11"/>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如果在合同规定派遣技术人员范围之外的卖方的分包商人员希望参加“合同设备”的技术指导或去现场，他们应事前通过卖方征得买方的批准，并自负一切费用。</w:t>
      </w:r>
    </w:p>
    <w:p>
      <w:pPr>
        <w:numPr>
          <w:ilvl w:val="0"/>
          <w:numId w:val="11"/>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对于卖方主要部件的所有订货合同的分包合同，卖方应对与分包供货人或分包商的一切有关供货范围、技术安排的接口工作和技术服务等问题负责，卖方应将本合同附件中所有设备供货人的名单提交买方，其需要在合同生效日之前由买方批准，卖方应将从该批准的名单中选定的最后供货人通知买方。</w:t>
      </w:r>
    </w:p>
    <w:p>
      <w:pPr>
        <w:numPr>
          <w:ilvl w:val="0"/>
          <w:numId w:val="11"/>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卖方应保证其从事设备工程设计及技术指导的人员皆全力为“合同设备”的最大利益服务，不会发生任何违背这一原则的行为和不法行为，卖方及买方都将为此提供各种条件以便双方密切协作，顺利开展工作。</w:t>
      </w:r>
    </w:p>
    <w:p>
      <w:pPr>
        <w:numPr>
          <w:ilvl w:val="0"/>
          <w:numId w:val="11"/>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在协调合作过程中如发生不可解决的分歧问题，应提交合同各方指定的高级负责人来讨论解决，在分歧解决前仍应按照原来的内容进行。</w:t>
      </w:r>
    </w:p>
    <w:p>
      <w:pPr>
        <w:numPr>
          <w:ilvl w:val="0"/>
          <w:numId w:val="11"/>
        </w:numPr>
        <w:tabs>
          <w:tab w:val="left" w:pos="709"/>
        </w:tabs>
        <w:snapToGrid/>
        <w:spacing w:line="360" w:lineRule="auto"/>
        <w:ind w:left="708" w:hanging="708" w:hangingChars="295"/>
        <w:jc w:val="left"/>
        <w:textAlignment w:val="baseline"/>
        <w:rPr>
          <w:rFonts w:hAnsi="宋体"/>
        </w:rPr>
      </w:pPr>
      <w:r>
        <w:rPr>
          <w:rFonts w:hint="eastAsia" w:hAnsi="宋体"/>
        </w:rPr>
        <w:t>如果由于卖方服务的疏忽，在执行合同上造成双方一致承认的延误，每延误工期一周卖方将支付合同总价中第（</w:t>
      </w:r>
      <w:r>
        <w:rPr>
          <w:rFonts w:hAnsi="宋体"/>
        </w:rPr>
        <w:t>3</w:t>
      </w:r>
      <w:r>
        <w:rPr>
          <w:rFonts w:hint="eastAsia" w:hAnsi="宋体"/>
        </w:rPr>
        <w:t>）项费用</w:t>
      </w:r>
      <w:r>
        <w:rPr>
          <w:rFonts w:hAnsi="宋体"/>
        </w:rPr>
        <w:t>0.25%</w:t>
      </w:r>
      <w:r>
        <w:rPr>
          <w:rFonts w:hint="eastAsia" w:hAnsi="宋体"/>
        </w:rPr>
        <w:t>的违约赔偿金，这部分赔偿金最高将不超过合同总价中第（</w:t>
      </w:r>
      <w:r>
        <w:rPr>
          <w:rFonts w:hAnsi="宋体"/>
        </w:rPr>
        <w:t>3</w:t>
      </w:r>
      <w:r>
        <w:rPr>
          <w:rFonts w:hint="eastAsia" w:hAnsi="宋体"/>
        </w:rPr>
        <w:t>）项价格的</w:t>
      </w:r>
      <w:r>
        <w:rPr>
          <w:rFonts w:hAnsi="宋体"/>
        </w:rPr>
        <w:t>5%</w:t>
      </w:r>
      <w:r>
        <w:rPr>
          <w:rFonts w:hint="eastAsia" w:hAnsi="宋体"/>
        </w:rPr>
        <w:t>。</w:t>
      </w:r>
    </w:p>
    <w:p>
      <w:pPr>
        <w:pStyle w:val="2"/>
        <w:tabs>
          <w:tab w:val="left" w:pos="9120"/>
        </w:tabs>
        <w:ind w:firstLine="883"/>
        <w:jc w:val="center"/>
        <w:rPr>
          <w:rFonts w:ascii="宋体"/>
          <w:color w:val="000000"/>
          <w:sz w:val="24"/>
        </w:rPr>
      </w:pPr>
      <w:r>
        <w:rPr>
          <w:rFonts w:ascii="宋体"/>
          <w:color w:val="000000"/>
        </w:rPr>
        <w:br w:type="page"/>
      </w:r>
      <w:bookmarkStart w:id="28" w:name="_Toc479858087"/>
      <w:bookmarkStart w:id="29" w:name="_Toc337726694"/>
      <w:bookmarkStart w:id="30" w:name="_Toc239524394"/>
      <w:bookmarkStart w:id="31" w:name="_Toc400967545"/>
      <w:r>
        <w:rPr>
          <w:rFonts w:hint="eastAsia" w:ascii="宋体" w:hAnsi="宋体" w:cs="Arial"/>
          <w:sz w:val="32"/>
          <w:szCs w:val="32"/>
        </w:rPr>
        <w:t>第七章标准与检验</w:t>
      </w:r>
      <w:bookmarkEnd w:id="28"/>
      <w:bookmarkEnd w:id="29"/>
    </w:p>
    <w:p>
      <w:pPr>
        <w:numPr>
          <w:ilvl w:val="0"/>
          <w:numId w:val="12"/>
        </w:numPr>
        <w:tabs>
          <w:tab w:val="left" w:pos="709"/>
        </w:tabs>
        <w:snapToGrid/>
        <w:spacing w:line="360" w:lineRule="auto"/>
        <w:ind w:left="708" w:hanging="708" w:hangingChars="295"/>
        <w:jc w:val="left"/>
        <w:textAlignment w:val="baseline"/>
        <w:rPr>
          <w:color w:val="000000"/>
        </w:rPr>
      </w:pPr>
      <w:r>
        <w:rPr>
          <w:rFonts w:hint="eastAsia" w:hAnsi="宋体"/>
          <w:color w:val="000000"/>
        </w:rPr>
        <w:t>卖方应在合同签字日起二个月内，向买方提供经买方确认了的本“合同设备”用的材料的设计、制造和检验标准、设计和制造标准的文本，制造厂的主要检验项目及检验标准。</w:t>
      </w:r>
    </w:p>
    <w:p>
      <w:pPr>
        <w:numPr>
          <w:ilvl w:val="0"/>
          <w:numId w:val="12"/>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由卖方供应的所有货物，应有制造厂出具的并经卖方签署的产品质量合格证和检验记录、试验报告，作为交货的质量证明文件，如果买方认为必要，某些主要设备的检验记录还应由买方代表向卖方提出要求见证并会签。</w:t>
      </w:r>
    </w:p>
    <w:p>
      <w:pPr>
        <w:numPr>
          <w:ilvl w:val="0"/>
          <w:numId w:val="12"/>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每两个月卖方应向买方提供二份制造和质量检验报告。</w:t>
      </w:r>
    </w:p>
    <w:p>
      <w:pPr>
        <w:numPr>
          <w:ilvl w:val="0"/>
          <w:numId w:val="12"/>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卖方应在本“合同设备”双方会同检验的设备组装和检验前三个月，将检验和组装的初步计划通知买方。买方有权自费到制造厂了解设备组装、检验、试验和设备包装情况，买方代表在检验中如发现设备和任何部件有缺陷或不符合本合同规定的标准或包装要求时，买方代表有权提出意见，卖方应予以充分考虑，并采取相应措施以保证交货质量。检验和试验程序由买方代表与卖方人员共同协商确定。</w:t>
      </w:r>
    </w:p>
    <w:p>
      <w:pPr>
        <w:numPr>
          <w:ilvl w:val="0"/>
          <w:numId w:val="12"/>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如买方未派出人员参加上述检验工作，卖方可自行检验并做出报告，不论买方人员是否参与了出厂检验，或者买方代表参加了检验，并会签了检验报告，均不能被视为卖方按合同第九章规定应承担的质量保证责任的解除，也不能免除或减轻卖方对合同设备在现场进行设备检验应负的责任。</w:t>
      </w:r>
    </w:p>
    <w:p>
      <w:pPr>
        <w:numPr>
          <w:ilvl w:val="0"/>
          <w:numId w:val="12"/>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货物运到现场交付买方后，买方应尽快安排开箱检验，检验货物的数量、规格和外观，如发现有任何短缺、损坏或变质情况应立即通知卖方或卖方现场代表。</w:t>
      </w:r>
    </w:p>
    <w:p>
      <w:pPr>
        <w:numPr>
          <w:ilvl w:val="0"/>
          <w:numId w:val="12"/>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现场检验时，如发现设备由于卖方原因有任何损坏、缺陷、短少或不符合合同中规定的质量标准和规范时，应做好记录，并由双方或买方单方面（如果卖方代表未能参加）的代表签字，各执一份，作为买方向卖方提出修理或更换索赔的有效证据。</w:t>
      </w:r>
    </w:p>
    <w:p>
      <w:pPr>
        <w:numPr>
          <w:ilvl w:val="0"/>
          <w:numId w:val="12"/>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如双方在会同检验中对检验结果不能取得一致意见时，任何一方均可提请中国商品检验局或中国质量技术监督局复检。如果需要，商检局或质监局出具的商检证书应作为买方向卖方索赔时的证据且是双方必须遵循的最终检验结果。</w:t>
      </w:r>
    </w:p>
    <w:p>
      <w:pPr>
        <w:numPr>
          <w:ilvl w:val="0"/>
          <w:numId w:val="12"/>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卖方接到买方提出的索赔通知书后，应尽快自费修理，换货或补发短缺部分，运抵现场。由此产生的制造、修理和运费及保险费以及支付的商检费用均由卖方负担。</w:t>
      </w:r>
    </w:p>
    <w:p>
      <w:pPr>
        <w:numPr>
          <w:ilvl w:val="0"/>
          <w:numId w:val="12"/>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卖方对上述索赔如有异议，应在接到买方索赔通知后一个星期内提出复议，否则索赔即告成立，如有异议，双方需进行商议，如果买方认为有必要，可同意卖方在接到索赔通知后二个星期内，自费派代表赴检验现场同买方代表共同复检。</w:t>
      </w:r>
    </w:p>
    <w:p>
      <w:pPr>
        <w:numPr>
          <w:ilvl w:val="0"/>
          <w:numId w:val="12"/>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卖方修理或换货的时间，以不影响电厂建设进度为原则，但不迟于卖方责任得到证实后一个月，对于主设备和特殊部件重新供应的时间，由双方协商决定。</w:t>
      </w:r>
    </w:p>
    <w:p>
      <w:pPr>
        <w:numPr>
          <w:ilvl w:val="0"/>
          <w:numId w:val="12"/>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买方对现场检验的货物提出索赔的时间，不迟于货物到达“合同设备”的现场之日后的六个月。</w:t>
      </w:r>
    </w:p>
    <w:p>
      <w:pPr>
        <w:numPr>
          <w:ilvl w:val="0"/>
          <w:numId w:val="12"/>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买方在现场进行的到货检查，不论有否卖方人员参加或买方的索赔或商检局或质监局的决定所产生的责任均不能被视为卖方按合同第九章及附件的规定应承担的质量保证责任的解除。</w:t>
      </w:r>
    </w:p>
    <w:p>
      <w:pPr>
        <w:numPr>
          <w:ilvl w:val="0"/>
          <w:numId w:val="12"/>
        </w:numPr>
        <w:tabs>
          <w:tab w:val="left" w:pos="709"/>
        </w:tabs>
        <w:snapToGrid/>
        <w:spacing w:line="360" w:lineRule="auto"/>
        <w:ind w:left="708" w:hanging="708" w:hangingChars="295"/>
        <w:jc w:val="left"/>
        <w:textAlignment w:val="baseline"/>
        <w:rPr>
          <w:rFonts w:hAnsi="宋体"/>
          <w:color w:val="000000"/>
        </w:rPr>
      </w:pPr>
      <w:r>
        <w:rPr>
          <w:rFonts w:hint="eastAsia" w:hAnsi="宋体"/>
          <w:color w:val="000000"/>
        </w:rPr>
        <w:t>买方有权在供货期间向卖方自费派遣代表，除负责联系设备、图纸的催交以及设备检验等事宜外，促使卖方按时确定合格的主要附属设备的分包商，以及在机组调试阶段负责配合卖方加速调试过程中损坏的部件的修理或重新供货。卖方应负责接待，并配合工作。</w:t>
      </w:r>
    </w:p>
    <w:p>
      <w:pPr>
        <w:tabs>
          <w:tab w:val="left" w:pos="709"/>
        </w:tabs>
        <w:ind w:left="826" w:hanging="826" w:hangingChars="295"/>
        <w:rPr>
          <w:color w:val="000000"/>
          <w:sz w:val="28"/>
        </w:rPr>
      </w:pPr>
    </w:p>
    <w:p>
      <w:pPr>
        <w:ind w:left="643" w:hanging="643" w:hangingChars="200"/>
        <w:jc w:val="center"/>
        <w:rPr>
          <w:rFonts w:hAnsi="宋体" w:cs="Arial"/>
          <w:b/>
          <w:sz w:val="32"/>
          <w:szCs w:val="32"/>
        </w:rPr>
        <w:sectPr>
          <w:pgSz w:w="11907" w:h="16840"/>
          <w:pgMar w:top="1304" w:right="1134" w:bottom="1134" w:left="1304" w:header="567" w:footer="850" w:gutter="0"/>
          <w:cols w:space="720" w:num="1"/>
          <w:docGrid w:linePitch="326" w:charSpace="0"/>
        </w:sectPr>
      </w:pPr>
    </w:p>
    <w:p>
      <w:pPr>
        <w:pStyle w:val="2"/>
        <w:tabs>
          <w:tab w:val="left" w:pos="9120"/>
        </w:tabs>
        <w:ind w:firstLine="643"/>
        <w:jc w:val="center"/>
        <w:rPr>
          <w:rFonts w:ascii="宋体" w:hAnsi="宋体" w:cs="Arial"/>
          <w:b w:val="0"/>
          <w:sz w:val="32"/>
          <w:szCs w:val="32"/>
        </w:rPr>
      </w:pPr>
      <w:bookmarkStart w:id="32" w:name="_Toc479858088"/>
      <w:r>
        <w:rPr>
          <w:rFonts w:ascii="宋体" w:hAnsi="宋体" w:cs="Arial"/>
          <w:sz w:val="32"/>
          <w:szCs w:val="32"/>
        </w:rPr>
        <w:t>第八章    安装、调试、试运行、性能考核试验和验收</w:t>
      </w:r>
      <w:bookmarkEnd w:id="30"/>
      <w:bookmarkEnd w:id="31"/>
      <w:bookmarkEnd w:id="32"/>
    </w:p>
    <w:p>
      <w:pPr>
        <w:numPr>
          <w:ilvl w:val="1"/>
          <w:numId w:val="13"/>
        </w:numPr>
        <w:tabs>
          <w:tab w:val="left" w:pos="709"/>
          <w:tab w:val="clear" w:pos="360"/>
        </w:tabs>
        <w:snapToGrid/>
        <w:spacing w:line="360" w:lineRule="auto"/>
        <w:ind w:left="708" w:hanging="708" w:hangingChars="295"/>
        <w:jc w:val="left"/>
        <w:textAlignment w:val="baseline"/>
        <w:rPr>
          <w:rFonts w:hAnsi="宋体"/>
          <w:color w:val="000000"/>
        </w:rPr>
      </w:pPr>
      <w:r>
        <w:rPr>
          <w:rFonts w:ascii="Arial" w:hAnsi="Arial" w:cs="Arial"/>
        </w:rPr>
        <w:t>本“合同设备”由买方根据卖方提供的技术资料、检验标准、图纸及说明书，在卖方技术人员的指导下进行安装</w:t>
      </w:r>
      <w:r>
        <w:rPr>
          <w:rFonts w:hint="eastAsia" w:ascii="Arial" w:hAnsi="Arial" w:cs="Arial"/>
        </w:rPr>
        <w:t>，</w:t>
      </w:r>
      <w:r>
        <w:rPr>
          <w:rFonts w:hint="eastAsia" w:hAnsi="宋体"/>
          <w:color w:val="000000"/>
        </w:rPr>
        <w:t>双方应充分合作，采取一切必要措施，使“合同设备”尽快建成投产。</w:t>
      </w:r>
    </w:p>
    <w:p>
      <w:pPr>
        <w:tabs>
          <w:tab w:val="left" w:pos="709"/>
        </w:tabs>
        <w:ind w:left="709" w:firstLine="480"/>
        <w:textAlignment w:val="baseline"/>
      </w:pPr>
      <w:r>
        <w:rPr>
          <w:rFonts w:ascii="Arial" w:hAnsi="Arial" w:cs="Arial"/>
        </w:rPr>
        <w:t>买方负责基础施工、</w:t>
      </w:r>
      <w:r>
        <w:rPr>
          <w:rFonts w:hint="eastAsia" w:ascii="Arial" w:hAnsi="Arial" w:cs="Arial"/>
        </w:rPr>
        <w:t>设备</w:t>
      </w:r>
      <w:r>
        <w:rPr>
          <w:rFonts w:ascii="Arial" w:hAnsi="Arial" w:cs="Arial"/>
        </w:rPr>
        <w:t>的吊装工作。卖方提供相应设备安装的技术指导。卖方人员应对其技术指导中的错误和失误承担责任。</w:t>
      </w:r>
    </w:p>
    <w:p>
      <w:pPr>
        <w:tabs>
          <w:tab w:val="left" w:pos="709"/>
        </w:tabs>
        <w:ind w:left="709" w:firstLine="480"/>
        <w:textAlignment w:val="baseline"/>
        <w:rPr>
          <w:rFonts w:ascii="Arial" w:hAnsi="Arial" w:cs="Arial"/>
        </w:rPr>
      </w:pPr>
      <w:r>
        <w:rPr>
          <w:rFonts w:hint="eastAsia" w:ascii="Arial" w:hAnsi="Arial" w:cs="Arial"/>
        </w:rPr>
        <w:t>卖方在首套设备交付起必须派有经验的现场维护人员全程现场维护，并根据终检结果对设备不合格项进行及时整改，如整改进度不能满足买方需要，买方有权请第三方进行整改，相关费用从设备款中扣除。</w:t>
      </w:r>
    </w:p>
    <w:p>
      <w:pPr>
        <w:numPr>
          <w:ilvl w:val="1"/>
          <w:numId w:val="13"/>
        </w:numPr>
        <w:tabs>
          <w:tab w:val="left" w:pos="709"/>
          <w:tab w:val="clear" w:pos="360"/>
        </w:tabs>
        <w:snapToGrid/>
        <w:spacing w:line="360" w:lineRule="auto"/>
        <w:ind w:left="708" w:hanging="708" w:hangingChars="295"/>
        <w:jc w:val="left"/>
        <w:textAlignment w:val="baseline"/>
        <w:rPr>
          <w:color w:val="000000"/>
        </w:rPr>
      </w:pPr>
      <w:r>
        <w:rPr>
          <w:rFonts w:hint="eastAsia" w:hAnsi="宋体"/>
          <w:color w:val="000000"/>
        </w:rPr>
        <w:t>“合同设备”的安装完毕后即由卖方负责制定调试计划、调试顺序和进行单机、系统和整机的调试试验。调试计划、调试顺序应由买方确认。实际操作应由买方进行，其所需时间不超过六个月，在此期间，如各个设备及整套机组能稳定运行，即可进行满负荷试运行。</w:t>
      </w:r>
    </w:p>
    <w:p>
      <w:pPr>
        <w:numPr>
          <w:ilvl w:val="1"/>
          <w:numId w:val="13"/>
        </w:numPr>
        <w:tabs>
          <w:tab w:val="left" w:pos="709"/>
          <w:tab w:val="clear" w:pos="360"/>
        </w:tabs>
        <w:snapToGrid/>
        <w:spacing w:line="360" w:lineRule="auto"/>
        <w:ind w:left="708" w:hanging="708" w:hangingChars="295"/>
        <w:jc w:val="left"/>
        <w:textAlignment w:val="baseline"/>
        <w:rPr>
          <w:color w:val="000000"/>
        </w:rPr>
      </w:pPr>
      <w:r>
        <w:rPr>
          <w:rFonts w:hint="eastAsia" w:hAnsi="宋体"/>
          <w:color w:val="000000"/>
        </w:rPr>
        <w:t>性能保证考核试验应在机组全部安装、调试和试运行完毕并达到满负荷连续稳定运行</w:t>
      </w:r>
      <w:r>
        <w:rPr>
          <w:rFonts w:hint="eastAsia" w:hAnsi="宋体"/>
        </w:rPr>
        <w:t>168小时后六个月</w:t>
      </w:r>
      <w:r>
        <w:rPr>
          <w:rFonts w:hint="eastAsia" w:hAnsi="宋体"/>
          <w:color w:val="000000"/>
        </w:rPr>
        <w:t>内进行。性能考核试验应由买、卖双方参加。该考核试验的目的是为了验证本“合同设备”的每套机组是否能达到合同附件所规定的各项技术经济指标。当该套机组全部设备运转稳定，不存在影响安全、经济运行和环保的问题，达到本合同附件所规定的各项技术经济指标后，则考核认为合格。此后十天内，买方应签署并由卖方会签本“合同设备”该套机组的临时验收证书一式二份，双方各执一份。</w:t>
      </w:r>
    </w:p>
    <w:p>
      <w:pPr>
        <w:numPr>
          <w:ilvl w:val="1"/>
          <w:numId w:val="13"/>
        </w:numPr>
        <w:tabs>
          <w:tab w:val="left" w:pos="709"/>
          <w:tab w:val="clear" w:pos="360"/>
        </w:tabs>
        <w:snapToGrid/>
        <w:spacing w:line="360" w:lineRule="auto"/>
        <w:ind w:left="708" w:hanging="708" w:hangingChars="295"/>
        <w:jc w:val="left"/>
        <w:textAlignment w:val="baseline"/>
        <w:rPr>
          <w:color w:val="000000"/>
        </w:rPr>
      </w:pPr>
      <w:r>
        <w:rPr>
          <w:rFonts w:hint="eastAsia" w:hAnsi="宋体"/>
          <w:color w:val="000000"/>
        </w:rPr>
        <w:t>在不影响本“合同设备”安全、可靠运行的条件下，如有个别微小缺陷，买方可同意在卖方保证自费在双方同意的时间内修复上述微小缺陷的条件下签署临时验收证书。如因买方原因不能在上述六个月内进行性能保证考核试验，则本“合同设备”机组最迟应在末批货物全部到货之日后</w:t>
      </w:r>
      <w:r>
        <w:rPr>
          <w:rFonts w:hAnsi="宋体"/>
          <w:color w:val="000000"/>
        </w:rPr>
        <w:t>18</w:t>
      </w:r>
      <w:r>
        <w:rPr>
          <w:rFonts w:hint="eastAsia" w:hAnsi="宋体"/>
          <w:color w:val="000000"/>
        </w:rPr>
        <w:t>个月即被买方临时验收，并不迟于十天签署临时验收证书。无论如何，性能考核试验应在适当的时间，在现场由买方指导下由卖方参加进行。</w:t>
      </w:r>
    </w:p>
    <w:p>
      <w:pPr>
        <w:numPr>
          <w:ilvl w:val="1"/>
          <w:numId w:val="13"/>
        </w:numPr>
        <w:tabs>
          <w:tab w:val="left" w:pos="709"/>
          <w:tab w:val="clear" w:pos="360"/>
        </w:tabs>
        <w:snapToGrid/>
        <w:spacing w:line="360" w:lineRule="auto"/>
        <w:ind w:left="708" w:hanging="708" w:hangingChars="295"/>
        <w:jc w:val="left"/>
        <w:textAlignment w:val="baseline"/>
        <w:rPr>
          <w:color w:val="000000"/>
        </w:rPr>
      </w:pPr>
      <w:r>
        <w:rPr>
          <w:rFonts w:hint="eastAsia" w:hAnsi="宋体"/>
          <w:color w:val="000000"/>
        </w:rPr>
        <w:t>如在第一次性能保证考核试验时达不到本合同附件所规定的一项或多项保证值</w:t>
      </w:r>
      <w:r>
        <w:rPr>
          <w:rFonts w:hAnsi="宋体"/>
          <w:color w:val="000000"/>
        </w:rPr>
        <w:t>/</w:t>
      </w:r>
      <w:r>
        <w:rPr>
          <w:rFonts w:hint="eastAsia" w:hAnsi="宋体"/>
          <w:color w:val="000000"/>
        </w:rPr>
        <w:t>或技术性能时，则双方应共同分析原因，澄清责任并由责任一方采取措施。</w:t>
      </w:r>
    </w:p>
    <w:p>
      <w:pPr>
        <w:tabs>
          <w:tab w:val="left" w:pos="709"/>
        </w:tabs>
        <w:ind w:left="708" w:leftChars="250" w:hanging="108" w:hangingChars="45"/>
        <w:textAlignment w:val="baseline"/>
        <w:rPr>
          <w:color w:val="000000"/>
        </w:rPr>
      </w:pPr>
      <w:r>
        <w:rPr>
          <w:rFonts w:hint="eastAsia" w:hAnsi="宋体"/>
          <w:color w:val="000000"/>
        </w:rPr>
        <w:t>（1</w:t>
      </w:r>
      <w:r>
        <w:rPr>
          <w:rFonts w:hAnsi="宋体"/>
          <w:color w:val="000000"/>
        </w:rPr>
        <w:t>）</w:t>
      </w:r>
      <w:r>
        <w:rPr>
          <w:rFonts w:hint="eastAsia" w:hAnsi="宋体"/>
          <w:color w:val="000000"/>
        </w:rPr>
        <w:t>如属卖方原因，双方可视情况，再确定第二次性能保证考核试验，但第二次考核试验开始时间不得迟于第一次考核试验结束后二个月，或在特殊情况下，在双方同意的时间内进行，第二次考核试验所发生的费用（人工材料费、备品备件、消耗品、各种材料机具费等）应由卖方负担。</w:t>
      </w:r>
    </w:p>
    <w:p>
      <w:pPr>
        <w:tabs>
          <w:tab w:val="left" w:pos="709"/>
        </w:tabs>
        <w:ind w:left="708" w:leftChars="250" w:hanging="108" w:hangingChars="45"/>
        <w:textAlignment w:val="baseline"/>
        <w:rPr>
          <w:color w:val="000000"/>
        </w:rPr>
      </w:pPr>
      <w:r>
        <w:rPr>
          <w:rFonts w:hint="eastAsia" w:hAnsi="宋体"/>
          <w:color w:val="000000"/>
        </w:rPr>
        <w:t>（2</w:t>
      </w:r>
      <w:r>
        <w:rPr>
          <w:rFonts w:hAnsi="宋体"/>
          <w:color w:val="000000"/>
        </w:rPr>
        <w:t>）</w:t>
      </w:r>
      <w:r>
        <w:rPr>
          <w:rFonts w:hint="eastAsia" w:hAnsi="宋体"/>
          <w:color w:val="000000"/>
        </w:rPr>
        <w:t>如属买方原因，也应进行第二次性能保证考核试验，但第二次考核试验开始时间不得迟于第一次考核试验结束后二个月内进行，或在特殊情况下，在双方同意的时间内进行，这时买方将负担第二次考核试验所发生的费用。</w:t>
      </w:r>
    </w:p>
    <w:p>
      <w:pPr>
        <w:numPr>
          <w:ilvl w:val="1"/>
          <w:numId w:val="13"/>
        </w:numPr>
        <w:tabs>
          <w:tab w:val="left" w:pos="709"/>
          <w:tab w:val="clear" w:pos="360"/>
        </w:tabs>
        <w:snapToGrid/>
        <w:spacing w:line="360" w:lineRule="auto"/>
        <w:ind w:left="708" w:hanging="708" w:hangingChars="295"/>
        <w:jc w:val="left"/>
        <w:textAlignment w:val="baseline"/>
        <w:rPr>
          <w:color w:val="000000"/>
        </w:rPr>
      </w:pPr>
      <w:r>
        <w:rPr>
          <w:rFonts w:hint="eastAsia" w:hAnsi="宋体"/>
          <w:color w:val="000000"/>
        </w:rPr>
        <w:t>在第二次性能保证考核试验后，如仍有一项或多项指标未能达到本合同附件所规定的保证值和</w:t>
      </w:r>
      <w:r>
        <w:rPr>
          <w:rFonts w:hAnsi="宋体"/>
          <w:color w:val="000000"/>
        </w:rPr>
        <w:t>/</w:t>
      </w:r>
      <w:r>
        <w:rPr>
          <w:rFonts w:hint="eastAsia" w:hAnsi="宋体"/>
          <w:color w:val="000000"/>
        </w:rPr>
        <w:t>或技术性能，双方应共同研究，分析原因，澄清责任，并以下述方式解决责任问题：</w:t>
      </w:r>
    </w:p>
    <w:p>
      <w:pPr>
        <w:tabs>
          <w:tab w:val="left" w:pos="709"/>
        </w:tabs>
        <w:ind w:left="708" w:firstLine="480"/>
        <w:textAlignment w:val="baseline"/>
        <w:rPr>
          <w:color w:val="000000"/>
        </w:rPr>
      </w:pPr>
      <w:r>
        <w:rPr>
          <w:rFonts w:hint="eastAsia"/>
          <w:color w:val="000000"/>
        </w:rPr>
        <w:t>（1</w:t>
      </w:r>
      <w:r>
        <w:rPr>
          <w:color w:val="000000"/>
        </w:rPr>
        <w:t>）</w:t>
      </w:r>
      <w:r>
        <w:rPr>
          <w:rFonts w:hint="eastAsia" w:hAnsi="宋体"/>
          <w:color w:val="000000"/>
        </w:rPr>
        <w:t>如属卖方原因，则应按本合同第九章执行。</w:t>
      </w:r>
    </w:p>
    <w:p>
      <w:pPr>
        <w:tabs>
          <w:tab w:val="left" w:pos="709"/>
        </w:tabs>
        <w:ind w:left="708" w:firstLine="480"/>
        <w:textAlignment w:val="baseline"/>
        <w:rPr>
          <w:color w:val="000000"/>
        </w:rPr>
      </w:pPr>
      <w:r>
        <w:rPr>
          <w:rFonts w:hint="eastAsia"/>
          <w:color w:val="000000"/>
        </w:rPr>
        <w:t>（2）如属买方原因，本“合同设备”即被认为验收，由买方代表签署、卖方会签“合同设备”临时验收证书一式二份，证明临时验收自第二次性能保证考核试验开始日期起生效，此证书双方各执一份。</w:t>
      </w:r>
    </w:p>
    <w:p>
      <w:pPr>
        <w:numPr>
          <w:ilvl w:val="1"/>
          <w:numId w:val="13"/>
        </w:numPr>
        <w:tabs>
          <w:tab w:val="left" w:pos="709"/>
          <w:tab w:val="clear" w:pos="360"/>
        </w:tabs>
        <w:snapToGrid/>
        <w:spacing w:line="360" w:lineRule="auto"/>
        <w:ind w:left="708" w:hanging="708" w:hangingChars="295"/>
        <w:jc w:val="left"/>
        <w:textAlignment w:val="baseline"/>
        <w:rPr>
          <w:rFonts w:hAnsi="宋体"/>
          <w:color w:val="000000"/>
        </w:rPr>
      </w:pPr>
      <w:r>
        <w:rPr>
          <w:rFonts w:hint="eastAsia" w:hAnsi="宋体"/>
          <w:color w:val="000000"/>
        </w:rPr>
        <w:t>不管机组性能保证考核试验进行一次或两次，临时验收证书签发12个月被视为合同设备保证期结束（</w:t>
      </w:r>
      <w:r>
        <w:rPr>
          <w:rFonts w:hAnsi="宋体"/>
          <w:color w:val="000000"/>
        </w:rPr>
        <w:t>8.8</w:t>
      </w:r>
      <w:r>
        <w:rPr>
          <w:rFonts w:hint="eastAsia" w:hAnsi="宋体"/>
          <w:color w:val="000000"/>
        </w:rPr>
        <w:t>节规定的内容除外）。</w:t>
      </w:r>
    </w:p>
    <w:p>
      <w:pPr>
        <w:numPr>
          <w:ilvl w:val="1"/>
          <w:numId w:val="13"/>
        </w:numPr>
        <w:tabs>
          <w:tab w:val="left" w:pos="709"/>
          <w:tab w:val="clear" w:pos="360"/>
        </w:tabs>
        <w:snapToGrid/>
        <w:spacing w:line="360" w:lineRule="auto"/>
        <w:ind w:left="708" w:hanging="708" w:hangingChars="295"/>
        <w:jc w:val="left"/>
        <w:textAlignment w:val="baseline"/>
        <w:rPr>
          <w:rFonts w:hAnsi="宋体"/>
          <w:color w:val="000000"/>
        </w:rPr>
      </w:pPr>
      <w:r>
        <w:rPr>
          <w:rFonts w:hint="eastAsia" w:hAnsi="宋体"/>
          <w:color w:val="000000"/>
        </w:rPr>
        <w:t>按本章第</w:t>
      </w:r>
      <w:r>
        <w:rPr>
          <w:rFonts w:hAnsi="宋体"/>
          <w:color w:val="000000"/>
        </w:rPr>
        <w:t>8.3</w:t>
      </w:r>
      <w:r>
        <w:rPr>
          <w:rFonts w:hint="eastAsia" w:hAnsi="宋体"/>
          <w:color w:val="000000"/>
        </w:rPr>
        <w:t>、</w:t>
      </w:r>
      <w:r>
        <w:rPr>
          <w:rFonts w:hAnsi="宋体"/>
          <w:color w:val="000000"/>
        </w:rPr>
        <w:t>8.4</w:t>
      </w:r>
      <w:r>
        <w:rPr>
          <w:rFonts w:hint="eastAsia" w:hAnsi="宋体"/>
          <w:color w:val="000000"/>
        </w:rPr>
        <w:t>及</w:t>
      </w:r>
      <w:r>
        <w:rPr>
          <w:rFonts w:hAnsi="宋体"/>
          <w:color w:val="000000"/>
        </w:rPr>
        <w:t>8.6</w:t>
      </w:r>
      <w:r>
        <w:rPr>
          <w:rFonts w:hint="eastAsia" w:hAnsi="宋体"/>
          <w:color w:val="000000"/>
        </w:rPr>
        <w:t>条出具的临时验收证书只是证明卖方所提供的设备性能和参数截至出具临时验收证书时可以按合同要求予以接受，但并不能被视为卖方“合同设备”在保证期内损坏所应负责任解除的证据，同样，即使卖方的履约保证函业已终止，最终验收证书也不能被视为卖方“合同设备”在保证期终止三年内因潜在缺陷造成的损坏应负责任解除的证据。</w:t>
      </w:r>
    </w:p>
    <w:p>
      <w:pPr>
        <w:tabs>
          <w:tab w:val="left" w:pos="709"/>
        </w:tabs>
        <w:ind w:left="708" w:firstLine="480"/>
        <w:textAlignment w:val="baseline"/>
        <w:rPr>
          <w:rFonts w:hAnsi="宋体"/>
          <w:color w:val="000000"/>
        </w:rPr>
      </w:pPr>
      <w:r>
        <w:rPr>
          <w:rFonts w:hint="eastAsia" w:hAnsi="宋体"/>
          <w:color w:val="000000"/>
        </w:rPr>
        <w:t>“潜在缺陷”是指由于卖方在设计，材料采购和检验，制造和技术指导上的疏忽而造成的在保证期内不能被发现的设备的缺陷。卖方对纠正潜在缺陷所应负的责任，其时间应保证到保证期终止后三年，当发现这类潜在缺陷时，卖方应按照本合同第</w:t>
      </w:r>
      <w:r>
        <w:rPr>
          <w:rFonts w:hAnsi="宋体"/>
          <w:color w:val="000000"/>
        </w:rPr>
        <w:t>9.5</w:t>
      </w:r>
      <w:r>
        <w:rPr>
          <w:rFonts w:hint="eastAsia" w:hAnsi="宋体"/>
          <w:color w:val="000000"/>
        </w:rPr>
        <w:t>条的规定进行修理或调换。</w:t>
      </w:r>
    </w:p>
    <w:p>
      <w:pPr>
        <w:numPr>
          <w:ilvl w:val="1"/>
          <w:numId w:val="13"/>
        </w:numPr>
        <w:tabs>
          <w:tab w:val="left" w:pos="709"/>
          <w:tab w:val="clear" w:pos="360"/>
        </w:tabs>
        <w:snapToGrid/>
        <w:spacing w:line="360" w:lineRule="auto"/>
        <w:ind w:left="708" w:hanging="708" w:hangingChars="295"/>
        <w:jc w:val="left"/>
        <w:textAlignment w:val="baseline"/>
        <w:rPr>
          <w:color w:val="000000"/>
        </w:rPr>
      </w:pPr>
      <w:r>
        <w:rPr>
          <w:rFonts w:hint="eastAsia" w:hAnsi="宋体"/>
          <w:color w:val="000000"/>
        </w:rPr>
        <w:t>在合同执行过程中的任何时候，对由于卖方责任需要进行的检查，试验，再试验，修理或调换，在卖方提出请求时，买方应将有关设备作好安排以便于上述工作，卖方应负担一切修理或调换及其人员的费用。</w:t>
      </w:r>
    </w:p>
    <w:p>
      <w:pPr>
        <w:pStyle w:val="2"/>
        <w:tabs>
          <w:tab w:val="left" w:pos="9120"/>
        </w:tabs>
        <w:ind w:firstLine="883"/>
        <w:jc w:val="center"/>
        <w:rPr>
          <w:rFonts w:ascii="宋体" w:hAnsi="宋体" w:cs="Arial"/>
          <w:b w:val="0"/>
          <w:sz w:val="32"/>
          <w:szCs w:val="32"/>
        </w:rPr>
      </w:pPr>
      <w:r>
        <w:rPr>
          <w:rFonts w:ascii="Arial" w:hAnsi="Arial" w:cs="Arial"/>
        </w:rPr>
        <w:br w:type="page"/>
      </w:r>
      <w:bookmarkStart w:id="33" w:name="_Toc239524395"/>
      <w:bookmarkStart w:id="34" w:name="_Toc400967546"/>
      <w:bookmarkStart w:id="35" w:name="_Toc479858089"/>
      <w:r>
        <w:rPr>
          <w:rFonts w:ascii="宋体" w:hAnsi="宋体" w:cs="Arial"/>
          <w:sz w:val="32"/>
          <w:szCs w:val="32"/>
        </w:rPr>
        <w:t>第九章   保证、索赔与罚款</w:t>
      </w:r>
      <w:bookmarkEnd w:id="33"/>
      <w:bookmarkEnd w:id="34"/>
      <w:bookmarkEnd w:id="35"/>
    </w:p>
    <w:p>
      <w:pPr>
        <w:numPr>
          <w:ilvl w:val="1"/>
          <w:numId w:val="14"/>
        </w:numPr>
        <w:tabs>
          <w:tab w:val="left" w:pos="709"/>
        </w:tabs>
        <w:snapToGrid/>
        <w:spacing w:line="360" w:lineRule="auto"/>
        <w:ind w:left="708" w:hanging="708" w:hangingChars="295"/>
        <w:jc w:val="left"/>
        <w:textAlignment w:val="baseline"/>
        <w:rPr>
          <w:rFonts w:hAnsi="宋体" w:cs="Arial"/>
          <w:color w:val="000000"/>
        </w:rPr>
      </w:pPr>
      <w:r>
        <w:rPr>
          <w:rFonts w:hint="eastAsia" w:hAnsi="宋体" w:cs="Arial"/>
        </w:rPr>
        <w:t>卖方保证其供应的本“合同设备”是全新的，技术水平是先进的、成熟的，质量是优良的，设备的造型均符合安全可靠、有效运行和易于维护的要求。卖方保证根据本合同附件所交付的技术资料，是清晰、完整和内容正确的，并能满足“合同设备”的设计、安装、调试、运行、维护和设备保管及管理方面的要求。确定的卖方为机组的保证期应为自买方出具临时验收证书起</w:t>
      </w:r>
      <w:r>
        <w:rPr>
          <w:rFonts w:hint="eastAsia" w:hAnsi="宋体"/>
          <w:color w:val="000000"/>
        </w:rPr>
        <w:t>12个月</w:t>
      </w:r>
      <w:r>
        <w:rPr>
          <w:rFonts w:hint="eastAsia" w:hAnsi="宋体" w:cs="Arial"/>
        </w:rPr>
        <w:t>止。</w:t>
      </w:r>
    </w:p>
    <w:p>
      <w:pPr>
        <w:numPr>
          <w:ilvl w:val="1"/>
          <w:numId w:val="14"/>
        </w:numPr>
        <w:tabs>
          <w:tab w:val="left" w:pos="709"/>
        </w:tabs>
        <w:snapToGrid/>
        <w:spacing w:line="360" w:lineRule="auto"/>
        <w:ind w:left="708" w:hanging="708" w:hangingChars="295"/>
        <w:jc w:val="left"/>
        <w:textAlignment w:val="baseline"/>
        <w:rPr>
          <w:rFonts w:hAnsi="宋体" w:cs="Arial"/>
        </w:rPr>
      </w:pPr>
      <w:r>
        <w:rPr>
          <w:rFonts w:hint="eastAsia" w:hAnsi="宋体" w:cs="Arial"/>
        </w:rPr>
        <w:t>删除。</w:t>
      </w:r>
    </w:p>
    <w:p>
      <w:pPr>
        <w:numPr>
          <w:ilvl w:val="1"/>
          <w:numId w:val="14"/>
        </w:numPr>
        <w:tabs>
          <w:tab w:val="left" w:pos="709"/>
        </w:tabs>
        <w:snapToGrid/>
        <w:spacing w:line="360" w:lineRule="auto"/>
        <w:ind w:left="708" w:hanging="708" w:hangingChars="295"/>
        <w:jc w:val="left"/>
        <w:textAlignment w:val="baseline"/>
        <w:rPr>
          <w:rFonts w:hAnsi="宋体" w:cs="Arial"/>
        </w:rPr>
      </w:pPr>
      <w:r>
        <w:rPr>
          <w:rFonts w:hint="eastAsia" w:hAnsi="宋体" w:cs="Arial"/>
        </w:rPr>
        <w:t>本“合同设备”合同执行期间，如果由于卖方提供的设备有缺陷和</w:t>
      </w:r>
      <w:r>
        <w:rPr>
          <w:rFonts w:hAnsi="宋体" w:cs="Arial"/>
        </w:rPr>
        <w:t>/</w:t>
      </w:r>
      <w:r>
        <w:rPr>
          <w:rFonts w:hint="eastAsia" w:hAnsi="宋体" w:cs="Arial"/>
        </w:rPr>
        <w:t>或技术资料有错误，或者由于卖方设计错误和</w:t>
      </w:r>
      <w:r>
        <w:rPr>
          <w:rFonts w:hAnsi="宋体" w:cs="Arial"/>
        </w:rPr>
        <w:t>/</w:t>
      </w:r>
      <w:r>
        <w:rPr>
          <w:rFonts w:hint="eastAsia" w:hAnsi="宋体" w:cs="Arial"/>
        </w:rPr>
        <w:t>或技术人员的指导错误，造成工程返工，设备损坏，卖方应立即无偿换货、修理和</w:t>
      </w:r>
      <w:r>
        <w:rPr>
          <w:rFonts w:hAnsi="宋体" w:cs="Arial"/>
        </w:rPr>
        <w:t>/</w:t>
      </w:r>
      <w:r>
        <w:rPr>
          <w:rFonts w:hint="eastAsia" w:hAnsi="宋体" w:cs="Arial"/>
        </w:rPr>
        <w:t>或赔偿买方所蒙受的直接损失，但不包括后继损失，如需换货，卖方应负担由此产生的一切费用（包括拆卸、再安装费用等），换货或修理时间应不迟于证实属卖方责任之日起二个月内，对于那些在二个月内不可能修理或调换的货物，可经买方特殊允许另行商定期限，卖方可请求买方协助在现场进行大型修理，费用由卖方负责。由于买方未按卖方所提供的技术资料、图纸、说明书及卖方技术人员的指导而造成的设备损坏，由买方负责修理、更换，但卖方有义务在接到买方通知后尽快提供所需更换的部件，如是紧急部件，卖方应安排运抵电厂，所有费用均由买方负担。</w:t>
      </w:r>
    </w:p>
    <w:p>
      <w:pPr>
        <w:numPr>
          <w:ilvl w:val="1"/>
          <w:numId w:val="14"/>
        </w:numPr>
        <w:tabs>
          <w:tab w:val="left" w:pos="709"/>
        </w:tabs>
        <w:snapToGrid/>
        <w:spacing w:line="360" w:lineRule="auto"/>
        <w:ind w:left="708" w:hanging="708" w:hangingChars="295"/>
        <w:jc w:val="left"/>
        <w:textAlignment w:val="baseline"/>
        <w:rPr>
          <w:rFonts w:hAnsi="宋体" w:cs="Arial"/>
        </w:rPr>
      </w:pPr>
      <w:r>
        <w:rPr>
          <w:rFonts w:hint="eastAsia" w:hAnsi="宋体" w:cs="Arial"/>
        </w:rPr>
        <w:t>保证期满后，由买方在三十天内出具本“合同设备”保证期满最终验收证书交给卖方，在此期间卖方应完成买方在保证期满前提出的索赔和赔偿。</w:t>
      </w:r>
    </w:p>
    <w:p>
      <w:pPr>
        <w:numPr>
          <w:ilvl w:val="1"/>
          <w:numId w:val="14"/>
        </w:numPr>
        <w:tabs>
          <w:tab w:val="left" w:pos="709"/>
        </w:tabs>
        <w:snapToGrid/>
        <w:spacing w:line="360" w:lineRule="auto"/>
        <w:ind w:left="708" w:hanging="708" w:hangingChars="295"/>
        <w:jc w:val="left"/>
        <w:textAlignment w:val="baseline"/>
        <w:rPr>
          <w:rFonts w:hAnsi="宋体" w:cs="Arial"/>
        </w:rPr>
      </w:pPr>
      <w:r>
        <w:rPr>
          <w:rFonts w:hint="eastAsia" w:hAnsi="宋体" w:cs="Arial"/>
        </w:rPr>
        <w:t>在保证期内，如发现卖方提供的设备有缺陷或损坏，买方有权向卖方提出要求修理或更换，如有异议，卖方应在收到买方索赔要求后的两个星期内提出协商意见，由双方商定。卖方在收到买方索赔证书后，应立即无偿修理、换货或请求买方安排大型修理或向买方赔款（由双方商定），包括由此产生的到安装现场的换货费用、运费、保险费。</w:t>
      </w:r>
    </w:p>
    <w:p>
      <w:pPr>
        <w:numPr>
          <w:ilvl w:val="1"/>
          <w:numId w:val="14"/>
        </w:numPr>
        <w:tabs>
          <w:tab w:val="left" w:pos="709"/>
        </w:tabs>
        <w:snapToGrid/>
        <w:spacing w:line="360" w:lineRule="auto"/>
        <w:ind w:left="708" w:hanging="708" w:hangingChars="295"/>
        <w:jc w:val="left"/>
        <w:textAlignment w:val="baseline"/>
        <w:rPr>
          <w:rFonts w:hAnsi="宋体" w:cs="Arial"/>
        </w:rPr>
      </w:pPr>
      <w:r>
        <w:rPr>
          <w:rFonts w:hint="eastAsia" w:hAnsi="宋体" w:cs="Arial"/>
        </w:rPr>
        <w:t>如由于卖方责任需要更换、修理有缺陷或损坏的设备而使本“合同设备”的建设和运行被延迟或中断，则保证期应按实际被延误或中断的时间做相应的延长。</w:t>
      </w:r>
    </w:p>
    <w:p>
      <w:pPr>
        <w:numPr>
          <w:ilvl w:val="1"/>
          <w:numId w:val="14"/>
        </w:numPr>
        <w:tabs>
          <w:tab w:val="left" w:pos="709"/>
        </w:tabs>
        <w:snapToGrid/>
        <w:spacing w:line="360" w:lineRule="auto"/>
        <w:ind w:left="708" w:hanging="708" w:hangingChars="295"/>
        <w:jc w:val="left"/>
        <w:textAlignment w:val="baseline"/>
        <w:rPr>
          <w:rFonts w:hAnsi="宋体" w:cs="Arial"/>
        </w:rPr>
      </w:pPr>
      <w:r>
        <w:rPr>
          <w:rFonts w:hint="eastAsia" w:hAnsi="宋体" w:cs="Arial"/>
        </w:rPr>
        <w:t>在卖方履约保证函保证期满后三十天之内，如果发现设备缺陷，此时，买方出具的索赔证书仍然有效。</w:t>
      </w:r>
    </w:p>
    <w:p>
      <w:pPr>
        <w:numPr>
          <w:ilvl w:val="1"/>
          <w:numId w:val="14"/>
        </w:numPr>
        <w:tabs>
          <w:tab w:val="left" w:pos="709"/>
        </w:tabs>
        <w:snapToGrid/>
        <w:spacing w:line="360" w:lineRule="auto"/>
        <w:ind w:left="708" w:hanging="708" w:hangingChars="295"/>
        <w:jc w:val="left"/>
        <w:textAlignment w:val="baseline"/>
        <w:rPr>
          <w:rFonts w:hint="eastAsia" w:ascii="Times New Roman" w:eastAsia="宋体"/>
          <w:szCs w:val="24"/>
          <w:lang w:val="en-US" w:eastAsia="zh-CN"/>
        </w:rPr>
      </w:pPr>
      <w:r>
        <w:rPr>
          <w:rFonts w:hint="eastAsia" w:hAnsi="宋体" w:cs="Arial"/>
        </w:rPr>
        <w:t>由于卖方责任，在第八章规定的性能保证考核试验后，如经第二次考核试验仍不能达到本合同附件所规定的一项或多项保证指标时，卖方应承担罚款。其</w:t>
      </w:r>
      <w:r>
        <w:rPr>
          <w:rFonts w:hint="eastAsia" w:hAnsi="宋体"/>
        </w:rPr>
        <w:t>试验考核项目</w:t>
      </w:r>
      <w:r>
        <w:rPr>
          <w:rFonts w:hint="eastAsia" w:hAnsi="宋体" w:cs="Arial"/>
        </w:rPr>
        <w:t>如下：</w:t>
      </w:r>
    </w:p>
    <w:p>
      <w:pPr>
        <w:pStyle w:val="31"/>
        <w:tabs>
          <w:tab w:val="left" w:pos="709"/>
          <w:tab w:val="left" w:pos="975"/>
        </w:tabs>
        <w:autoSpaceDE/>
        <w:autoSpaceDN/>
        <w:ind w:left="782" w:firstLine="0" w:firstLineChars="0"/>
        <w:textAlignment w:val="baseline"/>
        <w:rPr>
          <w:rFonts w:ascii="Times New Roman"/>
          <w:szCs w:val="24"/>
        </w:rPr>
      </w:pPr>
      <w:r>
        <w:rPr>
          <w:rFonts w:hint="eastAsia" w:ascii="Times New Roman"/>
          <w:szCs w:val="24"/>
        </w:rPr>
        <w:t>如合同设备在保证期内发现属投标方责任的十分严重的缺陷（如设备性能达不到要求等）则其保证期将自该缺陷修正或更换后开始重新计算一年。由此发生的所有费用由投标方负责。同时按设备合同总价的5%支付违约金。</w:t>
      </w:r>
    </w:p>
    <w:p>
      <w:pPr>
        <w:pStyle w:val="31"/>
        <w:tabs>
          <w:tab w:val="left" w:pos="709"/>
          <w:tab w:val="left" w:pos="975"/>
        </w:tabs>
        <w:autoSpaceDE/>
        <w:autoSpaceDN/>
        <w:ind w:left="780" w:firstLine="0" w:firstLineChars="0"/>
        <w:textAlignment w:val="baseline"/>
        <w:rPr>
          <w:rFonts w:ascii="Calibri" w:hAnsi="宋体"/>
          <w:szCs w:val="24"/>
        </w:rPr>
      </w:pPr>
      <w:r>
        <w:rPr>
          <w:rFonts w:hint="eastAsia" w:ascii="Times New Roman"/>
          <w:szCs w:val="24"/>
        </w:rPr>
        <w:t>投标方提交违约金后，仍有义务向招标方提供技术帮助，采取各种措施以使设备各项经济指标符合要求</w:t>
      </w:r>
      <w:r>
        <w:rPr>
          <w:rFonts w:hint="eastAsia" w:ascii="Calibri" w:hAnsi="Calibri"/>
          <w:szCs w:val="24"/>
        </w:rPr>
        <w:t>其它未达到性能保证指标的项目，由双方协商赔付。</w:t>
      </w:r>
    </w:p>
    <w:p>
      <w:pPr>
        <w:tabs>
          <w:tab w:val="left" w:pos="1080"/>
        </w:tabs>
        <w:ind w:left="360" w:leftChars="150" w:firstLine="480"/>
      </w:pPr>
      <w:r>
        <w:rPr>
          <w:rFonts w:hint="eastAsia"/>
        </w:rPr>
        <w:t>如上述任何一项与保证值的差超过以上条款指出的罚款率的5倍时，买方有权要求卖方以更大的罚款率来支付罚款，其具体罚款率可由双方协商决定，如果达不成协议，买方有权暂停全部或一部分性能考核试验，此时买方有权要求卖方在买方同意的时间内造出替换件或向另一家制造厂订购满意的设备，由此而造成的延误，卖方应按照本合同第9.11条支付违约赔偿金。按照以上各项累积计算应罚的最大罚款总金额将不超过2.1条中规定的合同总价第（1）及第（2）项价格的20％，卖方支付最后一笔罚款或者卖方提供的满意的替换件被买方接受之日即为买方承认设备可以临时验收并出具临时验收证书之日，该证书一式二份由卖方会签，双方各执一份。</w:t>
      </w:r>
    </w:p>
    <w:p>
      <w:pPr>
        <w:ind w:left="480" w:hanging="480" w:hangingChars="200"/>
      </w:pPr>
      <w:r>
        <w:t>9.9</w:t>
      </w:r>
      <w:r>
        <w:rPr>
          <w:rFonts w:hint="eastAsia"/>
        </w:rPr>
        <w:t xml:space="preserve"> 合同设备任何部件其正常运行寿命比卖方保证期短，则保证期按寿命期计算。但卖方应提供此类设备部件清单，并经买方确认。卖方应提供足够的此类设备部件，以保证期和保证期满后一年内的备件的使用。</w:t>
      </w:r>
    </w:p>
    <w:p>
      <w:pPr>
        <w:ind w:left="480" w:hanging="480" w:hangingChars="200"/>
      </w:pPr>
      <w:r>
        <w:t>9.10</w:t>
      </w:r>
      <w:r>
        <w:rPr>
          <w:rFonts w:hint="eastAsia"/>
        </w:rPr>
        <w:t>任何合同设备在保证期内进行了缺陷的修正则其保证期将自该缺陷修正后开始计算一年。</w:t>
      </w:r>
    </w:p>
    <w:p>
      <w:pPr>
        <w:tabs>
          <w:tab w:val="left" w:pos="709"/>
          <w:tab w:val="left" w:pos="975"/>
        </w:tabs>
        <w:ind w:firstLine="480"/>
        <w:textAlignment w:val="baseline"/>
        <w:rPr>
          <w:rFonts w:hAnsi="宋体" w:cs="Arial"/>
        </w:rPr>
      </w:pPr>
      <w:r>
        <w:t>9.11</w:t>
      </w:r>
      <w:r>
        <w:rPr>
          <w:rFonts w:hint="eastAsia" w:hAnsi="宋体" w:cs="Arial"/>
        </w:rPr>
        <w:t>如果不是由于买方原因或要求推迟交货而卖方未能按本合同附件规定的交货期交货时（人力不可抗拒事件除外），（实际交货日期按本合同</w:t>
      </w:r>
      <w:r>
        <w:rPr>
          <w:rFonts w:hAnsi="宋体" w:cs="Arial"/>
        </w:rPr>
        <w:t>4.3</w:t>
      </w:r>
      <w:r>
        <w:rPr>
          <w:rFonts w:hint="eastAsia" w:hAnsi="宋体" w:cs="Arial"/>
        </w:rPr>
        <w:t>条规定计算），买方有权按下列比例向卖方收取罚款：</w:t>
      </w:r>
    </w:p>
    <w:p>
      <w:pPr>
        <w:tabs>
          <w:tab w:val="left" w:pos="709"/>
        </w:tabs>
        <w:ind w:left="708" w:firstLine="480"/>
        <w:textAlignment w:val="baseline"/>
        <w:rPr>
          <w:rFonts w:hAnsi="宋体"/>
          <w:color w:val="000000"/>
        </w:rPr>
      </w:pPr>
      <w:r>
        <w:rPr>
          <w:rFonts w:hint="eastAsia" w:hAnsi="宋体"/>
          <w:color w:val="000000"/>
        </w:rPr>
        <w:t>迟交</w:t>
      </w:r>
      <w:r>
        <w:rPr>
          <w:rFonts w:hAnsi="宋体"/>
          <w:color w:val="000000"/>
        </w:rPr>
        <w:t>1-4</w:t>
      </w:r>
      <w:r>
        <w:rPr>
          <w:rFonts w:hint="eastAsia" w:hAnsi="宋体"/>
          <w:color w:val="000000"/>
        </w:rPr>
        <w:t>周，每周罚迟交货物金额的1％；</w:t>
      </w:r>
    </w:p>
    <w:p>
      <w:pPr>
        <w:tabs>
          <w:tab w:val="left" w:pos="709"/>
        </w:tabs>
        <w:ind w:left="708" w:firstLine="480"/>
        <w:textAlignment w:val="baseline"/>
        <w:rPr>
          <w:rFonts w:hAnsi="宋体"/>
          <w:color w:val="000000"/>
        </w:rPr>
      </w:pPr>
      <w:r>
        <w:rPr>
          <w:rFonts w:hint="eastAsia" w:hAnsi="宋体"/>
          <w:color w:val="000000"/>
        </w:rPr>
        <w:t>迟交第</w:t>
      </w:r>
      <w:r>
        <w:rPr>
          <w:rFonts w:hAnsi="宋体"/>
          <w:color w:val="000000"/>
        </w:rPr>
        <w:t>5-8</w:t>
      </w:r>
      <w:r>
        <w:rPr>
          <w:rFonts w:hint="eastAsia" w:hAnsi="宋体"/>
          <w:color w:val="000000"/>
        </w:rPr>
        <w:t>周，每周罚迟交货物金额的1.5％；</w:t>
      </w:r>
    </w:p>
    <w:p>
      <w:pPr>
        <w:tabs>
          <w:tab w:val="left" w:pos="709"/>
        </w:tabs>
        <w:ind w:left="708" w:firstLine="480"/>
        <w:textAlignment w:val="baseline"/>
        <w:rPr>
          <w:rFonts w:hAnsi="宋体"/>
          <w:color w:val="000000"/>
        </w:rPr>
      </w:pPr>
      <w:r>
        <w:rPr>
          <w:rFonts w:hint="eastAsia" w:hAnsi="宋体"/>
          <w:color w:val="000000"/>
        </w:rPr>
        <w:t>迟交第</w:t>
      </w:r>
      <w:r>
        <w:rPr>
          <w:rFonts w:hAnsi="宋体"/>
          <w:color w:val="000000"/>
        </w:rPr>
        <w:t>9</w:t>
      </w:r>
      <w:r>
        <w:rPr>
          <w:rFonts w:hint="eastAsia" w:hAnsi="宋体"/>
          <w:color w:val="000000"/>
        </w:rPr>
        <w:t>周及以上，则每周罚迟交货物金额的2％；</w:t>
      </w:r>
    </w:p>
    <w:p>
      <w:pPr>
        <w:tabs>
          <w:tab w:val="left" w:pos="709"/>
        </w:tabs>
        <w:ind w:left="708" w:firstLine="480"/>
        <w:textAlignment w:val="baseline"/>
        <w:rPr>
          <w:rFonts w:hAnsi="宋体"/>
          <w:color w:val="000000"/>
        </w:rPr>
      </w:pPr>
      <w:r>
        <w:rPr>
          <w:rFonts w:hint="eastAsia" w:hAnsi="宋体"/>
          <w:color w:val="000000"/>
        </w:rPr>
        <w:t>不满一周按一周计算。</w:t>
      </w:r>
    </w:p>
    <w:p>
      <w:pPr>
        <w:tabs>
          <w:tab w:val="left" w:pos="709"/>
        </w:tabs>
        <w:ind w:left="708" w:firstLine="480"/>
        <w:textAlignment w:val="baseline"/>
        <w:rPr>
          <w:rFonts w:hAnsi="宋体"/>
          <w:color w:val="000000"/>
        </w:rPr>
      </w:pPr>
      <w:r>
        <w:rPr>
          <w:rFonts w:hint="eastAsia" w:hAnsi="宋体"/>
          <w:color w:val="000000"/>
        </w:rPr>
        <w:t>每项合同设备迟交货物的罚款总金额不超过该项合同设备合同总价的</w:t>
      </w:r>
      <w:r>
        <w:rPr>
          <w:rFonts w:hAnsi="宋体"/>
          <w:color w:val="000000"/>
        </w:rPr>
        <w:t>10</w:t>
      </w:r>
      <w:r>
        <w:rPr>
          <w:rFonts w:hint="eastAsia" w:hAnsi="宋体"/>
          <w:color w:val="000000"/>
        </w:rPr>
        <w:t>％，卖方支付迟交罚款，并不解除卖方按照合同继续交货的义务。</w:t>
      </w:r>
    </w:p>
    <w:p>
      <w:pPr>
        <w:ind w:left="480" w:leftChars="200" w:firstLine="480"/>
      </w:pPr>
      <w:r>
        <w:rPr>
          <w:rFonts w:hint="eastAsia" w:hAnsi="宋体"/>
          <w:color w:val="000000"/>
        </w:rPr>
        <w:t>对安装、试运行有重大影响的货物迟交超一个月时，买方应保留与卖方协商的权力，共同商定卖方应向买方赔偿的买方的损失，如协商不能达成一致时，买方有权终止部分或全部合同</w:t>
      </w:r>
      <w:r>
        <w:rPr>
          <w:rFonts w:hint="eastAsia"/>
        </w:rPr>
        <w:t>。</w:t>
      </w:r>
    </w:p>
    <w:p>
      <w:pPr>
        <w:ind w:left="480" w:hanging="480" w:hangingChars="200"/>
      </w:pPr>
      <w:r>
        <w:t>9.12</w:t>
      </w:r>
      <w:r>
        <w:rPr>
          <w:rFonts w:hint="eastAsia"/>
        </w:rPr>
        <w:t xml:space="preserve">  如果由于卖方责任所造成的修理或换货而使合同设备的起动延误时，则卖方虽已承担了修理或换货的义务，但还应按第</w:t>
      </w:r>
      <w:r>
        <w:t>9.11</w:t>
      </w:r>
      <w:r>
        <w:rPr>
          <w:rFonts w:hint="eastAsia"/>
        </w:rPr>
        <w:t>条的规定支付设备迟交罚款，时间从发现缺陷之日开始计算至该设备纠正缺陷后或在现场完成修好的日期为至。如果卖方要求在现场进行修理，买方应尽量提供充分的合作，发生的费用将由卖方负担。</w:t>
      </w:r>
    </w:p>
    <w:p>
      <w:pPr>
        <w:ind w:left="480" w:hanging="480" w:hangingChars="200"/>
      </w:pPr>
      <w:r>
        <w:t>9.13</w:t>
      </w:r>
      <w:r>
        <w:rPr>
          <w:rFonts w:hint="eastAsia" w:hAnsi="宋体"/>
          <w:color w:val="000000"/>
        </w:rPr>
        <w:t>如由于卖方责任未能按本合同附件的规定按时交付技术文件时，则每个图号每迟交一整周，买方将要求卖方支付罚款</w:t>
      </w:r>
      <w:r>
        <w:rPr>
          <w:rFonts w:hAnsi="宋体"/>
          <w:color w:val="000000"/>
        </w:rPr>
        <w:t>5</w:t>
      </w:r>
      <w:r>
        <w:rPr>
          <w:rFonts w:hint="eastAsia" w:hAnsi="宋体"/>
          <w:color w:val="000000"/>
        </w:rPr>
        <w:t>万元人民币</w:t>
      </w:r>
      <w:r>
        <w:rPr>
          <w:rFonts w:hint="eastAsia"/>
        </w:rPr>
        <w:t>。</w:t>
      </w:r>
    </w:p>
    <w:p>
      <w:pPr>
        <w:pStyle w:val="2"/>
        <w:ind w:firstLine="640"/>
        <w:rPr>
          <w:rFonts w:ascii="Arial" w:hAnsi="Arial" w:cs="Arial"/>
          <w:b w:val="0"/>
          <w:sz w:val="32"/>
          <w:szCs w:val="32"/>
        </w:rPr>
      </w:pPr>
    </w:p>
    <w:p>
      <w:pPr>
        <w:pStyle w:val="2"/>
        <w:tabs>
          <w:tab w:val="left" w:pos="9120"/>
        </w:tabs>
        <w:ind w:firstLine="883"/>
        <w:jc w:val="center"/>
        <w:rPr>
          <w:rFonts w:ascii="宋体" w:hAnsi="宋体" w:cs="Arial"/>
          <w:b w:val="0"/>
          <w:sz w:val="32"/>
          <w:szCs w:val="32"/>
        </w:rPr>
      </w:pPr>
      <w:r>
        <w:rPr>
          <w:rFonts w:hAnsi="宋体"/>
        </w:rPr>
        <w:br w:type="page"/>
      </w:r>
      <w:bookmarkStart w:id="36" w:name="_Toc400967547"/>
      <w:bookmarkStart w:id="37" w:name="_Toc479858090"/>
      <w:bookmarkStart w:id="38" w:name="_Toc239524396"/>
      <w:r>
        <w:rPr>
          <w:rFonts w:ascii="宋体" w:hAnsi="宋体" w:cs="Arial"/>
          <w:sz w:val="32"/>
          <w:szCs w:val="32"/>
        </w:rPr>
        <w:t>第十章    保险</w:t>
      </w:r>
      <w:bookmarkEnd w:id="36"/>
      <w:bookmarkEnd w:id="37"/>
      <w:bookmarkEnd w:id="38"/>
    </w:p>
    <w:p>
      <w:pPr>
        <w:numPr>
          <w:ilvl w:val="0"/>
          <w:numId w:val="15"/>
        </w:numPr>
        <w:tabs>
          <w:tab w:val="left" w:pos="709"/>
        </w:tabs>
        <w:snapToGrid/>
        <w:spacing w:line="360" w:lineRule="auto"/>
        <w:ind w:left="708" w:hanging="708" w:hangingChars="295"/>
        <w:jc w:val="left"/>
        <w:textAlignment w:val="baseline"/>
        <w:rPr>
          <w:color w:val="000000"/>
        </w:rPr>
      </w:pPr>
      <w:r>
        <w:rPr>
          <w:rFonts w:hint="eastAsia" w:hAnsi="宋体"/>
          <w:color w:val="000000"/>
        </w:rPr>
        <w:t>卖方应根据合同要求向保险公司投保合同设备运输保险。保险区段为卖方仓库到施工现场交货验货无误后为止。</w:t>
      </w:r>
    </w:p>
    <w:p>
      <w:pPr>
        <w:pStyle w:val="2"/>
        <w:tabs>
          <w:tab w:val="left" w:pos="9120"/>
        </w:tabs>
        <w:ind w:firstLine="883"/>
        <w:jc w:val="center"/>
        <w:rPr>
          <w:rFonts w:hAnsi="宋体" w:cs="Arial"/>
          <w:b w:val="0"/>
          <w:sz w:val="32"/>
          <w:szCs w:val="32"/>
        </w:rPr>
      </w:pPr>
      <w:r>
        <w:rPr>
          <w:rFonts w:hAnsi="宋体"/>
        </w:rPr>
        <w:br w:type="page"/>
      </w:r>
      <w:bookmarkStart w:id="39" w:name="_Toc400967548"/>
      <w:bookmarkStart w:id="40" w:name="_Toc479858091"/>
      <w:bookmarkStart w:id="41" w:name="_Toc239524397"/>
      <w:r>
        <w:rPr>
          <w:rFonts w:ascii="宋体" w:hAnsi="宋体" w:cs="Arial"/>
          <w:sz w:val="32"/>
          <w:szCs w:val="32"/>
        </w:rPr>
        <w:t>第十一章   不可抗力</w:t>
      </w:r>
      <w:bookmarkEnd w:id="39"/>
      <w:bookmarkEnd w:id="40"/>
      <w:bookmarkEnd w:id="41"/>
    </w:p>
    <w:p>
      <w:pPr>
        <w:numPr>
          <w:ilvl w:val="1"/>
          <w:numId w:val="16"/>
        </w:numPr>
        <w:tabs>
          <w:tab w:val="left" w:pos="709"/>
          <w:tab w:val="clear" w:pos="615"/>
        </w:tabs>
        <w:snapToGrid/>
        <w:spacing w:line="360" w:lineRule="auto"/>
        <w:ind w:left="708" w:hanging="708" w:hangingChars="295"/>
        <w:jc w:val="left"/>
        <w:textAlignment w:val="baseline"/>
        <w:rPr>
          <w:rFonts w:ascii="Arial" w:hAnsi="Arial" w:cs="Arial"/>
        </w:rPr>
      </w:pPr>
      <w:r>
        <w:rPr>
          <w:rFonts w:ascii="Arial" w:hAnsi="Arial" w:cs="Arial"/>
        </w:rPr>
        <w:t>签约双方中的任何一方，由于战争及严重火灾和水灾，台风、地震以及双方同意的其他不可抗力事故，而影响合同义务的执行时，则延迟履行合同义务的期限，应相当于不可抗力事故影响的时间，但是不能因为不可抗力造成的交货的延迟而调整合同价格。</w:t>
      </w:r>
    </w:p>
    <w:p>
      <w:pPr>
        <w:numPr>
          <w:ilvl w:val="1"/>
          <w:numId w:val="16"/>
        </w:numPr>
        <w:tabs>
          <w:tab w:val="left" w:pos="709"/>
          <w:tab w:val="clear" w:pos="615"/>
        </w:tabs>
        <w:snapToGrid/>
        <w:spacing w:line="360" w:lineRule="auto"/>
        <w:ind w:left="708" w:hanging="708" w:hangingChars="295"/>
        <w:jc w:val="left"/>
        <w:textAlignment w:val="baseline"/>
        <w:rPr>
          <w:rFonts w:ascii="Arial" w:hAnsi="Arial" w:cs="Arial"/>
        </w:rPr>
      </w:pPr>
      <w:r>
        <w:rPr>
          <w:rFonts w:ascii="Arial" w:hAnsi="Arial" w:cs="Arial"/>
        </w:rPr>
        <w:t>受到不可抗力影响的一方应在不可抗力事故发生后，尽快将所发生的不可抗力事件的情况以传真通知另一方，并在十四天内用航空挂号信或快递服务将有关部门出具的证明文件提交给另一方审阅确认，受影响的一方同时应尽量设法缩小这种影响和由此而引起的延误，一旦不可抗力的影响消除后，应将此情况立即通知对方。</w:t>
      </w:r>
    </w:p>
    <w:p>
      <w:pPr>
        <w:numPr>
          <w:ilvl w:val="1"/>
          <w:numId w:val="16"/>
        </w:numPr>
        <w:tabs>
          <w:tab w:val="left" w:pos="709"/>
          <w:tab w:val="clear" w:pos="615"/>
        </w:tabs>
        <w:snapToGrid/>
        <w:spacing w:line="360" w:lineRule="auto"/>
        <w:ind w:left="708" w:hanging="708" w:hangingChars="295"/>
        <w:jc w:val="left"/>
        <w:textAlignment w:val="baseline"/>
        <w:rPr>
          <w:rFonts w:ascii="Arial" w:hAnsi="Arial" w:cs="Arial"/>
        </w:rPr>
      </w:pPr>
      <w:r>
        <w:rPr>
          <w:rFonts w:ascii="Arial" w:hAnsi="Arial" w:cs="Arial"/>
        </w:rPr>
        <w:t>如双方对不可抗力事件的影响估计将延续至一百二十天以上时，双方应通过友好协商解决本合同的执行问题（包括安装、调试、试运行、性能考核试验和验收等问题）。</w:t>
      </w:r>
    </w:p>
    <w:p>
      <w:pPr>
        <w:pStyle w:val="2"/>
        <w:tabs>
          <w:tab w:val="left" w:pos="9120"/>
        </w:tabs>
        <w:ind w:firstLine="883"/>
        <w:jc w:val="center"/>
        <w:rPr>
          <w:rFonts w:ascii="宋体" w:hAnsi="宋体" w:cs="Arial"/>
          <w:b w:val="0"/>
          <w:sz w:val="32"/>
          <w:szCs w:val="32"/>
        </w:rPr>
      </w:pPr>
      <w:r>
        <w:rPr>
          <w:rFonts w:ascii="Arial" w:hAnsi="Arial" w:cs="Arial"/>
        </w:rPr>
        <w:br w:type="page"/>
      </w:r>
      <w:bookmarkStart w:id="42" w:name="_Toc479858092"/>
      <w:bookmarkStart w:id="43" w:name="_Toc239524398"/>
      <w:bookmarkStart w:id="44" w:name="_Toc400967549"/>
      <w:r>
        <w:rPr>
          <w:rFonts w:ascii="宋体" w:hAnsi="宋体" w:cs="Arial"/>
          <w:sz w:val="32"/>
          <w:szCs w:val="32"/>
        </w:rPr>
        <w:t>第十二章   税费</w:t>
      </w:r>
      <w:bookmarkEnd w:id="42"/>
      <w:bookmarkEnd w:id="43"/>
      <w:bookmarkEnd w:id="44"/>
    </w:p>
    <w:p>
      <w:pPr>
        <w:numPr>
          <w:ilvl w:val="1"/>
          <w:numId w:val="17"/>
        </w:numPr>
        <w:snapToGrid/>
        <w:spacing w:line="360" w:lineRule="auto"/>
        <w:ind w:left="708" w:hanging="708" w:hangingChars="295"/>
        <w:jc w:val="left"/>
        <w:textAlignment w:val="baseline"/>
        <w:rPr>
          <w:rFonts w:ascii="Arial" w:hAnsi="Arial" w:cs="Arial"/>
        </w:rPr>
      </w:pPr>
      <w:r>
        <w:rPr>
          <w:rFonts w:ascii="Arial" w:hAnsi="Arial" w:cs="Arial"/>
        </w:rPr>
        <w:t>与本合同有关的设备生产所需的材料购买、生产增值及技术服务人员的所有税费，均应由卖方承担。</w:t>
      </w:r>
    </w:p>
    <w:p>
      <w:pPr>
        <w:pStyle w:val="2"/>
        <w:ind w:firstLine="883"/>
        <w:jc w:val="center"/>
        <w:rPr>
          <w:rFonts w:ascii="宋体" w:hAnsi="宋体" w:cs="Arial"/>
          <w:b w:val="0"/>
          <w:sz w:val="32"/>
          <w:szCs w:val="32"/>
        </w:rPr>
      </w:pPr>
      <w:r>
        <w:rPr>
          <w:rFonts w:ascii="Arial" w:hAnsi="Arial" w:cs="Arial"/>
        </w:rPr>
        <w:br w:type="page"/>
      </w:r>
      <w:bookmarkStart w:id="45" w:name="_Toc239524399"/>
      <w:bookmarkStart w:id="46" w:name="_Toc400967550"/>
      <w:bookmarkStart w:id="47" w:name="_Toc479858093"/>
      <w:r>
        <w:rPr>
          <w:rFonts w:ascii="宋体" w:hAnsi="宋体" w:cs="Arial"/>
          <w:sz w:val="32"/>
          <w:szCs w:val="32"/>
        </w:rPr>
        <w:t>第十三章   仲裁</w:t>
      </w:r>
      <w:bookmarkEnd w:id="45"/>
      <w:bookmarkEnd w:id="46"/>
      <w:bookmarkEnd w:id="47"/>
    </w:p>
    <w:p>
      <w:pPr>
        <w:numPr>
          <w:ilvl w:val="1"/>
          <w:numId w:val="18"/>
        </w:numPr>
        <w:tabs>
          <w:tab w:val="left" w:pos="720"/>
          <w:tab w:val="clear" w:pos="630"/>
        </w:tabs>
        <w:snapToGrid/>
        <w:spacing w:line="360" w:lineRule="auto"/>
        <w:ind w:left="708" w:hanging="708" w:hangingChars="295"/>
        <w:jc w:val="left"/>
        <w:textAlignment w:val="baseline"/>
        <w:rPr>
          <w:rFonts w:ascii="Arial" w:hAnsi="Arial" w:cs="Arial"/>
        </w:rPr>
      </w:pPr>
      <w:r>
        <w:rPr>
          <w:rFonts w:ascii="Arial" w:hAnsi="Arial" w:cs="Arial"/>
        </w:rPr>
        <w:t>凡与本合同有关而引起的一切争议，双方应通过友好协商解决，如经协商后仍不能达成协议时，则提交</w:t>
      </w:r>
      <w:r>
        <w:rPr>
          <w:rFonts w:hint="eastAsia" w:ascii="Arial" w:hAnsi="Arial" w:cs="Arial"/>
        </w:rPr>
        <w:t>北京市</w:t>
      </w:r>
      <w:r>
        <w:rPr>
          <w:rFonts w:ascii="Arial" w:hAnsi="Arial" w:cs="Arial"/>
        </w:rPr>
        <w:t>仲裁委员会仲裁解决。</w:t>
      </w:r>
    </w:p>
    <w:p>
      <w:pPr>
        <w:numPr>
          <w:ilvl w:val="1"/>
          <w:numId w:val="18"/>
        </w:numPr>
        <w:tabs>
          <w:tab w:val="left" w:pos="720"/>
          <w:tab w:val="clear" w:pos="630"/>
        </w:tabs>
        <w:snapToGrid/>
        <w:spacing w:line="360" w:lineRule="auto"/>
        <w:ind w:left="708" w:hanging="708" w:hangingChars="295"/>
        <w:jc w:val="left"/>
        <w:textAlignment w:val="baseline"/>
        <w:rPr>
          <w:rFonts w:ascii="Arial" w:hAnsi="Arial" w:cs="Arial"/>
        </w:rPr>
      </w:pPr>
      <w:r>
        <w:rPr>
          <w:rFonts w:ascii="Arial" w:hAnsi="Arial" w:cs="Arial"/>
        </w:rPr>
        <w:t>仲裁地点在</w:t>
      </w:r>
      <w:r>
        <w:rPr>
          <w:rFonts w:hint="eastAsia" w:ascii="Arial" w:hAnsi="Arial" w:cs="Arial"/>
        </w:rPr>
        <w:t>大连市</w:t>
      </w:r>
      <w:r>
        <w:rPr>
          <w:rFonts w:ascii="Arial" w:hAnsi="Arial" w:cs="Arial"/>
        </w:rPr>
        <w:t>。</w:t>
      </w:r>
    </w:p>
    <w:p>
      <w:pPr>
        <w:numPr>
          <w:ilvl w:val="1"/>
          <w:numId w:val="18"/>
        </w:numPr>
        <w:tabs>
          <w:tab w:val="left" w:pos="720"/>
          <w:tab w:val="clear" w:pos="630"/>
        </w:tabs>
        <w:snapToGrid/>
        <w:spacing w:line="360" w:lineRule="auto"/>
        <w:ind w:left="708" w:hanging="708" w:hangingChars="295"/>
        <w:jc w:val="left"/>
        <w:textAlignment w:val="baseline"/>
        <w:rPr>
          <w:rFonts w:ascii="Arial" w:hAnsi="Arial" w:cs="Arial"/>
        </w:rPr>
      </w:pPr>
      <w:r>
        <w:rPr>
          <w:rFonts w:ascii="Arial" w:hAnsi="Arial" w:cs="Arial"/>
        </w:rPr>
        <w:t>仲裁机构的裁决是最终裁决，对双方都有约束力。</w:t>
      </w:r>
    </w:p>
    <w:p>
      <w:pPr>
        <w:numPr>
          <w:ilvl w:val="1"/>
          <w:numId w:val="18"/>
        </w:numPr>
        <w:tabs>
          <w:tab w:val="left" w:pos="720"/>
          <w:tab w:val="clear" w:pos="630"/>
        </w:tabs>
        <w:snapToGrid/>
        <w:spacing w:line="360" w:lineRule="auto"/>
        <w:ind w:left="708" w:hanging="708" w:hangingChars="295"/>
        <w:jc w:val="left"/>
        <w:textAlignment w:val="baseline"/>
        <w:rPr>
          <w:rFonts w:ascii="Arial" w:hAnsi="Arial" w:cs="Arial"/>
        </w:rPr>
      </w:pPr>
      <w:r>
        <w:rPr>
          <w:rFonts w:ascii="Arial" w:hAnsi="Arial" w:cs="Arial"/>
        </w:rPr>
        <w:t>仲裁费用除上述仲裁决议中另有决定外，应由败诉一方负担。</w:t>
      </w:r>
    </w:p>
    <w:p>
      <w:pPr>
        <w:numPr>
          <w:ilvl w:val="1"/>
          <w:numId w:val="18"/>
        </w:numPr>
        <w:tabs>
          <w:tab w:val="left" w:pos="720"/>
          <w:tab w:val="clear" w:pos="630"/>
        </w:tabs>
        <w:snapToGrid/>
        <w:spacing w:line="360" w:lineRule="auto"/>
        <w:ind w:left="708" w:hanging="708" w:hangingChars="295"/>
        <w:jc w:val="left"/>
        <w:textAlignment w:val="baseline"/>
        <w:rPr>
          <w:rFonts w:ascii="Arial" w:hAnsi="Arial" w:cs="Arial"/>
        </w:rPr>
      </w:pPr>
      <w:r>
        <w:rPr>
          <w:rFonts w:ascii="Arial" w:hAnsi="Arial" w:cs="Arial"/>
        </w:rPr>
        <w:t>在进行仲裁期间，除提交仲裁的事项外，合同仍应继续履行。</w:t>
      </w:r>
    </w:p>
    <w:p>
      <w:pPr>
        <w:pStyle w:val="2"/>
        <w:ind w:firstLine="883"/>
        <w:jc w:val="center"/>
        <w:rPr>
          <w:rFonts w:ascii="宋体" w:hAnsi="宋体" w:cs="Arial"/>
          <w:b w:val="0"/>
          <w:sz w:val="32"/>
          <w:szCs w:val="32"/>
        </w:rPr>
      </w:pPr>
      <w:r>
        <w:rPr>
          <w:rFonts w:ascii="Arial" w:hAnsi="Arial" w:cs="Arial"/>
        </w:rPr>
        <w:br w:type="page"/>
      </w:r>
      <w:bookmarkStart w:id="48" w:name="_Toc400967551"/>
      <w:bookmarkStart w:id="49" w:name="_Toc479858094"/>
      <w:bookmarkStart w:id="50" w:name="_Toc239524400"/>
      <w:r>
        <w:rPr>
          <w:rFonts w:ascii="宋体" w:hAnsi="宋体" w:cs="Arial"/>
          <w:sz w:val="32"/>
          <w:szCs w:val="32"/>
        </w:rPr>
        <w:t>第十四章   合同生效、变更、暂停、终止及其它</w:t>
      </w:r>
      <w:bookmarkEnd w:id="48"/>
      <w:bookmarkEnd w:id="49"/>
      <w:bookmarkEnd w:id="50"/>
    </w:p>
    <w:p>
      <w:pPr>
        <w:numPr>
          <w:ilvl w:val="1"/>
          <w:numId w:val="19"/>
        </w:numPr>
        <w:tabs>
          <w:tab w:val="left" w:pos="720"/>
        </w:tabs>
        <w:snapToGrid/>
        <w:spacing w:line="360" w:lineRule="auto"/>
        <w:ind w:left="708" w:hanging="708" w:hangingChars="295"/>
        <w:jc w:val="left"/>
        <w:textAlignment w:val="baseline"/>
        <w:rPr>
          <w:rFonts w:ascii="Arial" w:hAnsi="Arial" w:cs="Arial"/>
        </w:rPr>
      </w:pPr>
      <w:r>
        <w:rPr>
          <w:rFonts w:ascii="Arial" w:hAnsi="Arial" w:cs="Arial"/>
        </w:rPr>
        <w:t>本合同在买卖双方授权代表签字</w:t>
      </w:r>
      <w:r>
        <w:rPr>
          <w:rFonts w:hint="eastAsia" w:ascii="Arial" w:hAnsi="Arial" w:cs="Arial"/>
        </w:rPr>
        <w:t>盖章后</w:t>
      </w:r>
      <w:r>
        <w:rPr>
          <w:rFonts w:ascii="Arial" w:hAnsi="Arial" w:cs="Arial"/>
        </w:rPr>
        <w:t>生效。</w:t>
      </w:r>
    </w:p>
    <w:p>
      <w:pPr>
        <w:numPr>
          <w:ilvl w:val="1"/>
          <w:numId w:val="19"/>
        </w:numPr>
        <w:tabs>
          <w:tab w:val="left" w:pos="720"/>
        </w:tabs>
        <w:snapToGrid/>
        <w:spacing w:line="360" w:lineRule="auto"/>
        <w:ind w:left="708" w:hanging="708" w:hangingChars="295"/>
        <w:jc w:val="left"/>
        <w:textAlignment w:val="baseline"/>
        <w:rPr>
          <w:rFonts w:ascii="Arial" w:hAnsi="Arial" w:cs="Arial"/>
        </w:rPr>
      </w:pPr>
      <w:r>
        <w:rPr>
          <w:rFonts w:ascii="Arial" w:hAnsi="Arial" w:cs="Arial"/>
        </w:rPr>
        <w:t>本合同一式</w:t>
      </w:r>
      <w:r>
        <w:rPr>
          <w:rFonts w:hint="eastAsia" w:ascii="Arial" w:hAnsi="Arial" w:cs="Arial"/>
        </w:rPr>
        <w:t>六</w:t>
      </w:r>
      <w:r>
        <w:rPr>
          <w:rFonts w:ascii="Arial" w:hAnsi="Arial" w:cs="Arial"/>
        </w:rPr>
        <w:t>份，买卖</w:t>
      </w:r>
      <w:r>
        <w:rPr>
          <w:rFonts w:hint="eastAsia" w:ascii="Arial" w:hAnsi="Arial" w:cs="Arial"/>
        </w:rPr>
        <w:t>双方各三</w:t>
      </w:r>
      <w:r>
        <w:rPr>
          <w:rFonts w:ascii="Arial" w:hAnsi="Arial" w:cs="Arial"/>
        </w:rPr>
        <w:t>份，</w:t>
      </w:r>
      <w:r>
        <w:rPr>
          <w:rFonts w:hint="eastAsia" w:ascii="Arial" w:hAnsi="Arial" w:cs="Arial"/>
        </w:rPr>
        <w:t>六</w:t>
      </w:r>
      <w:r>
        <w:rPr>
          <w:rFonts w:ascii="Arial" w:hAnsi="Arial" w:cs="Arial"/>
        </w:rPr>
        <w:t>份文本具有同等效力。</w:t>
      </w:r>
    </w:p>
    <w:p>
      <w:pPr>
        <w:numPr>
          <w:ilvl w:val="1"/>
          <w:numId w:val="19"/>
        </w:numPr>
        <w:tabs>
          <w:tab w:val="left" w:pos="720"/>
        </w:tabs>
        <w:snapToGrid/>
        <w:spacing w:line="360" w:lineRule="auto"/>
        <w:ind w:left="708" w:hanging="708" w:hangingChars="295"/>
        <w:jc w:val="left"/>
        <w:textAlignment w:val="baseline"/>
        <w:rPr>
          <w:rFonts w:ascii="Arial" w:hAnsi="Arial" w:cs="Arial"/>
        </w:rPr>
      </w:pPr>
      <w:r>
        <w:rPr>
          <w:rFonts w:ascii="Arial" w:hAnsi="Arial" w:cs="Arial"/>
        </w:rPr>
        <w:t>本合同附件一至</w:t>
      </w:r>
      <w:r>
        <w:rPr>
          <w:rFonts w:hint="eastAsia" w:ascii="Arial" w:hAnsi="Arial" w:cs="Arial"/>
        </w:rPr>
        <w:t>三</w:t>
      </w:r>
      <w:r>
        <w:rPr>
          <w:rFonts w:ascii="Arial" w:hAnsi="Arial" w:cs="Arial"/>
        </w:rPr>
        <w:t>均为合同不可分割的组成部分，与合同条款具有同等效力，如果合同条款与附件条款有矛盾或不清之处，应以合同条款为准。</w:t>
      </w:r>
    </w:p>
    <w:p>
      <w:pPr>
        <w:numPr>
          <w:ilvl w:val="1"/>
          <w:numId w:val="19"/>
        </w:numPr>
        <w:tabs>
          <w:tab w:val="left" w:pos="720"/>
        </w:tabs>
        <w:snapToGrid/>
        <w:spacing w:line="360" w:lineRule="auto"/>
        <w:ind w:left="708" w:hanging="708" w:hangingChars="295"/>
        <w:jc w:val="left"/>
        <w:textAlignment w:val="baseline"/>
        <w:rPr>
          <w:rFonts w:ascii="Arial" w:hAnsi="Arial" w:cs="Arial"/>
        </w:rPr>
      </w:pPr>
      <w:r>
        <w:rPr>
          <w:rFonts w:ascii="Arial" w:hAnsi="Arial" w:cs="Arial"/>
        </w:rPr>
        <w:t>双方举行的联络会议或其他会谈所作的纪要，经双方签字并同意后可作为合同的一部分。</w:t>
      </w:r>
    </w:p>
    <w:p>
      <w:pPr>
        <w:numPr>
          <w:ilvl w:val="1"/>
          <w:numId w:val="19"/>
        </w:numPr>
        <w:tabs>
          <w:tab w:val="left" w:pos="720"/>
        </w:tabs>
        <w:snapToGrid/>
        <w:spacing w:line="360" w:lineRule="auto"/>
        <w:ind w:left="708" w:hanging="708" w:hangingChars="295"/>
        <w:jc w:val="left"/>
        <w:textAlignment w:val="baseline"/>
        <w:rPr>
          <w:rFonts w:ascii="Arial" w:hAnsi="Arial" w:cs="Arial"/>
        </w:rPr>
      </w:pPr>
      <w:r>
        <w:rPr>
          <w:rFonts w:ascii="Arial" w:hAnsi="Arial" w:cs="Arial"/>
        </w:rPr>
        <w:t>双方任何一方未取得另一方事先书面同意，不得将本合同项下的部分或全部权利或义务转让给第三方。卖方在取得买方同意后而选定的分包商应被视为同卖方一样为履行本合同对买方承担责任，卖方应对其分包商的行为、疏忽、违约（如果有的话）承担责任。</w:t>
      </w:r>
    </w:p>
    <w:p>
      <w:pPr>
        <w:numPr>
          <w:ilvl w:val="1"/>
          <w:numId w:val="19"/>
        </w:numPr>
        <w:tabs>
          <w:tab w:val="left" w:pos="720"/>
        </w:tabs>
        <w:snapToGrid/>
        <w:spacing w:line="360" w:lineRule="auto"/>
        <w:ind w:left="708" w:hanging="708" w:hangingChars="295"/>
        <w:jc w:val="left"/>
        <w:textAlignment w:val="baseline"/>
        <w:rPr>
          <w:rFonts w:ascii="Arial" w:hAnsi="Arial" w:cs="Arial"/>
        </w:rPr>
      </w:pPr>
      <w:r>
        <w:rPr>
          <w:rFonts w:ascii="Arial" w:hAnsi="Arial" w:cs="Arial"/>
        </w:rPr>
        <w:t>本合同项下双方相互提供的文件、资料、通讯内容，双方除为履行合同的目的外，均不得泄露给与“合同设备”无关的第三方，除非合同双方认为有此需要。</w:t>
      </w:r>
    </w:p>
    <w:p>
      <w:pPr>
        <w:numPr>
          <w:ilvl w:val="1"/>
          <w:numId w:val="19"/>
        </w:numPr>
        <w:tabs>
          <w:tab w:val="left" w:pos="720"/>
        </w:tabs>
        <w:snapToGrid/>
        <w:spacing w:line="360" w:lineRule="auto"/>
        <w:ind w:left="708" w:hanging="708" w:hangingChars="295"/>
        <w:jc w:val="left"/>
        <w:textAlignment w:val="baseline"/>
        <w:rPr>
          <w:rFonts w:ascii="Arial" w:hAnsi="Arial" w:cs="Arial"/>
        </w:rPr>
      </w:pPr>
      <w:r>
        <w:rPr>
          <w:rFonts w:ascii="Arial" w:hAnsi="Arial" w:cs="Arial"/>
        </w:rPr>
        <w:t>买方将指定一名授权代表，负责直接处理本合同设备的技术和商务问题，买方授权代表的名称和通信地址将由买方于合同生效后的两周内通知卖方。</w:t>
      </w:r>
    </w:p>
    <w:p>
      <w:pPr>
        <w:numPr>
          <w:ilvl w:val="1"/>
          <w:numId w:val="19"/>
        </w:numPr>
        <w:tabs>
          <w:tab w:val="left" w:pos="720"/>
        </w:tabs>
        <w:snapToGrid/>
        <w:spacing w:line="360" w:lineRule="auto"/>
        <w:ind w:left="708" w:hanging="708" w:hangingChars="295"/>
        <w:jc w:val="left"/>
        <w:textAlignment w:val="baseline"/>
        <w:rPr>
          <w:rFonts w:ascii="Arial" w:hAnsi="Arial" w:cs="Arial"/>
        </w:rPr>
      </w:pPr>
      <w:r>
        <w:rPr>
          <w:rFonts w:ascii="Arial" w:hAnsi="Arial" w:cs="Arial"/>
        </w:rPr>
        <w:t>卖方不得对本合同的内容（包括附件）作任何变更，但买方可以在征得卖方同意后对合同内容进行变更，修改，取消或补充，如这些变更严重地影响到合同价格和时间，买方</w:t>
      </w:r>
      <w:r>
        <w:rPr>
          <w:rFonts w:hint="eastAsia" w:ascii="Arial" w:hAnsi="Arial" w:cs="Arial"/>
        </w:rPr>
        <w:t>应</w:t>
      </w:r>
      <w:r>
        <w:rPr>
          <w:rFonts w:ascii="Arial" w:hAnsi="Arial" w:cs="Arial"/>
        </w:rPr>
        <w:t>当出具变更通知书说明其内容。</w:t>
      </w:r>
    </w:p>
    <w:p>
      <w:pPr>
        <w:numPr>
          <w:ilvl w:val="1"/>
          <w:numId w:val="19"/>
        </w:numPr>
        <w:tabs>
          <w:tab w:val="left" w:pos="720"/>
        </w:tabs>
        <w:snapToGrid/>
        <w:spacing w:line="360" w:lineRule="auto"/>
        <w:ind w:left="708" w:hanging="708" w:hangingChars="295"/>
        <w:jc w:val="left"/>
        <w:textAlignment w:val="baseline"/>
        <w:rPr>
          <w:rFonts w:ascii="Arial" w:hAnsi="Arial" w:cs="Arial"/>
        </w:rPr>
      </w:pPr>
      <w:r>
        <w:rPr>
          <w:rFonts w:ascii="Arial" w:hAnsi="Arial" w:cs="Arial"/>
        </w:rPr>
        <w:t>如果卖方有违反或拒绝执行本合同规定的行为时，买方将用书面通知卖方加以纠正。卖方在接到通知后三十天内应对该项违反或拒绝做出修正，或者认为在三十天内来不及纠正时，应提出修正计划，如果得不到纠正或提不出修正计划，买方将立即宣布暂停本合同的一部分或全部分，对于这种暂停，买方将不出具变更通知书，由此而发生的一切费用和损失将由卖方负担。</w:t>
      </w:r>
    </w:p>
    <w:p>
      <w:pPr>
        <w:numPr>
          <w:ilvl w:val="1"/>
          <w:numId w:val="19"/>
        </w:numPr>
        <w:tabs>
          <w:tab w:val="left" w:pos="720"/>
        </w:tabs>
        <w:snapToGrid/>
        <w:spacing w:line="360" w:lineRule="auto"/>
        <w:ind w:left="708" w:hanging="708" w:hangingChars="295"/>
        <w:jc w:val="left"/>
        <w:textAlignment w:val="baseline"/>
        <w:rPr>
          <w:rFonts w:ascii="Arial" w:hAnsi="Arial" w:cs="Arial"/>
        </w:rPr>
      </w:pPr>
      <w:r>
        <w:rPr>
          <w:rFonts w:ascii="Arial" w:hAnsi="Arial" w:cs="Arial"/>
        </w:rPr>
        <w:t>如由于发生在买方的原因而又非卖方的意愿，卖方执行合同被阻碍连续一个月以上，双方将互相协商，如有必要，卖方可以暂停本合同，买方应承担双方同意的在暂停期间卖方所发生的费用。</w:t>
      </w:r>
    </w:p>
    <w:p>
      <w:pPr>
        <w:numPr>
          <w:ilvl w:val="1"/>
          <w:numId w:val="19"/>
        </w:numPr>
        <w:tabs>
          <w:tab w:val="left" w:pos="720"/>
        </w:tabs>
        <w:snapToGrid/>
        <w:spacing w:line="360" w:lineRule="auto"/>
        <w:ind w:left="708" w:hanging="708" w:hangingChars="295"/>
        <w:jc w:val="left"/>
        <w:textAlignment w:val="baseline"/>
        <w:rPr>
          <w:rFonts w:ascii="Arial" w:hAnsi="Arial" w:cs="Arial"/>
        </w:rPr>
      </w:pPr>
      <w:r>
        <w:rPr>
          <w:rFonts w:ascii="Arial" w:hAnsi="Arial" w:cs="Arial"/>
        </w:rPr>
        <w:t>只有买方有权随时终止本合同的部分或全部，但应以书面通知卖方，说明终止的内容和有效日期，这时买方应与卖方谈判经协商后承付下列费用（但由于卖方的违约或破产引起的终止除外）：</w:t>
      </w:r>
    </w:p>
    <w:p>
      <w:pPr>
        <w:tabs>
          <w:tab w:val="left" w:pos="720"/>
        </w:tabs>
        <w:ind w:left="708" w:firstLine="480"/>
        <w:textAlignment w:val="baseline"/>
        <w:rPr>
          <w:rFonts w:ascii="Arial" w:hAnsi="Arial" w:cs="Arial"/>
        </w:rPr>
      </w:pPr>
      <w:r>
        <w:rPr>
          <w:rFonts w:hint="eastAsia" w:ascii="Arial" w:hAnsi="Arial" w:cs="Arial"/>
        </w:rPr>
        <w:t>（1</w:t>
      </w:r>
      <w:r>
        <w:rPr>
          <w:rFonts w:ascii="Arial" w:hAnsi="Arial" w:cs="Arial"/>
        </w:rPr>
        <w:t>）终止日期前卖方已执行的全部或部分合同价款和有关费用；</w:t>
      </w:r>
    </w:p>
    <w:p>
      <w:pPr>
        <w:tabs>
          <w:tab w:val="left" w:pos="720"/>
        </w:tabs>
        <w:ind w:left="708" w:firstLine="480"/>
        <w:textAlignment w:val="baseline"/>
        <w:rPr>
          <w:rFonts w:ascii="Arial" w:hAnsi="Arial" w:cs="Arial"/>
        </w:rPr>
      </w:pPr>
      <w:r>
        <w:rPr>
          <w:rFonts w:hint="eastAsia" w:ascii="Arial" w:hAnsi="Arial" w:cs="Arial"/>
        </w:rPr>
        <w:t>（2</w:t>
      </w:r>
      <w:r>
        <w:rPr>
          <w:rFonts w:ascii="Arial" w:hAnsi="Arial" w:cs="Arial"/>
        </w:rPr>
        <w:t>）卖方为执行合同而合理订购的材料设备费，这些材料及设备在买方付款后应成为买方的财产。</w:t>
      </w:r>
    </w:p>
    <w:p>
      <w:pPr>
        <w:tabs>
          <w:tab w:val="left" w:pos="720"/>
        </w:tabs>
        <w:ind w:left="708" w:firstLine="480"/>
        <w:textAlignment w:val="baseline"/>
        <w:rPr>
          <w:rFonts w:ascii="Arial" w:hAnsi="Arial" w:cs="Arial"/>
        </w:rPr>
      </w:pPr>
      <w:r>
        <w:rPr>
          <w:rFonts w:hint="eastAsia" w:ascii="Arial" w:hAnsi="Arial" w:cs="Arial"/>
        </w:rPr>
        <w:t>（3</w:t>
      </w:r>
      <w:r>
        <w:rPr>
          <w:rFonts w:ascii="Arial" w:hAnsi="Arial" w:cs="Arial"/>
        </w:rPr>
        <w:t>）终止合同而直接引起并已由卖方付出与合同有关的合同必需的费用。</w:t>
      </w:r>
    </w:p>
    <w:p>
      <w:pPr>
        <w:numPr>
          <w:ilvl w:val="1"/>
          <w:numId w:val="19"/>
        </w:numPr>
        <w:tabs>
          <w:tab w:val="left" w:pos="720"/>
        </w:tabs>
        <w:snapToGrid/>
        <w:spacing w:line="360" w:lineRule="auto"/>
        <w:ind w:left="708" w:hanging="708" w:hangingChars="295"/>
        <w:jc w:val="left"/>
        <w:textAlignment w:val="baseline"/>
        <w:rPr>
          <w:rFonts w:ascii="Arial" w:hAnsi="Arial" w:cs="Arial"/>
        </w:rPr>
      </w:pPr>
      <w:r>
        <w:rPr>
          <w:rFonts w:ascii="Arial" w:hAnsi="Arial" w:cs="Arial"/>
        </w:rPr>
        <w:t>如果买方为执行合同而向卖方预先支付的金额（包括预付款和生产进度款）大于根据上述条款应向卖方支付的金额，买方有权收回其余额及利息。</w:t>
      </w:r>
    </w:p>
    <w:p>
      <w:pPr>
        <w:numPr>
          <w:ilvl w:val="1"/>
          <w:numId w:val="19"/>
        </w:numPr>
        <w:tabs>
          <w:tab w:val="left" w:pos="720"/>
        </w:tabs>
        <w:snapToGrid/>
        <w:spacing w:line="360" w:lineRule="auto"/>
        <w:ind w:left="708" w:hanging="708" w:hangingChars="295"/>
        <w:jc w:val="left"/>
        <w:textAlignment w:val="baseline"/>
        <w:rPr>
          <w:rFonts w:ascii="Arial" w:hAnsi="Arial" w:cs="Arial"/>
        </w:rPr>
      </w:pPr>
      <w:r>
        <w:rPr>
          <w:rFonts w:ascii="Arial" w:hAnsi="Arial" w:cs="Arial"/>
        </w:rPr>
        <w:t>在发生合同终止的情况下：</w:t>
      </w:r>
    </w:p>
    <w:p>
      <w:pPr>
        <w:tabs>
          <w:tab w:val="left" w:pos="720"/>
        </w:tabs>
        <w:ind w:left="708" w:firstLine="480"/>
        <w:textAlignment w:val="baseline"/>
        <w:rPr>
          <w:rFonts w:ascii="Arial" w:hAnsi="Arial" w:cs="Arial"/>
        </w:rPr>
      </w:pPr>
      <w:r>
        <w:rPr>
          <w:rFonts w:hint="eastAsia" w:ascii="Arial" w:hAnsi="Arial" w:cs="Arial"/>
        </w:rPr>
        <w:t>（1</w:t>
      </w:r>
      <w:r>
        <w:rPr>
          <w:rFonts w:ascii="Arial" w:hAnsi="Arial" w:cs="Arial"/>
        </w:rPr>
        <w:t>）卖方应把一切与合同有关的文件、资料、设备（成品或半成品）、材料，在买方未取走之前卖方应负责存放，费用由买方负责。</w:t>
      </w:r>
    </w:p>
    <w:p>
      <w:pPr>
        <w:tabs>
          <w:tab w:val="left" w:pos="720"/>
        </w:tabs>
        <w:ind w:left="708" w:firstLine="480"/>
        <w:textAlignment w:val="baseline"/>
        <w:rPr>
          <w:rFonts w:ascii="Arial" w:hAnsi="Arial" w:cs="Arial"/>
        </w:rPr>
      </w:pPr>
      <w:r>
        <w:rPr>
          <w:rFonts w:hint="eastAsia" w:ascii="Arial" w:hAnsi="Arial" w:cs="Arial"/>
        </w:rPr>
        <w:t>（2</w:t>
      </w:r>
      <w:r>
        <w:rPr>
          <w:rFonts w:ascii="Arial" w:hAnsi="Arial" w:cs="Arial"/>
        </w:rPr>
        <w:t>）买方不承担任何由于终止合同部分或全部而由第三方向卖方提出的各项索赔，不论直接的或间接的。</w:t>
      </w:r>
    </w:p>
    <w:p>
      <w:pPr>
        <w:tabs>
          <w:tab w:val="left" w:pos="720"/>
        </w:tabs>
        <w:ind w:left="708" w:firstLine="480"/>
        <w:textAlignment w:val="baseline"/>
        <w:rPr>
          <w:rFonts w:ascii="Arial" w:hAnsi="Arial" w:cs="Arial"/>
        </w:rPr>
      </w:pPr>
      <w:r>
        <w:rPr>
          <w:rFonts w:hint="eastAsia" w:ascii="Arial" w:hAnsi="Arial" w:cs="Arial"/>
        </w:rPr>
        <w:t>（3</w:t>
      </w:r>
      <w:r>
        <w:rPr>
          <w:rFonts w:ascii="Arial" w:hAnsi="Arial" w:cs="Arial"/>
        </w:rPr>
        <w:t>）如只是合同的一部分被终止，其他部分仍应继续执行不受影响。</w:t>
      </w:r>
    </w:p>
    <w:p>
      <w:pPr>
        <w:numPr>
          <w:ilvl w:val="1"/>
          <w:numId w:val="19"/>
        </w:numPr>
        <w:tabs>
          <w:tab w:val="left" w:pos="720"/>
        </w:tabs>
        <w:snapToGrid/>
        <w:spacing w:line="360" w:lineRule="auto"/>
        <w:ind w:left="708" w:hanging="708" w:hangingChars="295"/>
        <w:jc w:val="left"/>
        <w:textAlignment w:val="baseline"/>
        <w:rPr>
          <w:rFonts w:ascii="Arial" w:hAnsi="Arial" w:cs="Arial"/>
        </w:rPr>
      </w:pPr>
      <w:r>
        <w:rPr>
          <w:rFonts w:ascii="Arial" w:hAnsi="Arial" w:cs="Arial"/>
        </w:rPr>
        <w:t>在执行合同中，卖方（包括其指派或指定的任何人）应被认为是一个独立的承包商而不是</w:t>
      </w:r>
      <w:r>
        <w:rPr>
          <w:rFonts w:hint="eastAsia" w:ascii="Arial" w:hAnsi="Arial" w:cs="Arial"/>
        </w:rPr>
        <w:t>卖</w:t>
      </w:r>
      <w:r>
        <w:rPr>
          <w:rFonts w:ascii="Arial" w:hAnsi="Arial" w:cs="Arial"/>
        </w:rPr>
        <w:t>方的代理人或雇员。</w:t>
      </w:r>
    </w:p>
    <w:p>
      <w:pPr>
        <w:numPr>
          <w:ilvl w:val="1"/>
          <w:numId w:val="19"/>
        </w:numPr>
        <w:tabs>
          <w:tab w:val="left" w:pos="720"/>
        </w:tabs>
        <w:snapToGrid/>
        <w:spacing w:line="360" w:lineRule="auto"/>
        <w:ind w:left="708" w:hanging="708" w:hangingChars="295"/>
        <w:jc w:val="left"/>
        <w:textAlignment w:val="baseline"/>
        <w:rPr>
          <w:rFonts w:ascii="Arial" w:hAnsi="Arial" w:cs="Arial"/>
        </w:rPr>
      </w:pPr>
      <w:r>
        <w:rPr>
          <w:rFonts w:ascii="Arial" w:hAnsi="Arial" w:cs="Arial"/>
        </w:rPr>
        <w:t>合同各方承担的合同义务都不得超过合同的规定，合同各方均不得对另一方做出有约束力的声明、陈述、许诺或行动。</w:t>
      </w:r>
    </w:p>
    <w:p>
      <w:pPr>
        <w:numPr>
          <w:ilvl w:val="1"/>
          <w:numId w:val="19"/>
        </w:numPr>
        <w:tabs>
          <w:tab w:val="left" w:pos="720"/>
        </w:tabs>
        <w:snapToGrid/>
        <w:spacing w:line="360" w:lineRule="auto"/>
        <w:ind w:left="708" w:hanging="708" w:hangingChars="295"/>
        <w:jc w:val="left"/>
        <w:textAlignment w:val="baseline"/>
        <w:rPr>
          <w:rFonts w:ascii="Arial" w:hAnsi="Arial" w:cs="Arial"/>
        </w:rPr>
      </w:pPr>
      <w:r>
        <w:rPr>
          <w:rFonts w:ascii="Arial" w:hAnsi="Arial" w:cs="Arial"/>
        </w:rPr>
        <w:t>卖方不承担任何后期损失的责任，本合同列明了双方全部的责任、义务、补偿和补救，任何一方不承担合同规定以外的责任、义务、补偿和补救。</w:t>
      </w:r>
    </w:p>
    <w:p>
      <w:pPr>
        <w:numPr>
          <w:ilvl w:val="1"/>
          <w:numId w:val="19"/>
        </w:numPr>
        <w:tabs>
          <w:tab w:val="left" w:pos="709"/>
        </w:tabs>
        <w:snapToGrid/>
        <w:spacing w:line="360" w:lineRule="auto"/>
        <w:ind w:left="708" w:hanging="708" w:hangingChars="295"/>
        <w:jc w:val="left"/>
        <w:textAlignment w:val="baseline"/>
        <w:rPr>
          <w:rFonts w:ascii="Arial" w:hAnsi="Arial" w:cs="Arial"/>
        </w:rPr>
      </w:pPr>
      <w:r>
        <w:rPr>
          <w:rFonts w:ascii="Arial" w:hAnsi="Arial" w:cs="Arial"/>
        </w:rPr>
        <w:t>卖方对于根据本合同承担的索赔责任不论单项或多项累计将不超过合同总价的100％。</w:t>
      </w:r>
    </w:p>
    <w:p>
      <w:pPr>
        <w:numPr>
          <w:ilvl w:val="1"/>
          <w:numId w:val="19"/>
        </w:numPr>
        <w:tabs>
          <w:tab w:val="left" w:pos="709"/>
        </w:tabs>
        <w:snapToGrid/>
        <w:spacing w:line="360" w:lineRule="auto"/>
        <w:ind w:left="708" w:hanging="708" w:hangingChars="295"/>
        <w:jc w:val="left"/>
        <w:textAlignment w:val="baseline"/>
        <w:rPr>
          <w:rFonts w:ascii="Arial" w:hAnsi="Arial" w:cs="Arial"/>
        </w:rPr>
      </w:pPr>
      <w:r>
        <w:rPr>
          <w:rFonts w:hint="eastAsia"/>
          <w:color w:val="000000"/>
        </w:rPr>
        <w:t>卖方同意在本项目公司成立后，买方在本合同项下的权利义务将自动由该项目公司承继。</w:t>
      </w:r>
    </w:p>
    <w:p>
      <w:pPr>
        <w:pStyle w:val="2"/>
        <w:ind w:firstLine="883"/>
        <w:jc w:val="center"/>
        <w:rPr>
          <w:rFonts w:ascii="宋体" w:hAnsi="宋体" w:cs="Arial"/>
          <w:b w:val="0"/>
          <w:sz w:val="32"/>
          <w:szCs w:val="32"/>
        </w:rPr>
      </w:pPr>
      <w:r>
        <w:rPr>
          <w:rFonts w:ascii="Arial" w:hAnsi="Arial" w:cs="Arial"/>
        </w:rPr>
        <w:br w:type="page"/>
      </w:r>
      <w:bookmarkStart w:id="51" w:name="_Toc479858095"/>
      <w:bookmarkStart w:id="52" w:name="_Toc239524401"/>
      <w:bookmarkStart w:id="53" w:name="_Toc400967552"/>
      <w:r>
        <w:rPr>
          <w:rFonts w:ascii="宋体" w:hAnsi="宋体" w:cs="Arial"/>
          <w:sz w:val="32"/>
          <w:szCs w:val="32"/>
        </w:rPr>
        <w:t>第十五章   履约保证函</w:t>
      </w:r>
      <w:bookmarkEnd w:id="51"/>
      <w:bookmarkEnd w:id="52"/>
      <w:bookmarkEnd w:id="53"/>
    </w:p>
    <w:p>
      <w:pPr>
        <w:numPr>
          <w:ilvl w:val="1"/>
          <w:numId w:val="20"/>
        </w:numPr>
        <w:tabs>
          <w:tab w:val="left" w:pos="851"/>
          <w:tab w:val="clear" w:pos="1065"/>
        </w:tabs>
        <w:snapToGrid/>
        <w:spacing w:line="360" w:lineRule="auto"/>
        <w:ind w:left="850" w:leftChars="59" w:hanging="708" w:hangingChars="295"/>
        <w:jc w:val="left"/>
        <w:textAlignment w:val="baseline"/>
        <w:rPr>
          <w:rFonts w:ascii="Arial" w:hAnsi="Arial" w:cs="Arial"/>
        </w:rPr>
      </w:pPr>
      <w:r>
        <w:rPr>
          <w:rFonts w:hint="eastAsia" w:hAnsi="宋体" w:cs="Arial"/>
        </w:rPr>
        <w:t>无</w:t>
      </w:r>
    </w:p>
    <w:p>
      <w:pPr>
        <w:pStyle w:val="2"/>
        <w:ind w:firstLine="883"/>
        <w:jc w:val="center"/>
        <w:rPr>
          <w:rFonts w:ascii="宋体" w:hAnsi="宋体" w:cs="Arial"/>
          <w:b w:val="0"/>
          <w:sz w:val="32"/>
          <w:szCs w:val="32"/>
        </w:rPr>
      </w:pPr>
      <w:r>
        <w:rPr>
          <w:rFonts w:ascii="Arial" w:hAnsi="Arial" w:cs="Arial"/>
        </w:rPr>
        <w:br w:type="page"/>
      </w:r>
      <w:bookmarkStart w:id="54" w:name="_Toc479858096"/>
      <w:bookmarkStart w:id="55" w:name="_Toc239524402"/>
      <w:bookmarkStart w:id="56" w:name="_Toc400967553"/>
      <w:r>
        <w:rPr>
          <w:rFonts w:ascii="宋体" w:hAnsi="宋体" w:cs="Arial"/>
          <w:sz w:val="32"/>
          <w:szCs w:val="32"/>
        </w:rPr>
        <w:t>第十</w:t>
      </w:r>
      <w:r>
        <w:rPr>
          <w:rFonts w:hint="eastAsia" w:ascii="宋体" w:hAnsi="宋体" w:cs="Arial"/>
          <w:sz w:val="32"/>
          <w:szCs w:val="32"/>
        </w:rPr>
        <w:t>六</w:t>
      </w:r>
      <w:r>
        <w:rPr>
          <w:rFonts w:ascii="宋体" w:hAnsi="宋体" w:cs="Arial"/>
          <w:sz w:val="32"/>
          <w:szCs w:val="32"/>
        </w:rPr>
        <w:t>章   法定地址</w:t>
      </w:r>
      <w:bookmarkEnd w:id="54"/>
      <w:bookmarkEnd w:id="55"/>
      <w:bookmarkEnd w:id="56"/>
    </w:p>
    <w:p>
      <w:pPr>
        <w:tabs>
          <w:tab w:val="left" w:pos="900"/>
        </w:tabs>
        <w:ind w:firstLine="480"/>
        <w:rPr>
          <w:rFonts w:ascii="Arial" w:hAnsi="Arial" w:cs="Arial"/>
        </w:rPr>
      </w:pPr>
    </w:p>
    <w:p>
      <w:pPr>
        <w:pStyle w:val="32"/>
        <w:tabs>
          <w:tab w:val="left" w:pos="900"/>
        </w:tabs>
        <w:spacing w:line="360" w:lineRule="auto"/>
        <w:ind w:firstLine="480"/>
        <w:rPr>
          <w:rFonts w:ascii="Arial" w:hAnsi="Arial" w:cs="Arial"/>
        </w:rPr>
      </w:pPr>
      <w:r>
        <w:rPr>
          <w:rFonts w:ascii="Arial" w:hAnsi="Arial" w:cs="Arial"/>
        </w:rPr>
        <w:t>本合同双方的法定地址如下：</w:t>
      </w:r>
    </w:p>
    <w:p>
      <w:pPr>
        <w:pStyle w:val="32"/>
        <w:tabs>
          <w:tab w:val="left" w:pos="900"/>
        </w:tabs>
        <w:spacing w:line="360" w:lineRule="auto"/>
        <w:ind w:firstLine="480"/>
        <w:rPr>
          <w:rFonts w:ascii="Arial" w:hAnsi="Arial" w:cs="Arial"/>
        </w:rPr>
      </w:pPr>
    </w:p>
    <w:p>
      <w:pPr>
        <w:ind w:firstLine="480"/>
        <w:rPr>
          <w:rFonts w:ascii="Arial" w:hAnsi="Arial" w:cs="Arial"/>
        </w:rPr>
      </w:pPr>
      <w:r>
        <w:rPr>
          <w:rFonts w:ascii="Arial" w:hAnsi="Arial" w:cs="Arial"/>
        </w:rPr>
        <w:pict>
          <v:rect id="矩形 3" o:spid="_x0000_s1026" o:spt="1" style="position:absolute;left:0pt;margin-left:252pt;margin-top:0.1pt;height:275.15pt;width:266.95pt;z-index:251661312;mso-width-relative:page;mso-height-relative:page;" fillcolor="#FFFFFF" filled="t" stroked="f" coordsize="21600,21600" o:gfxdata="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lpnHdcAAAAJAQAADwAAAAAAAAABACAAAAAiAAAAZHJzL2Rvd25yZXYueG1sUEsBAhQAFAAA&#10;AAgAh07iQBUUsUe3AQAAawMAAA4AAAAAAAAAAQAgAAAAJgEAAGRycy9lMm9Eb2MueG1sUEsFBgAA&#10;AAAGAAYAWQEAAE8FAAAAAA==&#10;">
            <v:path/>
            <v:fill on="t" focussize="0,0"/>
            <v:stroke on="f"/>
            <v:imagedata o:title=""/>
            <o:lock v:ext="edit" aspectratio="f"/>
            <v:textbox>
              <w:txbxContent>
                <w:p>
                  <w:pPr>
                    <w:ind w:left="482" w:hanging="482" w:hangingChars="200"/>
                    <w:rPr>
                      <w:b/>
                    </w:rPr>
                  </w:pPr>
                  <w:r>
                    <w:rPr>
                      <w:rFonts w:hint="eastAsia"/>
                      <w:b/>
                    </w:rPr>
                    <w:t>（卖方）</w:t>
                  </w:r>
                </w:p>
                <w:p>
                  <w:pPr>
                    <w:tabs>
                      <w:tab w:val="left" w:pos="900"/>
                    </w:tabs>
                    <w:ind w:left="480" w:hanging="480" w:hangingChars="200"/>
                    <w:rPr>
                      <w:rFonts w:hint="eastAsia"/>
                    </w:rPr>
                  </w:pPr>
                  <w:r>
                    <w:rPr>
                      <w:rFonts w:hint="eastAsia"/>
                    </w:rPr>
                    <w:t>地    址：</w:t>
                  </w:r>
                </w:p>
                <w:p>
                  <w:pPr>
                    <w:tabs>
                      <w:tab w:val="left" w:pos="900"/>
                    </w:tabs>
                    <w:ind w:left="480" w:hanging="480" w:hangingChars="200"/>
                  </w:pPr>
                  <w:r>
                    <w:rPr>
                      <w:rFonts w:hint="eastAsia"/>
                    </w:rPr>
                    <w:t>联系人：</w:t>
                  </w:r>
                </w:p>
                <w:p>
                  <w:pPr>
                    <w:tabs>
                      <w:tab w:val="left" w:pos="900"/>
                    </w:tabs>
                    <w:ind w:left="480" w:hanging="480" w:hangingChars="200"/>
                    <w:rPr>
                      <w:rFonts w:hint="eastAsia"/>
                    </w:rPr>
                  </w:pPr>
                  <w:r>
                    <w:rPr>
                      <w:rFonts w:hint="eastAsia"/>
                    </w:rPr>
                    <w:t>电话号码：</w:t>
                  </w:r>
                </w:p>
                <w:p>
                  <w:pPr>
                    <w:tabs>
                      <w:tab w:val="left" w:pos="900"/>
                    </w:tabs>
                    <w:ind w:left="480" w:hanging="480" w:hangingChars="200"/>
                  </w:pPr>
                  <w:r>
                    <w:rPr>
                      <w:rFonts w:hint="eastAsia"/>
                    </w:rPr>
                    <w:t>传真号码：</w:t>
                  </w:r>
                  <w:r>
                    <w:rPr>
                      <w:rFonts w:hint="eastAsia" w:hAnsi="宋体"/>
                    </w:rPr>
                    <w:t>/</w:t>
                  </w:r>
                </w:p>
                <w:p>
                  <w:pPr>
                    <w:tabs>
                      <w:tab w:val="left" w:pos="900"/>
                    </w:tabs>
                    <w:ind w:left="480" w:hanging="480" w:hangingChars="200"/>
                  </w:pPr>
                  <w:r>
                    <w:rPr>
                      <w:rFonts w:hint="eastAsia"/>
                    </w:rPr>
                    <w:t>邮政编码：</w:t>
                  </w:r>
                  <w:r>
                    <w:rPr>
                      <w:rFonts w:hint="eastAsia" w:hAnsi="宋体"/>
                    </w:rPr>
                    <w:t>/</w:t>
                  </w:r>
                </w:p>
                <w:p>
                  <w:pPr>
                    <w:tabs>
                      <w:tab w:val="left" w:pos="900"/>
                    </w:tabs>
                    <w:ind w:left="1080" w:hanging="1080" w:hangingChars="450"/>
                  </w:pPr>
                  <w:r>
                    <w:t>开户银行：</w:t>
                  </w:r>
                </w:p>
                <w:p>
                  <w:pPr>
                    <w:tabs>
                      <w:tab w:val="left" w:pos="900"/>
                    </w:tabs>
                    <w:ind w:left="480" w:hanging="480" w:hangingChars="200"/>
                  </w:pPr>
                  <w:r>
                    <w:t>帐号：</w:t>
                  </w:r>
                </w:p>
                <w:p>
                  <w:pPr>
                    <w:tabs>
                      <w:tab w:val="left" w:pos="900"/>
                    </w:tabs>
                    <w:ind w:left="480" w:hanging="480" w:hangingChars="200"/>
                  </w:pPr>
                  <w:r>
                    <w:t>税号：</w:t>
                  </w:r>
                </w:p>
                <w:p>
                  <w:pPr>
                    <w:ind w:firstLine="480"/>
                  </w:pPr>
                </w:p>
              </w:txbxContent>
            </v:textbox>
          </v:rect>
        </w:pict>
      </w:r>
      <w:r>
        <w:rPr>
          <w:rFonts w:ascii="Arial" w:hAnsi="Arial" w:cs="Arial"/>
        </w:rPr>
        <w:pict>
          <v:rect id="矩形 2" o:spid="_x0000_s1027" o:spt="1" style="position:absolute;left:0pt;margin-left:-9pt;margin-top:0.1pt;height:237.35pt;width:261pt;z-index:251660288;mso-width-relative:page;mso-height-relative:page;" fillcolor="#FFFFFF" filled="t" stroked="f" coordsize="21600,21600" o:gfxdata="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S9VRHXAAAACAEAAA8AAAAAAAAAAQAgAAAAIgAAAGRycy9kb3ducmV2LnhtbFBLAQIUABQAAAAI&#10;AIdO4kB4pEwFtQEAAGsDAAAOAAAAAAAAAAEAIAAAACYBAABkcnMvZTJvRG9jLnhtbFBLBQYAAAAA&#10;BgAGAFkBAABNBQAAAAA=&#10;">
            <v:path/>
            <v:fill on="t" focussize="0,0"/>
            <v:stroke on="f"/>
            <v:imagedata o:title=""/>
            <o:lock v:ext="edit" aspectratio="f"/>
            <v:textbox>
              <w:txbxContent>
                <w:p>
                  <w:pPr>
                    <w:ind w:left="482" w:hanging="482" w:hangingChars="200"/>
                    <w:rPr>
                      <w:b/>
                    </w:rPr>
                  </w:pPr>
                  <w:r>
                    <w:rPr>
                      <w:rFonts w:hint="eastAsia"/>
                      <w:b/>
                    </w:rPr>
                    <w:t>华能（大连）热电有限责任公司（买方）</w:t>
                  </w:r>
                </w:p>
                <w:p>
                  <w:pPr>
                    <w:tabs>
                      <w:tab w:val="left" w:pos="900"/>
                    </w:tabs>
                    <w:ind w:left="480" w:hanging="480" w:hangingChars="200"/>
                  </w:pPr>
                  <w:r>
                    <w:rPr>
                      <w:rFonts w:hint="eastAsia"/>
                    </w:rPr>
                    <w:t>地    址：大连市甘井子区大连湾街道前盐村</w:t>
                  </w:r>
                </w:p>
                <w:p>
                  <w:pPr>
                    <w:tabs>
                      <w:tab w:val="left" w:pos="900"/>
                    </w:tabs>
                    <w:ind w:left="480" w:hanging="480" w:hangingChars="200"/>
                  </w:pPr>
                  <w:r>
                    <w:rPr>
                      <w:rFonts w:hint="eastAsia"/>
                    </w:rPr>
                    <w:t>联系人：冯军文</w:t>
                  </w:r>
                </w:p>
                <w:p>
                  <w:pPr>
                    <w:tabs>
                      <w:tab w:val="left" w:pos="900"/>
                    </w:tabs>
                    <w:ind w:left="480" w:hanging="480" w:hangingChars="200"/>
                  </w:pPr>
                  <w:r>
                    <w:rPr>
                      <w:rFonts w:hint="eastAsia"/>
                    </w:rPr>
                    <w:t>电话号码：</w:t>
                  </w:r>
                  <w:r>
                    <w:rPr>
                      <w:rFonts w:hint="eastAsia" w:hAnsi="宋体"/>
                    </w:rPr>
                    <w:t>0411-62695530</w:t>
                  </w:r>
                </w:p>
                <w:p>
                  <w:pPr>
                    <w:tabs>
                      <w:tab w:val="left" w:pos="900"/>
                    </w:tabs>
                    <w:ind w:left="480" w:hanging="480" w:hangingChars="200"/>
                  </w:pPr>
                  <w:r>
                    <w:rPr>
                      <w:rFonts w:hint="eastAsia"/>
                    </w:rPr>
                    <w:t>传真号码：</w:t>
                  </w:r>
                  <w:r>
                    <w:rPr>
                      <w:rFonts w:hint="eastAsia" w:hAnsi="宋体"/>
                    </w:rPr>
                    <w:t>0411-87118888</w:t>
                  </w:r>
                </w:p>
                <w:p>
                  <w:pPr>
                    <w:tabs>
                      <w:tab w:val="left" w:pos="900"/>
                    </w:tabs>
                    <w:ind w:left="480" w:hanging="480" w:hangingChars="200"/>
                  </w:pPr>
                  <w:r>
                    <w:rPr>
                      <w:rFonts w:hint="eastAsia"/>
                    </w:rPr>
                    <w:t>邮政编码：</w:t>
                  </w:r>
                  <w:r>
                    <w:rPr>
                      <w:rFonts w:hint="eastAsia" w:hAnsi="宋体"/>
                    </w:rPr>
                    <w:t>116113</w:t>
                  </w:r>
                </w:p>
                <w:p>
                  <w:pPr>
                    <w:tabs>
                      <w:tab w:val="left" w:pos="900"/>
                    </w:tabs>
                    <w:ind w:left="1080" w:hanging="1080" w:hangingChars="450"/>
                  </w:pPr>
                  <w:r>
                    <w:t>开户银行：</w:t>
                  </w:r>
                  <w:r>
                    <w:rPr>
                      <w:rFonts w:hint="eastAsia"/>
                    </w:rPr>
                    <w:t>中国农业银行股份有限公司大连沙河口支行</w:t>
                  </w:r>
                </w:p>
                <w:p>
                  <w:pPr>
                    <w:tabs>
                      <w:tab w:val="left" w:pos="900"/>
                    </w:tabs>
                    <w:ind w:left="480" w:hanging="480" w:hangingChars="200"/>
                  </w:pPr>
                  <w:r>
                    <w:t>帐号：</w:t>
                  </w:r>
                  <w:r>
                    <w:rPr>
                      <w:rFonts w:hint="eastAsia"/>
                    </w:rPr>
                    <w:t>34202001040039160</w:t>
                  </w:r>
                </w:p>
                <w:p>
                  <w:pPr>
                    <w:tabs>
                      <w:tab w:val="left" w:pos="900"/>
                    </w:tabs>
                    <w:ind w:left="480" w:hanging="480" w:hangingChars="200"/>
                  </w:pPr>
                  <w:r>
                    <w:t>税号：</w:t>
                  </w:r>
                  <w:r>
                    <w:rPr>
                      <w:rFonts w:hint="eastAsia" w:hAnsi="宋体"/>
                    </w:rPr>
                    <w:t>912</w:t>
                  </w:r>
                  <w:r>
                    <w:rPr>
                      <w:rFonts w:hint="eastAsia" w:hAnsi="宋体"/>
                      <w:color w:val="000000"/>
                    </w:rPr>
                    <w:t>102003115368737</w:t>
                  </w:r>
                </w:p>
                <w:p>
                  <w:pPr>
                    <w:ind w:firstLine="480"/>
                  </w:pPr>
                </w:p>
              </w:txbxContent>
            </v:textbox>
          </v:rect>
        </w:pict>
      </w:r>
      <w:r>
        <w:rPr>
          <w:rFonts w:ascii="Arial" w:hAnsi="Arial" w:cs="Arial"/>
        </w:rPr>
        <w:t>华能国际电力股份有限公司（买方）                 ------------------公司（卖方）</w:t>
      </w:r>
    </w:p>
    <w:p>
      <w:pPr>
        <w:tabs>
          <w:tab w:val="left" w:pos="900"/>
        </w:tabs>
        <w:ind w:firstLine="480"/>
        <w:rPr>
          <w:rFonts w:ascii="Arial" w:hAnsi="Arial" w:cs="Arial"/>
        </w:rPr>
      </w:pPr>
      <w:r>
        <w:rPr>
          <w:rFonts w:ascii="Arial" w:hAnsi="Arial" w:cs="Arial"/>
        </w:rPr>
        <w:t>地址：中国北京市西城区复兴门南大街丙2号地址：</w:t>
      </w:r>
    </w:p>
    <w:p>
      <w:pPr>
        <w:tabs>
          <w:tab w:val="left" w:pos="900"/>
        </w:tabs>
        <w:ind w:firstLine="480"/>
        <w:rPr>
          <w:rFonts w:ascii="Arial" w:hAnsi="Arial" w:cs="Arial"/>
        </w:rPr>
      </w:pPr>
      <w:r>
        <w:rPr>
          <w:rFonts w:ascii="Arial" w:hAnsi="Arial" w:cs="Arial"/>
        </w:rPr>
        <w:t>电话号码：电话号码：</w:t>
      </w:r>
    </w:p>
    <w:p>
      <w:pPr>
        <w:tabs>
          <w:tab w:val="left" w:pos="900"/>
        </w:tabs>
        <w:ind w:firstLine="480"/>
        <w:rPr>
          <w:rFonts w:ascii="Arial" w:hAnsi="Arial" w:cs="Arial"/>
        </w:rPr>
      </w:pPr>
      <w:r>
        <w:rPr>
          <w:rFonts w:ascii="Arial" w:hAnsi="Arial" w:cs="Arial"/>
        </w:rPr>
        <w:t>传真号码：传真号码：</w:t>
      </w:r>
    </w:p>
    <w:p>
      <w:pPr>
        <w:tabs>
          <w:tab w:val="left" w:pos="900"/>
        </w:tabs>
        <w:ind w:firstLine="480"/>
        <w:rPr>
          <w:rFonts w:ascii="Arial" w:hAnsi="Arial" w:cs="Arial"/>
        </w:rPr>
      </w:pPr>
      <w:r>
        <w:rPr>
          <w:rFonts w:ascii="Arial" w:hAnsi="Arial" w:cs="Arial"/>
        </w:rPr>
        <w:t>邮政编码：邮政编码：</w:t>
      </w:r>
    </w:p>
    <w:p>
      <w:pPr>
        <w:ind w:firstLine="400"/>
        <w:rPr>
          <w:rFonts w:ascii="Arial" w:hAnsi="Arial" w:cs="Arial"/>
        </w:rPr>
      </w:pPr>
      <w:r>
        <w:rPr>
          <w:rFonts w:ascii="Arial" w:hAnsi="Arial" w:cs="Arial"/>
          <w:spacing w:val="-20"/>
        </w:rPr>
        <w:t>开户银行</w:t>
      </w:r>
      <w:r>
        <w:rPr>
          <w:rFonts w:ascii="Arial" w:hAnsi="Arial" w:cs="Arial"/>
        </w:rPr>
        <w:t>：</w:t>
      </w:r>
      <w:r>
        <w:rPr>
          <w:rFonts w:ascii="Arial" w:hAnsi="Arial" w:cs="Arial"/>
          <w:spacing w:val="-20"/>
        </w:rPr>
        <w:t>开户银行</w:t>
      </w:r>
      <w:r>
        <w:rPr>
          <w:rFonts w:ascii="Arial" w:hAnsi="Arial" w:cs="Arial"/>
        </w:rPr>
        <w:t>：</w:t>
      </w:r>
    </w:p>
    <w:p>
      <w:pPr>
        <w:ind w:firstLine="480"/>
        <w:rPr>
          <w:rFonts w:ascii="Arial" w:hAnsi="Arial" w:cs="Arial"/>
        </w:rPr>
      </w:pPr>
      <w:r>
        <w:rPr>
          <w:rFonts w:ascii="Arial" w:hAnsi="Arial" w:cs="Arial"/>
        </w:rPr>
        <w:t>帐号：帐号：</w:t>
      </w:r>
    </w:p>
    <w:p>
      <w:pPr>
        <w:ind w:firstLine="400"/>
        <w:rPr>
          <w:rFonts w:ascii="Arial" w:hAnsi="Arial" w:cs="Arial"/>
          <w:sz w:val="28"/>
        </w:rPr>
      </w:pPr>
      <w:r>
        <w:rPr>
          <w:rFonts w:ascii="Arial" w:hAnsi="Arial" w:cs="Arial"/>
          <w:spacing w:val="-20"/>
        </w:rPr>
        <w:t>纳税人登记号：纳税人登记号：</w:t>
      </w:r>
    </w:p>
    <w:p>
      <w:pPr>
        <w:tabs>
          <w:tab w:val="left" w:pos="900"/>
        </w:tabs>
        <w:ind w:firstLine="480"/>
        <w:rPr>
          <w:rFonts w:ascii="Arial" w:hAnsi="Arial" w:cs="Arial"/>
        </w:rPr>
      </w:pPr>
    </w:p>
    <w:p>
      <w:pPr>
        <w:tabs>
          <w:tab w:val="left" w:pos="5811"/>
        </w:tabs>
        <w:ind w:firstLine="560"/>
        <w:rPr>
          <w:rFonts w:ascii="Arial" w:hAnsi="Arial" w:cs="Arial"/>
          <w:sz w:val="28"/>
          <w:u w:val="single"/>
        </w:rPr>
      </w:pPr>
    </w:p>
    <w:p>
      <w:pPr>
        <w:ind w:firstLine="480"/>
        <w:rPr>
          <w:rFonts w:ascii="Arial" w:hAnsi="Arial" w:cs="Arial"/>
        </w:rPr>
      </w:pPr>
    </w:p>
    <w:p>
      <w:pPr>
        <w:ind w:firstLine="480"/>
        <w:rPr>
          <w:rFonts w:ascii="Arial" w:hAnsi="Arial" w:cs="Arial"/>
        </w:rPr>
      </w:pPr>
      <w:r>
        <w:rPr>
          <w:rFonts w:ascii="Arial" w:hAnsi="Arial" w:cs="Arial"/>
        </w:rPr>
        <w:t>双方签字如下：</w:t>
      </w:r>
    </w:p>
    <w:p>
      <w:pPr>
        <w:ind w:firstLine="480"/>
        <w:rPr>
          <w:rFonts w:ascii="Arial" w:hAnsi="Arial" w:cs="Arial"/>
        </w:rPr>
      </w:pPr>
    </w:p>
    <w:p>
      <w:pPr>
        <w:ind w:firstLine="480"/>
        <w:rPr>
          <w:rFonts w:ascii="Arial" w:hAnsi="Arial" w:cs="Arial"/>
        </w:rPr>
      </w:pPr>
      <w:r>
        <w:rPr>
          <w:rFonts w:ascii="Arial" w:hAnsi="Arial" w:cs="Arial"/>
          <w:bCs/>
        </w:rPr>
        <w:t>买方：</w:t>
      </w:r>
      <w:r>
        <w:rPr>
          <w:rFonts w:hint="eastAsia"/>
        </w:rPr>
        <w:t xml:space="preserve">华能（大连）热电有限责任公司     </w:t>
      </w:r>
      <w:r>
        <w:rPr>
          <w:rFonts w:ascii="Arial" w:hAnsi="Arial" w:cs="Arial"/>
          <w:bCs/>
        </w:rPr>
        <w:t>卖方：</w:t>
      </w:r>
    </w:p>
    <w:p>
      <w:pPr>
        <w:ind w:firstLine="480"/>
        <w:rPr>
          <w:rFonts w:ascii="Arial" w:hAnsi="Arial" w:cs="Arial"/>
        </w:rPr>
      </w:pPr>
    </w:p>
    <w:p>
      <w:pPr>
        <w:ind w:firstLine="480"/>
        <w:rPr>
          <w:rFonts w:ascii="Arial" w:hAnsi="Arial" w:cs="Arial"/>
        </w:rPr>
      </w:pPr>
    </w:p>
    <w:p>
      <w:pPr>
        <w:ind w:firstLine="480"/>
        <w:rPr>
          <w:rFonts w:ascii="Arial" w:hAnsi="Arial" w:cs="Arial"/>
        </w:rPr>
      </w:pPr>
      <w:r>
        <w:rPr>
          <w:rFonts w:ascii="Arial" w:hAnsi="Arial" w:cs="Arial"/>
        </w:rPr>
        <w:t>盖章：</w:t>
      </w:r>
      <w:r>
        <w:rPr>
          <w:rFonts w:hint="eastAsia" w:ascii="Arial" w:hAnsi="Arial" w:cs="Arial"/>
        </w:rPr>
        <w:t xml:space="preserve">                                 </w:t>
      </w:r>
      <w:r>
        <w:rPr>
          <w:rFonts w:ascii="Arial" w:hAnsi="Arial" w:cs="Arial"/>
        </w:rPr>
        <w:t>盖章：</w:t>
      </w:r>
    </w:p>
    <w:p>
      <w:pPr>
        <w:ind w:firstLine="480"/>
        <w:rPr>
          <w:rFonts w:ascii="Arial" w:hAnsi="Arial" w:cs="Arial"/>
        </w:rPr>
      </w:pPr>
    </w:p>
    <w:p>
      <w:pPr>
        <w:ind w:firstLine="480"/>
        <w:rPr>
          <w:rFonts w:ascii="Arial" w:hAnsi="Arial" w:cs="Arial"/>
        </w:rPr>
      </w:pPr>
      <w:r>
        <w:rPr>
          <w:rFonts w:ascii="Arial" w:hAnsi="Arial" w:cs="Arial"/>
        </w:rPr>
        <w:t>买方授权代表签字：</w:t>
      </w:r>
      <w:r>
        <w:rPr>
          <w:rFonts w:hint="eastAsia" w:ascii="Arial" w:hAnsi="Arial" w:cs="Arial"/>
        </w:rPr>
        <w:t xml:space="preserve">                     </w:t>
      </w:r>
      <w:r>
        <w:rPr>
          <w:rFonts w:ascii="Arial" w:hAnsi="Arial" w:cs="Arial"/>
        </w:rPr>
        <w:t>方授权代表签字：</w:t>
      </w:r>
    </w:p>
    <w:p>
      <w:pPr>
        <w:ind w:firstLine="480"/>
        <w:rPr>
          <w:rFonts w:ascii="Arial" w:hAnsi="Arial" w:cs="Arial"/>
        </w:rPr>
      </w:pPr>
    </w:p>
    <w:p>
      <w:pPr>
        <w:ind w:firstLine="480"/>
        <w:rPr>
          <w:rFonts w:ascii="Arial" w:hAnsi="Arial" w:cs="Arial"/>
        </w:rPr>
      </w:pPr>
    </w:p>
    <w:p>
      <w:pPr>
        <w:ind w:firstLine="480"/>
        <w:rPr>
          <w:rFonts w:ascii="Arial" w:hAnsi="Arial" w:cs="Arial"/>
        </w:rPr>
      </w:pPr>
    </w:p>
    <w:p>
      <w:pPr>
        <w:ind w:firstLine="480"/>
        <w:rPr>
          <w:rFonts w:ascii="Arial" w:hAnsi="Arial" w:cs="Arial"/>
        </w:rPr>
      </w:pPr>
      <w:r>
        <w:rPr>
          <w:rFonts w:ascii="Arial" w:hAnsi="Arial" w:cs="Arial"/>
        </w:rPr>
        <w:t>签字日期：</w:t>
      </w:r>
      <w:r>
        <w:rPr>
          <w:rFonts w:hint="eastAsia" w:ascii="Arial" w:hAnsi="Arial" w:cs="Arial"/>
        </w:rPr>
        <w:t xml:space="preserve">                             </w:t>
      </w:r>
      <w:r>
        <w:rPr>
          <w:rFonts w:ascii="Arial" w:hAnsi="Arial" w:cs="Arial"/>
        </w:rPr>
        <w:t>签字日期：</w:t>
      </w:r>
    </w:p>
    <w:p>
      <w:pPr>
        <w:ind w:firstLine="480"/>
        <w:jc w:val="center"/>
        <w:rPr>
          <w:rFonts w:ascii="Arial" w:hAnsi="Arial" w:cs="Arial"/>
          <w:sz w:val="32"/>
          <w:szCs w:val="32"/>
        </w:rPr>
      </w:pPr>
      <w:r>
        <w:rPr>
          <w:rFonts w:ascii="Arial" w:hAnsi="Arial" w:cs="Arial"/>
        </w:rPr>
        <w:br w:type="page"/>
      </w:r>
      <w:bookmarkStart w:id="57" w:name="_Toc98927983"/>
      <w:bookmarkStart w:id="58" w:name="_Toc75864811"/>
      <w:r>
        <w:rPr>
          <w:b/>
          <w:sz w:val="32"/>
          <w:szCs w:val="32"/>
        </w:rPr>
        <w:t>附件一  技术</w:t>
      </w:r>
      <w:r>
        <w:rPr>
          <w:rFonts w:hint="eastAsia"/>
          <w:b/>
          <w:sz w:val="32"/>
          <w:szCs w:val="32"/>
        </w:rPr>
        <w:t>协议</w:t>
      </w:r>
    </w:p>
    <w:bookmarkEnd w:id="57"/>
    <w:p>
      <w:pPr>
        <w:ind w:firstLine="480"/>
        <w:jc w:val="center"/>
        <w:rPr>
          <w:rFonts w:hint="eastAsia" w:eastAsia="宋体"/>
          <w:lang w:eastAsia="zh-CN"/>
        </w:rPr>
        <w:sectPr>
          <w:pgSz w:w="11907" w:h="16840"/>
          <w:pgMar w:top="1304" w:right="1134" w:bottom="1134" w:left="1304" w:header="567" w:footer="850" w:gutter="0"/>
          <w:cols w:space="720" w:num="1"/>
          <w:docGrid w:linePitch="326" w:charSpace="0"/>
        </w:sectPr>
      </w:pPr>
      <w:bookmarkStart w:id="59" w:name="_Toc189382749"/>
      <w:bookmarkEnd w:id="59"/>
      <w:bookmarkStart w:id="60" w:name="_Toc189382748"/>
      <w:bookmarkEnd w:id="60"/>
      <w:bookmarkStart w:id="61" w:name="_Toc189382750"/>
      <w:bookmarkEnd w:id="61"/>
      <w:r>
        <w:rPr>
          <w:rFonts w:hint="eastAsia"/>
          <w:lang w:eastAsia="zh-CN"/>
        </w:rPr>
        <w:t>如有</w:t>
      </w:r>
    </w:p>
    <w:bookmarkEnd w:id="58"/>
    <w:p>
      <w:pPr>
        <w:ind w:firstLine="480"/>
      </w:pPr>
    </w:p>
    <w:p>
      <w:pPr>
        <w:ind w:firstLine="0" w:firstLineChars="0"/>
      </w:pPr>
    </w:p>
    <w:sectPr>
      <w:headerReference r:id="rId9" w:type="first"/>
      <w:footerReference r:id="rId12" w:type="first"/>
      <w:headerReference r:id="rId7" w:type="default"/>
      <w:footerReference r:id="rId10" w:type="default"/>
      <w:headerReference r:id="rId8" w:type="even"/>
      <w:footerReference r:id="rId11"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w:fldChar w:fldCharType="begin"/>
    </w:r>
    <w:r>
      <w:instrText xml:space="preserve">PAGE   \* MERGEFORMAT</w:instrText>
    </w:r>
    <w:r>
      <w:fldChar w:fldCharType="separate"/>
    </w:r>
    <w: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w:fldChar w:fldCharType="begin"/>
    </w:r>
    <w:r>
      <w:instrText xml:space="preserve">PAGE   \* MERGEFORMAT</w:instrText>
    </w:r>
    <w:r>
      <w:fldChar w:fldCharType="separate"/>
    </w:r>
    <w:r>
      <w:t>42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8"/>
    <w:multiLevelType w:val="multilevel"/>
    <w:tmpl w:val="00000018"/>
    <w:lvl w:ilvl="0" w:tentative="0">
      <w:start w:val="3"/>
      <w:numFmt w:val="decimal"/>
      <w:lvlText w:val="%1"/>
      <w:lvlJc w:val="left"/>
      <w:pPr>
        <w:tabs>
          <w:tab w:val="left" w:pos="540"/>
        </w:tabs>
        <w:ind w:left="540" w:hanging="540"/>
      </w:pPr>
      <w:rPr>
        <w:rFonts w:hint="default"/>
      </w:rPr>
    </w:lvl>
    <w:lvl w:ilvl="1" w:tentative="0">
      <w:start w:val="5"/>
      <w:numFmt w:val="decimal"/>
      <w:lvlText w:val="%1.%2"/>
      <w:lvlJc w:val="left"/>
      <w:pPr>
        <w:tabs>
          <w:tab w:val="left" w:pos="900"/>
        </w:tabs>
        <w:ind w:left="900" w:hanging="540"/>
      </w:pPr>
      <w:rPr>
        <w:rFonts w:hint="default"/>
      </w:rPr>
    </w:lvl>
    <w:lvl w:ilvl="2" w:tentative="0">
      <w:start w:val="1"/>
      <w:numFmt w:val="decimal"/>
      <w:lvlText w:val="%1.%2.%3"/>
      <w:lvlJc w:val="left"/>
      <w:pPr>
        <w:tabs>
          <w:tab w:val="left" w:pos="1260"/>
        </w:tabs>
        <w:ind w:left="1260" w:hanging="540"/>
      </w:pPr>
      <w:rPr>
        <w:rFonts w:hint="default"/>
      </w:rPr>
    </w:lvl>
    <w:lvl w:ilvl="3" w:tentative="0">
      <w:start w:val="1"/>
      <w:numFmt w:val="decimal"/>
      <w:lvlText w:val="%1.%2.%3.%4"/>
      <w:lvlJc w:val="left"/>
      <w:pPr>
        <w:tabs>
          <w:tab w:val="left" w:pos="1620"/>
        </w:tabs>
        <w:ind w:left="1620" w:hanging="540"/>
      </w:pPr>
      <w:rPr>
        <w:rFonts w:hint="default"/>
      </w:rPr>
    </w:lvl>
    <w:lvl w:ilvl="4" w:tentative="0">
      <w:start w:val="1"/>
      <w:numFmt w:val="decimal"/>
      <w:lvlText w:val="%1.%2.%3.%4.%5"/>
      <w:lvlJc w:val="left"/>
      <w:pPr>
        <w:tabs>
          <w:tab w:val="left" w:pos="1980"/>
        </w:tabs>
        <w:ind w:left="1980" w:hanging="540"/>
      </w:pPr>
      <w:rPr>
        <w:rFonts w:hint="default"/>
      </w:rPr>
    </w:lvl>
    <w:lvl w:ilvl="5" w:tentative="0">
      <w:start w:val="1"/>
      <w:numFmt w:val="decimal"/>
      <w:lvlText w:val="%1.%2.%3.%4.%5.%6"/>
      <w:lvlJc w:val="left"/>
      <w:pPr>
        <w:tabs>
          <w:tab w:val="left" w:pos="2340"/>
        </w:tabs>
        <w:ind w:left="2340" w:hanging="540"/>
      </w:pPr>
      <w:rPr>
        <w:rFonts w:hint="default"/>
      </w:rPr>
    </w:lvl>
    <w:lvl w:ilvl="6" w:tentative="0">
      <w:start w:val="1"/>
      <w:numFmt w:val="decimal"/>
      <w:lvlText w:val="%1.%2.%3.%4.%5.%6.%7"/>
      <w:lvlJc w:val="left"/>
      <w:pPr>
        <w:tabs>
          <w:tab w:val="left" w:pos="2700"/>
        </w:tabs>
        <w:ind w:left="2700" w:hanging="540"/>
      </w:pPr>
      <w:rPr>
        <w:rFonts w:hint="default"/>
      </w:rPr>
    </w:lvl>
    <w:lvl w:ilvl="7" w:tentative="0">
      <w:start w:val="1"/>
      <w:numFmt w:val="decimal"/>
      <w:lvlText w:val="%1.%2.%3.%4.%5.%6.%7.%8"/>
      <w:lvlJc w:val="left"/>
      <w:pPr>
        <w:tabs>
          <w:tab w:val="left" w:pos="3060"/>
        </w:tabs>
        <w:ind w:left="3060" w:hanging="540"/>
      </w:pPr>
      <w:rPr>
        <w:rFonts w:hint="default"/>
      </w:rPr>
    </w:lvl>
    <w:lvl w:ilvl="8" w:tentative="0">
      <w:start w:val="1"/>
      <w:numFmt w:val="decimal"/>
      <w:lvlText w:val="%1.%2.%3.%4.%5.%6.%7.%8.%9"/>
      <w:lvlJc w:val="left"/>
      <w:pPr>
        <w:tabs>
          <w:tab w:val="left" w:pos="3420"/>
        </w:tabs>
        <w:ind w:left="3420" w:hanging="540"/>
      </w:pPr>
      <w:rPr>
        <w:rFonts w:hint="default"/>
      </w:rPr>
    </w:lvl>
  </w:abstractNum>
  <w:abstractNum w:abstractNumId="1">
    <w:nsid w:val="00000020"/>
    <w:multiLevelType w:val="multilevel"/>
    <w:tmpl w:val="00000020"/>
    <w:lvl w:ilvl="0" w:tentative="0">
      <w:start w:val="8"/>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
    <w:nsid w:val="00000022"/>
    <w:multiLevelType w:val="singleLevel"/>
    <w:tmpl w:val="00000022"/>
    <w:lvl w:ilvl="0" w:tentative="0">
      <w:start w:val="1"/>
      <w:numFmt w:val="decimal"/>
      <w:lvlText w:val="%1)"/>
      <w:lvlJc w:val="left"/>
      <w:pPr>
        <w:ind w:left="425" w:hanging="425"/>
      </w:pPr>
    </w:lvl>
  </w:abstractNum>
  <w:abstractNum w:abstractNumId="3">
    <w:nsid w:val="0F7E02FD"/>
    <w:multiLevelType w:val="singleLevel"/>
    <w:tmpl w:val="0F7E02FD"/>
    <w:lvl w:ilvl="0" w:tentative="0">
      <w:start w:val="1"/>
      <w:numFmt w:val="decimal"/>
      <w:lvlText w:val="%1."/>
      <w:legacy w:legacy="1" w:legacySpace="0" w:legacyIndent="425"/>
      <w:lvlJc w:val="left"/>
      <w:pPr>
        <w:ind w:left="425" w:hanging="425"/>
      </w:pPr>
    </w:lvl>
  </w:abstractNum>
  <w:abstractNum w:abstractNumId="4">
    <w:nsid w:val="12544FB1"/>
    <w:multiLevelType w:val="multilevel"/>
    <w:tmpl w:val="12544FB1"/>
    <w:lvl w:ilvl="0" w:tentative="0">
      <w:start w:val="1"/>
      <w:numFmt w:val="decimal"/>
      <w:lvlText w:val="(%1)"/>
      <w:lvlJc w:val="left"/>
      <w:pPr>
        <w:ind w:left="988"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18D48D3"/>
    <w:multiLevelType w:val="multilevel"/>
    <w:tmpl w:val="218D48D3"/>
    <w:lvl w:ilvl="0" w:tentative="0">
      <w:start w:val="9"/>
      <w:numFmt w:val="decimal"/>
      <w:lvlText w:val="%1"/>
      <w:lvlJc w:val="left"/>
      <w:pPr>
        <w:tabs>
          <w:tab w:val="left" w:pos="615"/>
        </w:tabs>
        <w:ind w:left="615" w:hanging="615"/>
      </w:pPr>
      <w:rPr>
        <w:rFonts w:hint="eastAsia"/>
      </w:rPr>
    </w:lvl>
    <w:lvl w:ilvl="1" w:tentative="0">
      <w:start w:val="1"/>
      <w:numFmt w:val="decimal"/>
      <w:lvlText w:val="%1.%2"/>
      <w:lvlJc w:val="left"/>
      <w:pPr>
        <w:tabs>
          <w:tab w:val="left" w:pos="975"/>
        </w:tabs>
        <w:ind w:left="975" w:hanging="615"/>
      </w:pPr>
      <w:rPr>
        <w:rFonts w:hint="eastAsia"/>
      </w:rPr>
    </w:lvl>
    <w:lvl w:ilvl="2" w:tentative="0">
      <w:start w:val="1"/>
      <w:numFmt w:val="decimal"/>
      <w:lvlText w:val="%1.%2.%3"/>
      <w:lvlJc w:val="left"/>
      <w:pPr>
        <w:tabs>
          <w:tab w:val="left" w:pos="615"/>
        </w:tabs>
        <w:ind w:left="615" w:hanging="615"/>
      </w:pPr>
      <w:rPr>
        <w:rFonts w:hint="eastAsia"/>
      </w:rPr>
    </w:lvl>
    <w:lvl w:ilvl="3" w:tentative="0">
      <w:start w:val="1"/>
      <w:numFmt w:val="decimal"/>
      <w:lvlText w:val="%1.%2.%3.%4"/>
      <w:lvlJc w:val="left"/>
      <w:pPr>
        <w:tabs>
          <w:tab w:val="left" w:pos="615"/>
        </w:tabs>
        <w:ind w:left="615" w:hanging="615"/>
      </w:pPr>
      <w:rPr>
        <w:rFonts w:hint="eastAsia"/>
      </w:rPr>
    </w:lvl>
    <w:lvl w:ilvl="4" w:tentative="0">
      <w:start w:val="1"/>
      <w:numFmt w:val="decimal"/>
      <w:lvlText w:val="%1.%2.%3.%4.%5"/>
      <w:lvlJc w:val="left"/>
      <w:pPr>
        <w:tabs>
          <w:tab w:val="left" w:pos="615"/>
        </w:tabs>
        <w:ind w:left="615" w:hanging="615"/>
      </w:pPr>
      <w:rPr>
        <w:rFonts w:hint="eastAsia"/>
      </w:rPr>
    </w:lvl>
    <w:lvl w:ilvl="5" w:tentative="0">
      <w:start w:val="1"/>
      <w:numFmt w:val="decimal"/>
      <w:lvlText w:val="%1.%2.%3.%4.%5.%6"/>
      <w:lvlJc w:val="left"/>
      <w:pPr>
        <w:tabs>
          <w:tab w:val="left" w:pos="615"/>
        </w:tabs>
        <w:ind w:left="615" w:hanging="615"/>
      </w:pPr>
      <w:rPr>
        <w:rFonts w:hint="eastAsia"/>
      </w:rPr>
    </w:lvl>
    <w:lvl w:ilvl="6" w:tentative="0">
      <w:start w:val="1"/>
      <w:numFmt w:val="decimal"/>
      <w:lvlText w:val="%1.%2.%3.%4.%5.%6.%7"/>
      <w:lvlJc w:val="left"/>
      <w:pPr>
        <w:tabs>
          <w:tab w:val="left" w:pos="615"/>
        </w:tabs>
        <w:ind w:left="615" w:hanging="615"/>
      </w:pPr>
      <w:rPr>
        <w:rFonts w:hint="eastAsia"/>
      </w:rPr>
    </w:lvl>
    <w:lvl w:ilvl="7" w:tentative="0">
      <w:start w:val="1"/>
      <w:numFmt w:val="decimal"/>
      <w:lvlText w:val="%1.%2.%3.%4.%5.%6.%7.%8"/>
      <w:lvlJc w:val="left"/>
      <w:pPr>
        <w:tabs>
          <w:tab w:val="left" w:pos="615"/>
        </w:tabs>
        <w:ind w:left="615" w:hanging="615"/>
      </w:pPr>
      <w:rPr>
        <w:rFonts w:hint="eastAsia"/>
      </w:rPr>
    </w:lvl>
    <w:lvl w:ilvl="8" w:tentative="0">
      <w:start w:val="1"/>
      <w:numFmt w:val="decimal"/>
      <w:lvlText w:val="%1.%2.%3.%4.%5.%6.%7.%8.%9"/>
      <w:lvlJc w:val="left"/>
      <w:pPr>
        <w:tabs>
          <w:tab w:val="left" w:pos="615"/>
        </w:tabs>
        <w:ind w:left="615" w:hanging="615"/>
      </w:pPr>
      <w:rPr>
        <w:rFonts w:hint="eastAsia"/>
      </w:rPr>
    </w:lvl>
  </w:abstractNum>
  <w:abstractNum w:abstractNumId="6">
    <w:nsid w:val="240A5B45"/>
    <w:multiLevelType w:val="multilevel"/>
    <w:tmpl w:val="240A5B45"/>
    <w:lvl w:ilvl="0" w:tentative="0">
      <w:start w:val="1"/>
      <w:numFmt w:val="decimal"/>
      <w:lvlText w:val="2.%1"/>
      <w:lvlJc w:val="left"/>
      <w:pPr>
        <w:ind w:left="425" w:hanging="425"/>
      </w:pPr>
      <w:rPr>
        <w:rFonts w:hint="eastAsia"/>
      </w:rPr>
    </w:lvl>
    <w:lvl w:ilvl="1" w:tentative="0">
      <w:start w:val="1"/>
      <w:numFmt w:val="decimal"/>
      <w:lvlText w:val="%1.%2"/>
      <w:lvlJc w:val="left"/>
      <w:pPr>
        <w:ind w:left="284" w:firstLine="0"/>
      </w:pPr>
      <w:rPr>
        <w:rFonts w:hint="eastAsia"/>
      </w:rPr>
    </w:lvl>
    <w:lvl w:ilvl="2" w:tentative="0">
      <w:start w:val="1"/>
      <w:numFmt w:val="decimal"/>
      <w:lvlText w:val="%1.%2.%3"/>
      <w:lvlJc w:val="left"/>
      <w:pPr>
        <w:ind w:left="1275" w:hanging="425"/>
      </w:pPr>
      <w:rPr>
        <w:rFonts w:hint="eastAsia"/>
      </w:rPr>
    </w:lvl>
    <w:lvl w:ilvl="3" w:tentative="0">
      <w:start w:val="1"/>
      <w:numFmt w:val="decimal"/>
      <w:lvlText w:val="%1.%2.%3.%4"/>
      <w:lvlJc w:val="left"/>
      <w:pPr>
        <w:ind w:left="1700" w:hanging="425"/>
      </w:pPr>
      <w:rPr>
        <w:rFonts w:hint="eastAsia"/>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7">
    <w:nsid w:val="28823B24"/>
    <w:multiLevelType w:val="multilevel"/>
    <w:tmpl w:val="28823B24"/>
    <w:lvl w:ilvl="0" w:tentative="0">
      <w:start w:val="12"/>
      <w:numFmt w:val="decimal"/>
      <w:lvlText w:val="%1"/>
      <w:lvlJc w:val="left"/>
      <w:pPr>
        <w:ind w:left="465" w:hanging="465"/>
      </w:pPr>
      <w:rPr>
        <w:rFonts w:hint="default"/>
      </w:rPr>
    </w:lvl>
    <w:lvl w:ilvl="1" w:tentative="0">
      <w:start w:val="1"/>
      <w:numFmt w:val="decimal"/>
      <w:lvlText w:val="%1.%2"/>
      <w:lvlJc w:val="left"/>
      <w:pPr>
        <w:ind w:left="465" w:hanging="465"/>
      </w:pPr>
      <w:rPr>
        <w:rFonts w:hint="default" w:ascii="宋体" w:hAnsi="宋体" w:eastAsia="宋体"/>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3461368E"/>
    <w:multiLevelType w:val="multilevel"/>
    <w:tmpl w:val="3461368E"/>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9">
    <w:nsid w:val="3A52138D"/>
    <w:multiLevelType w:val="multilevel"/>
    <w:tmpl w:val="3A52138D"/>
    <w:lvl w:ilvl="0" w:tentative="0">
      <w:start w:val="1"/>
      <w:numFmt w:val="decimal"/>
      <w:lvlText w:val="6.%1"/>
      <w:lvlJc w:val="left"/>
      <w:pPr>
        <w:ind w:left="420" w:hanging="420"/>
      </w:pPr>
      <w:rPr>
        <w:rFonts w:hint="eastAsia"/>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0">
    <w:nsid w:val="43012FC6"/>
    <w:multiLevelType w:val="multilevel"/>
    <w:tmpl w:val="43012FC6"/>
    <w:lvl w:ilvl="0" w:tentative="0">
      <w:start w:val="4"/>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ascii="宋体" w:hAnsi="宋体" w:eastAsia="宋体" w:cs="Arial"/>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1">
    <w:nsid w:val="54C3793E"/>
    <w:multiLevelType w:val="multilevel"/>
    <w:tmpl w:val="54C3793E"/>
    <w:lvl w:ilvl="0" w:tentative="0">
      <w:start w:val="15"/>
      <w:numFmt w:val="decimal"/>
      <w:lvlText w:val="%1"/>
      <w:lvlJc w:val="left"/>
      <w:pPr>
        <w:tabs>
          <w:tab w:val="left" w:pos="705"/>
        </w:tabs>
        <w:ind w:left="705" w:hanging="705"/>
      </w:pPr>
      <w:rPr>
        <w:rFonts w:hint="eastAsia"/>
      </w:rPr>
    </w:lvl>
    <w:lvl w:ilvl="1" w:tentative="0">
      <w:start w:val="1"/>
      <w:numFmt w:val="decimal"/>
      <w:lvlText w:val="%1.%2"/>
      <w:lvlJc w:val="left"/>
      <w:pPr>
        <w:tabs>
          <w:tab w:val="left" w:pos="1065"/>
        </w:tabs>
        <w:ind w:left="1065" w:hanging="705"/>
      </w:pPr>
      <w:rPr>
        <w:rFonts w:hint="eastAsia" w:ascii="宋体" w:hAnsi="宋体" w:eastAsia="宋体"/>
      </w:rPr>
    </w:lvl>
    <w:lvl w:ilvl="2" w:tentative="0">
      <w:start w:val="1"/>
      <w:numFmt w:val="decimal"/>
      <w:lvlText w:val="%1.%2.%3"/>
      <w:lvlJc w:val="left"/>
      <w:pPr>
        <w:tabs>
          <w:tab w:val="left" w:pos="1425"/>
        </w:tabs>
        <w:ind w:left="1425" w:hanging="705"/>
      </w:pPr>
      <w:rPr>
        <w:rFonts w:hint="eastAsia"/>
      </w:rPr>
    </w:lvl>
    <w:lvl w:ilvl="3" w:tentative="0">
      <w:start w:val="1"/>
      <w:numFmt w:val="decimal"/>
      <w:lvlText w:val="%1.%2.%3.%4"/>
      <w:lvlJc w:val="left"/>
      <w:pPr>
        <w:tabs>
          <w:tab w:val="left" w:pos="1785"/>
        </w:tabs>
        <w:ind w:left="1785" w:hanging="705"/>
      </w:pPr>
      <w:rPr>
        <w:rFonts w:hint="eastAsia"/>
      </w:rPr>
    </w:lvl>
    <w:lvl w:ilvl="4" w:tentative="0">
      <w:start w:val="1"/>
      <w:numFmt w:val="decimal"/>
      <w:lvlText w:val="%1.%2.%3.%4.%5"/>
      <w:lvlJc w:val="left"/>
      <w:pPr>
        <w:tabs>
          <w:tab w:val="left" w:pos="2145"/>
        </w:tabs>
        <w:ind w:left="2145" w:hanging="705"/>
      </w:pPr>
      <w:rPr>
        <w:rFonts w:hint="eastAsia"/>
      </w:rPr>
    </w:lvl>
    <w:lvl w:ilvl="5" w:tentative="0">
      <w:start w:val="1"/>
      <w:numFmt w:val="decimal"/>
      <w:lvlText w:val="%1.%2.%3.%4.%5.%6"/>
      <w:lvlJc w:val="left"/>
      <w:pPr>
        <w:tabs>
          <w:tab w:val="left" w:pos="2505"/>
        </w:tabs>
        <w:ind w:left="2505" w:hanging="705"/>
      </w:pPr>
      <w:rPr>
        <w:rFonts w:hint="eastAsia"/>
      </w:rPr>
    </w:lvl>
    <w:lvl w:ilvl="6" w:tentative="0">
      <w:start w:val="1"/>
      <w:numFmt w:val="decimal"/>
      <w:lvlText w:val="%1.%2.%3.%4.%5.%6.%7"/>
      <w:lvlJc w:val="left"/>
      <w:pPr>
        <w:tabs>
          <w:tab w:val="left" w:pos="2865"/>
        </w:tabs>
        <w:ind w:left="2865" w:hanging="705"/>
      </w:pPr>
      <w:rPr>
        <w:rFonts w:hint="eastAsia"/>
      </w:rPr>
    </w:lvl>
    <w:lvl w:ilvl="7" w:tentative="0">
      <w:start w:val="1"/>
      <w:numFmt w:val="decimal"/>
      <w:lvlText w:val="%1.%2.%3.%4.%5.%6.%7.%8"/>
      <w:lvlJc w:val="left"/>
      <w:pPr>
        <w:tabs>
          <w:tab w:val="left" w:pos="3225"/>
        </w:tabs>
        <w:ind w:left="3225" w:hanging="705"/>
      </w:pPr>
      <w:rPr>
        <w:rFonts w:hint="eastAsia"/>
      </w:rPr>
    </w:lvl>
    <w:lvl w:ilvl="8" w:tentative="0">
      <w:start w:val="1"/>
      <w:numFmt w:val="decimal"/>
      <w:lvlText w:val="%1.%2.%3.%4.%5.%6.%7.%8.%9"/>
      <w:lvlJc w:val="left"/>
      <w:pPr>
        <w:tabs>
          <w:tab w:val="left" w:pos="3585"/>
        </w:tabs>
        <w:ind w:left="3585" w:hanging="705"/>
      </w:pPr>
      <w:rPr>
        <w:rFonts w:hint="eastAsia"/>
      </w:rPr>
    </w:lvl>
  </w:abstractNum>
  <w:abstractNum w:abstractNumId="12">
    <w:nsid w:val="54D00283"/>
    <w:multiLevelType w:val="multilevel"/>
    <w:tmpl w:val="54D00283"/>
    <w:lvl w:ilvl="0" w:tentative="0">
      <w:start w:val="1"/>
      <w:numFmt w:val="decimal"/>
      <w:lvlText w:val="10.%1"/>
      <w:lvlJc w:val="left"/>
      <w:pPr>
        <w:ind w:left="777" w:hanging="420"/>
      </w:pPr>
      <w:rPr>
        <w:rFonts w:hint="eastAsia"/>
      </w:rPr>
    </w:lvl>
    <w:lvl w:ilvl="1" w:tentative="0">
      <w:start w:val="1"/>
      <w:numFmt w:val="lowerLetter"/>
      <w:lvlText w:val="%2)"/>
      <w:lvlJc w:val="left"/>
      <w:pPr>
        <w:ind w:left="1197" w:hanging="420"/>
      </w:pPr>
    </w:lvl>
    <w:lvl w:ilvl="2" w:tentative="0">
      <w:start w:val="1"/>
      <w:numFmt w:val="lowerRoman"/>
      <w:lvlText w:val="%3."/>
      <w:lvlJc w:val="right"/>
      <w:pPr>
        <w:ind w:left="1617" w:hanging="420"/>
      </w:pPr>
    </w:lvl>
    <w:lvl w:ilvl="3" w:tentative="0">
      <w:start w:val="1"/>
      <w:numFmt w:val="decimal"/>
      <w:lvlText w:val="%4."/>
      <w:lvlJc w:val="left"/>
      <w:pPr>
        <w:ind w:left="2037" w:hanging="420"/>
      </w:pPr>
    </w:lvl>
    <w:lvl w:ilvl="4" w:tentative="0">
      <w:start w:val="1"/>
      <w:numFmt w:val="lowerLetter"/>
      <w:lvlText w:val="%5)"/>
      <w:lvlJc w:val="left"/>
      <w:pPr>
        <w:ind w:left="2457" w:hanging="420"/>
      </w:pPr>
    </w:lvl>
    <w:lvl w:ilvl="5" w:tentative="0">
      <w:start w:val="1"/>
      <w:numFmt w:val="lowerRoman"/>
      <w:lvlText w:val="%6."/>
      <w:lvlJc w:val="right"/>
      <w:pPr>
        <w:ind w:left="2877" w:hanging="420"/>
      </w:pPr>
    </w:lvl>
    <w:lvl w:ilvl="6" w:tentative="0">
      <w:start w:val="1"/>
      <w:numFmt w:val="decimal"/>
      <w:lvlText w:val="%7."/>
      <w:lvlJc w:val="left"/>
      <w:pPr>
        <w:ind w:left="3297" w:hanging="420"/>
      </w:pPr>
    </w:lvl>
    <w:lvl w:ilvl="7" w:tentative="0">
      <w:start w:val="1"/>
      <w:numFmt w:val="lowerLetter"/>
      <w:lvlText w:val="%8)"/>
      <w:lvlJc w:val="left"/>
      <w:pPr>
        <w:ind w:left="3717" w:hanging="420"/>
      </w:pPr>
    </w:lvl>
    <w:lvl w:ilvl="8" w:tentative="0">
      <w:start w:val="1"/>
      <w:numFmt w:val="lowerRoman"/>
      <w:lvlText w:val="%9."/>
      <w:lvlJc w:val="right"/>
      <w:pPr>
        <w:ind w:left="4137" w:hanging="420"/>
      </w:pPr>
    </w:lvl>
  </w:abstractNum>
  <w:abstractNum w:abstractNumId="13">
    <w:nsid w:val="58CC4DEF"/>
    <w:multiLevelType w:val="multilevel"/>
    <w:tmpl w:val="58CC4DEF"/>
    <w:lvl w:ilvl="0" w:tentative="0">
      <w:start w:val="2"/>
      <w:numFmt w:val="decimal"/>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4">
    <w:nsid w:val="5E4F4255"/>
    <w:multiLevelType w:val="multilevel"/>
    <w:tmpl w:val="5E4F4255"/>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ascii="宋体" w:hAnsi="宋体" w:eastAsia="宋体"/>
        <w:color w:val="auto"/>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5">
    <w:nsid w:val="6E9047A0"/>
    <w:multiLevelType w:val="multilevel"/>
    <w:tmpl w:val="6E9047A0"/>
    <w:lvl w:ilvl="0" w:tentative="0">
      <w:start w:val="13"/>
      <w:numFmt w:val="decimal"/>
      <w:lvlText w:val="%1"/>
      <w:lvlJc w:val="left"/>
      <w:pPr>
        <w:tabs>
          <w:tab w:val="left" w:pos="630"/>
        </w:tabs>
        <w:ind w:left="630" w:hanging="630"/>
      </w:pPr>
      <w:rPr>
        <w:rFonts w:hint="eastAsia"/>
      </w:rPr>
    </w:lvl>
    <w:lvl w:ilvl="1" w:tentative="0">
      <w:start w:val="1"/>
      <w:numFmt w:val="decimal"/>
      <w:lvlText w:val="%1.%2"/>
      <w:lvlJc w:val="left"/>
      <w:pPr>
        <w:tabs>
          <w:tab w:val="left" w:pos="630"/>
        </w:tabs>
        <w:ind w:left="630" w:hanging="630"/>
      </w:pPr>
      <w:rPr>
        <w:rFonts w:hint="eastAsia" w:ascii="宋体" w:hAnsi="宋体" w:eastAsia="宋体"/>
      </w:rPr>
    </w:lvl>
    <w:lvl w:ilvl="2" w:tentative="0">
      <w:start w:val="1"/>
      <w:numFmt w:val="decimal"/>
      <w:lvlText w:val="%1.%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abstractNum w:abstractNumId="16">
    <w:nsid w:val="6F10B804"/>
    <w:multiLevelType w:val="singleLevel"/>
    <w:tmpl w:val="6F10B804"/>
    <w:lvl w:ilvl="0" w:tentative="0">
      <w:start w:val="1"/>
      <w:numFmt w:val="decimal"/>
      <w:suff w:val="nothing"/>
      <w:lvlText w:val="%1、"/>
      <w:lvlJc w:val="left"/>
    </w:lvl>
  </w:abstractNum>
  <w:abstractNum w:abstractNumId="17">
    <w:nsid w:val="71047B4A"/>
    <w:multiLevelType w:val="multilevel"/>
    <w:tmpl w:val="71047B4A"/>
    <w:lvl w:ilvl="0" w:tentative="0">
      <w:start w:val="1"/>
      <w:numFmt w:val="decimal"/>
      <w:lvlText w:val="7.%1"/>
      <w:lvlJc w:val="left"/>
      <w:pPr>
        <w:ind w:left="1140" w:hanging="420"/>
      </w:pPr>
      <w:rPr>
        <w:rFonts w:hint="eastAsia"/>
      </w:rPr>
    </w:lvl>
    <w:lvl w:ilvl="1" w:tentative="0">
      <w:start w:val="1"/>
      <w:numFmt w:val="decimal"/>
      <w:lvlText w:val="%2）"/>
      <w:lvlJc w:val="left"/>
      <w:pPr>
        <w:ind w:left="780" w:hanging="360"/>
      </w:pPr>
      <w:rPr>
        <w:rFonts w:hint="default"/>
      </w:rPr>
    </w:lvl>
    <w:lvl w:ilvl="2" w:tentative="0">
      <w:start w:val="1"/>
      <w:numFmt w:val="decimal"/>
      <w:lvlText w:val="%3、"/>
      <w:lvlJc w:val="left"/>
      <w:pPr>
        <w:ind w:left="1560" w:hanging="7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8A4791D"/>
    <w:multiLevelType w:val="multilevel"/>
    <w:tmpl w:val="78A4791D"/>
    <w:lvl w:ilvl="0" w:tentative="0">
      <w:start w:val="11"/>
      <w:numFmt w:val="decimal"/>
      <w:lvlText w:val="%1"/>
      <w:lvlJc w:val="left"/>
      <w:pPr>
        <w:tabs>
          <w:tab w:val="left" w:pos="615"/>
        </w:tabs>
        <w:ind w:left="615" w:hanging="615"/>
      </w:pPr>
      <w:rPr>
        <w:rFonts w:hint="eastAsia"/>
      </w:rPr>
    </w:lvl>
    <w:lvl w:ilvl="1" w:tentative="0">
      <w:start w:val="1"/>
      <w:numFmt w:val="decimal"/>
      <w:lvlText w:val="%1.%2"/>
      <w:lvlJc w:val="left"/>
      <w:pPr>
        <w:tabs>
          <w:tab w:val="left" w:pos="615"/>
        </w:tabs>
        <w:ind w:left="615" w:hanging="615"/>
      </w:pPr>
      <w:rPr>
        <w:rFonts w:hint="eastAsia" w:ascii="宋体" w:hAnsi="宋体" w:eastAsia="宋体"/>
      </w:rPr>
    </w:lvl>
    <w:lvl w:ilvl="2" w:tentative="0">
      <w:start w:val="1"/>
      <w:numFmt w:val="decimal"/>
      <w:lvlText w:val="%1.%2.%3"/>
      <w:lvlJc w:val="left"/>
      <w:pPr>
        <w:tabs>
          <w:tab w:val="left" w:pos="615"/>
        </w:tabs>
        <w:ind w:left="615" w:hanging="615"/>
      </w:pPr>
      <w:rPr>
        <w:rFonts w:hint="eastAsia"/>
      </w:rPr>
    </w:lvl>
    <w:lvl w:ilvl="3" w:tentative="0">
      <w:start w:val="1"/>
      <w:numFmt w:val="decimal"/>
      <w:lvlText w:val="%1.%2.%3.%4"/>
      <w:lvlJc w:val="left"/>
      <w:pPr>
        <w:tabs>
          <w:tab w:val="left" w:pos="615"/>
        </w:tabs>
        <w:ind w:left="615" w:hanging="615"/>
      </w:pPr>
      <w:rPr>
        <w:rFonts w:hint="eastAsia"/>
      </w:rPr>
    </w:lvl>
    <w:lvl w:ilvl="4" w:tentative="0">
      <w:start w:val="1"/>
      <w:numFmt w:val="decimal"/>
      <w:lvlText w:val="%1.%2.%3.%4.%5"/>
      <w:lvlJc w:val="left"/>
      <w:pPr>
        <w:tabs>
          <w:tab w:val="left" w:pos="615"/>
        </w:tabs>
        <w:ind w:left="615" w:hanging="615"/>
      </w:pPr>
      <w:rPr>
        <w:rFonts w:hint="eastAsia"/>
      </w:rPr>
    </w:lvl>
    <w:lvl w:ilvl="5" w:tentative="0">
      <w:start w:val="1"/>
      <w:numFmt w:val="decimal"/>
      <w:lvlText w:val="%1.%2.%3.%4.%5.%6"/>
      <w:lvlJc w:val="left"/>
      <w:pPr>
        <w:tabs>
          <w:tab w:val="left" w:pos="615"/>
        </w:tabs>
        <w:ind w:left="615" w:hanging="615"/>
      </w:pPr>
      <w:rPr>
        <w:rFonts w:hint="eastAsia"/>
      </w:rPr>
    </w:lvl>
    <w:lvl w:ilvl="6" w:tentative="0">
      <w:start w:val="1"/>
      <w:numFmt w:val="decimal"/>
      <w:lvlText w:val="%1.%2.%3.%4.%5.%6.%7"/>
      <w:lvlJc w:val="left"/>
      <w:pPr>
        <w:tabs>
          <w:tab w:val="left" w:pos="615"/>
        </w:tabs>
        <w:ind w:left="615" w:hanging="615"/>
      </w:pPr>
      <w:rPr>
        <w:rFonts w:hint="eastAsia"/>
      </w:rPr>
    </w:lvl>
    <w:lvl w:ilvl="7" w:tentative="0">
      <w:start w:val="1"/>
      <w:numFmt w:val="decimal"/>
      <w:lvlText w:val="%1.%2.%3.%4.%5.%6.%7.%8"/>
      <w:lvlJc w:val="left"/>
      <w:pPr>
        <w:tabs>
          <w:tab w:val="left" w:pos="615"/>
        </w:tabs>
        <w:ind w:left="615" w:hanging="615"/>
      </w:pPr>
      <w:rPr>
        <w:rFonts w:hint="eastAsia"/>
      </w:rPr>
    </w:lvl>
    <w:lvl w:ilvl="8" w:tentative="0">
      <w:start w:val="1"/>
      <w:numFmt w:val="decimal"/>
      <w:lvlText w:val="%1.%2.%3.%4.%5.%6.%7.%8.%9"/>
      <w:lvlJc w:val="left"/>
      <w:pPr>
        <w:tabs>
          <w:tab w:val="left" w:pos="615"/>
        </w:tabs>
        <w:ind w:left="615" w:hanging="615"/>
      </w:pPr>
      <w:rPr>
        <w:rFonts w:hint="eastAsia"/>
      </w:rPr>
    </w:lvl>
  </w:abstractNum>
  <w:abstractNum w:abstractNumId="19">
    <w:nsid w:val="7F1D4505"/>
    <w:multiLevelType w:val="multilevel"/>
    <w:tmpl w:val="7F1D4505"/>
    <w:lvl w:ilvl="0" w:tentative="0">
      <w:start w:val="14"/>
      <w:numFmt w:val="decimal"/>
      <w:lvlText w:val="%1"/>
      <w:lvlJc w:val="left"/>
      <w:pPr>
        <w:tabs>
          <w:tab w:val="left" w:pos="630"/>
        </w:tabs>
        <w:ind w:left="630" w:hanging="630"/>
      </w:pPr>
      <w:rPr>
        <w:rFonts w:hint="eastAsia"/>
      </w:rPr>
    </w:lvl>
    <w:lvl w:ilvl="1" w:tentative="0">
      <w:start w:val="1"/>
      <w:numFmt w:val="decimal"/>
      <w:lvlText w:val="%1.%2"/>
      <w:lvlJc w:val="left"/>
      <w:pPr>
        <w:tabs>
          <w:tab w:val="left" w:pos="990"/>
        </w:tabs>
        <w:ind w:left="990" w:hanging="630"/>
      </w:pPr>
      <w:rPr>
        <w:rFonts w:hint="eastAsia" w:ascii="宋体" w:hAnsi="宋体" w:eastAsia="宋体"/>
      </w:rPr>
    </w:lvl>
    <w:lvl w:ilvl="2" w:tentative="0">
      <w:start w:val="1"/>
      <w:numFmt w:val="decimal"/>
      <w:lvlText w:val="%1.%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num w:numId="1">
    <w:abstractNumId w:val="16"/>
  </w:num>
  <w:num w:numId="2">
    <w:abstractNumId w:val="4"/>
  </w:num>
  <w:num w:numId="3">
    <w:abstractNumId w:val="3"/>
  </w:num>
  <w:num w:numId="4">
    <w:abstractNumId w:val="6"/>
  </w:num>
  <w:num w:numId="5">
    <w:abstractNumId w:val="8"/>
  </w:num>
  <w:num w:numId="6">
    <w:abstractNumId w:val="13"/>
  </w:num>
  <w:num w:numId="7">
    <w:abstractNumId w:val="2"/>
    <w:lvlOverride w:ilvl="0">
      <w:startOverride w:val="1"/>
    </w:lvlOverride>
  </w:num>
  <w:num w:numId="8">
    <w:abstractNumId w:val="0"/>
  </w:num>
  <w:num w:numId="9">
    <w:abstractNumId w:val="10"/>
  </w:num>
  <w:num w:numId="10">
    <w:abstractNumId w:val="14"/>
  </w:num>
  <w:num w:numId="11">
    <w:abstractNumId w:val="9"/>
  </w:num>
  <w:num w:numId="12">
    <w:abstractNumId w:val="17"/>
  </w:num>
  <w:num w:numId="13">
    <w:abstractNumId w:val="1"/>
  </w:num>
  <w:num w:numId="14">
    <w:abstractNumId w:val="5"/>
  </w:num>
  <w:num w:numId="15">
    <w:abstractNumId w:val="12"/>
  </w:num>
  <w:num w:numId="16">
    <w:abstractNumId w:val="18"/>
  </w:num>
  <w:num w:numId="17">
    <w:abstractNumId w:val="7"/>
  </w:num>
  <w:num w:numId="18">
    <w:abstractNumId w:val="15"/>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3E13"/>
    <w:rsid w:val="0000491D"/>
    <w:rsid w:val="0002208B"/>
    <w:rsid w:val="00047F4E"/>
    <w:rsid w:val="0007246C"/>
    <w:rsid w:val="000769E0"/>
    <w:rsid w:val="000A36D4"/>
    <w:rsid w:val="000B3EF1"/>
    <w:rsid w:val="000D678A"/>
    <w:rsid w:val="000E0FA5"/>
    <w:rsid w:val="000E1373"/>
    <w:rsid w:val="000F1D74"/>
    <w:rsid w:val="0010380E"/>
    <w:rsid w:val="00156D5A"/>
    <w:rsid w:val="001770EF"/>
    <w:rsid w:val="00184672"/>
    <w:rsid w:val="001955E5"/>
    <w:rsid w:val="001D1280"/>
    <w:rsid w:val="001F257E"/>
    <w:rsid w:val="00205264"/>
    <w:rsid w:val="00260C78"/>
    <w:rsid w:val="002D3F9D"/>
    <w:rsid w:val="00311281"/>
    <w:rsid w:val="0032178C"/>
    <w:rsid w:val="0032713F"/>
    <w:rsid w:val="00331633"/>
    <w:rsid w:val="00344AE4"/>
    <w:rsid w:val="003A30D8"/>
    <w:rsid w:val="003A670B"/>
    <w:rsid w:val="003A6D52"/>
    <w:rsid w:val="003F5B9B"/>
    <w:rsid w:val="00422737"/>
    <w:rsid w:val="00422D1C"/>
    <w:rsid w:val="00433601"/>
    <w:rsid w:val="00443E13"/>
    <w:rsid w:val="0045514B"/>
    <w:rsid w:val="004721B4"/>
    <w:rsid w:val="00483085"/>
    <w:rsid w:val="00483A38"/>
    <w:rsid w:val="00490448"/>
    <w:rsid w:val="004A24B0"/>
    <w:rsid w:val="004B7C77"/>
    <w:rsid w:val="004F04B7"/>
    <w:rsid w:val="00517C7B"/>
    <w:rsid w:val="005210D0"/>
    <w:rsid w:val="005545D8"/>
    <w:rsid w:val="005653BF"/>
    <w:rsid w:val="0058610F"/>
    <w:rsid w:val="005A35EF"/>
    <w:rsid w:val="005B18A0"/>
    <w:rsid w:val="00644318"/>
    <w:rsid w:val="00647943"/>
    <w:rsid w:val="00672A75"/>
    <w:rsid w:val="0067386E"/>
    <w:rsid w:val="00694D3E"/>
    <w:rsid w:val="0069549A"/>
    <w:rsid w:val="006B77EB"/>
    <w:rsid w:val="006F2A61"/>
    <w:rsid w:val="0072363A"/>
    <w:rsid w:val="007264C2"/>
    <w:rsid w:val="007805CE"/>
    <w:rsid w:val="00780D1A"/>
    <w:rsid w:val="00782945"/>
    <w:rsid w:val="007F3BC1"/>
    <w:rsid w:val="007F6E95"/>
    <w:rsid w:val="00805DF0"/>
    <w:rsid w:val="00814418"/>
    <w:rsid w:val="008300F1"/>
    <w:rsid w:val="00832AFC"/>
    <w:rsid w:val="00893BA6"/>
    <w:rsid w:val="0090454D"/>
    <w:rsid w:val="00906AA9"/>
    <w:rsid w:val="00910274"/>
    <w:rsid w:val="009252CD"/>
    <w:rsid w:val="00973F65"/>
    <w:rsid w:val="00976F90"/>
    <w:rsid w:val="00984E66"/>
    <w:rsid w:val="009D71DD"/>
    <w:rsid w:val="009E41AA"/>
    <w:rsid w:val="009F3576"/>
    <w:rsid w:val="009F4EC4"/>
    <w:rsid w:val="009F65A9"/>
    <w:rsid w:val="00A3191A"/>
    <w:rsid w:val="00A62729"/>
    <w:rsid w:val="00A70072"/>
    <w:rsid w:val="00AE0012"/>
    <w:rsid w:val="00AF24BF"/>
    <w:rsid w:val="00AF3813"/>
    <w:rsid w:val="00AF6EB4"/>
    <w:rsid w:val="00B30C26"/>
    <w:rsid w:val="00B45D0C"/>
    <w:rsid w:val="00B50EFE"/>
    <w:rsid w:val="00B8497B"/>
    <w:rsid w:val="00B95A2A"/>
    <w:rsid w:val="00BA1D31"/>
    <w:rsid w:val="00C02CE1"/>
    <w:rsid w:val="00C26F62"/>
    <w:rsid w:val="00C40D84"/>
    <w:rsid w:val="00C41696"/>
    <w:rsid w:val="00C550EA"/>
    <w:rsid w:val="00C713C1"/>
    <w:rsid w:val="00C91E33"/>
    <w:rsid w:val="00CE67A3"/>
    <w:rsid w:val="00CF35BA"/>
    <w:rsid w:val="00D2107F"/>
    <w:rsid w:val="00D35684"/>
    <w:rsid w:val="00D56F76"/>
    <w:rsid w:val="00D601DA"/>
    <w:rsid w:val="00D872C9"/>
    <w:rsid w:val="00DA011C"/>
    <w:rsid w:val="00DE3150"/>
    <w:rsid w:val="00E65BBF"/>
    <w:rsid w:val="00EC54EB"/>
    <w:rsid w:val="00F41C36"/>
    <w:rsid w:val="00F42208"/>
    <w:rsid w:val="00F53C4A"/>
    <w:rsid w:val="00F805FC"/>
    <w:rsid w:val="00F808CC"/>
    <w:rsid w:val="00FB41C7"/>
    <w:rsid w:val="00FE1DE8"/>
    <w:rsid w:val="012D4D8E"/>
    <w:rsid w:val="30D437FD"/>
    <w:rsid w:val="4A5A55D8"/>
    <w:rsid w:val="55D52406"/>
    <w:rsid w:val="65457E02"/>
    <w:rsid w:val="67C34E3A"/>
    <w:rsid w:val="7BEA116A"/>
    <w:rsid w:val="7E3415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40" w:lineRule="exact"/>
      <w:ind w:firstLine="200" w:firstLineChars="200"/>
      <w:jc w:val="both"/>
    </w:pPr>
    <w:rPr>
      <w:rFonts w:ascii="Times New Roman" w:hAnsi="Times New Roman" w:eastAsia="宋体" w:cs="Times New Roman"/>
      <w:kern w:val="2"/>
      <w:sz w:val="24"/>
      <w:lang w:val="en-US" w:eastAsia="zh-CN" w:bidi="ar-SA"/>
    </w:rPr>
  </w:style>
  <w:style w:type="paragraph" w:styleId="2">
    <w:name w:val="heading 1"/>
    <w:basedOn w:val="1"/>
    <w:next w:val="1"/>
    <w:link w:val="21"/>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18"/>
    <w:unhideWhenUsed/>
    <w:qFormat/>
    <w:uiPriority w:val="9"/>
    <w:pPr>
      <w:keepNext/>
      <w:keepLines/>
      <w:spacing w:beforeLines="50" w:line="360" w:lineRule="auto"/>
      <w:ind w:firstLine="0" w:firstLineChars="0"/>
      <w:jc w:val="left"/>
      <w:outlineLvl w:val="1"/>
    </w:pPr>
    <w:rPr>
      <w:rFonts w:ascii="Arial" w:hAnsi="Arial" w:eastAsia="黑体"/>
      <w:bCs/>
      <w:kern w:val="0"/>
      <w:sz w:val="28"/>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6"/>
    <w:semiHidden/>
    <w:unhideWhenUsed/>
    <w:qFormat/>
    <w:uiPriority w:val="99"/>
    <w:pPr>
      <w:jc w:val="left"/>
    </w:pPr>
  </w:style>
  <w:style w:type="paragraph" w:styleId="5">
    <w:name w:val="Plain Text"/>
    <w:basedOn w:val="1"/>
    <w:link w:val="28"/>
    <w:qFormat/>
    <w:uiPriority w:val="0"/>
    <w:rPr>
      <w:rFonts w:ascii="宋体" w:hAnsi="Courier New" w:eastAsia="等线" w:cs="宋体"/>
      <w:sz w:val="21"/>
    </w:rPr>
  </w:style>
  <w:style w:type="paragraph" w:styleId="6">
    <w:name w:val="Balloon Text"/>
    <w:basedOn w:val="1"/>
    <w:link w:val="25"/>
    <w:semiHidden/>
    <w:unhideWhenUsed/>
    <w:qFormat/>
    <w:uiPriority w:val="99"/>
    <w:pPr>
      <w:spacing w:line="240" w:lineRule="auto"/>
    </w:pPr>
    <w:rPr>
      <w:sz w:val="18"/>
      <w:szCs w:val="18"/>
    </w:rPr>
  </w:style>
  <w:style w:type="paragraph" w:styleId="7">
    <w:name w:val="footer"/>
    <w:basedOn w:val="1"/>
    <w:link w:val="23"/>
    <w:qFormat/>
    <w:uiPriority w:val="99"/>
    <w:pPr>
      <w:tabs>
        <w:tab w:val="center" w:pos="4153"/>
        <w:tab w:val="right" w:pos="8306"/>
      </w:tabs>
      <w:spacing w:line="240" w:lineRule="atLeast"/>
      <w:jc w:val="left"/>
    </w:pPr>
    <w:rPr>
      <w:sz w:val="18"/>
      <w:szCs w:val="18"/>
    </w:rPr>
  </w:style>
  <w:style w:type="paragraph" w:styleId="8">
    <w:name w:val="header"/>
    <w:basedOn w:val="1"/>
    <w:link w:val="22"/>
    <w:qFormat/>
    <w:uiPriority w:val="99"/>
    <w:pPr>
      <w:pBdr>
        <w:bottom w:val="single" w:color="auto" w:sz="6" w:space="1"/>
      </w:pBdr>
      <w:tabs>
        <w:tab w:val="center" w:pos="4153"/>
        <w:tab w:val="right" w:pos="8306"/>
      </w:tabs>
      <w:spacing w:line="240" w:lineRule="atLeast"/>
      <w:jc w:val="center"/>
    </w:pPr>
    <w:rPr>
      <w:sz w:val="18"/>
      <w:szCs w:val="18"/>
    </w:rPr>
  </w:style>
  <w:style w:type="paragraph" w:styleId="9">
    <w:name w:val="toc 1"/>
    <w:basedOn w:val="1"/>
    <w:next w:val="1"/>
    <w:qFormat/>
    <w:uiPriority w:val="39"/>
  </w:style>
  <w:style w:type="paragraph" w:styleId="10">
    <w:name w:val="HTML Preformatted"/>
    <w:basedOn w:val="1"/>
    <w:link w:val="3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paragraph" w:styleId="11">
    <w:name w:val="Title"/>
    <w:basedOn w:val="2"/>
    <w:next w:val="1"/>
    <w:link w:val="19"/>
    <w:qFormat/>
    <w:uiPriority w:val="10"/>
    <w:pPr>
      <w:spacing w:beforeLines="50" w:after="0" w:line="360" w:lineRule="auto"/>
      <w:ind w:firstLine="0" w:firstLineChars="0"/>
      <w:jc w:val="center"/>
    </w:pPr>
    <w:rPr>
      <w:rFonts w:ascii="Cambria" w:hAnsi="Cambria" w:eastAsia="黑体" w:cs="宋体"/>
      <w:b w:val="0"/>
      <w:bCs w:val="0"/>
      <w:sz w:val="36"/>
      <w:szCs w:val="32"/>
    </w:rPr>
  </w:style>
  <w:style w:type="paragraph" w:styleId="12">
    <w:name w:val="annotation subject"/>
    <w:basedOn w:val="4"/>
    <w:next w:val="4"/>
    <w:link w:val="27"/>
    <w:semiHidden/>
    <w:unhideWhenUsed/>
    <w:qFormat/>
    <w:uiPriority w:val="99"/>
    <w:rPr>
      <w:b/>
      <w:bCs/>
    </w:rPr>
  </w:style>
  <w:style w:type="table" w:styleId="14">
    <w:name w:val="Table Grid"/>
    <w:basedOn w:val="13"/>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qFormat/>
    <w:uiPriority w:val="99"/>
    <w:rPr>
      <w:color w:val="0000FF"/>
      <w:u w:val="single"/>
    </w:rPr>
  </w:style>
  <w:style w:type="character" w:styleId="17">
    <w:name w:val="annotation reference"/>
    <w:basedOn w:val="15"/>
    <w:semiHidden/>
    <w:unhideWhenUsed/>
    <w:qFormat/>
    <w:uiPriority w:val="99"/>
    <w:rPr>
      <w:sz w:val="21"/>
      <w:szCs w:val="21"/>
    </w:rPr>
  </w:style>
  <w:style w:type="character" w:customStyle="1" w:styleId="18">
    <w:name w:val="标题 2 Char"/>
    <w:basedOn w:val="15"/>
    <w:link w:val="3"/>
    <w:qFormat/>
    <w:uiPriority w:val="9"/>
    <w:rPr>
      <w:rFonts w:ascii="Arial" w:hAnsi="Arial" w:eastAsia="黑体" w:cs="Times New Roman"/>
      <w:bCs/>
      <w:kern w:val="0"/>
      <w:sz w:val="28"/>
      <w:szCs w:val="32"/>
    </w:rPr>
  </w:style>
  <w:style w:type="character" w:customStyle="1" w:styleId="19">
    <w:name w:val="标题 Char"/>
    <w:link w:val="11"/>
    <w:qFormat/>
    <w:uiPriority w:val="0"/>
    <w:rPr>
      <w:rFonts w:ascii="Cambria" w:hAnsi="Cambria" w:eastAsia="黑体"/>
      <w:kern w:val="44"/>
      <w:sz w:val="36"/>
      <w:szCs w:val="32"/>
    </w:rPr>
  </w:style>
  <w:style w:type="character" w:customStyle="1" w:styleId="20">
    <w:name w:val="标题 字符1"/>
    <w:basedOn w:val="15"/>
    <w:qFormat/>
    <w:uiPriority w:val="10"/>
    <w:rPr>
      <w:rFonts w:ascii="等线 Light" w:hAnsi="等线 Light" w:eastAsia="等线 Light" w:cs="宋体"/>
      <w:b/>
      <w:bCs/>
      <w:sz w:val="32"/>
      <w:szCs w:val="32"/>
    </w:rPr>
  </w:style>
  <w:style w:type="character" w:customStyle="1" w:styleId="21">
    <w:name w:val="标题 1 Char"/>
    <w:basedOn w:val="15"/>
    <w:link w:val="2"/>
    <w:qFormat/>
    <w:uiPriority w:val="9"/>
    <w:rPr>
      <w:rFonts w:ascii="Times New Roman" w:hAnsi="Times New Roman" w:eastAsia="宋体" w:cs="Times New Roman"/>
      <w:b/>
      <w:bCs/>
      <w:kern w:val="44"/>
      <w:sz w:val="44"/>
      <w:szCs w:val="44"/>
    </w:rPr>
  </w:style>
  <w:style w:type="character" w:customStyle="1" w:styleId="22">
    <w:name w:val="页眉 Char"/>
    <w:basedOn w:val="15"/>
    <w:link w:val="8"/>
    <w:qFormat/>
    <w:uiPriority w:val="99"/>
    <w:rPr>
      <w:rFonts w:ascii="Times New Roman" w:hAnsi="Times New Roman" w:eastAsia="宋体" w:cs="Times New Roman"/>
      <w:sz w:val="18"/>
      <w:szCs w:val="18"/>
    </w:rPr>
  </w:style>
  <w:style w:type="character" w:customStyle="1" w:styleId="23">
    <w:name w:val="页脚 Char"/>
    <w:basedOn w:val="15"/>
    <w:link w:val="7"/>
    <w:qFormat/>
    <w:uiPriority w:val="99"/>
    <w:rPr>
      <w:rFonts w:ascii="Times New Roman" w:hAnsi="Times New Roman" w:eastAsia="宋体" w:cs="Times New Roman"/>
      <w:sz w:val="18"/>
      <w:szCs w:val="18"/>
    </w:rPr>
  </w:style>
  <w:style w:type="paragraph" w:customStyle="1" w:styleId="24">
    <w:name w:val="修订1"/>
    <w:hidden/>
    <w:semiHidden/>
    <w:qFormat/>
    <w:uiPriority w:val="99"/>
    <w:rPr>
      <w:rFonts w:ascii="Times New Roman" w:hAnsi="Times New Roman" w:eastAsia="宋体" w:cs="Times New Roman"/>
      <w:kern w:val="2"/>
      <w:sz w:val="24"/>
      <w:lang w:val="en-US" w:eastAsia="zh-CN" w:bidi="ar-SA"/>
    </w:rPr>
  </w:style>
  <w:style w:type="character" w:customStyle="1" w:styleId="25">
    <w:name w:val="批注框文本 Char"/>
    <w:basedOn w:val="15"/>
    <w:link w:val="6"/>
    <w:semiHidden/>
    <w:qFormat/>
    <w:uiPriority w:val="99"/>
    <w:rPr>
      <w:rFonts w:ascii="Times New Roman" w:hAnsi="Times New Roman" w:eastAsia="宋体" w:cs="Times New Roman"/>
      <w:sz w:val="18"/>
      <w:szCs w:val="18"/>
    </w:rPr>
  </w:style>
  <w:style w:type="character" w:customStyle="1" w:styleId="26">
    <w:name w:val="批注文字 Char"/>
    <w:basedOn w:val="15"/>
    <w:link w:val="4"/>
    <w:semiHidden/>
    <w:qFormat/>
    <w:uiPriority w:val="99"/>
    <w:rPr>
      <w:rFonts w:ascii="Times New Roman" w:hAnsi="Times New Roman" w:eastAsia="宋体" w:cs="Times New Roman"/>
      <w:sz w:val="24"/>
      <w:szCs w:val="20"/>
    </w:rPr>
  </w:style>
  <w:style w:type="character" w:customStyle="1" w:styleId="27">
    <w:name w:val="批注主题 Char"/>
    <w:basedOn w:val="26"/>
    <w:link w:val="12"/>
    <w:semiHidden/>
    <w:qFormat/>
    <w:uiPriority w:val="99"/>
    <w:rPr>
      <w:rFonts w:ascii="Times New Roman" w:hAnsi="Times New Roman" w:eastAsia="宋体" w:cs="Times New Roman"/>
      <w:b/>
      <w:bCs/>
      <w:sz w:val="24"/>
      <w:szCs w:val="20"/>
    </w:rPr>
  </w:style>
  <w:style w:type="character" w:customStyle="1" w:styleId="28">
    <w:name w:val="纯文本 Char"/>
    <w:link w:val="5"/>
    <w:qFormat/>
    <w:uiPriority w:val="0"/>
    <w:rPr>
      <w:rFonts w:ascii="宋体" w:hAnsi="Courier New"/>
      <w:kern w:val="2"/>
      <w:sz w:val="21"/>
    </w:rPr>
  </w:style>
  <w:style w:type="character" w:customStyle="1" w:styleId="29">
    <w:name w:val="纯文本 Char1"/>
    <w:basedOn w:val="15"/>
    <w:semiHidden/>
    <w:qFormat/>
    <w:uiPriority w:val="99"/>
    <w:rPr>
      <w:rFonts w:ascii="宋体" w:hAnsi="Courier New" w:eastAsia="宋体" w:cs="Courier New"/>
      <w:kern w:val="2"/>
      <w:sz w:val="21"/>
      <w:szCs w:val="21"/>
    </w:rPr>
  </w:style>
  <w:style w:type="character" w:customStyle="1" w:styleId="30">
    <w:name w:val="HTML 预设格式 Char"/>
    <w:basedOn w:val="15"/>
    <w:link w:val="10"/>
    <w:qFormat/>
    <w:uiPriority w:val="0"/>
    <w:rPr>
      <w:rFonts w:ascii="黑体" w:hAnsi="Courier New" w:eastAsia="黑体" w:cs="Courier New"/>
    </w:rPr>
  </w:style>
  <w:style w:type="paragraph" w:styleId="31">
    <w:name w:val="List Paragraph"/>
    <w:basedOn w:val="1"/>
    <w:unhideWhenUsed/>
    <w:qFormat/>
    <w:uiPriority w:val="99"/>
    <w:pPr>
      <w:ind w:firstLine="420"/>
    </w:pPr>
  </w:style>
  <w:style w:type="paragraph" w:customStyle="1" w:styleId="32">
    <w:name w:val="样式2"/>
    <w:basedOn w:val="1"/>
    <w:qFormat/>
    <w:uiPriority w:val="0"/>
    <w:pPr>
      <w:spacing w:line="410" w:lineRule="atLeast"/>
      <w:jc w:val="left"/>
      <w:textAlignment w:val="baseline"/>
    </w:pPr>
    <w:rPr>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058E5B-1E1C-47D5-9CFB-0887F691664D}">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Pages>
  <Words>850</Words>
  <Characters>4849</Characters>
  <Lines>40</Lines>
  <Paragraphs>11</Paragraphs>
  <TotalTime>15</TotalTime>
  <ScaleCrop>false</ScaleCrop>
  <LinksUpToDate>false</LinksUpToDate>
  <CharactersWithSpaces>5688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2022-06-30T03:47:00Z</dcterms:created>
  <dc:creator>田森 TIANSEN</dc:creator>
  <cp:lastModifiedBy>Admin</cp:lastModifiedBy>
  <cp:lastPrinted>2022-06-28T02:42:00Z</cp:lastPrinted>
  <dcterms:modified xsi:type="dcterms:W3CDTF">2023-03-28T07:31:49Z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4026c6ab86fa4b0d9fc6ecd7a516541a</vt:lpwstr>
  </property>
  <property fmtid="{D5CDD505-2E9C-101B-9397-08002B2CF9AE}" pid="3" name="KSOProductBuildVer">
    <vt:lpwstr>2052-11.8.2.11718</vt:lpwstr>
  </property>
</Properties>
</file>