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240" w:afterLines="100" w:line="240" w:lineRule="auto"/>
        <w:ind w:firstLine="0" w:firstLineChars="0"/>
        <w:jc w:val="center"/>
        <w:rPr>
          <w:rFonts w:ascii="Arial" w:hAnsi="Arial" w:cs="Arial"/>
          <w:b/>
          <w:bCs/>
          <w:sz w:val="32"/>
          <w:szCs w:val="32"/>
        </w:rPr>
      </w:pPr>
      <w:bookmarkStart w:id="462" w:name="_GoBack"/>
      <w:bookmarkEnd w:id="462"/>
      <w:r>
        <w:rPr>
          <w:rFonts w:hint="eastAsia" w:ascii="Arial" w:hAnsi="Arial" w:cs="Arial"/>
          <w:b/>
          <w:bCs/>
          <w:sz w:val="32"/>
          <w:szCs w:val="32"/>
        </w:rPr>
        <w:t>快速阅读导引</w:t>
      </w:r>
    </w:p>
    <w:p>
      <w:pPr>
        <w:widowControl/>
        <w:adjustRightInd/>
        <w:snapToGrid/>
        <w:spacing w:line="360" w:lineRule="auto"/>
        <w:ind w:firstLine="0" w:firstLineChars="0"/>
        <w:rPr>
          <w:rFonts w:ascii="Arial" w:hAnsi="Arial" w:cs="Arial"/>
        </w:rPr>
      </w:pPr>
      <w:r>
        <w:rPr>
          <w:rFonts w:hint="eastAsia" w:ascii="Arial" w:hAnsi="Arial" w:cs="Arial"/>
        </w:rPr>
        <w:t>注意：您仍需阅读文件全部内容</w:t>
      </w:r>
    </w:p>
    <w:tbl>
      <w:tblPr>
        <w:tblStyle w:val="33"/>
        <w:tblW w:w="890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1</w:t>
            </w:r>
            <w:r>
              <w:rPr>
                <w:rFonts w:ascii="Arial" w:hAnsi="Arial" w:cs="Arial"/>
              </w:rPr>
              <w:t xml:space="preserve"> </w:t>
            </w:r>
            <w:r>
              <w:rPr>
                <w:rFonts w:hint="eastAsia" w:ascii="Arial" w:hAnsi="Arial" w:cs="Arial"/>
              </w:rPr>
              <w:t>项目编号</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X03423040008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2</w:t>
            </w:r>
            <w:r>
              <w:rPr>
                <w:rFonts w:ascii="Arial" w:hAnsi="Arial" w:cs="Arial"/>
              </w:rPr>
              <w:t xml:space="preserve"> </w:t>
            </w:r>
            <w:r>
              <w:rPr>
                <w:rFonts w:hint="eastAsia" w:ascii="Arial" w:hAnsi="Arial" w:cs="Arial"/>
              </w:rPr>
              <w:t>项目名称</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大连电厂-检修部电气专业吊车电缆采购询价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 </w:t>
            </w:r>
            <w:r>
              <w:rPr>
                <w:rFonts w:hint="eastAsia" w:ascii="Arial" w:hAnsi="Arial" w:cs="Arial"/>
              </w:rPr>
              <w:t>评审方法</w:t>
            </w:r>
          </w:p>
        </w:tc>
        <w:tc>
          <w:tcPr>
            <w:tcW w:w="6260" w:type="dxa"/>
            <w:vAlign w:val="center"/>
          </w:tcPr>
          <w:p>
            <w:pPr>
              <w:widowControl/>
              <w:adjustRightInd/>
              <w:snapToGrid/>
              <w:spacing w:line="360" w:lineRule="auto"/>
              <w:ind w:firstLine="0" w:firstLineChars="0"/>
              <w:rPr>
                <w:rFonts w:ascii="Arial" w:hAnsi="Arial" w:cs="Arial"/>
                <w:b/>
                <w:bCs/>
              </w:rPr>
            </w:pPr>
            <w:r>
              <w:rPr>
                <w:rFonts w:hint="eastAsia" w:ascii="Arial" w:hAnsi="Arial" w:cs="Arial"/>
                <w:b/>
                <w:bCs/>
              </w:rPr>
              <w:t>本项目评审方法为：</w:t>
            </w:r>
            <w:r>
              <w:rPr>
                <w:rFonts w:ascii="Arial" w:hAnsi="Arial" w:cs="Arial"/>
                <w:b/>
                <w:bCs/>
              </w:rPr>
              <w:t>最低价法</w:t>
            </w:r>
            <w:r>
              <w:rPr>
                <w:rFonts w:hint="eastAsia" w:ascii="Arial" w:hAnsi="Arial" w:cs="Arial"/>
                <w:b/>
                <w:bCs/>
              </w:rPr>
              <w:t>。</w:t>
            </w:r>
          </w:p>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.1 </w:t>
            </w:r>
            <w:r>
              <w:rPr>
                <w:rFonts w:hint="eastAsia" w:ascii="Arial" w:hAnsi="Arial" w:cs="Arial"/>
              </w:rPr>
              <w:t>最低价法：</w:t>
            </w:r>
          </w:p>
          <w:p>
            <w:pPr>
              <w:widowControl/>
              <w:adjustRightInd/>
              <w:snapToGrid/>
              <w:spacing w:line="360" w:lineRule="auto"/>
              <w:ind w:firstLine="0" w:firstLineChars="0"/>
              <w:rPr>
                <w:rFonts w:ascii="Arial" w:hAnsi="Arial" w:cs="Arial"/>
              </w:rPr>
            </w:pPr>
            <w:r>
              <w:rPr>
                <w:rFonts w:hint="eastAsia" w:ascii="Arial" w:hAnsi="Arial" w:cs="Arial"/>
              </w:rPr>
              <w:t xml:space="preserve"> </w:t>
            </w:r>
            <w:r>
              <w:rPr>
                <w:rFonts w:ascii="Arial" w:hAnsi="Arial" w:cs="Arial"/>
              </w:rPr>
              <w:t xml:space="preserve">   1</w:t>
            </w:r>
            <w:r>
              <w:rPr>
                <w:rFonts w:hint="eastAsia" w:ascii="Arial" w:hAnsi="Arial" w:cs="Arial"/>
              </w:rPr>
              <w:t>）在电商平台报价。</w:t>
            </w:r>
          </w:p>
          <w:p>
            <w:pPr>
              <w:widowControl/>
              <w:adjustRightInd/>
              <w:snapToGrid/>
              <w:spacing w:line="360" w:lineRule="auto"/>
              <w:ind w:firstLine="480"/>
              <w:rPr>
                <w:rFonts w:ascii="Arial" w:hAnsi="Arial" w:cs="Arial"/>
              </w:rPr>
            </w:pPr>
            <w:r>
              <w:rPr>
                <w:rFonts w:hint="eastAsia" w:ascii="Arial" w:hAnsi="Arial" w:cs="Arial"/>
              </w:rPr>
              <w:t>2）提交响应文件（可不提供）。</w:t>
            </w:r>
          </w:p>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.2 </w:t>
            </w:r>
            <w:r>
              <w:rPr>
                <w:rFonts w:hint="eastAsia" w:ascii="Arial" w:hAnsi="Arial" w:cs="Arial"/>
              </w:rPr>
              <w:t>经评审的最低价法：</w:t>
            </w:r>
          </w:p>
          <w:p>
            <w:pPr>
              <w:widowControl/>
              <w:adjustRightInd/>
              <w:snapToGrid/>
              <w:spacing w:line="360" w:lineRule="auto"/>
              <w:ind w:firstLine="480"/>
              <w:rPr>
                <w:rFonts w:ascii="Arial" w:hAnsi="Arial" w:cs="Arial"/>
              </w:rPr>
            </w:pPr>
            <w:r>
              <w:rPr>
                <w:rFonts w:hint="eastAsia" w:ascii="Arial" w:hAnsi="Arial" w:cs="Arial"/>
              </w:rPr>
              <w:t>1）在电商平台报价。</w:t>
            </w:r>
          </w:p>
          <w:p>
            <w:pPr>
              <w:widowControl/>
              <w:adjustRightInd/>
              <w:snapToGrid/>
              <w:spacing w:line="360" w:lineRule="auto"/>
              <w:ind w:firstLine="480"/>
              <w:rPr>
                <w:rFonts w:ascii="Arial" w:hAnsi="Arial" w:cs="Arial"/>
              </w:rPr>
            </w:pPr>
            <w:r>
              <w:rPr>
                <w:rFonts w:hint="eastAsia" w:ascii="Arial" w:hAnsi="Arial" w:cs="Arial"/>
              </w:rPr>
              <w:t>2）电商平台提交响应文件。不提供响应文件视为否则投标无效。投标为文件格式及内容参见第六章，推荐使用Word或PDF格式。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4</w:t>
            </w:r>
            <w:r>
              <w:rPr>
                <w:rFonts w:ascii="Arial" w:hAnsi="Arial" w:cs="Arial"/>
              </w:rPr>
              <w:t xml:space="preserve"> </w:t>
            </w:r>
            <w:r>
              <w:rPr>
                <w:rFonts w:hint="eastAsia" w:ascii="Arial" w:hAnsi="Arial" w:cs="Arial"/>
              </w:rPr>
              <w:t>资质要求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5</w:t>
            </w:r>
            <w:r>
              <w:rPr>
                <w:rFonts w:ascii="Arial" w:hAnsi="Arial" w:cs="Arial"/>
              </w:rPr>
              <w:t xml:space="preserve"> </w:t>
            </w:r>
            <w:r>
              <w:rPr>
                <w:rFonts w:hint="eastAsia" w:ascii="Arial" w:hAnsi="Arial" w:cs="Arial"/>
              </w:rPr>
              <w:t>业绩要求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6</w:t>
            </w:r>
            <w:r>
              <w:rPr>
                <w:rFonts w:ascii="Arial" w:hAnsi="Arial" w:cs="Arial"/>
              </w:rPr>
              <w:t xml:space="preserve"> </w:t>
            </w:r>
            <w:r>
              <w:rPr>
                <w:rFonts w:hint="eastAsia" w:ascii="Arial" w:hAnsi="Arial" w:cs="Arial"/>
              </w:rPr>
              <w:t>其他要求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7</w:t>
            </w:r>
            <w:r>
              <w:rPr>
                <w:rFonts w:ascii="Arial" w:hAnsi="Arial" w:cs="Arial"/>
              </w:rPr>
              <w:t xml:space="preserve"> </w:t>
            </w:r>
            <w:r>
              <w:rPr>
                <w:rFonts w:hint="eastAsia" w:ascii="Arial" w:hAnsi="Arial" w:cs="Arial"/>
              </w:rPr>
              <w:t>允许联合体和代理商</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否</w:t>
            </w:r>
            <w:r>
              <w:rPr>
                <w:rFonts w:hint="eastAsia" w:ascii="Arial" w:hAnsi="Arial" w:cs="Arial"/>
              </w:rPr>
              <w:t>；</w:t>
            </w:r>
            <w:r>
              <w:rPr>
                <w:rFonts w:ascii="Arial" w:hAnsi="Arial" w:cs="Aria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供应商资格补充要求</w:t>
            </w:r>
          </w:p>
        </w:tc>
        <w:tc>
          <w:tcPr>
            <w:tcW w:w="6260" w:type="dxa"/>
            <w:vAlign w:val="center"/>
          </w:tcPr>
          <w:p>
            <w:pPr>
              <w:widowControl/>
              <w:adjustRightInd/>
              <w:snapToGrid/>
              <w:spacing w:line="240" w:lineRule="auto"/>
              <w:ind w:firstLine="0" w:firstLineChars="0"/>
              <w:rPr>
                <w:rFonts w:ascii="Arial" w:hAnsi="Arial" w:cs="Arial"/>
              </w:rPr>
            </w:pPr>
            <w:r>
              <w:rPr>
                <w:rFonts w:hint="eastAsia" w:ascii="Arial" w:hAnsi="Arial" w:cs="Arial"/>
              </w:rPr>
              <w:t>合格投标人：</w:t>
            </w:r>
          </w:p>
          <w:p>
            <w:pPr>
              <w:widowControl/>
              <w:adjustRightInd/>
              <w:snapToGrid/>
              <w:spacing w:line="240" w:lineRule="auto"/>
              <w:ind w:firstLine="0" w:firstLineChars="0"/>
              <w:rPr>
                <w:rFonts w:ascii="Arial" w:hAnsi="Arial" w:cs="Arial"/>
              </w:rPr>
            </w:pPr>
            <w:r>
              <w:rPr>
                <w:rFonts w:hint="eastAsia" w:ascii="Arial" w:hAnsi="Arial" w:cs="Arial"/>
              </w:rPr>
              <w:t>（1）截至开标前一天，被列入“信用中国”网站(www.creditchina.gov.cn)、“国家企业信用信息公示系统”、供应商所在省市信用网站失信被执行人、行贿受贿行为人、重大税收违法案件当事人名单、近三年有重大违法记录，被列入“中国政府采购网”网站（www.ccgp.gov.cn）政府采购严重违法失信行为信息记录的供应商不得参加本采购项目。</w:t>
            </w:r>
          </w:p>
          <w:p>
            <w:pPr>
              <w:spacing w:line="240" w:lineRule="auto"/>
              <w:ind w:firstLine="0" w:firstLineChars="0"/>
              <w:rPr>
                <w:rFonts w:ascii="Arial" w:hAnsi="Arial" w:cs="Arial"/>
              </w:rPr>
            </w:pPr>
            <w:r>
              <w:rPr>
                <w:rFonts w:hint="eastAsia" w:ascii="Arial" w:hAnsi="Arial" w:cs="Arial"/>
              </w:rPr>
              <w:t>（2）单位负责人为同一人或者存在控股、管理关系的不同单位，不得参加同一标段投标或者未划分标段的同一招标项目投标。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（3）法定代表人为同一个人的两个及两个以上法人不得同时参与投标；投标人之间不应存在任何授权关系。如有此类情况，招标人有权将相关的文件视为无效或只接受先报名（报价）的投标人。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（4）存在股东交叉持股的单位不能同时参与。如有此类情况，招标人有权将相关的文件视为无效或只接受先报名（报价）的投标人。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（5）与招标人有合同纠纷、诉讼记录的，或所供货设备发生重大及以上质量安全责任事故的不得参加。</w:t>
            </w:r>
          </w:p>
          <w:p>
            <w:pPr>
              <w:widowControl/>
              <w:adjustRightInd/>
              <w:snapToGrid/>
              <w:spacing w:line="360" w:lineRule="auto"/>
              <w:ind w:firstLine="0" w:firstLineChars="0"/>
              <w:rPr>
                <w:rFonts w:ascii="Arial" w:hAnsi="Arial" w:cs="Arial"/>
              </w:rPr>
            </w:pPr>
          </w:p>
        </w:tc>
      </w:tr>
    </w:tbl>
    <w:p>
      <w:pPr>
        <w:widowControl/>
        <w:adjustRightInd/>
        <w:snapToGrid/>
        <w:spacing w:line="240" w:lineRule="auto"/>
        <w:ind w:firstLine="0" w:firstLineChars="0"/>
        <w:jc w:val="left"/>
        <w:rPr>
          <w:rFonts w:ascii="Arial" w:hAnsi="Arial" w:cs="Arial"/>
        </w:rPr>
      </w:pPr>
    </w:p>
    <w:p>
      <w:pPr>
        <w:widowControl/>
        <w:adjustRightInd/>
        <w:snapToGrid/>
        <w:spacing w:line="360" w:lineRule="auto"/>
        <w:ind w:firstLine="0" w:firstLineChars="0"/>
        <w:jc w:val="left"/>
        <w:rPr>
          <w:rFonts w:ascii="Arial" w:hAnsi="Arial" w:cs="Arial"/>
        </w:rPr>
      </w:pPr>
      <w:r>
        <w:rPr>
          <w:rFonts w:hint="eastAsia" w:ascii="Arial" w:hAnsi="Arial" w:cs="Arial"/>
        </w:rPr>
        <w:t>采购需求清单（详见第五章），到货天数指合同签订后送货期限。</w:t>
      </w:r>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9D9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9D9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1</w:t>
            </w:r>
          </w:p>
        </w:tc>
        <w:tc>
          <w:tcPr>
            <w:tcW w:w="1546" w:type="dxa"/>
            <w:vAlign w:val="center"/>
          </w:tcPr>
          <w:p>
            <w:pPr>
              <w:ind w:firstLine="0" w:firstLineChars="0"/>
              <w:jc w:val="center"/>
            </w:pPr>
            <w:r>
              <w:rPr>
                <w:rFonts w:ascii="Arial" w:hAnsi="Arial" w:cs="Arial"/>
              </w:rPr>
              <w:t>102571979</w:t>
            </w:r>
          </w:p>
          <w:p>
            <w:pPr>
              <w:ind w:firstLine="0" w:firstLineChars="0"/>
              <w:jc w:val="center"/>
            </w:pPr>
            <w:r>
              <w:rPr>
                <w:rFonts w:ascii="Arial" w:hAnsi="Arial" w:cs="Arial"/>
              </w:rPr>
              <w:t>电力电缆\\TVR\\3*6MM2＋1*4MM2\\300／500V</w:t>
            </w:r>
            <w:r>
              <w:rPr>
                <w:rFonts w:ascii="Arial" w:hAnsi="Arial" w:cs="Arial"/>
              </w:rPr>
              <w:br w:type="textWrapping"/>
            </w:r>
            <w:r>
              <w:rPr>
                <w:rFonts w:ascii="Arial" w:hAnsi="Arial" w:cs="Arial"/>
              </w:rPr>
              <w:t>(200米)</w:t>
            </w:r>
          </w:p>
        </w:tc>
        <w:tc>
          <w:tcPr>
            <w:tcW w:w="5400" w:type="dxa"/>
            <w:gridSpan w:val="2"/>
          </w:tcPr>
          <w:p>
            <w:pPr>
              <w:ind w:firstLine="0" w:firstLineChars="0"/>
              <w:jc w:val="left"/>
            </w:pPr>
            <w:r>
              <w:rPr>
                <w:rFonts w:ascii="Arial" w:hAnsi="Arial" w:cs="Arial"/>
              </w:rPr>
              <w:t>产品属性:通用标准产品</w:t>
            </w:r>
          </w:p>
          <w:p>
            <w:pPr>
              <w:ind w:firstLine="0" w:firstLineChars="0"/>
              <w:jc w:val="left"/>
            </w:pPr>
            <w:r>
              <w:rPr>
                <w:rFonts w:ascii="Arial" w:hAnsi="Arial" w:cs="Arial"/>
              </w:rPr>
              <w:t>规格型号:TVR</w:t>
            </w:r>
          </w:p>
          <w:p>
            <w:pPr>
              <w:ind w:firstLine="0" w:firstLineChars="0"/>
              <w:jc w:val="left"/>
            </w:pPr>
            <w:r>
              <w:rPr>
                <w:rFonts w:ascii="Arial" w:hAnsi="Arial" w:cs="Arial"/>
              </w:rPr>
              <w:t>材质:</w:t>
            </w:r>
          </w:p>
          <w:p>
            <w:pPr>
              <w:ind w:firstLine="0" w:firstLineChars="0"/>
              <w:jc w:val="left"/>
            </w:pPr>
            <w:r>
              <w:rPr>
                <w:rFonts w:ascii="Arial" w:hAnsi="Arial" w:cs="Arial"/>
              </w:rPr>
              <w:t>尺寸:</w:t>
            </w:r>
          </w:p>
          <w:p>
            <w:pPr>
              <w:ind w:firstLine="0" w:firstLineChars="0"/>
              <w:jc w:val="left"/>
            </w:pPr>
            <w:r>
              <w:rPr>
                <w:rFonts w:ascii="Arial" w:hAnsi="Arial" w:cs="Arial"/>
              </w:rPr>
              <w:t>主要参数:要求产品质量合格，型号为TVR\\3*6MM2＋1*4MM2\\300／500V。</w:t>
            </w:r>
          </w:p>
          <w:p>
            <w:pPr>
              <w:ind w:firstLine="0" w:firstLineChars="0"/>
              <w:jc w:val="left"/>
            </w:pPr>
            <w:r>
              <w:rPr>
                <w:rFonts w:ascii="Arial" w:hAnsi="Arial" w:cs="Arial"/>
              </w:rPr>
              <w:t>原产品制造商:</w:t>
            </w:r>
          </w:p>
          <w:p>
            <w:pPr>
              <w:ind w:firstLine="0" w:firstLineChars="0"/>
              <w:jc w:val="left"/>
            </w:pPr>
            <w:r>
              <w:rPr>
                <w:rFonts w:ascii="Arial" w:hAnsi="Arial" w:cs="Arial"/>
              </w:rPr>
              <w:t>参考品牌:</w:t>
            </w:r>
          </w:p>
          <w:p>
            <w:pPr>
              <w:ind w:firstLine="0" w:firstLineChars="0"/>
              <w:jc w:val="left"/>
            </w:pPr>
            <w:r>
              <w:rPr>
                <w:rFonts w:ascii="Arial" w:hAnsi="Arial" w:cs="Arial"/>
              </w:rPr>
              <w:t>机组:公用</w:t>
            </w:r>
          </w:p>
          <w:p>
            <w:pPr>
              <w:ind w:firstLine="0" w:firstLineChars="0"/>
              <w:jc w:val="left"/>
            </w:pPr>
            <w:r>
              <w:rPr>
                <w:rFonts w:ascii="Arial" w:hAnsi="Arial" w:cs="Arial"/>
              </w:rPr>
              <w:t>主设备:吊车</w:t>
            </w:r>
          </w:p>
          <w:p>
            <w:pPr>
              <w:ind w:firstLine="0" w:firstLineChars="0"/>
              <w:jc w:val="left"/>
            </w:pPr>
            <w:r>
              <w:rPr>
                <w:rFonts w:ascii="Arial" w:hAnsi="Arial" w:cs="Arial"/>
              </w:rPr>
              <w:t>使用环境:</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专项验收标准:应提供电缆合格证。</w:t>
            </w:r>
          </w:p>
          <w:p>
            <w:pPr>
              <w:ind w:firstLine="0" w:firstLineChars="0"/>
              <w:jc w:val="left"/>
            </w:pPr>
            <w:r>
              <w:rPr>
                <w:rFonts w:ascii="Arial" w:hAnsi="Arial" w:cs="Arial"/>
              </w:rPr>
              <w:t>质保期:12</w:t>
            </w:r>
          </w:p>
          <w:p>
            <w:pPr>
              <w:ind w:firstLine="0" w:firstLineChars="0"/>
              <w:jc w:val="left"/>
            </w:pPr>
            <w:r>
              <w:rPr>
                <w:rFonts w:ascii="Arial" w:hAnsi="Arial" w:cs="Arial"/>
              </w:rPr>
              <w:t>其他要求:若收到的产品与供货商提供的证明材料不符或经证明证明材料或产品系伪造的，并非正规原厂产品的，由中标方负责更换符合要求的产品。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2</w:t>
            </w:r>
          </w:p>
        </w:tc>
        <w:tc>
          <w:tcPr>
            <w:tcW w:w="1546" w:type="dxa"/>
            <w:vAlign w:val="center"/>
          </w:tcPr>
          <w:p>
            <w:pPr>
              <w:ind w:firstLine="0" w:firstLineChars="0"/>
              <w:jc w:val="center"/>
            </w:pPr>
            <w:r>
              <w:rPr>
                <w:rFonts w:ascii="Arial" w:hAnsi="Arial" w:cs="Arial"/>
              </w:rPr>
              <w:t>102571980</w:t>
            </w:r>
          </w:p>
          <w:p>
            <w:pPr>
              <w:ind w:firstLine="0" w:firstLineChars="0"/>
              <w:jc w:val="center"/>
            </w:pPr>
            <w:r>
              <w:rPr>
                <w:rFonts w:ascii="Arial" w:hAnsi="Arial" w:cs="Arial"/>
              </w:rPr>
              <w:t>电力电缆\\TVR\\3*10MM2＋1*6MM2\\300／500V</w:t>
            </w:r>
            <w:r>
              <w:rPr>
                <w:rFonts w:ascii="Arial" w:hAnsi="Arial" w:cs="Arial"/>
              </w:rPr>
              <w:br w:type="textWrapping"/>
            </w:r>
            <w:r>
              <w:rPr>
                <w:rFonts w:ascii="Arial" w:hAnsi="Arial" w:cs="Arial"/>
              </w:rPr>
              <w:t>(200米)</w:t>
            </w:r>
          </w:p>
        </w:tc>
        <w:tc>
          <w:tcPr>
            <w:tcW w:w="5400" w:type="dxa"/>
            <w:gridSpan w:val="2"/>
          </w:tcPr>
          <w:p>
            <w:pPr>
              <w:ind w:firstLine="0" w:firstLineChars="0"/>
              <w:jc w:val="left"/>
            </w:pPr>
            <w:r>
              <w:rPr>
                <w:rFonts w:ascii="Arial" w:hAnsi="Arial" w:cs="Arial"/>
              </w:rPr>
              <w:t>产品属性:通用标准产品</w:t>
            </w:r>
          </w:p>
          <w:p>
            <w:pPr>
              <w:ind w:firstLine="0" w:firstLineChars="0"/>
              <w:jc w:val="left"/>
            </w:pPr>
            <w:r>
              <w:rPr>
                <w:rFonts w:ascii="Arial" w:hAnsi="Arial" w:cs="Arial"/>
              </w:rPr>
              <w:t>规格型号:TVR</w:t>
            </w:r>
          </w:p>
          <w:p>
            <w:pPr>
              <w:ind w:firstLine="0" w:firstLineChars="0"/>
              <w:jc w:val="left"/>
            </w:pPr>
            <w:r>
              <w:rPr>
                <w:rFonts w:ascii="Arial" w:hAnsi="Arial" w:cs="Arial"/>
              </w:rPr>
              <w:t>材质:</w:t>
            </w:r>
          </w:p>
          <w:p>
            <w:pPr>
              <w:ind w:firstLine="0" w:firstLineChars="0"/>
              <w:jc w:val="left"/>
            </w:pPr>
            <w:r>
              <w:rPr>
                <w:rFonts w:ascii="Arial" w:hAnsi="Arial" w:cs="Arial"/>
              </w:rPr>
              <w:t>尺寸:</w:t>
            </w:r>
          </w:p>
          <w:p>
            <w:pPr>
              <w:ind w:firstLine="0" w:firstLineChars="0"/>
              <w:jc w:val="left"/>
            </w:pPr>
            <w:r>
              <w:rPr>
                <w:rFonts w:ascii="Arial" w:hAnsi="Arial" w:cs="Arial"/>
              </w:rPr>
              <w:t>主要参数:要求产品质量合格，型号为TVR\\3*10MM2＋1*6MM2\\300／500V。</w:t>
            </w:r>
          </w:p>
          <w:p>
            <w:pPr>
              <w:ind w:firstLine="0" w:firstLineChars="0"/>
              <w:jc w:val="left"/>
            </w:pPr>
            <w:r>
              <w:rPr>
                <w:rFonts w:ascii="Arial" w:hAnsi="Arial" w:cs="Arial"/>
              </w:rPr>
              <w:t>原产品制造商:</w:t>
            </w:r>
          </w:p>
          <w:p>
            <w:pPr>
              <w:ind w:firstLine="0" w:firstLineChars="0"/>
              <w:jc w:val="left"/>
            </w:pPr>
            <w:r>
              <w:rPr>
                <w:rFonts w:ascii="Arial" w:hAnsi="Arial" w:cs="Arial"/>
              </w:rPr>
              <w:t>参考品牌:</w:t>
            </w:r>
          </w:p>
          <w:p>
            <w:pPr>
              <w:ind w:firstLine="0" w:firstLineChars="0"/>
              <w:jc w:val="left"/>
            </w:pPr>
            <w:r>
              <w:rPr>
                <w:rFonts w:ascii="Arial" w:hAnsi="Arial" w:cs="Arial"/>
              </w:rPr>
              <w:t>机组:</w:t>
            </w:r>
          </w:p>
          <w:p>
            <w:pPr>
              <w:ind w:firstLine="0" w:firstLineChars="0"/>
              <w:jc w:val="left"/>
            </w:pPr>
            <w:r>
              <w:rPr>
                <w:rFonts w:ascii="Arial" w:hAnsi="Arial" w:cs="Arial"/>
              </w:rPr>
              <w:t>主设备:吊车</w:t>
            </w:r>
          </w:p>
          <w:p>
            <w:pPr>
              <w:ind w:firstLine="0" w:firstLineChars="0"/>
              <w:jc w:val="left"/>
            </w:pPr>
            <w:r>
              <w:rPr>
                <w:rFonts w:ascii="Arial" w:hAnsi="Arial" w:cs="Arial"/>
              </w:rPr>
              <w:t>使用环境:</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专项验收标准:应提供电缆合格证。</w:t>
            </w:r>
          </w:p>
          <w:p>
            <w:pPr>
              <w:ind w:firstLine="0" w:firstLineChars="0"/>
              <w:jc w:val="left"/>
            </w:pPr>
            <w:r>
              <w:rPr>
                <w:rFonts w:ascii="Arial" w:hAnsi="Arial" w:cs="Arial"/>
              </w:rPr>
              <w:t>质保期:12</w:t>
            </w:r>
          </w:p>
          <w:p>
            <w:pPr>
              <w:ind w:firstLine="0" w:firstLineChars="0"/>
              <w:jc w:val="left"/>
            </w:pPr>
            <w:r>
              <w:rPr>
                <w:rFonts w:ascii="Arial" w:hAnsi="Arial" w:cs="Arial"/>
              </w:rPr>
              <w:t>其他要求:若收到的产品与供货商提供的证明材料不符或经证明证明材料或产品系伪造的，并非正规原厂产品的，由中标方负责更换符合要求的产品。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3</w:t>
            </w:r>
          </w:p>
        </w:tc>
        <w:tc>
          <w:tcPr>
            <w:tcW w:w="1546" w:type="dxa"/>
            <w:vAlign w:val="center"/>
          </w:tcPr>
          <w:p>
            <w:pPr>
              <w:ind w:firstLine="0" w:firstLineChars="0"/>
              <w:jc w:val="center"/>
            </w:pPr>
            <w:r>
              <w:rPr>
                <w:rFonts w:ascii="Arial" w:hAnsi="Arial" w:cs="Arial"/>
              </w:rPr>
              <w:t>102571982</w:t>
            </w:r>
          </w:p>
          <w:p>
            <w:pPr>
              <w:ind w:firstLine="0" w:firstLineChars="0"/>
              <w:jc w:val="center"/>
            </w:pPr>
            <w:r>
              <w:rPr>
                <w:rFonts w:ascii="Arial" w:hAnsi="Arial" w:cs="Arial"/>
              </w:rPr>
              <w:t>电力电缆\\TVR\\3*16MM2＋1*6MM2\\300／500V</w:t>
            </w:r>
            <w:r>
              <w:rPr>
                <w:rFonts w:ascii="Arial" w:hAnsi="Arial" w:cs="Arial"/>
              </w:rPr>
              <w:br w:type="textWrapping"/>
            </w:r>
            <w:r>
              <w:rPr>
                <w:rFonts w:ascii="Arial" w:hAnsi="Arial" w:cs="Arial"/>
              </w:rPr>
              <w:t>(200米)</w:t>
            </w:r>
          </w:p>
        </w:tc>
        <w:tc>
          <w:tcPr>
            <w:tcW w:w="5400" w:type="dxa"/>
            <w:gridSpan w:val="2"/>
          </w:tcPr>
          <w:p>
            <w:pPr>
              <w:ind w:firstLine="0" w:firstLineChars="0"/>
              <w:jc w:val="left"/>
            </w:pPr>
            <w:r>
              <w:rPr>
                <w:rFonts w:ascii="Arial" w:hAnsi="Arial" w:cs="Arial"/>
              </w:rPr>
              <w:t>产品属性:通用标准产品</w:t>
            </w:r>
          </w:p>
          <w:p>
            <w:pPr>
              <w:ind w:firstLine="0" w:firstLineChars="0"/>
              <w:jc w:val="left"/>
            </w:pPr>
            <w:r>
              <w:rPr>
                <w:rFonts w:ascii="Arial" w:hAnsi="Arial" w:cs="Arial"/>
              </w:rPr>
              <w:t>规格型号:TVR</w:t>
            </w:r>
          </w:p>
          <w:p>
            <w:pPr>
              <w:ind w:firstLine="0" w:firstLineChars="0"/>
              <w:jc w:val="left"/>
            </w:pPr>
            <w:r>
              <w:rPr>
                <w:rFonts w:ascii="Arial" w:hAnsi="Arial" w:cs="Arial"/>
              </w:rPr>
              <w:t>材质:</w:t>
            </w:r>
          </w:p>
          <w:p>
            <w:pPr>
              <w:ind w:firstLine="0" w:firstLineChars="0"/>
              <w:jc w:val="left"/>
            </w:pPr>
            <w:r>
              <w:rPr>
                <w:rFonts w:ascii="Arial" w:hAnsi="Arial" w:cs="Arial"/>
              </w:rPr>
              <w:t>尺寸:</w:t>
            </w:r>
          </w:p>
          <w:p>
            <w:pPr>
              <w:ind w:firstLine="0" w:firstLineChars="0"/>
              <w:jc w:val="left"/>
            </w:pPr>
            <w:r>
              <w:rPr>
                <w:rFonts w:ascii="Arial" w:hAnsi="Arial" w:cs="Arial"/>
              </w:rPr>
              <w:t>主要参数:要求产品质量合格，型号为TVR\\3*16MM2＋1*6MM2\\300／500V</w:t>
            </w:r>
          </w:p>
          <w:p>
            <w:pPr>
              <w:ind w:firstLine="0" w:firstLineChars="0"/>
              <w:jc w:val="left"/>
            </w:pPr>
            <w:r>
              <w:rPr>
                <w:rFonts w:ascii="Arial" w:hAnsi="Arial" w:cs="Arial"/>
              </w:rPr>
              <w:t>原产品制造商:</w:t>
            </w:r>
          </w:p>
          <w:p>
            <w:pPr>
              <w:ind w:firstLine="0" w:firstLineChars="0"/>
              <w:jc w:val="left"/>
            </w:pPr>
            <w:r>
              <w:rPr>
                <w:rFonts w:ascii="Arial" w:hAnsi="Arial" w:cs="Arial"/>
              </w:rPr>
              <w:t>参考品牌:</w:t>
            </w:r>
          </w:p>
          <w:p>
            <w:pPr>
              <w:ind w:firstLine="0" w:firstLineChars="0"/>
              <w:jc w:val="left"/>
            </w:pPr>
            <w:r>
              <w:rPr>
                <w:rFonts w:ascii="Arial" w:hAnsi="Arial" w:cs="Arial"/>
              </w:rPr>
              <w:t>机组:</w:t>
            </w:r>
          </w:p>
          <w:p>
            <w:pPr>
              <w:ind w:firstLine="0" w:firstLineChars="0"/>
              <w:jc w:val="left"/>
            </w:pPr>
            <w:r>
              <w:rPr>
                <w:rFonts w:ascii="Arial" w:hAnsi="Arial" w:cs="Arial"/>
              </w:rPr>
              <w:t>主设备:吊车</w:t>
            </w:r>
          </w:p>
          <w:p>
            <w:pPr>
              <w:ind w:firstLine="0" w:firstLineChars="0"/>
              <w:jc w:val="left"/>
            </w:pPr>
            <w:r>
              <w:rPr>
                <w:rFonts w:ascii="Arial" w:hAnsi="Arial" w:cs="Arial"/>
              </w:rPr>
              <w:t>使用环境:</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专项验收标准:应提供电缆合格证。</w:t>
            </w:r>
          </w:p>
          <w:p>
            <w:pPr>
              <w:ind w:firstLine="0" w:firstLineChars="0"/>
              <w:jc w:val="left"/>
            </w:pPr>
            <w:r>
              <w:rPr>
                <w:rFonts w:ascii="Arial" w:hAnsi="Arial" w:cs="Arial"/>
              </w:rPr>
              <w:t>质保期:12</w:t>
            </w:r>
          </w:p>
          <w:p>
            <w:pPr>
              <w:ind w:firstLine="0" w:firstLineChars="0"/>
              <w:jc w:val="left"/>
            </w:pPr>
            <w:r>
              <w:rPr>
                <w:rFonts w:ascii="Arial" w:hAnsi="Arial" w:cs="Arial"/>
              </w:rPr>
              <w:t>其他要求:若收到的产品与供货商提供的证明材料不符或经证明证明材料或产品系伪造的，并非正规原厂产品的，由中标方负责更换符合要求的产品。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30</w:t>
            </w:r>
          </w:p>
        </w:tc>
      </w:tr>
    </w:tbl>
    <w:p>
      <w:pPr>
        <w:widowControl/>
        <w:adjustRightInd/>
        <w:snapToGrid/>
        <w:spacing w:line="240" w:lineRule="auto"/>
        <w:ind w:firstLine="0" w:firstLineChars="0"/>
        <w:jc w:val="left"/>
        <w:rPr>
          <w:rFonts w:ascii="Arial" w:hAnsi="Arial" w:cs="Arial"/>
        </w:rPr>
      </w:pPr>
      <w:r>
        <w:rPr>
          <w:rFonts w:hint="eastAsia" w:ascii="Arial" w:hAnsi="Arial" w:cs="Arial"/>
        </w:rPr>
        <w:t>*如文件中出现参考品牌，不代表招标人具有指向性，投标产品需满足或高于参考品牌的性能参数和设备使用功能。</w:t>
      </w:r>
    </w:p>
    <w:p>
      <w:pPr>
        <w:widowControl/>
        <w:adjustRightInd/>
        <w:snapToGrid/>
        <w:spacing w:line="240" w:lineRule="auto"/>
        <w:ind w:firstLine="0" w:firstLineChars="0"/>
        <w:jc w:val="left"/>
        <w:rPr>
          <w:rFonts w:ascii="Arial" w:hAnsi="Arial" w:cs="Arial"/>
        </w:rPr>
      </w:pPr>
      <w:r>
        <w:rPr>
          <w:rFonts w:ascii="Arial" w:hAnsi="Arial" w:cs="Arial"/>
        </w:rPr>
        <w:br w:type="page"/>
      </w:r>
    </w:p>
    <w:p>
      <w:pPr>
        <w:spacing w:after="120" w:line="360" w:lineRule="auto"/>
        <w:ind w:firstLine="0" w:firstLineChars="0"/>
        <w:jc w:val="left"/>
        <w:rPr>
          <w:rFonts w:ascii="Arial" w:hAnsi="Arial" w:cs="Arial"/>
          <w:bCs/>
          <w:sz w:val="28"/>
          <w:szCs w:val="28"/>
        </w:rPr>
      </w:pPr>
      <w:r>
        <w:rPr>
          <w:rFonts w:ascii="Arial" w:hAnsi="Arial" w:cs="Arial"/>
        </w:rPr>
        <w:drawing>
          <wp:anchor distT="0" distB="0" distL="114300" distR="114300" simplePos="0" relativeHeight="251657216"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ascii="Arial" w:hAnsi="Arial" w:cs="Arial"/>
        </w:rPr>
        <w:t>版本编号：</w:t>
      </w:r>
      <w:r>
        <w:rPr>
          <w:rFonts w:ascii="Arial" w:hAnsi="Arial" w:cs="Arial"/>
        </w:rPr>
        <w:t xml:space="preserve">V22.6.6              </w:t>
      </w:r>
      <w:r>
        <w:rPr>
          <w:rFonts w:hint="eastAsia" w:ascii="Arial" w:hAnsi="Arial" w:cs="Arial"/>
        </w:rPr>
        <w:t xml:space="preserve">     </w:t>
      </w:r>
      <w:r>
        <w:rPr>
          <w:rFonts w:ascii="Arial" w:hAnsi="Arial" w:cs="Arial"/>
        </w:rPr>
        <w:t xml:space="preserve">       </w:t>
      </w:r>
    </w:p>
    <w:p>
      <w:pPr>
        <w:spacing w:line="760" w:lineRule="exact"/>
        <w:ind w:firstLine="880"/>
        <w:rPr>
          <w:sz w:val="44"/>
        </w:rPr>
      </w:pPr>
    </w:p>
    <w:p>
      <w:pPr>
        <w:spacing w:line="400" w:lineRule="exact"/>
        <w:ind w:firstLine="480"/>
        <w:jc w:val="center"/>
      </w:pPr>
    </w:p>
    <w:p>
      <w:pPr>
        <w:spacing w:line="400" w:lineRule="exact"/>
        <w:ind w:firstLine="480"/>
        <w:jc w:val="cente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中国华能集团有限公司</w:t>
      </w:r>
    </w:p>
    <w:p>
      <w:pPr>
        <w:adjustRightInd/>
        <w:snapToGrid/>
        <w:spacing w:line="240" w:lineRule="auto"/>
        <w:ind w:firstLine="0" w:firstLineChars="0"/>
        <w:jc w:val="center"/>
        <w:rPr>
          <w:rFonts w:ascii="黑体" w:hAnsi="黑体" w:eastAsia="黑体"/>
          <w:sz w:val="44"/>
          <w:szCs w:val="22"/>
        </w:rPr>
      </w:pPr>
    </w:p>
    <w:p>
      <w:pPr>
        <w:spacing w:line="240" w:lineRule="auto"/>
        <w:ind w:firstLine="0" w:firstLineChars="0"/>
        <w:jc w:val="center"/>
        <w:rPr>
          <w:sz w:val="7"/>
        </w:rPr>
      </w:pPr>
    </w:p>
    <w:p>
      <w:pPr>
        <w:spacing w:line="240" w:lineRule="auto"/>
        <w:ind w:firstLine="0" w:firstLineChars="0"/>
        <w:jc w:val="center"/>
        <w:rPr>
          <w:rFonts w:ascii="方正小标宋简体" w:eastAsia="方正小标宋简体"/>
          <w:sz w:val="5"/>
        </w:rPr>
      </w:pPr>
    </w:p>
    <w:p>
      <w:pPr>
        <w:adjustRightInd/>
        <w:snapToGrid/>
        <w:spacing w:line="240" w:lineRule="auto"/>
        <w:ind w:firstLine="0" w:firstLineChars="0"/>
        <w:jc w:val="center"/>
        <w:rPr>
          <w:rFonts w:ascii="黑体" w:hAnsi="黑体" w:eastAsia="黑体"/>
          <w:sz w:val="56"/>
          <w:szCs w:val="22"/>
        </w:rPr>
      </w:pPr>
      <w:r>
        <w:rPr>
          <w:rFonts w:hint="eastAsia" w:ascii="黑体" w:hAnsi="黑体" w:eastAsia="黑体"/>
          <w:sz w:val="56"/>
          <w:szCs w:val="22"/>
        </w:rPr>
        <w:t>标准询价采购文件</w:t>
      </w:r>
    </w:p>
    <w:p>
      <w:pPr>
        <w:spacing w:line="240" w:lineRule="auto"/>
        <w:ind w:firstLine="0" w:firstLineChars="0"/>
        <w:jc w:val="center"/>
        <w:rPr>
          <w:rFonts w:ascii="黑体" w:eastAsia="黑体"/>
          <w:sz w:val="28"/>
          <w:szCs w:val="28"/>
        </w:rPr>
      </w:pPr>
    </w:p>
    <w:p>
      <w:pPr>
        <w:spacing w:line="240" w:lineRule="auto"/>
        <w:ind w:firstLine="0" w:firstLineChars="0"/>
        <w:rPr>
          <w:rFonts w:ascii="黑体" w:eastAsia="黑体"/>
          <w:sz w:val="28"/>
          <w:szCs w:val="28"/>
        </w:rPr>
      </w:pPr>
      <w:r>
        <w:rPr>
          <w:rFonts w:hint="eastAsia" w:ascii="黑体" w:eastAsia="黑体"/>
          <w:sz w:val="28"/>
          <w:szCs w:val="28"/>
        </w:rPr>
        <w:t xml:space="preserve">                    采购编号：</w:t>
      </w:r>
      <w:r>
        <w:rPr>
          <w:rFonts w:ascii="黑体" w:eastAsia="黑体"/>
          <w:sz w:val="28"/>
          <w:szCs w:val="28"/>
        </w:rPr>
        <w:t>X03423040008</w:t>
      </w:r>
    </w:p>
    <w:p>
      <w:pPr>
        <w:spacing w:line="240" w:lineRule="auto"/>
        <w:ind w:firstLine="0" w:firstLineChars="0"/>
        <w:jc w:val="center"/>
      </w:pPr>
      <w:r>
        <w:rPr>
          <w:rFonts w:hint="eastAsia"/>
        </w:rPr>
        <w:t xml:space="preserve"> </w:t>
      </w: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rPr>
          <w:rFonts w:ascii="黑体" w:hAnsi="黑体" w:eastAsia="黑体"/>
        </w:rPr>
      </w:pPr>
    </w:p>
    <w:p>
      <w:pPr>
        <w:spacing w:line="400" w:lineRule="exact"/>
        <w:ind w:firstLine="0" w:firstLineChars="0"/>
        <w:jc w:val="center"/>
        <w:rPr>
          <w:rFonts w:ascii="黑体" w:hAnsi="黑体" w:eastAsia="黑体"/>
        </w:rPr>
      </w:pPr>
    </w:p>
    <w:tbl>
      <w:tblPr>
        <w:tblStyle w:val="32"/>
        <w:tblW w:w="7303" w:type="dxa"/>
        <w:jc w:val="center"/>
        <w:tblInd w:w="0" w:type="dxa"/>
        <w:tblLayout w:type="fixed"/>
        <w:tblCellMar>
          <w:top w:w="0" w:type="dxa"/>
          <w:left w:w="108" w:type="dxa"/>
          <w:bottom w:w="0" w:type="dxa"/>
          <w:right w:w="108" w:type="dxa"/>
        </w:tblCellMar>
      </w:tblPr>
      <w:tblGrid>
        <w:gridCol w:w="1995"/>
        <w:gridCol w:w="236"/>
        <w:gridCol w:w="5072"/>
      </w:tblGrid>
      <w:tr>
        <w:tblPrEx>
          <w:tblLayout w:type="fixed"/>
          <w:tblCellMar>
            <w:top w:w="0" w:type="dxa"/>
            <w:left w:w="108" w:type="dxa"/>
            <w:bottom w:w="0" w:type="dxa"/>
            <w:right w:w="108" w:type="dxa"/>
          </w:tblCellMar>
        </w:tblPrEx>
        <w:trPr>
          <w:trHeight w:val="603" w:hRule="atLeast"/>
          <w:jc w:val="center"/>
        </w:trPr>
        <w:tc>
          <w:tcPr>
            <w:tcW w:w="1995"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vAlign w:val="center"/>
          </w:tcPr>
          <w:p>
            <w:pPr>
              <w:spacing w:line="0" w:lineRule="atLeast"/>
              <w:ind w:firstLine="0" w:firstLineChars="0"/>
              <w:rPr>
                <w:rFonts w:ascii="黑体" w:hAnsi="黑体" w:eastAsia="黑体" w:cs="楷体_GB2312"/>
                <w:sz w:val="28"/>
                <w:szCs w:val="28"/>
                <w:u w:val="single"/>
              </w:rPr>
            </w:pPr>
            <w:r>
              <w:rPr>
                <w:rFonts w:hint="eastAsia" w:ascii="楷体" w:hAnsi="楷体" w:eastAsia="楷体"/>
                <w:sz w:val="28"/>
                <w:szCs w:val="28"/>
                <w:u w:val="single"/>
              </w:rPr>
              <w:t>华能国际电力股份有限公司大连电厂</w:t>
            </w:r>
          </w:p>
        </w:tc>
      </w:tr>
      <w:tr>
        <w:tblPrEx>
          <w:tblLayout w:type="fixed"/>
          <w:tblCellMar>
            <w:top w:w="0" w:type="dxa"/>
            <w:left w:w="108" w:type="dxa"/>
            <w:bottom w:w="0" w:type="dxa"/>
            <w:right w:w="108" w:type="dxa"/>
          </w:tblCellMar>
        </w:tblPrEx>
        <w:trPr>
          <w:trHeight w:val="603" w:hRule="atLeast"/>
          <w:jc w:val="center"/>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黑体" w:hAnsi="黑体" w:eastAsia="黑体"/>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无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p>
        </w:tc>
      </w:tr>
      <w:tr>
        <w:tblPrEx>
          <w:tblLayout w:type="fixed"/>
          <w:tblCellMar>
            <w:top w:w="0" w:type="dxa"/>
            <w:left w:w="108" w:type="dxa"/>
            <w:bottom w:w="0" w:type="dxa"/>
            <w:right w:w="108" w:type="dxa"/>
          </w:tblCellMar>
        </w:tblPrEx>
        <w:trPr>
          <w:trHeight w:val="603" w:hRule="atLeast"/>
          <w:jc w:val="center"/>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楷体" w:hAnsi="楷体" w:eastAsia="楷体"/>
                <w:sz w:val="28"/>
                <w:szCs w:val="28"/>
                <w:u w:val="single"/>
              </w:rPr>
            </w:pPr>
            <w:r>
              <w:rPr>
                <w:rFonts w:ascii="楷体" w:hAnsi="楷体" w:eastAsia="楷体"/>
                <w:kern w:val="0"/>
                <w:sz w:val="28"/>
                <w:szCs w:val="28"/>
                <w:u w:val="single"/>
              </w:rPr>
              <w:t xml:space="preserve">                                    </w:t>
            </w:r>
          </w:p>
        </w:tc>
      </w:tr>
    </w:tbl>
    <w:p>
      <w:pPr>
        <w:pStyle w:val="2"/>
        <w:ind w:firstLine="880"/>
        <w:jc w:val="center"/>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bookmarkEnd w:id="0"/>
    <w:p>
      <w:pPr>
        <w:ind w:firstLine="0" w:firstLineChars="0"/>
        <w:jc w:val="center"/>
        <w:rPr>
          <w:rFonts w:ascii="黑体" w:hAnsi="黑体" w:eastAsia="黑体" w:cs="黑体"/>
          <w:sz w:val="36"/>
          <w:szCs w:val="36"/>
        </w:rPr>
      </w:pPr>
      <w:r>
        <w:rPr>
          <w:rFonts w:hint="eastAsia" w:ascii="黑体" w:hAnsi="黑体" w:eastAsia="黑体" w:cs="黑体"/>
          <w:sz w:val="36"/>
          <w:szCs w:val="36"/>
        </w:rPr>
        <w:t>使 用 说 明</w:t>
      </w:r>
    </w:p>
    <w:p>
      <w:pPr>
        <w:ind w:firstLine="480"/>
      </w:pPr>
      <w:r>
        <w:rPr>
          <w:rFonts w:hint="eastAsia"/>
        </w:rPr>
        <w:t>一、《标准询价采购文件》适用于《中国华能集团有限公司非招标采购管理办法》第十八条规定的下列条件之一的且经采购承办部门批准的情况：</w:t>
      </w:r>
    </w:p>
    <w:p>
      <w:pPr>
        <w:ind w:firstLine="480"/>
      </w:pPr>
      <w:r>
        <w:rPr>
          <w:rFonts w:hint="eastAsia"/>
        </w:rPr>
        <w:t>（一）采购的工程、物资或者服务规格、标准统一、供应充足且价格变化幅度小的；</w:t>
      </w:r>
    </w:p>
    <w:p>
      <w:pPr>
        <w:ind w:firstLine="480"/>
      </w:pPr>
      <w:r>
        <w:rPr>
          <w:rFonts w:hint="eastAsia"/>
        </w:rPr>
        <w:t>（二）技术标准或要求相对简单，采购质量标准相对明确，合同估算价相对较低，能够形成充分竞争的。</w:t>
      </w:r>
    </w:p>
    <w:p>
      <w:pPr>
        <w:ind w:firstLine="480"/>
      </w:pPr>
      <w:r>
        <w:rPr>
          <w:rFonts w:hint="eastAsia"/>
        </w:rPr>
        <w:t>二、采购人</w:t>
      </w:r>
      <w:r>
        <w:t>/</w:t>
      </w:r>
      <w:r>
        <w:rPr>
          <w:rFonts w:hint="eastAsia"/>
        </w:rPr>
        <w:t>采购代理机构编制具体采购项目的采购文件只须对采购文件中的采购公告/采购邀请函、</w:t>
      </w:r>
      <w:r>
        <w:rPr>
          <w:rFonts w:hint="eastAsia" w:eastAsia="楷体"/>
          <w:u w:val="single"/>
        </w:rPr>
        <w:t>供应商须知前附表</w:t>
      </w:r>
      <w:r>
        <w:rPr>
          <w:rFonts w:hint="eastAsia"/>
        </w:rPr>
        <w:t>、合同条款、采购需求文件等部分进行填写和补充，确实没有需要填写的，在空格中用“/”标示。</w:t>
      </w:r>
    </w:p>
    <w:p>
      <w:pPr>
        <w:ind w:firstLine="480"/>
      </w:pPr>
      <w:r>
        <w:rPr>
          <w:rFonts w:hint="eastAsia"/>
        </w:rPr>
        <w:t>三、采购人/采购代理机构将在中国华能集团有限公司电子商务平台上发布采购公告/采购邀请函</w:t>
      </w:r>
      <w:r>
        <w:rPr>
          <w:rFonts w:hint="eastAsia"/>
          <w:szCs w:val="24"/>
        </w:rPr>
        <w:t>，采购公告/采购邀请函中应明确交货（或服务）地点，精确到县级</w:t>
      </w:r>
      <w:r>
        <w:rPr>
          <w:rFonts w:hint="eastAsia"/>
        </w:rPr>
        <w:t>，发布的采购公告/采购邀请函作为采购文件的一部分。如后续发布变更邀请函或第二次采购邀请函，也将作为采购文件的一部分。</w:t>
      </w:r>
    </w:p>
    <w:p>
      <w:pPr>
        <w:ind w:firstLine="480"/>
      </w:pPr>
      <w:r>
        <w:rPr>
          <w:rFonts w:hint="eastAsia"/>
        </w:rPr>
        <w:t>四、</w:t>
      </w:r>
      <w:r>
        <w:rPr>
          <w:rFonts w:hint="eastAsia" w:eastAsia="楷体"/>
          <w:u w:val="single"/>
        </w:rPr>
        <w:t>供应商须知前附表</w:t>
      </w:r>
      <w:r>
        <w:rPr>
          <w:rFonts w:hint="eastAsia"/>
        </w:rPr>
        <w:t>、供应商须知正文、响应文件格式附件中对于同一表述的内容、使用了相同的条款号，便于条款前后对应，避免条款前后不一致。</w:t>
      </w:r>
    </w:p>
    <w:p>
      <w:pPr>
        <w:ind w:firstLine="480"/>
      </w:pPr>
      <w:r>
        <w:rPr>
          <w:rFonts w:hint="eastAsia"/>
        </w:rPr>
        <w:t>五、《标准询价采购文件》中第四章合同条款及格式、第五章采购需求由采购人根据采购项目具体特点和实际情况编制，应尽量简化。</w:t>
      </w:r>
    </w:p>
    <w:p>
      <w:pPr>
        <w:ind w:firstLine="480"/>
      </w:pPr>
      <w:r>
        <w:rPr>
          <w:rFonts w:hint="eastAsia"/>
        </w:rPr>
        <w:br w:type="page"/>
      </w:r>
    </w:p>
    <w:p>
      <w:pPr>
        <w:spacing w:line="360" w:lineRule="auto"/>
        <w:ind w:firstLine="0" w:firstLineChars="0"/>
        <w:jc w:val="center"/>
        <w:rPr>
          <w:lang w:val="zh-CN"/>
        </w:rPr>
      </w:pPr>
      <w:r>
        <w:rPr>
          <w:rFonts w:ascii="黑体" w:eastAsia="黑体"/>
          <w:sz w:val="36"/>
          <w:szCs w:val="32"/>
        </w:rPr>
        <w:t>目 录</w:t>
      </w:r>
    </w:p>
    <w:p>
      <w:pPr>
        <w:pStyle w:val="21"/>
        <w:tabs>
          <w:tab w:val="right" w:leader="dot" w:pos="9027"/>
        </w:tabs>
        <w:ind w:firstLine="442"/>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"_Toc93" </w:instrText>
      </w:r>
      <w:r>
        <w:fldChar w:fldCharType="separate"/>
      </w:r>
      <w:r>
        <w:t xml:space="preserve">第一章 </w:t>
      </w:r>
      <w:r>
        <w:rPr>
          <w:rFonts w:hint="eastAsia"/>
        </w:rPr>
        <w:t>采购公告（合格供应商公开）</w:t>
      </w:r>
      <w:r>
        <w:tab/>
      </w:r>
      <w:r>
        <w:fldChar w:fldCharType="begin"/>
      </w:r>
      <w:r>
        <w:instrText xml:space="preserve"> PAGEREF _Toc93 \h </w:instrText>
      </w:r>
      <w:r>
        <w:fldChar w:fldCharType="separate"/>
      </w:r>
      <w:r>
        <w:t>2</w:t>
      </w:r>
      <w:r>
        <w:fldChar w:fldCharType="end"/>
      </w:r>
      <w:r>
        <w:fldChar w:fldCharType="end"/>
      </w:r>
    </w:p>
    <w:p>
      <w:pPr>
        <w:pStyle w:val="21"/>
        <w:tabs>
          <w:tab w:val="right" w:leader="dot" w:pos="9027"/>
        </w:tabs>
        <w:ind w:firstLine="480"/>
      </w:pPr>
      <w:r>
        <w:fldChar w:fldCharType="begin"/>
      </w:r>
      <w:r>
        <w:instrText xml:space="preserve"> HYPERLINK \l "_Toc25047" </w:instrText>
      </w:r>
      <w:r>
        <w:fldChar w:fldCharType="separate"/>
      </w:r>
      <w:r>
        <w:t xml:space="preserve">第一章 </w:t>
      </w:r>
      <w:r>
        <w:rPr>
          <w:rFonts w:hint="eastAsia"/>
        </w:rPr>
        <w:t>采购邀请函（邀请方式）</w:t>
      </w:r>
      <w:r>
        <w:tab/>
      </w:r>
      <w:r>
        <w:fldChar w:fldCharType="begin"/>
      </w:r>
      <w:r>
        <w:instrText xml:space="preserve"> PAGEREF _Toc25047 \h </w:instrText>
      </w:r>
      <w:r>
        <w:fldChar w:fldCharType="separate"/>
      </w:r>
      <w:r>
        <w:t>4</w:t>
      </w:r>
      <w:r>
        <w:fldChar w:fldCharType="end"/>
      </w:r>
      <w:r>
        <w:fldChar w:fldCharType="end"/>
      </w:r>
    </w:p>
    <w:p>
      <w:pPr>
        <w:pStyle w:val="21"/>
        <w:tabs>
          <w:tab w:val="right" w:leader="dot" w:pos="9027"/>
        </w:tabs>
        <w:ind w:firstLine="480"/>
      </w:pPr>
      <w:r>
        <w:fldChar w:fldCharType="begin"/>
      </w:r>
      <w:r>
        <w:instrText xml:space="preserve"> HYPERLINK \l "_Toc27560" </w:instrText>
      </w:r>
      <w:r>
        <w:fldChar w:fldCharType="separate"/>
      </w:r>
      <w:r>
        <w:rPr>
          <w:rFonts w:hint="eastAsia"/>
        </w:rPr>
        <w:t>第二章 供应商须知及前附表</w:t>
      </w:r>
      <w:r>
        <w:tab/>
      </w:r>
      <w:r>
        <w:fldChar w:fldCharType="begin"/>
      </w:r>
      <w:r>
        <w:instrText xml:space="preserve"> PAGEREF _Toc27560 \h </w:instrText>
      </w:r>
      <w:r>
        <w:fldChar w:fldCharType="separate"/>
      </w:r>
      <w:r>
        <w:t>6</w:t>
      </w:r>
      <w:r>
        <w:fldChar w:fldCharType="end"/>
      </w:r>
      <w:r>
        <w:fldChar w:fldCharType="end"/>
      </w:r>
    </w:p>
    <w:p>
      <w:pPr>
        <w:pStyle w:val="23"/>
        <w:tabs>
          <w:tab w:val="right" w:leader="dot" w:pos="9027"/>
        </w:tabs>
        <w:ind w:left="480" w:firstLine="480"/>
      </w:pPr>
      <w:r>
        <w:fldChar w:fldCharType="begin"/>
      </w:r>
      <w:r>
        <w:instrText xml:space="preserve"> HYPERLINK \l "_Toc494" </w:instrText>
      </w:r>
      <w:r>
        <w:fldChar w:fldCharType="separate"/>
      </w:r>
      <w:r>
        <w:rPr>
          <w:rFonts w:hint="eastAsia" w:eastAsia="楷体"/>
          <w:u w:val="single"/>
        </w:rPr>
        <w:t>供应商须知前附表</w:t>
      </w:r>
      <w:r>
        <w:tab/>
      </w:r>
      <w:r>
        <w:fldChar w:fldCharType="begin"/>
      </w:r>
      <w:r>
        <w:instrText xml:space="preserve"> PAGEREF _Toc494 \h </w:instrText>
      </w:r>
      <w:r>
        <w:fldChar w:fldCharType="separate"/>
      </w:r>
      <w:r>
        <w:rPr>
          <w:b/>
        </w:rPr>
        <w:t>错误！未定义书签。</w:t>
      </w:r>
      <w:r>
        <w:fldChar w:fldCharType="end"/>
      </w:r>
      <w:r>
        <w:fldChar w:fldCharType="end"/>
      </w:r>
    </w:p>
    <w:p>
      <w:pPr>
        <w:pStyle w:val="23"/>
        <w:tabs>
          <w:tab w:val="right" w:leader="dot" w:pos="9027"/>
        </w:tabs>
        <w:ind w:left="480" w:firstLine="480"/>
      </w:pPr>
      <w:r>
        <w:fldChar w:fldCharType="begin"/>
      </w:r>
      <w:r>
        <w:instrText xml:space="preserve"> HYPERLINK \l "_Toc10398" </w:instrText>
      </w:r>
      <w:r>
        <w:fldChar w:fldCharType="separate"/>
      </w:r>
      <w:r>
        <w:rPr>
          <w:rFonts w:hint="eastAsia"/>
        </w:rPr>
        <w:t>1.</w:t>
      </w:r>
      <w:r>
        <w:t xml:space="preserve"> </w:t>
      </w:r>
      <w:r>
        <w:rPr>
          <w:rFonts w:hint="eastAsia"/>
        </w:rPr>
        <w:t>适用范围</w:t>
      </w:r>
      <w:r>
        <w:tab/>
      </w:r>
      <w:r>
        <w:fldChar w:fldCharType="begin"/>
      </w:r>
      <w:r>
        <w:instrText xml:space="preserve"> PAGEREF _Toc10398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"_Toc10740" </w:instrText>
      </w:r>
      <w:r>
        <w:fldChar w:fldCharType="separate"/>
      </w:r>
      <w:r>
        <w:rPr>
          <w:rFonts w:hint="eastAsia"/>
        </w:rPr>
        <w:t>2.</w:t>
      </w:r>
      <w:r>
        <w:t xml:space="preserve"> </w:t>
      </w:r>
      <w:r>
        <w:rPr>
          <w:rFonts w:hint="eastAsia"/>
        </w:rPr>
        <w:t>定义</w:t>
      </w:r>
      <w:r>
        <w:tab/>
      </w:r>
      <w:r>
        <w:fldChar w:fldCharType="begin"/>
      </w:r>
      <w:r>
        <w:instrText xml:space="preserve"> PAGEREF _Toc10740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"_Toc28660" </w:instrText>
      </w:r>
      <w:r>
        <w:fldChar w:fldCharType="separate"/>
      </w:r>
      <w:r>
        <w:rPr>
          <w:rFonts w:hint="eastAsia"/>
        </w:rPr>
        <w:t>3.</w:t>
      </w:r>
      <w:r>
        <w:t xml:space="preserve"> </w:t>
      </w:r>
      <w:r>
        <w:rPr>
          <w:rFonts w:hint="eastAsia"/>
        </w:rPr>
        <w:t>询价费用</w:t>
      </w:r>
      <w:r>
        <w:tab/>
      </w:r>
      <w:r>
        <w:fldChar w:fldCharType="begin"/>
      </w:r>
      <w:r>
        <w:instrText xml:space="preserve"> PAGEREF _Toc28660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"_Toc352" </w:instrText>
      </w:r>
      <w:r>
        <w:fldChar w:fldCharType="separate"/>
      </w:r>
      <w:r>
        <w:rPr>
          <w:rFonts w:hint="eastAsia"/>
        </w:rPr>
        <w:t>4. 现场踏勘</w:t>
      </w:r>
      <w:r>
        <w:tab/>
      </w:r>
      <w:r>
        <w:fldChar w:fldCharType="begin"/>
      </w:r>
      <w:r>
        <w:instrText xml:space="preserve"> PAGEREF _Toc352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"_Toc7818" </w:instrText>
      </w:r>
      <w:r>
        <w:fldChar w:fldCharType="separate"/>
      </w:r>
      <w:r>
        <w:rPr>
          <w:rFonts w:hint="eastAsia"/>
        </w:rPr>
        <w:t>5.</w:t>
      </w:r>
      <w:r>
        <w:t xml:space="preserve"> </w:t>
      </w:r>
      <w:r>
        <w:rPr>
          <w:rFonts w:hint="eastAsia"/>
        </w:rPr>
        <w:t>采购文件的构成</w:t>
      </w:r>
      <w:r>
        <w:tab/>
      </w:r>
      <w:r>
        <w:fldChar w:fldCharType="begin"/>
      </w:r>
      <w:r>
        <w:instrText xml:space="preserve"> PAGEREF _Toc7818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"_Toc8112" </w:instrText>
      </w:r>
      <w:r>
        <w:fldChar w:fldCharType="separate"/>
      </w:r>
      <w:r>
        <w:rPr>
          <w:rFonts w:hint="eastAsia"/>
        </w:rPr>
        <w:t>6. 采购文件的澄清、修改、补充</w:t>
      </w:r>
      <w:r>
        <w:tab/>
      </w:r>
      <w:r>
        <w:fldChar w:fldCharType="begin"/>
      </w:r>
      <w:r>
        <w:instrText xml:space="preserve"> PAGEREF _Toc8112 \h </w:instrText>
      </w:r>
      <w:r>
        <w:fldChar w:fldCharType="separate"/>
      </w:r>
      <w:r>
        <w:t>9</w:t>
      </w:r>
      <w:r>
        <w:fldChar w:fldCharType="end"/>
      </w:r>
      <w:r>
        <w:fldChar w:fldCharType="end"/>
      </w:r>
    </w:p>
    <w:p>
      <w:pPr>
        <w:pStyle w:val="23"/>
        <w:tabs>
          <w:tab w:val="right" w:leader="dot" w:pos="9027"/>
        </w:tabs>
        <w:ind w:left="480" w:firstLine="480"/>
      </w:pPr>
      <w:r>
        <w:fldChar w:fldCharType="begin"/>
      </w:r>
      <w:r>
        <w:instrText xml:space="preserve"> HYPERLINK \l "_Toc27518" </w:instrText>
      </w:r>
      <w:r>
        <w:fldChar w:fldCharType="separate"/>
      </w:r>
      <w:r>
        <w:rPr>
          <w:rFonts w:hint="eastAsia"/>
        </w:rPr>
        <w:t>7.</w:t>
      </w:r>
      <w:r>
        <w:t xml:space="preserve"> </w:t>
      </w:r>
      <w:r>
        <w:rPr>
          <w:rFonts w:hint="eastAsia"/>
        </w:rPr>
        <w:t>编制基本要求</w:t>
      </w:r>
      <w:r>
        <w:tab/>
      </w:r>
      <w:r>
        <w:fldChar w:fldCharType="begin"/>
      </w:r>
      <w:r>
        <w:instrText xml:space="preserve"> PAGEREF _Toc27518 \h </w:instrText>
      </w:r>
      <w:r>
        <w:fldChar w:fldCharType="separate"/>
      </w:r>
      <w:r>
        <w:t>9</w:t>
      </w:r>
      <w:r>
        <w:fldChar w:fldCharType="end"/>
      </w:r>
      <w:r>
        <w:fldChar w:fldCharType="end"/>
      </w:r>
    </w:p>
    <w:p>
      <w:pPr>
        <w:pStyle w:val="23"/>
        <w:tabs>
          <w:tab w:val="right" w:leader="dot" w:pos="9027"/>
        </w:tabs>
        <w:ind w:left="480" w:firstLine="480"/>
      </w:pPr>
      <w:r>
        <w:fldChar w:fldCharType="begin"/>
      </w:r>
      <w:r>
        <w:instrText xml:space="preserve"> HYPERLINK \l "_Toc20158" </w:instrText>
      </w:r>
      <w:r>
        <w:fldChar w:fldCharType="separate"/>
      </w:r>
      <w:r>
        <w:rPr>
          <w:rFonts w:hint="eastAsia"/>
        </w:rPr>
        <w:t>8.</w:t>
      </w:r>
      <w:r>
        <w:t xml:space="preserve"> </w:t>
      </w:r>
      <w:r>
        <w:rPr>
          <w:rFonts w:hint="eastAsia"/>
        </w:rPr>
        <w:t>语言和计量单位</w:t>
      </w:r>
      <w:r>
        <w:tab/>
      </w:r>
      <w:r>
        <w:fldChar w:fldCharType="begin"/>
      </w:r>
      <w:r>
        <w:instrText xml:space="preserve"> PAGEREF _Toc20158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"_Toc29621" </w:instrText>
      </w:r>
      <w:r>
        <w:fldChar w:fldCharType="separate"/>
      </w:r>
      <w:r>
        <w:rPr>
          <w:rFonts w:hint="eastAsia"/>
        </w:rPr>
        <w:t>9. 报价</w:t>
      </w:r>
      <w:r>
        <w:tab/>
      </w:r>
      <w:r>
        <w:fldChar w:fldCharType="begin"/>
      </w:r>
      <w:r>
        <w:instrText xml:space="preserve"> PAGEREF _Toc29621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"_Toc28831" </w:instrText>
      </w:r>
      <w:r>
        <w:fldChar w:fldCharType="separate"/>
      </w:r>
      <w:r>
        <w:rPr>
          <w:rFonts w:hint="eastAsia"/>
        </w:rPr>
        <w:t>10.</w:t>
      </w:r>
      <w:r>
        <w:t xml:space="preserve"> </w:t>
      </w:r>
      <w:r>
        <w:rPr>
          <w:rFonts w:hint="eastAsia"/>
        </w:rPr>
        <w:t>报价货币</w:t>
      </w:r>
      <w:r>
        <w:tab/>
      </w:r>
      <w:r>
        <w:fldChar w:fldCharType="begin"/>
      </w:r>
      <w:r>
        <w:instrText xml:space="preserve"> PAGEREF _Toc28831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"_Toc28319" </w:instrText>
      </w:r>
      <w:r>
        <w:fldChar w:fldCharType="separate"/>
      </w:r>
      <w:r>
        <w:rPr>
          <w:rFonts w:hint="eastAsia"/>
        </w:rPr>
        <w:t>11.</w:t>
      </w:r>
      <w:r>
        <w:t xml:space="preserve"> </w:t>
      </w:r>
      <w:r>
        <w:rPr>
          <w:rFonts w:hint="eastAsia"/>
        </w:rPr>
        <w:t>响应保证金</w:t>
      </w:r>
      <w:r>
        <w:tab/>
      </w:r>
      <w:r>
        <w:fldChar w:fldCharType="begin"/>
      </w:r>
      <w:r>
        <w:instrText xml:space="preserve"> PAGEREF _Toc28319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"_Toc11731" </w:instrText>
      </w:r>
      <w:r>
        <w:fldChar w:fldCharType="separate"/>
      </w:r>
      <w:r>
        <w:rPr>
          <w:rFonts w:hint="eastAsia"/>
        </w:rPr>
        <w:t>12.</w:t>
      </w:r>
      <w:r>
        <w:t xml:space="preserve"> </w:t>
      </w:r>
      <w:r>
        <w:rPr>
          <w:rFonts w:hint="eastAsia"/>
        </w:rPr>
        <w:t>采购有效期</w:t>
      </w:r>
      <w:r>
        <w:tab/>
      </w:r>
      <w:r>
        <w:fldChar w:fldCharType="begin"/>
      </w:r>
      <w:r>
        <w:instrText xml:space="preserve"> PAGEREF _Toc11731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"_Toc15950" </w:instrText>
      </w:r>
      <w:r>
        <w:fldChar w:fldCharType="separate"/>
      </w:r>
      <w:r>
        <w:rPr>
          <w:rFonts w:hint="eastAsia"/>
        </w:rPr>
        <w:t>13.</w:t>
      </w:r>
      <w:r>
        <w:t xml:space="preserve"> </w:t>
      </w:r>
      <w:r>
        <w:rPr>
          <w:rFonts w:hint="eastAsia"/>
        </w:rPr>
        <w:t>响应文件递交截止时间及地点</w:t>
      </w:r>
      <w:r>
        <w:tab/>
      </w:r>
      <w:r>
        <w:fldChar w:fldCharType="begin"/>
      </w:r>
      <w:r>
        <w:instrText xml:space="preserve"> PAGEREF _Toc15950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"_Toc30085" </w:instrText>
      </w:r>
      <w:r>
        <w:fldChar w:fldCharType="separate"/>
      </w:r>
      <w:r>
        <w:rPr>
          <w:rFonts w:hint="eastAsia"/>
        </w:rPr>
        <w:t>14.</w:t>
      </w:r>
      <w:r>
        <w:t xml:space="preserve"> </w:t>
      </w:r>
      <w:r>
        <w:rPr>
          <w:rFonts w:hint="eastAsia"/>
        </w:rPr>
        <w:t>响应文件的修改和撤销</w:t>
      </w:r>
      <w:r>
        <w:tab/>
      </w:r>
      <w:r>
        <w:fldChar w:fldCharType="begin"/>
      </w:r>
      <w:r>
        <w:instrText xml:space="preserve"> PAGEREF _Toc30085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"_Toc23832" </w:instrText>
      </w:r>
      <w:r>
        <w:fldChar w:fldCharType="separate"/>
      </w:r>
      <w:r>
        <w:rPr>
          <w:rFonts w:hint="eastAsia"/>
        </w:rPr>
        <w:t>15. 询价小组</w:t>
      </w:r>
      <w:r>
        <w:tab/>
      </w:r>
      <w:r>
        <w:fldChar w:fldCharType="begin"/>
      </w:r>
      <w:r>
        <w:instrText xml:space="preserve"> PAGEREF _Toc23832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"_Toc26919" </w:instrText>
      </w:r>
      <w:r>
        <w:fldChar w:fldCharType="separate"/>
      </w:r>
      <w:r>
        <w:rPr>
          <w:rFonts w:hint="eastAsia"/>
        </w:rPr>
        <w:t>16.</w:t>
      </w:r>
      <w:r>
        <w:t xml:space="preserve"> </w:t>
      </w:r>
      <w:r>
        <w:rPr>
          <w:rFonts w:hint="eastAsia"/>
        </w:rPr>
        <w:t>开启响应文件</w:t>
      </w:r>
      <w:r>
        <w:tab/>
      </w:r>
      <w:r>
        <w:fldChar w:fldCharType="begin"/>
      </w:r>
      <w:r>
        <w:instrText xml:space="preserve"> PAGEREF _Toc26919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"_Toc32083" </w:instrText>
      </w:r>
      <w:r>
        <w:fldChar w:fldCharType="separate"/>
      </w:r>
      <w:r>
        <w:rPr>
          <w:rFonts w:hint="eastAsia"/>
        </w:rPr>
        <w:t>17.</w:t>
      </w:r>
      <w:r>
        <w:t xml:space="preserve"> </w:t>
      </w:r>
      <w:r>
        <w:rPr>
          <w:rFonts w:hint="eastAsia"/>
        </w:rPr>
        <w:t>评审方法</w:t>
      </w:r>
      <w:r>
        <w:tab/>
      </w:r>
      <w:r>
        <w:fldChar w:fldCharType="begin"/>
      </w:r>
      <w:r>
        <w:instrText xml:space="preserve"> PAGEREF _Toc32083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"_Toc21947" </w:instrText>
      </w:r>
      <w:r>
        <w:fldChar w:fldCharType="separate"/>
      </w:r>
      <w:r>
        <w:rPr>
          <w:rFonts w:hint="eastAsia"/>
        </w:rPr>
        <w:t>18.</w:t>
      </w:r>
      <w:r>
        <w:t xml:space="preserve"> </w:t>
      </w:r>
      <w:r>
        <w:rPr>
          <w:rFonts w:hint="eastAsia"/>
        </w:rPr>
        <w:t>确定成交供应商</w:t>
      </w:r>
      <w:r>
        <w:tab/>
      </w:r>
      <w:r>
        <w:fldChar w:fldCharType="begin"/>
      </w:r>
      <w:r>
        <w:instrText xml:space="preserve"> PAGEREF _Toc21947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"_Toc5102" </w:instrText>
      </w:r>
      <w:r>
        <w:fldChar w:fldCharType="separate"/>
      </w:r>
      <w:r>
        <w:rPr>
          <w:rFonts w:hint="eastAsia"/>
        </w:rPr>
        <w:t>19.</w:t>
      </w:r>
      <w:r>
        <w:t xml:space="preserve"> </w:t>
      </w:r>
      <w:r>
        <w:rPr>
          <w:rFonts w:hint="eastAsia"/>
        </w:rPr>
        <w:t>采购结果公告</w:t>
      </w:r>
      <w:r>
        <w:tab/>
      </w:r>
      <w:r>
        <w:fldChar w:fldCharType="begin"/>
      </w:r>
      <w:r>
        <w:instrText xml:space="preserve"> PAGEREF _Toc5102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"_Toc12414" </w:instrText>
      </w:r>
      <w:r>
        <w:fldChar w:fldCharType="separate"/>
      </w:r>
      <w:r>
        <w:rPr>
          <w:rFonts w:hint="eastAsia"/>
        </w:rPr>
        <w:t>20. 成交通知</w:t>
      </w:r>
      <w:r>
        <w:tab/>
      </w:r>
      <w:r>
        <w:fldChar w:fldCharType="begin"/>
      </w:r>
      <w:r>
        <w:instrText xml:space="preserve"> PAGEREF _Toc12414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"_Toc3329" </w:instrText>
      </w:r>
      <w:r>
        <w:fldChar w:fldCharType="separate"/>
      </w:r>
      <w:r>
        <w:rPr>
          <w:rFonts w:hint="eastAsia"/>
        </w:rPr>
        <w:t>21. 签订合同</w:t>
      </w:r>
      <w:r>
        <w:tab/>
      </w:r>
      <w:r>
        <w:fldChar w:fldCharType="begin"/>
      </w:r>
      <w:r>
        <w:instrText xml:space="preserve"> PAGEREF _Toc3329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"_Toc31188" </w:instrText>
      </w:r>
      <w:r>
        <w:fldChar w:fldCharType="separate"/>
      </w:r>
      <w:r>
        <w:rPr>
          <w:rFonts w:hint="eastAsia"/>
        </w:rPr>
        <w:t>22. 其他需要补充的内容</w:t>
      </w:r>
      <w:r>
        <w:tab/>
      </w:r>
      <w:r>
        <w:fldChar w:fldCharType="begin"/>
      </w:r>
      <w:r>
        <w:instrText xml:space="preserve"> PAGEREF _Toc31188 \h </w:instrText>
      </w:r>
      <w:r>
        <w:fldChar w:fldCharType="separate"/>
      </w:r>
      <w:r>
        <w:t>13</w:t>
      </w:r>
      <w:r>
        <w:fldChar w:fldCharType="end"/>
      </w:r>
      <w:r>
        <w:fldChar w:fldCharType="end"/>
      </w:r>
    </w:p>
    <w:p>
      <w:pPr>
        <w:pStyle w:val="21"/>
        <w:tabs>
          <w:tab w:val="right" w:leader="dot" w:pos="9027"/>
        </w:tabs>
        <w:ind w:firstLine="480"/>
      </w:pPr>
      <w:r>
        <w:fldChar w:fldCharType="begin"/>
      </w:r>
      <w:r>
        <w:instrText xml:space="preserve"> HYPERLINK \l "_Toc8569" </w:instrText>
      </w:r>
      <w:r>
        <w:fldChar w:fldCharType="separate"/>
      </w:r>
      <w:r>
        <w:rPr>
          <w:rFonts w:hint="eastAsia"/>
        </w:rPr>
        <w:t>第三章 评审办法</w:t>
      </w:r>
      <w:r>
        <w:tab/>
      </w:r>
      <w:r>
        <w:fldChar w:fldCharType="begin"/>
      </w:r>
      <w:r>
        <w:instrText xml:space="preserve"> PAGEREF _Toc8569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"_Toc16546" </w:instrText>
      </w:r>
      <w:r>
        <w:fldChar w:fldCharType="separate"/>
      </w:r>
      <w:r>
        <w:rPr>
          <w:rFonts w:hint="eastAsia"/>
        </w:rPr>
        <w:t>一、总则</w:t>
      </w:r>
      <w:r>
        <w:tab/>
      </w:r>
      <w:r>
        <w:fldChar w:fldCharType="begin"/>
      </w:r>
      <w:r>
        <w:instrText xml:space="preserve"> PAGEREF _Toc16546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"_Toc16271" </w:instrText>
      </w:r>
      <w:r>
        <w:fldChar w:fldCharType="separate"/>
      </w:r>
      <w:r>
        <w:rPr>
          <w:rFonts w:hint="eastAsia"/>
        </w:rPr>
        <w:t>二、评审方法</w:t>
      </w:r>
      <w:r>
        <w:tab/>
      </w:r>
      <w:r>
        <w:fldChar w:fldCharType="begin"/>
      </w:r>
      <w:r>
        <w:instrText xml:space="preserve"> PAGEREF _Toc16271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"_Toc4479" </w:instrText>
      </w:r>
      <w:r>
        <w:fldChar w:fldCharType="separate"/>
      </w:r>
      <w:r>
        <w:rPr>
          <w:rFonts w:hint="eastAsia"/>
        </w:rPr>
        <w:t>三、评审程序</w:t>
      </w:r>
      <w:r>
        <w:tab/>
      </w:r>
      <w:r>
        <w:fldChar w:fldCharType="begin"/>
      </w:r>
      <w:r>
        <w:instrText xml:space="preserve"> PAGEREF _Toc4479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"_Toc17335" </w:instrText>
      </w:r>
      <w:r>
        <w:fldChar w:fldCharType="separate"/>
      </w:r>
      <w:r>
        <w:rPr>
          <w:rFonts w:hint="eastAsia"/>
        </w:rPr>
        <w:t>四、推荐成交候选供应商</w:t>
      </w:r>
      <w:r>
        <w:tab/>
      </w:r>
      <w:r>
        <w:fldChar w:fldCharType="begin"/>
      </w:r>
      <w:r>
        <w:instrText xml:space="preserve"> PAGEREF _Toc17335 \h </w:instrText>
      </w:r>
      <w:r>
        <w:fldChar w:fldCharType="separate"/>
      </w:r>
      <w:r>
        <w:t>16</w:t>
      </w:r>
      <w:r>
        <w:fldChar w:fldCharType="end"/>
      </w:r>
      <w:r>
        <w:fldChar w:fldCharType="end"/>
      </w:r>
    </w:p>
    <w:p>
      <w:pPr>
        <w:pStyle w:val="21"/>
        <w:tabs>
          <w:tab w:val="right" w:leader="dot" w:pos="9027"/>
        </w:tabs>
        <w:ind w:firstLine="480"/>
      </w:pPr>
      <w:r>
        <w:fldChar w:fldCharType="begin"/>
      </w:r>
      <w:r>
        <w:instrText xml:space="preserve"> HYPERLINK \l "_Toc14434" </w:instrText>
      </w:r>
      <w:r>
        <w:fldChar w:fldCharType="separate"/>
      </w:r>
      <w:r>
        <w:rPr>
          <w:rFonts w:hint="eastAsia"/>
        </w:rPr>
        <w:t>第四章 合同条款及格式</w:t>
      </w:r>
      <w:r>
        <w:tab/>
      </w:r>
      <w:r>
        <w:fldChar w:fldCharType="begin"/>
      </w:r>
      <w:r>
        <w:instrText xml:space="preserve"> PAGEREF _Toc14434 \h </w:instrText>
      </w:r>
      <w:r>
        <w:fldChar w:fldCharType="separate"/>
      </w:r>
      <w:r>
        <w:t>17</w:t>
      </w:r>
      <w:r>
        <w:fldChar w:fldCharType="end"/>
      </w:r>
      <w:r>
        <w:fldChar w:fldCharType="end"/>
      </w:r>
    </w:p>
    <w:p>
      <w:pPr>
        <w:pStyle w:val="21"/>
        <w:tabs>
          <w:tab w:val="right" w:leader="dot" w:pos="9027"/>
        </w:tabs>
        <w:ind w:firstLine="480"/>
      </w:pPr>
      <w:r>
        <w:fldChar w:fldCharType="begin"/>
      </w:r>
      <w:r>
        <w:instrText xml:space="preserve"> HYPERLINK \l "_Toc28187" </w:instrText>
      </w:r>
      <w:r>
        <w:fldChar w:fldCharType="separate"/>
      </w:r>
      <w:r>
        <w:rPr>
          <w:rFonts w:hint="eastAsia"/>
        </w:rPr>
        <w:t>第五章 采购需求</w:t>
      </w:r>
      <w:r>
        <w:tab/>
      </w:r>
      <w:r>
        <w:fldChar w:fldCharType="begin"/>
      </w:r>
      <w:r>
        <w:instrText xml:space="preserve"> PAGEREF _Toc28187 \h </w:instrText>
      </w:r>
      <w:r>
        <w:fldChar w:fldCharType="separate"/>
      </w:r>
      <w:r>
        <w:t>18</w:t>
      </w:r>
      <w:r>
        <w:fldChar w:fldCharType="end"/>
      </w:r>
      <w:r>
        <w:fldChar w:fldCharType="end"/>
      </w:r>
    </w:p>
    <w:p>
      <w:pPr>
        <w:pStyle w:val="21"/>
        <w:tabs>
          <w:tab w:val="right" w:leader="dot" w:pos="9027"/>
        </w:tabs>
        <w:ind w:firstLine="480"/>
      </w:pPr>
      <w:r>
        <w:fldChar w:fldCharType="begin"/>
      </w:r>
      <w:r>
        <w:instrText xml:space="preserve"> HYPERLINK \l "_Toc12463" </w:instrText>
      </w:r>
      <w:r>
        <w:fldChar w:fldCharType="separate"/>
      </w:r>
      <w:r>
        <w:t>第</w:t>
      </w:r>
      <w:r>
        <w:rPr>
          <w:rFonts w:hint="eastAsia"/>
        </w:rPr>
        <w:t>六</w:t>
      </w:r>
      <w:r>
        <w:t>章 响应文件格式</w:t>
      </w:r>
      <w:r>
        <w:tab/>
      </w:r>
      <w:r>
        <w:fldChar w:fldCharType="begin"/>
      </w:r>
      <w:r>
        <w:instrText xml:space="preserve"> PAGEREF _Toc12463 \h </w:instrText>
      </w:r>
      <w:r>
        <w:fldChar w:fldCharType="separate"/>
      </w:r>
      <w:r>
        <w:t>19</w:t>
      </w:r>
      <w:r>
        <w:fldChar w:fldCharType="end"/>
      </w:r>
      <w:r>
        <w:fldChar w:fldCharType="end"/>
      </w:r>
    </w:p>
    <w:p>
      <w:pPr>
        <w:pStyle w:val="23"/>
        <w:tabs>
          <w:tab w:val="right" w:leader="dot" w:pos="9027"/>
        </w:tabs>
        <w:ind w:left="480" w:firstLine="480"/>
      </w:pPr>
      <w:r>
        <w:fldChar w:fldCharType="begin"/>
      </w:r>
      <w:r>
        <w:instrText xml:space="preserve"> HYPERLINK \l "_Toc8422" </w:instrText>
      </w:r>
      <w:r>
        <w:fldChar w:fldCharType="separate"/>
      </w:r>
      <w:r>
        <w:rPr>
          <w:rFonts w:hint="eastAsia"/>
        </w:rPr>
        <w:t>一</w:t>
      </w:r>
      <w:r>
        <w:t>、授权委托书</w:t>
      </w:r>
      <w:r>
        <w:tab/>
      </w:r>
      <w:r>
        <w:fldChar w:fldCharType="begin"/>
      </w:r>
      <w:r>
        <w:instrText xml:space="preserve"> PAGEREF _Toc8422 \h </w:instrText>
      </w:r>
      <w:r>
        <w:fldChar w:fldCharType="separate"/>
      </w:r>
      <w:r>
        <w:t>22</w:t>
      </w:r>
      <w:r>
        <w:fldChar w:fldCharType="end"/>
      </w:r>
      <w:r>
        <w:fldChar w:fldCharType="end"/>
      </w:r>
    </w:p>
    <w:p>
      <w:pPr>
        <w:pStyle w:val="23"/>
        <w:tabs>
          <w:tab w:val="right" w:leader="dot" w:pos="9027"/>
        </w:tabs>
        <w:ind w:left="480" w:firstLine="480"/>
      </w:pPr>
      <w:r>
        <w:fldChar w:fldCharType="begin"/>
      </w:r>
      <w:r>
        <w:instrText xml:space="preserve"> HYPERLINK \l "_Toc16091" </w:instrText>
      </w:r>
      <w:r>
        <w:fldChar w:fldCharType="separate"/>
      </w:r>
      <w:r>
        <w:rPr>
          <w:rFonts w:hint="eastAsia"/>
        </w:rPr>
        <w:t>二、报价部分</w:t>
      </w:r>
      <w:r>
        <w:tab/>
      </w:r>
      <w:r>
        <w:fldChar w:fldCharType="begin"/>
      </w:r>
      <w:r>
        <w:instrText xml:space="preserve"> PAGEREF _Toc16091 \h </w:instrText>
      </w:r>
      <w:r>
        <w:fldChar w:fldCharType="separate"/>
      </w:r>
      <w:r>
        <w:t>23</w:t>
      </w:r>
      <w:r>
        <w:fldChar w:fldCharType="end"/>
      </w:r>
      <w:r>
        <w:fldChar w:fldCharType="end"/>
      </w:r>
    </w:p>
    <w:p>
      <w:pPr>
        <w:pStyle w:val="23"/>
        <w:tabs>
          <w:tab w:val="right" w:leader="dot" w:pos="9027"/>
        </w:tabs>
        <w:ind w:left="480" w:firstLine="480"/>
      </w:pPr>
      <w:r>
        <w:fldChar w:fldCharType="begin"/>
      </w:r>
      <w:r>
        <w:instrText xml:space="preserve"> HYPERLINK \l "_Toc5605" </w:instrText>
      </w:r>
      <w:r>
        <w:fldChar w:fldCharType="separate"/>
      </w:r>
      <w:r>
        <w:rPr>
          <w:rFonts w:hint="eastAsia"/>
        </w:rPr>
        <w:t>三、商务部分</w:t>
      </w:r>
      <w:r>
        <w:tab/>
      </w:r>
      <w:r>
        <w:fldChar w:fldCharType="begin"/>
      </w:r>
      <w:r>
        <w:instrText xml:space="preserve"> PAGEREF _Toc5605 \h </w:instrText>
      </w:r>
      <w:r>
        <w:fldChar w:fldCharType="separate"/>
      </w:r>
      <w:r>
        <w:t>24</w:t>
      </w:r>
      <w:r>
        <w:fldChar w:fldCharType="end"/>
      </w:r>
      <w:r>
        <w:fldChar w:fldCharType="end"/>
      </w:r>
    </w:p>
    <w:p>
      <w:pPr>
        <w:pStyle w:val="23"/>
        <w:tabs>
          <w:tab w:val="right" w:leader="dot" w:pos="9027"/>
        </w:tabs>
        <w:ind w:left="480" w:firstLine="480"/>
      </w:pPr>
      <w:r>
        <w:fldChar w:fldCharType="begin"/>
      </w:r>
      <w:r>
        <w:instrText xml:space="preserve"> HYPERLINK \l "_Toc18426" </w:instrText>
      </w:r>
      <w:r>
        <w:fldChar w:fldCharType="separate"/>
      </w:r>
      <w:r>
        <w:rPr>
          <w:rFonts w:hint="eastAsia"/>
        </w:rPr>
        <w:t>四、技术部分</w:t>
      </w:r>
      <w:r>
        <w:tab/>
      </w:r>
      <w:r>
        <w:fldChar w:fldCharType="begin"/>
      </w:r>
      <w:r>
        <w:instrText xml:space="preserve"> PAGEREF _Toc18426 \h </w:instrText>
      </w:r>
      <w:r>
        <w:fldChar w:fldCharType="separate"/>
      </w:r>
      <w:r>
        <w:t>26</w:t>
      </w:r>
      <w:r>
        <w:fldChar w:fldCharType="end"/>
      </w:r>
      <w:r>
        <w:fldChar w:fldCharType="end"/>
      </w:r>
    </w:p>
    <w:p>
      <w:pPr>
        <w:pStyle w:val="23"/>
        <w:tabs>
          <w:tab w:val="right" w:leader="dot" w:pos="9027"/>
        </w:tabs>
        <w:ind w:left="480" w:firstLine="480"/>
      </w:pPr>
      <w:r>
        <w:fldChar w:fldCharType="begin"/>
      </w:r>
      <w:r>
        <w:instrText xml:space="preserve"> HYPERLINK \l "_Toc28241" </w:instrText>
      </w:r>
      <w:r>
        <w:fldChar w:fldCharType="separate"/>
      </w:r>
      <w:r>
        <w:rPr>
          <w:rFonts w:hint="eastAsia" w:ascii="Arial" w:hAnsi="Arial"/>
        </w:rPr>
        <w:t>五、偏差表</w:t>
      </w:r>
      <w:r>
        <w:tab/>
      </w:r>
      <w:r>
        <w:fldChar w:fldCharType="begin"/>
      </w:r>
      <w:r>
        <w:instrText xml:space="preserve"> PAGEREF _Toc28241 \h </w:instrText>
      </w:r>
      <w:r>
        <w:fldChar w:fldCharType="separate"/>
      </w:r>
      <w:r>
        <w:t>27</w:t>
      </w:r>
      <w:r>
        <w:fldChar w:fldCharType="end"/>
      </w:r>
      <w:r>
        <w:fldChar w:fldCharType="end"/>
      </w:r>
    </w:p>
    <w:p>
      <w:pPr>
        <w:spacing w:line="276" w:lineRule="auto"/>
        <w:ind w:left="284" w:firstLineChars="0"/>
        <w:jc w:val="left"/>
      </w:pPr>
      <w:r>
        <w:rPr>
          <w:rFonts w:ascii="宋体" w:hAnsi="宋体" w:cs="Arial"/>
          <w:bCs/>
          <w:caps/>
          <w:sz w:val="22"/>
          <w:szCs w:val="22"/>
        </w:rPr>
        <w:fldChar w:fldCharType="end"/>
      </w:r>
      <w:bookmarkStart w:id="1" w:name="_Toc233104896"/>
    </w:p>
    <w:p>
      <w:pPr>
        <w:pStyle w:val="82"/>
        <w:ind w:firstLine="1040"/>
        <w:jc w:val="center"/>
      </w:pPr>
    </w:p>
    <w:p>
      <w:pPr>
        <w:ind w:firstLine="480"/>
      </w:pPr>
      <w:bookmarkStart w:id="2" w:name="_Toc527120203"/>
      <w:bookmarkStart w:id="3" w:name="_Toc527045600"/>
    </w:p>
    <w:p>
      <w:pPr>
        <w:ind w:firstLine="480"/>
        <w:sectPr>
          <w:footerReference r:id="rId9" w:type="default"/>
          <w:pgSz w:w="11907" w:h="16839"/>
          <w:pgMar w:top="1797" w:right="1440" w:bottom="1797" w:left="1440" w:header="1135" w:footer="992" w:gutter="0"/>
          <w:cols w:space="720" w:num="1"/>
          <w:docGrid w:linePitch="326" w:charSpace="0"/>
        </w:sect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5"/>
        <w:spacing w:before="120"/>
      </w:pPr>
      <w:bookmarkStart w:id="4" w:name="_Toc30"/>
      <w:bookmarkStart w:id="5" w:name="_Toc10516"/>
      <w:bookmarkStart w:id="6" w:name="_Toc5678"/>
      <w:bookmarkStart w:id="7" w:name="_Toc23061"/>
      <w:bookmarkStart w:id="8" w:name="_Toc19521"/>
      <w:bookmarkStart w:id="9" w:name="_Toc527708220"/>
      <w:bookmarkStart w:id="10" w:name="_Toc16749"/>
      <w:bookmarkStart w:id="11" w:name="_Toc8652"/>
      <w:r>
        <w:rPr>
          <w:rFonts w:hint="eastAsia"/>
        </w:rPr>
        <w:t>第一章</w:t>
      </w:r>
      <w:r>
        <w:t xml:space="preserve"> </w:t>
      </w:r>
      <w:r>
        <w:rPr>
          <w:rFonts w:hint="eastAsia"/>
        </w:rPr>
        <w:t>采购公告</w:t>
      </w:r>
      <w:bookmarkEnd w:id="1"/>
      <w:bookmarkEnd w:id="2"/>
      <w:bookmarkEnd w:id="3"/>
      <w:bookmarkEnd w:id="4"/>
      <w:bookmarkEnd w:id="5"/>
      <w:bookmarkEnd w:id="6"/>
      <w:bookmarkEnd w:id="7"/>
      <w:bookmarkEnd w:id="8"/>
      <w:bookmarkEnd w:id="9"/>
      <w:bookmarkEnd w:id="10"/>
      <w:bookmarkEnd w:id="11"/>
    </w:p>
    <w:p>
      <w:pPr>
        <w:spacing w:line="360" w:lineRule="auto"/>
        <w:ind w:firstLine="482"/>
        <w:rPr>
          <w:rFonts w:ascii="Arial" w:hAnsi="Arial" w:cs="Arial"/>
          <w:b/>
          <w:szCs w:val="21"/>
        </w:rPr>
      </w:pPr>
      <w:r>
        <w:rPr>
          <w:rFonts w:ascii="Arial" w:hAnsi="Arial" w:cs="Arial"/>
          <w:b/>
          <w:szCs w:val="21"/>
        </w:rPr>
        <w:br w:type="page"/>
      </w:r>
    </w:p>
    <w:p>
      <w:pPr>
        <w:pStyle w:val="25"/>
        <w:spacing w:before="120"/>
      </w:pPr>
      <w:bookmarkStart w:id="12" w:name="_Toc47261864"/>
      <w:bookmarkStart w:id="13" w:name="_Toc49019215"/>
      <w:bookmarkStart w:id="14" w:name="_Toc47261049"/>
      <w:bookmarkStart w:id="15" w:name="_Toc47418710"/>
      <w:bookmarkStart w:id="16" w:name="_Toc47261669"/>
      <w:bookmarkStart w:id="17" w:name="_Toc48791214"/>
      <w:bookmarkStart w:id="18" w:name="_Toc47418234"/>
      <w:bookmarkStart w:id="19" w:name="_Toc48995830"/>
      <w:bookmarkStart w:id="20" w:name="_Toc47262048"/>
      <w:bookmarkStart w:id="21" w:name="_Toc47418917"/>
      <w:bookmarkStart w:id="22" w:name="_Toc527708221"/>
      <w:bookmarkStart w:id="23" w:name="_Toc8217"/>
      <w:bookmarkStart w:id="24" w:name="_Toc11788"/>
      <w:bookmarkStart w:id="25" w:name="_Toc28828"/>
      <w:bookmarkStart w:id="26" w:name="_Toc15961"/>
      <w:bookmarkStart w:id="27" w:name="_Toc93"/>
      <w:bookmarkStart w:id="28" w:name="_Toc28324"/>
      <w:bookmarkStart w:id="29" w:name="_Toc32037"/>
      <w:bookmarkStart w:id="30" w:name="_Hlk106114390"/>
      <w:r>
        <w:t>第一章</w:t>
      </w:r>
      <w:bookmarkEnd w:id="12"/>
      <w:bookmarkEnd w:id="13"/>
      <w:bookmarkEnd w:id="14"/>
      <w:bookmarkEnd w:id="15"/>
      <w:bookmarkEnd w:id="16"/>
      <w:bookmarkEnd w:id="17"/>
      <w:bookmarkEnd w:id="18"/>
      <w:bookmarkEnd w:id="19"/>
      <w:bookmarkEnd w:id="20"/>
      <w:bookmarkEnd w:id="21"/>
      <w:r>
        <w:t xml:space="preserve"> </w:t>
      </w:r>
      <w:r>
        <w:rPr>
          <w:rFonts w:hint="eastAsia"/>
        </w:rPr>
        <w:t>采购公告（合格供应商公开）</w:t>
      </w:r>
      <w:bookmarkEnd w:id="22"/>
      <w:bookmarkEnd w:id="23"/>
      <w:bookmarkEnd w:id="24"/>
      <w:bookmarkEnd w:id="25"/>
      <w:bookmarkEnd w:id="26"/>
      <w:bookmarkEnd w:id="27"/>
      <w:bookmarkEnd w:id="28"/>
      <w:bookmarkEnd w:id="29"/>
    </w:p>
    <w:p>
      <w:pPr>
        <w:spacing w:line="360" w:lineRule="auto"/>
        <w:ind w:firstLine="480"/>
        <w:jc w:val="center"/>
        <w:rPr>
          <w:rFonts w:eastAsia="黑体"/>
          <w:sz w:val="28"/>
        </w:rPr>
      </w:pPr>
      <w:r>
        <w:rPr>
          <w:rFonts w:ascii="宋体" w:hAnsi="宋体"/>
          <w:szCs w:val="24"/>
          <w:u w:val="single"/>
        </w:rPr>
        <w:t>大连电厂-检修部电气专业吊车电缆采购询价</w:t>
      </w:r>
      <w:r>
        <w:rPr>
          <w:rFonts w:hint="eastAsia" w:eastAsia="黑体"/>
          <w:sz w:val="28"/>
        </w:rPr>
        <w:t>询价</w:t>
      </w:r>
      <w:r>
        <w:rPr>
          <w:rFonts w:eastAsia="黑体"/>
          <w:sz w:val="28"/>
        </w:rPr>
        <w:t>公告</w:t>
      </w:r>
    </w:p>
    <w:p>
      <w:pPr>
        <w:ind w:firstLine="480"/>
      </w:pPr>
    </w:p>
    <w:p>
      <w:pPr>
        <w:pStyle w:val="3"/>
        <w:numPr>
          <w:ilvl w:val="0"/>
          <w:numId w:val="1"/>
        </w:numPr>
        <w:spacing w:before="120"/>
      </w:pPr>
      <w:bookmarkStart w:id="31" w:name="_Toc384308199"/>
      <w:bookmarkEnd w:id="31"/>
      <w:bookmarkStart w:id="32" w:name="_Toc361508574"/>
      <w:bookmarkEnd w:id="32"/>
      <w:bookmarkStart w:id="33" w:name="_Toc352691465"/>
      <w:bookmarkEnd w:id="33"/>
      <w:bookmarkStart w:id="34" w:name="_Toc369531507"/>
      <w:bookmarkEnd w:id="34"/>
      <w:bookmarkStart w:id="35" w:name="_Toc18885"/>
      <w:bookmarkEnd w:id="35"/>
      <w:bookmarkStart w:id="36" w:name="_Toc384308200"/>
      <w:bookmarkStart w:id="37" w:name="_Toc361508575"/>
      <w:r>
        <w:t>项目介绍</w:t>
      </w:r>
    </w:p>
    <w:p>
      <w:pPr>
        <w:ind w:firstLine="480"/>
        <w:rPr>
          <w:szCs w:val="22"/>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szCs w:val="22"/>
          <w:u w:val="single"/>
        </w:rPr>
        <w:t>《大连电厂-检修部电气专业吊车电缆采购询价》</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宋体" w:hAnsi="宋体" w:cs="宋体"/>
          <w:szCs w:val="24"/>
          <w:u w:val="single"/>
        </w:rPr>
        <w:t>华能大连电厂厂内</w:t>
      </w:r>
      <w:r>
        <w:rPr>
          <w:rFonts w:hint="eastAsia" w:ascii="宋体" w:hAnsi="宋体" w:cs="宋体"/>
          <w:szCs w:val="24"/>
        </w:rPr>
        <w:t>。</w:t>
      </w:r>
    </w:p>
    <w:p>
      <w:pPr>
        <w:ind w:firstLine="480"/>
        <w:rPr>
          <w:rFonts w:ascii="宋体" w:hAnsi="宋体" w:cs="宋体"/>
          <w:szCs w:val="24"/>
          <w:u w:val="single"/>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p>
    <w:tbl>
      <w:tblPr>
        <w:tblStyle w:val="32"/>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3982"/>
        <w:gridCol w:w="12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宋体"/>
                <w:b/>
                <w:kern w:val="0"/>
                <w:szCs w:val="24"/>
                <w:lang w:bidi="ar"/>
              </w:rPr>
            </w:pPr>
            <w:r>
              <w:rPr>
                <w:rFonts w:hint="eastAsia" w:ascii="Calibri" w:hAnsi="Calibri" w:cs="宋体"/>
                <w:b/>
                <w:kern w:val="0"/>
                <w:szCs w:val="24"/>
                <w:lang w:bidi="ar"/>
              </w:rPr>
              <w:t>物料编码</w:t>
            </w:r>
          </w:p>
        </w:tc>
        <w:tc>
          <w:tcPr>
            <w:tcW w:w="3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项目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102571979</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电力电缆\\TVR\\3*6MM2＋1*4MM2\\300／500V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2</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102571980</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电力电缆\\TVR\\3*10MM2＋1*6MM2\\300／500V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3</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102571982</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电力电缆\\TVR\\3*16MM2＋1*6MM2\\300／500V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bl>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w:t>
      </w:r>
      <w:r>
        <w:rPr>
          <w:rFonts w:hint="eastAsia"/>
          <w:color w:val="000000"/>
          <w:lang w:val="zh-CN"/>
        </w:rPr>
        <w:t>合同</w:t>
      </w:r>
      <w:r>
        <w:rPr>
          <w:rFonts w:hint="eastAsia"/>
          <w:color w:val="000000"/>
        </w:rPr>
        <w:t>或订单</w:t>
      </w:r>
      <w:r>
        <w:rPr>
          <w:rFonts w:hint="eastAsia"/>
          <w:color w:val="000000"/>
          <w:lang w:val="zh-CN"/>
        </w:rPr>
        <w:t>生效后</w:t>
      </w:r>
      <w:r>
        <w:rPr>
          <w:color w:val="000000"/>
        </w:rPr>
        <w:t>10</w:t>
      </w:r>
      <w:r>
        <w:rPr>
          <w:rFonts w:hint="eastAsia"/>
          <w:szCs w:val="24"/>
        </w:rPr>
        <w:t>天</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rPr>
        <w:t>/</w:t>
      </w:r>
      <w:r>
        <w:rPr>
          <w:rFonts w:ascii="宋体" w:hAnsi="宋体" w:cs="宋体"/>
          <w:szCs w:val="24"/>
          <w:u w:val="single"/>
        </w:rPr>
        <w:t xml:space="preserve">              </w:t>
      </w:r>
      <w:r>
        <w:rPr>
          <w:rFonts w:hint="eastAsia" w:ascii="宋体" w:hAnsi="宋体" w:cs="宋体"/>
          <w:szCs w:val="24"/>
        </w:rPr>
        <w:t>。</w:t>
      </w:r>
    </w:p>
    <w:p>
      <w:pPr>
        <w:pStyle w:val="3"/>
        <w:spacing w:before="120"/>
      </w:pPr>
      <w:r>
        <w:rPr>
          <w:rFonts w:hint="eastAsia"/>
        </w:rPr>
        <w:t>二、</w:t>
      </w:r>
      <w:r>
        <w:t>报价须知</w:t>
      </w:r>
    </w:p>
    <w:p>
      <w:pPr>
        <w:ind w:firstLine="480"/>
      </w:pPr>
      <w:r>
        <w:t xml:space="preserve">1. </w:t>
      </w:r>
      <w:r>
        <w:rPr>
          <w:rFonts w:hint="eastAsia"/>
        </w:rPr>
        <w:t>供应商通用资格要求：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rPr>
          <w:rFonts w:hint="eastAsia" w:ascii="宋体" w:hAnsi="宋体" w:cs="宋体"/>
          <w:szCs w:val="24"/>
        </w:rPr>
        <w:t>2</w:t>
      </w:r>
      <w:r>
        <w:t xml:space="preserve">. </w:t>
      </w:r>
      <w:r>
        <w:rPr>
          <w:rFonts w:hint="eastAsia"/>
        </w:rPr>
        <w:t>供应商专用资格要求：</w:t>
      </w:r>
    </w:p>
    <w:p>
      <w:pPr>
        <w:ind w:firstLine="480"/>
        <w:rPr>
          <w:szCs w:val="22"/>
          <w:u w:val="single"/>
        </w:rPr>
      </w:pPr>
      <w:r>
        <w:rPr>
          <w:rFonts w:hint="eastAsia"/>
        </w:rPr>
        <w:t>2.1</w:t>
      </w:r>
      <w:r>
        <w:t xml:space="preserve"> </w:t>
      </w:r>
      <w:r>
        <w:rPr>
          <w:rFonts w:hint="eastAsia"/>
        </w:rPr>
        <w:t>资质要求：</w:t>
      </w:r>
      <w:r>
        <w:rPr>
          <w:rFonts w:hint="eastAsia"/>
          <w:szCs w:val="22"/>
          <w:u w:val="single"/>
        </w:rPr>
        <w:t xml:space="preserve"> </w:t>
      </w:r>
      <w:r>
        <w:rPr>
          <w:szCs w:val="22"/>
          <w:u w:val="single"/>
        </w:rPr>
        <w:t>无</w:t>
      </w:r>
      <w:r>
        <w:rPr>
          <w:rFonts w:hint="eastAsia" w:ascii="楷体" w:hAnsi="楷体" w:eastAsia="楷体"/>
          <w:u w:val="single"/>
        </w:rPr>
        <w:t xml:space="preserve"> </w:t>
      </w:r>
    </w:p>
    <w:p>
      <w:pPr>
        <w:ind w:firstLine="480"/>
        <w:rPr>
          <w:u w:val="single"/>
        </w:rPr>
      </w:pPr>
      <w:r>
        <w:rPr>
          <w:rFonts w:hint="eastAsia"/>
        </w:rPr>
        <w:t>2.2</w:t>
      </w:r>
      <w:r>
        <w:t xml:space="preserve"> 业绩</w:t>
      </w:r>
      <w:r>
        <w:rPr>
          <w:rFonts w:hint="eastAsia"/>
        </w:rPr>
        <w:t xml:space="preserve">要求： </w:t>
      </w:r>
      <w:r>
        <w:rPr>
          <w:u w:val="single"/>
        </w:rPr>
        <w:t>无</w:t>
      </w:r>
    </w:p>
    <w:p>
      <w:pPr>
        <w:ind w:firstLine="480"/>
      </w:pPr>
      <w:r>
        <w:rPr>
          <w:rFonts w:hint="eastAsia"/>
        </w:rPr>
        <w:t>2.3</w:t>
      </w:r>
      <w:r>
        <w:t xml:space="preserve"> </w:t>
      </w:r>
      <w:r>
        <w:rPr>
          <w:rFonts w:hint="eastAsia"/>
        </w:rPr>
        <w:t>是否允许</w:t>
      </w:r>
      <w:r>
        <w:t>联合体</w:t>
      </w:r>
      <w:r>
        <w:rPr>
          <w:rFonts w:hint="eastAsia"/>
        </w:rPr>
        <w:t>：</w:t>
      </w:r>
      <w:r>
        <w:rPr>
          <w:rFonts w:hint="eastAsia" w:ascii="楷体" w:hAnsi="楷体" w:eastAsia="楷体"/>
          <w:u w:val="single"/>
        </w:rPr>
        <w:t xml:space="preserve"> </w:t>
      </w:r>
      <w:r>
        <w:rPr>
          <w:rFonts w:ascii="楷体" w:hAnsi="楷体" w:eastAsia="楷体"/>
          <w:u w:val="single"/>
        </w:rPr>
        <w:t>否</w:t>
      </w:r>
      <w:r>
        <w:rPr>
          <w:rFonts w:hint="eastAsia" w:ascii="楷体" w:hAnsi="楷体" w:eastAsia="楷体"/>
          <w:u w:val="single"/>
        </w:rPr>
        <w:t xml:space="preserve"> </w:t>
      </w:r>
      <w:r>
        <w:rPr>
          <w:rFonts w:hint="eastAsia"/>
        </w:rPr>
        <w:t>。</w:t>
      </w:r>
    </w:p>
    <w:p>
      <w:pPr>
        <w:ind w:firstLine="480"/>
      </w:pPr>
      <w:r>
        <w:rPr>
          <w:rFonts w:hint="eastAsia"/>
        </w:rPr>
        <w:t>2.4</w:t>
      </w:r>
      <w:r>
        <w:t xml:space="preserve"> </w:t>
      </w:r>
      <w:r>
        <w:rPr>
          <w:rFonts w:hint="eastAsia"/>
        </w:rPr>
        <w:t>是否接受代理商：</w:t>
      </w:r>
      <w:r>
        <w:t>是</w:t>
      </w:r>
      <w:r>
        <w:rPr>
          <w:rFonts w:hint="eastAsia"/>
        </w:rPr>
        <w:t>。</w:t>
      </w:r>
    </w:p>
    <w:p>
      <w:pPr>
        <w:ind w:firstLine="480"/>
        <w:jc w:val="left"/>
        <w:rPr>
          <w:u w:val="single"/>
        </w:rPr>
      </w:pPr>
      <w:r>
        <w:rPr>
          <w:rFonts w:hint="eastAsia"/>
        </w:rPr>
        <w:t>2.5</w:t>
      </w:r>
      <w:r>
        <w:t xml:space="preserve"> </w:t>
      </w:r>
      <w:r>
        <w:rPr>
          <w:rFonts w:hint="eastAsia"/>
        </w:rPr>
        <w:t>应具备的其他要求：</w:t>
      </w:r>
      <w:r>
        <w:t>无</w:t>
      </w:r>
    </w:p>
    <w:p>
      <w:pPr>
        <w:pStyle w:val="3"/>
        <w:spacing w:before="120"/>
      </w:pPr>
      <w:r>
        <w:rPr>
          <w:rFonts w:hint="eastAsia"/>
        </w:rPr>
        <w:t>三、</w:t>
      </w:r>
      <w:r>
        <w:t>基本信息</w:t>
      </w:r>
    </w:p>
    <w:tbl>
      <w:tblPr>
        <w:tblStyle w:val="32"/>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2266"/>
        <w:gridCol w:w="224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采购方案名称</w:t>
            </w:r>
          </w:p>
        </w:tc>
        <w:tc>
          <w:tcPr>
            <w:tcW w:w="2266" w:type="dxa"/>
            <w:vAlign w:val="center"/>
          </w:tcPr>
          <w:p>
            <w:pPr>
              <w:widowControl/>
              <w:ind w:firstLine="0" w:firstLineChars="0"/>
              <w:jc w:val="center"/>
              <w:rPr>
                <w:rFonts w:ascii="宋体" w:hAnsi="宋体" w:cs="宋体"/>
                <w:sz w:val="21"/>
                <w:szCs w:val="21"/>
              </w:rPr>
            </w:pPr>
            <w:r>
              <w:rPr>
                <w:rFonts w:ascii="宋体" w:hAnsi="宋体" w:cs="宋体"/>
                <w:sz w:val="21"/>
                <w:szCs w:val="21"/>
              </w:rPr>
              <w:t>大连电厂-检修部电气专业吊车电缆采购询价</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采购单位</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华能大连电厂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采购项目类型</w:t>
            </w:r>
          </w:p>
        </w:tc>
        <w:tc>
          <w:tcPr>
            <w:tcW w:w="2266" w:type="dxa"/>
            <w:vAlign w:val="center"/>
          </w:tcPr>
          <w:p>
            <w:pPr>
              <w:widowControl/>
              <w:ind w:firstLine="0" w:firstLineChars="0"/>
              <w:jc w:val="center"/>
              <w:rPr>
                <w:rFonts w:ascii="宋体" w:hAnsi="宋体" w:cs="宋体"/>
                <w:sz w:val="18"/>
                <w:szCs w:val="18"/>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采购项目类别</w:t>
            </w:r>
          </w:p>
        </w:tc>
        <w:tc>
          <w:tcPr>
            <w:tcW w:w="2254" w:type="dxa"/>
            <w:vAlign w:val="center"/>
          </w:tcPr>
          <w:p>
            <w:pPr>
              <w:widowControl/>
              <w:ind w:firstLine="180" w:firstLineChars="100"/>
              <w:rPr>
                <w:rFonts w:ascii="宋体" w:hAnsi="宋体" w:cs="宋体"/>
                <w:sz w:val="21"/>
                <w:szCs w:val="21"/>
              </w:rPr>
            </w:pPr>
            <w:r>
              <w:rPr>
                <w:rFonts w:hint="eastAsia" w:ascii="宋体" w:hAnsi="宋体" w:cs="宋体"/>
                <w:sz w:val="18"/>
                <w:szCs w:val="18"/>
              </w:rPr>
              <w:t>详见电子商务平台公告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工程项目编号</w:t>
            </w:r>
          </w:p>
        </w:tc>
        <w:tc>
          <w:tcPr>
            <w:tcW w:w="2266" w:type="dxa"/>
            <w:vAlign w:val="center"/>
          </w:tcPr>
          <w:p>
            <w:pPr>
              <w:ind w:firstLine="0" w:firstLineChars="0"/>
              <w:jc w:val="center"/>
              <w:rPr>
                <w:rFonts w:ascii="宋体" w:hAnsi="宋体" w:cs="宋体"/>
                <w:sz w:val="21"/>
                <w:szCs w:val="21"/>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工程项目名称</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18"/>
                <w:szCs w:val="18"/>
              </w:rPr>
              <w:t>详见电子商务平台公告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寻源类型</w:t>
            </w:r>
          </w:p>
        </w:tc>
        <w:tc>
          <w:tcPr>
            <w:tcW w:w="2266"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询价</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寻源方式</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评价原则</w:t>
            </w:r>
          </w:p>
        </w:tc>
        <w:tc>
          <w:tcPr>
            <w:tcW w:w="2266" w:type="dxa"/>
            <w:vAlign w:val="center"/>
          </w:tcPr>
          <w:p>
            <w:pPr>
              <w:widowControl/>
              <w:ind w:firstLine="0" w:firstLineChars="0"/>
              <w:jc w:val="center"/>
              <w:rPr>
                <w:rFonts w:ascii="宋体" w:hAnsi="宋体" w:cs="宋体"/>
                <w:sz w:val="21"/>
                <w:szCs w:val="21"/>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是否紧急采购</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否</w:t>
            </w:r>
          </w:p>
        </w:tc>
      </w:tr>
    </w:tbl>
    <w:p>
      <w:pPr>
        <w:pStyle w:val="3"/>
        <w:spacing w:before="120"/>
      </w:pPr>
      <w:r>
        <w:rPr>
          <w:rFonts w:hint="eastAsia"/>
        </w:rPr>
        <w:t>四、</w:t>
      </w:r>
      <w:r>
        <w:t>报价要求</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251"/>
        <w:gridCol w:w="2264"/>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结算币种</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人民币</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报价截止前是否允许 供应商修改报价</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是否缴纳保证金</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否</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保证金金额（元）</w:t>
            </w:r>
          </w:p>
        </w:tc>
        <w:tc>
          <w:tcPr>
            <w:tcW w:w="2251" w:type="dxa"/>
            <w:vAlign w:val="center"/>
          </w:tcPr>
          <w:p>
            <w:pPr>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报价开始时间</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18"/>
                <w:szCs w:val="18"/>
              </w:rPr>
              <w:t>以电子商务平台公告为准</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报价截止时间</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18"/>
                <w:szCs w:val="18"/>
              </w:rPr>
              <w:t>以电子商务平台公告为准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答疑／澄清时间</w:t>
            </w:r>
          </w:p>
        </w:tc>
        <w:tc>
          <w:tcPr>
            <w:tcW w:w="6766" w:type="dxa"/>
            <w:gridSpan w:val="3"/>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21"/>
                <w:szCs w:val="21"/>
              </w:rPr>
              <w:t>以电子商务平台公告为准</w:t>
            </w:r>
          </w:p>
        </w:tc>
      </w:tr>
    </w:tbl>
    <w:p>
      <w:pPr>
        <w:pStyle w:val="3"/>
        <w:numPr>
          <w:ilvl w:val="0"/>
          <w:numId w:val="2"/>
        </w:numPr>
        <w:spacing w:before="120"/>
      </w:pPr>
      <w:r>
        <w:rPr>
          <w:rFonts w:hint="eastAsia"/>
        </w:rPr>
        <w:t>采购需求</w:t>
      </w:r>
      <w:r>
        <w:t>信息</w:t>
      </w:r>
    </w:p>
    <w:tbl>
      <w:tblPr>
        <w:tblStyle w:val="32"/>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3982"/>
        <w:gridCol w:w="12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宋体"/>
                <w:b/>
                <w:kern w:val="0"/>
                <w:szCs w:val="24"/>
                <w:lang w:bidi="ar"/>
              </w:rPr>
            </w:pPr>
            <w:r>
              <w:rPr>
                <w:rFonts w:hint="eastAsia" w:ascii="Calibri" w:hAnsi="Calibri" w:cs="宋体"/>
                <w:b/>
                <w:kern w:val="0"/>
                <w:szCs w:val="24"/>
                <w:lang w:bidi="ar"/>
              </w:rPr>
              <w:t>物料编码</w:t>
            </w:r>
          </w:p>
        </w:tc>
        <w:tc>
          <w:tcPr>
            <w:tcW w:w="3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项目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102571979</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电力电缆\\TVR\\3*6MM2＋1*4MM2\\300／500V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2</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102571980</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电力电缆\\TVR\\3*10MM2＋1*6MM2\\300／500V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3</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102571982</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电力电缆\\TVR\\3*16MM2＋1*6MM2\\300／500V</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200.00</w:t>
            </w:r>
          </w:p>
        </w:tc>
      </w:tr>
    </w:tbl>
    <w:p>
      <w:pPr>
        <w:pStyle w:val="3"/>
        <w:spacing w:before="120"/>
      </w:pPr>
      <w:r>
        <w:rPr>
          <w:rFonts w:hint="eastAsia"/>
        </w:rPr>
        <w:t>六、</w:t>
      </w:r>
      <w:r>
        <w:t>联系人信息</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67"/>
        <w:gridCol w:w="225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联系人（采购人）</w:t>
            </w:r>
          </w:p>
        </w:tc>
        <w:tc>
          <w:tcPr>
            <w:tcW w:w="2267" w:type="dxa"/>
            <w:vAlign w:val="center"/>
          </w:tcPr>
          <w:p>
            <w:pPr>
              <w:widowControl/>
              <w:ind w:firstLine="0" w:firstLineChars="0"/>
              <w:jc w:val="center"/>
              <w:rPr>
                <w:rFonts w:ascii="宋体" w:hAnsi="宋体" w:cs="宋体"/>
                <w:kern w:val="0"/>
                <w:sz w:val="21"/>
                <w:szCs w:val="21"/>
                <w:lang w:bidi="ar"/>
              </w:rPr>
            </w:pPr>
            <w:r>
              <w:rPr>
                <w:szCs w:val="24"/>
              </w:rPr>
              <w:t>陈女士</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询价单位</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华能大连电厂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联系电话</w:t>
            </w:r>
          </w:p>
        </w:tc>
        <w:tc>
          <w:tcPr>
            <w:tcW w:w="2267" w:type="dxa"/>
            <w:vAlign w:val="center"/>
          </w:tcPr>
          <w:p>
            <w:pPr>
              <w:widowControl/>
              <w:ind w:firstLine="0" w:firstLineChars="0"/>
              <w:jc w:val="center"/>
              <w:rPr>
                <w:rFonts w:ascii="宋体" w:hAnsi="宋体" w:cs="宋体"/>
                <w:kern w:val="0"/>
                <w:sz w:val="21"/>
                <w:szCs w:val="21"/>
                <w:lang w:bidi="ar"/>
              </w:rPr>
            </w:pPr>
            <w:r>
              <w:rPr>
                <w:szCs w:val="24"/>
              </w:rPr>
              <w:t>0411-87118539</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传真</w:t>
            </w:r>
          </w:p>
        </w:tc>
        <w:tc>
          <w:tcPr>
            <w:tcW w:w="2246" w:type="dxa"/>
            <w:vAlign w:val="center"/>
          </w:tcPr>
          <w:p>
            <w:pPr>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邮编</w:t>
            </w:r>
          </w:p>
        </w:tc>
        <w:tc>
          <w:tcPr>
            <w:tcW w:w="2267"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1</w:t>
            </w:r>
            <w:r>
              <w:rPr>
                <w:rFonts w:ascii="宋体" w:hAnsi="宋体" w:cs="宋体"/>
                <w:kern w:val="0"/>
                <w:sz w:val="21"/>
                <w:szCs w:val="21"/>
                <w:lang w:bidi="ar"/>
              </w:rPr>
              <w:t>16100</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Email</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手机</w:t>
            </w:r>
          </w:p>
        </w:tc>
        <w:tc>
          <w:tcPr>
            <w:tcW w:w="2267"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联系地址</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辽宁省大连市甘井子区大连湾新街883号</w:t>
            </w:r>
          </w:p>
        </w:tc>
      </w:tr>
    </w:tbl>
    <w:p>
      <w:pPr>
        <w:pStyle w:val="3"/>
        <w:spacing w:before="120"/>
      </w:pPr>
      <w:r>
        <w:rPr>
          <w:rFonts w:hint="eastAsia"/>
        </w:rPr>
        <w:t>七、</w:t>
      </w:r>
      <w:r>
        <w:t>附件</w:t>
      </w:r>
    </w:p>
    <w:p>
      <w:pPr>
        <w:spacing w:before="120"/>
        <w:ind w:firstLine="0" w:firstLineChars="0"/>
      </w:pPr>
    </w:p>
    <w:p>
      <w:pPr>
        <w:spacing w:before="120"/>
        <w:ind w:firstLine="0" w:firstLineChars="0"/>
        <w:rPr>
          <w:rFonts w:ascii="宋体" w:hAnsi="宋体" w:cs="宋体"/>
          <w:bCs/>
          <w:szCs w:val="24"/>
        </w:rPr>
      </w:pPr>
      <w:r>
        <w:rPr>
          <w:rFonts w:ascii="宋体" w:hAnsi="宋体" w:cs="宋体"/>
          <w:bCs/>
          <w:szCs w:val="24"/>
        </w:rPr>
        <w:t>只接受供应商</w:t>
      </w:r>
      <w:r>
        <w:rPr>
          <w:rFonts w:hint="eastAsia" w:ascii="宋体" w:hAnsi="宋体" w:cs="宋体"/>
          <w:bCs/>
          <w:szCs w:val="24"/>
        </w:rPr>
        <w:t>通过电子商务平台线上对需要澄清的内容提出问询。</w:t>
      </w:r>
    </w:p>
    <w:p>
      <w:pPr>
        <w:spacing w:line="360" w:lineRule="auto"/>
        <w:ind w:firstLine="0" w:firstLineChars="0"/>
        <w:rPr>
          <w:szCs w:val="24"/>
        </w:rPr>
      </w:pPr>
      <w:bookmarkStart w:id="38" w:name="_Toc361508563"/>
      <w:bookmarkEnd w:id="38"/>
      <w:bookmarkStart w:id="39" w:name="_Toc152042289"/>
      <w:bookmarkEnd w:id="39"/>
      <w:bookmarkStart w:id="40" w:name="_Toc17972"/>
      <w:bookmarkEnd w:id="40"/>
      <w:bookmarkStart w:id="41" w:name="_Toc300834930"/>
      <w:bookmarkEnd w:id="41"/>
      <w:bookmarkStart w:id="42" w:name="_Toc144974481"/>
      <w:bookmarkEnd w:id="42"/>
      <w:bookmarkStart w:id="43" w:name="_Toc247527536"/>
      <w:bookmarkEnd w:id="43"/>
      <w:bookmarkStart w:id="44" w:name="_Toc369531498"/>
      <w:bookmarkEnd w:id="44"/>
      <w:bookmarkStart w:id="45" w:name="_Toc352691456"/>
      <w:bookmarkEnd w:id="45"/>
      <w:bookmarkStart w:id="46" w:name="_Toc247513935"/>
      <w:bookmarkEnd w:id="46"/>
      <w:bookmarkStart w:id="47" w:name="_Toc384308188"/>
      <w:bookmarkEnd w:id="47"/>
      <w:bookmarkStart w:id="48" w:name="_Toc152045513"/>
      <w:bookmarkEnd w:id="48"/>
      <w:r>
        <w:rPr>
          <w:szCs w:val="24"/>
        </w:rPr>
        <w:t>　　　　　　　　　　　　　　　　　　　　　　　</w:t>
      </w:r>
    </w:p>
    <w:bookmarkEnd w:id="36"/>
    <w:bookmarkEnd w:id="37"/>
    <w:p>
      <w:pPr>
        <w:pStyle w:val="25"/>
        <w:spacing w:before="120"/>
        <w:rPr>
          <w:rFonts w:ascii="Arial" w:hAnsi="宋体" w:cs="Arial"/>
          <w:szCs w:val="36"/>
        </w:rPr>
      </w:pPr>
      <w:r>
        <w:rPr>
          <w:rFonts w:ascii="宋体" w:cs="宋体"/>
          <w:b/>
          <w:bCs/>
          <w:kern w:val="0"/>
          <w:sz w:val="24"/>
          <w:szCs w:val="24"/>
        </w:rPr>
        <w:br w:type="page"/>
      </w:r>
      <w:bookmarkEnd w:id="30"/>
      <w:bookmarkStart w:id="49" w:name="_Toc49019216"/>
      <w:bookmarkStart w:id="50" w:name="_Toc47415923"/>
      <w:bookmarkStart w:id="51" w:name="_Toc47416177"/>
    </w:p>
    <w:p>
      <w:pPr>
        <w:pStyle w:val="82"/>
        <w:ind w:firstLine="720"/>
        <w:jc w:val="center"/>
        <w:rPr>
          <w:rFonts w:ascii="Arial" w:hAnsi="宋体" w:cs="Arial"/>
          <w:sz w:val="36"/>
          <w:szCs w:val="36"/>
        </w:rPr>
      </w:pPr>
    </w:p>
    <w:p>
      <w:pPr>
        <w:pStyle w:val="25"/>
        <w:numPr>
          <w:ilvl w:val="0"/>
          <w:numId w:val="3"/>
        </w:numPr>
        <w:spacing w:before="120"/>
      </w:pPr>
      <w:bookmarkStart w:id="52" w:name="_Toc3859"/>
      <w:bookmarkStart w:id="53" w:name="_Toc25845"/>
      <w:bookmarkStart w:id="54" w:name="_Toc21454"/>
      <w:bookmarkStart w:id="55" w:name="_Toc28012"/>
      <w:bookmarkStart w:id="56" w:name="_Toc527708237"/>
      <w:bookmarkStart w:id="57" w:name="_Toc7816"/>
      <w:bookmarkStart w:id="58" w:name="_Toc22616"/>
      <w:bookmarkStart w:id="59" w:name="_Toc27560"/>
      <w:r>
        <w:rPr>
          <w:rFonts w:hint="eastAsia"/>
        </w:rPr>
        <w:t>供应商须知</w:t>
      </w:r>
      <w:bookmarkEnd w:id="49"/>
      <w:bookmarkEnd w:id="50"/>
      <w:bookmarkEnd w:id="51"/>
      <w:r>
        <w:rPr>
          <w:rFonts w:hint="eastAsia"/>
        </w:rPr>
        <w:t>及前附表</w:t>
      </w:r>
      <w:bookmarkEnd w:id="52"/>
      <w:bookmarkEnd w:id="53"/>
      <w:bookmarkEnd w:id="54"/>
      <w:bookmarkEnd w:id="55"/>
      <w:bookmarkEnd w:id="56"/>
      <w:bookmarkEnd w:id="57"/>
      <w:bookmarkEnd w:id="58"/>
      <w:bookmarkEnd w:id="59"/>
    </w:p>
    <w:p>
      <w:pPr>
        <w:pStyle w:val="3"/>
        <w:spacing w:before="120"/>
        <w:jc w:val="center"/>
      </w:pPr>
      <w:r>
        <w:rPr>
          <w:rFonts w:hint="eastAsia" w:eastAsia="楷体"/>
          <w:u w:val="single"/>
        </w:rPr>
        <w:t>供应商须知前附表</w:t>
      </w:r>
    </w:p>
    <w:tbl>
      <w:tblPr>
        <w:tblStyle w:val="3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4"/>
        <w:gridCol w:w="1542"/>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条款号</w:t>
            </w:r>
          </w:p>
        </w:tc>
        <w:tc>
          <w:tcPr>
            <w:tcW w:w="1542" w:type="dxa"/>
            <w:vAlign w:val="center"/>
          </w:tcPr>
          <w:p>
            <w:pPr>
              <w:pStyle w:val="41"/>
              <w:jc w:val="center"/>
              <w:rPr>
                <w:rFonts w:ascii="宋体" w:hAnsi="宋体" w:cs="宋体"/>
              </w:rPr>
            </w:pPr>
            <w:r>
              <w:rPr>
                <w:rFonts w:hint="eastAsia" w:ascii="宋体" w:hAnsi="宋体" w:cs="宋体"/>
              </w:rPr>
              <w:t>条款名称</w:t>
            </w:r>
          </w:p>
        </w:tc>
        <w:tc>
          <w:tcPr>
            <w:tcW w:w="6463" w:type="dxa"/>
            <w:vAlign w:val="center"/>
          </w:tcPr>
          <w:p>
            <w:pPr>
              <w:pStyle w:val="41"/>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3" w:hRule="atLeast"/>
        </w:trPr>
        <w:tc>
          <w:tcPr>
            <w:tcW w:w="1014" w:type="dxa"/>
            <w:vAlign w:val="center"/>
          </w:tcPr>
          <w:p>
            <w:pPr>
              <w:pStyle w:val="41"/>
              <w:jc w:val="center"/>
              <w:rPr>
                <w:rFonts w:ascii="宋体" w:hAnsi="宋体" w:cs="宋体"/>
              </w:rPr>
            </w:pPr>
            <w:r>
              <w:rPr>
                <w:rFonts w:hint="eastAsia" w:ascii="宋体" w:hAnsi="宋体" w:cs="宋体"/>
              </w:rPr>
              <w:t>2.1</w:t>
            </w:r>
          </w:p>
        </w:tc>
        <w:tc>
          <w:tcPr>
            <w:tcW w:w="1542" w:type="dxa"/>
            <w:vAlign w:val="center"/>
          </w:tcPr>
          <w:p>
            <w:pPr>
              <w:pStyle w:val="41"/>
              <w:rPr>
                <w:rFonts w:ascii="宋体" w:hAnsi="宋体" w:cs="宋体"/>
              </w:rPr>
            </w:pPr>
            <w:r>
              <w:rPr>
                <w:rFonts w:hint="eastAsia" w:ascii="宋体" w:hAnsi="宋体" w:cs="宋体"/>
              </w:rPr>
              <w:t>采购人及联系方式</w:t>
            </w:r>
          </w:p>
        </w:tc>
        <w:tc>
          <w:tcPr>
            <w:tcW w:w="6463" w:type="dxa"/>
            <w:vAlign w:val="center"/>
          </w:tcPr>
          <w:p>
            <w:pPr>
              <w:pStyle w:val="41"/>
              <w:rPr>
                <w:sz w:val="24"/>
                <w:szCs w:val="24"/>
              </w:rPr>
            </w:pPr>
            <w:r>
              <w:rPr>
                <w:rFonts w:hint="eastAsia"/>
                <w:sz w:val="24"/>
                <w:szCs w:val="24"/>
              </w:rPr>
              <w:t>采 购 人：华能大连电厂</w:t>
            </w:r>
          </w:p>
          <w:p>
            <w:pPr>
              <w:pStyle w:val="41"/>
              <w:rPr>
                <w:sz w:val="24"/>
                <w:szCs w:val="24"/>
              </w:rPr>
            </w:pPr>
            <w:r>
              <w:rPr>
                <w:rFonts w:hint="eastAsia"/>
                <w:sz w:val="24"/>
                <w:szCs w:val="24"/>
              </w:rPr>
              <w:t xml:space="preserve">地 </w:t>
            </w:r>
            <w:r>
              <w:rPr>
                <w:sz w:val="24"/>
                <w:szCs w:val="24"/>
              </w:rPr>
              <w:t xml:space="preserve">   </w:t>
            </w:r>
            <w:r>
              <w:rPr>
                <w:rFonts w:hint="eastAsia"/>
                <w:sz w:val="24"/>
                <w:szCs w:val="24"/>
              </w:rPr>
              <w:t>址：辽宁省</w:t>
            </w:r>
            <w:r>
              <w:rPr>
                <w:rFonts w:hint="eastAsia" w:ascii="宋体" w:hAnsi="宋体" w:cs="宋体"/>
                <w:sz w:val="21"/>
                <w:szCs w:val="21"/>
                <w:lang w:bidi="ar"/>
              </w:rPr>
              <w:t>大连市甘井子区大连湾新街883号</w:t>
            </w:r>
          </w:p>
          <w:p>
            <w:pPr>
              <w:pStyle w:val="41"/>
              <w:rPr>
                <w:sz w:val="24"/>
                <w:szCs w:val="24"/>
              </w:rPr>
            </w:pPr>
            <w:r>
              <w:rPr>
                <w:rFonts w:hint="eastAsia"/>
                <w:sz w:val="24"/>
                <w:szCs w:val="24"/>
              </w:rPr>
              <w:t xml:space="preserve">邮 </w:t>
            </w:r>
            <w:r>
              <w:rPr>
                <w:sz w:val="24"/>
                <w:szCs w:val="24"/>
              </w:rPr>
              <w:t xml:space="preserve">   </w:t>
            </w:r>
            <w:r>
              <w:rPr>
                <w:rFonts w:hint="eastAsia"/>
                <w:sz w:val="24"/>
                <w:szCs w:val="24"/>
              </w:rPr>
              <w:t>编：1</w:t>
            </w:r>
            <w:r>
              <w:rPr>
                <w:sz w:val="24"/>
                <w:szCs w:val="24"/>
              </w:rPr>
              <w:t>16100</w:t>
            </w:r>
          </w:p>
          <w:p>
            <w:pPr>
              <w:pStyle w:val="41"/>
              <w:rPr>
                <w:sz w:val="24"/>
                <w:szCs w:val="24"/>
              </w:rPr>
            </w:pPr>
            <w:r>
              <w:rPr>
                <w:rFonts w:hint="eastAsia"/>
                <w:sz w:val="24"/>
                <w:szCs w:val="24"/>
              </w:rPr>
              <w:t xml:space="preserve">电 </w:t>
            </w:r>
            <w:r>
              <w:rPr>
                <w:sz w:val="24"/>
                <w:szCs w:val="24"/>
              </w:rPr>
              <w:t xml:space="preserve">   </w:t>
            </w:r>
            <w:r>
              <w:rPr>
                <w:rFonts w:hint="eastAsia"/>
                <w:sz w:val="24"/>
                <w:szCs w:val="24"/>
              </w:rPr>
              <w:t>话：</w:t>
            </w:r>
            <w:r>
              <w:rPr>
                <w:sz w:val="24"/>
                <w:szCs w:val="24"/>
              </w:rPr>
              <w:t>0411-87118539</w:t>
            </w:r>
          </w:p>
          <w:p>
            <w:pPr>
              <w:pStyle w:val="41"/>
              <w:rPr>
                <w:rFonts w:ascii="宋体" w:hAnsi="宋体" w:cs="宋体"/>
                <w:sz w:val="21"/>
                <w:szCs w:val="21"/>
                <w:lang w:bidi="ar"/>
              </w:rPr>
            </w:pPr>
            <w:r>
              <w:rPr>
                <w:rFonts w:hint="eastAsia"/>
                <w:sz w:val="24"/>
                <w:szCs w:val="24"/>
              </w:rPr>
              <w:t>电子邮箱：/</w:t>
            </w:r>
          </w:p>
          <w:p>
            <w:pPr>
              <w:pStyle w:val="41"/>
              <w:rPr>
                <w:sz w:val="24"/>
                <w:szCs w:val="24"/>
              </w:rPr>
            </w:pPr>
            <w:r>
              <w:rPr>
                <w:rFonts w:hint="eastAsia"/>
                <w:sz w:val="24"/>
                <w:szCs w:val="24"/>
              </w:rPr>
              <w:t>联 系 人：</w:t>
            </w:r>
            <w:r>
              <w:rPr>
                <w:sz w:val="24"/>
                <w:szCs w:val="24"/>
              </w:rPr>
              <w:t>陈女士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3" w:hRule="atLeast"/>
        </w:trPr>
        <w:tc>
          <w:tcPr>
            <w:tcW w:w="1014" w:type="dxa"/>
            <w:vAlign w:val="center"/>
          </w:tcPr>
          <w:p>
            <w:pPr>
              <w:pStyle w:val="41"/>
              <w:jc w:val="center"/>
              <w:rPr>
                <w:rFonts w:ascii="宋体" w:hAnsi="宋体" w:cs="宋体"/>
              </w:rPr>
            </w:pPr>
            <w:r>
              <w:rPr>
                <w:rFonts w:hint="eastAsia" w:ascii="宋体" w:hAnsi="宋体" w:cs="宋体"/>
              </w:rPr>
              <w:t>2.4</w:t>
            </w:r>
          </w:p>
        </w:tc>
        <w:tc>
          <w:tcPr>
            <w:tcW w:w="1542" w:type="dxa"/>
            <w:vAlign w:val="center"/>
          </w:tcPr>
          <w:p>
            <w:pPr>
              <w:pStyle w:val="41"/>
              <w:rPr>
                <w:rFonts w:ascii="宋体" w:hAnsi="宋体" w:cs="宋体"/>
                <w:sz w:val="21"/>
                <w:szCs w:val="21"/>
              </w:rPr>
            </w:pPr>
            <w:r>
              <w:rPr>
                <w:rFonts w:hint="eastAsia" w:ascii="宋体" w:hAnsi="宋体" w:cs="宋体"/>
              </w:rPr>
              <w:t>采购代理机构及联系方式（如有）</w:t>
            </w:r>
          </w:p>
        </w:tc>
        <w:tc>
          <w:tcPr>
            <w:tcW w:w="6463" w:type="dxa"/>
            <w:vAlign w:val="center"/>
          </w:tcPr>
          <w:p>
            <w:pPr>
              <w:pStyle w:val="41"/>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4.1</w:t>
            </w:r>
          </w:p>
        </w:tc>
        <w:tc>
          <w:tcPr>
            <w:tcW w:w="1542" w:type="dxa"/>
            <w:vAlign w:val="center"/>
          </w:tcPr>
          <w:p>
            <w:pPr>
              <w:pStyle w:val="41"/>
              <w:rPr>
                <w:rFonts w:ascii="宋体" w:hAnsi="宋体" w:cs="宋体"/>
              </w:rPr>
            </w:pPr>
            <w:r>
              <w:rPr>
                <w:rFonts w:hint="eastAsia" w:ascii="宋体" w:hAnsi="宋体" w:cs="宋体"/>
              </w:rPr>
              <w:t>踏勘现场</w:t>
            </w:r>
          </w:p>
        </w:tc>
        <w:tc>
          <w:tcPr>
            <w:tcW w:w="6463" w:type="dxa"/>
            <w:vAlign w:val="center"/>
          </w:tcPr>
          <w:p>
            <w:pPr>
              <w:pStyle w:val="41"/>
              <w:rPr>
                <w:rFonts w:cs="宋体"/>
                <w:color w:val="000000"/>
              </w:rPr>
            </w:pPr>
            <w:r>
              <w:rPr>
                <w:rFonts w:ascii="宋体"/>
                <w:sz w:val="24"/>
                <w:szCs w:val="28"/>
              </w:rPr>
              <w:t>☑不组织□组织</w:t>
            </w:r>
            <w:r>
              <w:rPr>
                <w:rFonts w:hint="eastAsia" w:cs="宋体"/>
                <w:color w:val="000000"/>
              </w:rPr>
              <w:t>，踏勘时间：</w:t>
            </w:r>
          </w:p>
          <w:p>
            <w:pPr>
              <w:pStyle w:val="41"/>
              <w:ind w:firstLine="1100" w:firstLineChars="500"/>
              <w:rPr>
                <w:rFonts w:ascii="宋体" w:hAnsi="宋体" w:cs="宋体"/>
              </w:rPr>
            </w:pPr>
            <w:r>
              <w:rPr>
                <w:rFonts w:hint="eastAsia" w:cs="宋体"/>
                <w:color w:val="00000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6.1</w:t>
            </w:r>
          </w:p>
        </w:tc>
        <w:tc>
          <w:tcPr>
            <w:tcW w:w="1542" w:type="dxa"/>
            <w:vAlign w:val="center"/>
          </w:tcPr>
          <w:p>
            <w:pPr>
              <w:pStyle w:val="41"/>
              <w:rPr>
                <w:rFonts w:ascii="宋体" w:hAnsi="宋体" w:cs="宋体"/>
              </w:rPr>
            </w:pPr>
            <w:r>
              <w:rPr>
                <w:rFonts w:hint="eastAsia" w:ascii="宋体" w:hAnsi="宋体" w:cs="宋体"/>
              </w:rPr>
              <w:t>采购文件的澄清、修改、补充</w:t>
            </w:r>
          </w:p>
        </w:tc>
        <w:tc>
          <w:tcPr>
            <w:tcW w:w="6463" w:type="dxa"/>
            <w:vAlign w:val="center"/>
          </w:tcPr>
          <w:p>
            <w:pPr>
              <w:pStyle w:val="41"/>
              <w:rPr>
                <w:rFonts w:cs="Arial"/>
              </w:rPr>
            </w:pPr>
            <w:r>
              <w:rPr>
                <w:rFonts w:hint="eastAsia" w:cs="Arial"/>
              </w:rPr>
              <w:t>供应商需在华能电子商务平台显示的澄清截止时间2</w:t>
            </w:r>
            <w:r>
              <w:rPr>
                <w:rFonts w:cs="Arial"/>
              </w:rPr>
              <w:t>4</w:t>
            </w:r>
            <w:r>
              <w:rPr>
                <w:rFonts w:hint="eastAsia" w:cs="Arial"/>
              </w:rPr>
              <w:t>小时前在华能电子商务平台提出澄清问题。</w:t>
            </w:r>
          </w:p>
          <w:p>
            <w:pPr>
              <w:pStyle w:val="41"/>
              <w:rPr>
                <w:rFonts w:cs="Arial"/>
              </w:rPr>
            </w:pPr>
            <w:r>
              <w:rPr>
                <w:rFonts w:hint="eastAsia"/>
              </w:rPr>
              <w:t>对采购文件进行的澄清、修改、补充距报价截止时间不足24小时的，将相应延长报价截止时间。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9.6</w:t>
            </w:r>
          </w:p>
        </w:tc>
        <w:tc>
          <w:tcPr>
            <w:tcW w:w="1542" w:type="dxa"/>
            <w:vAlign w:val="center"/>
          </w:tcPr>
          <w:p>
            <w:pPr>
              <w:pStyle w:val="41"/>
              <w:rPr>
                <w:rFonts w:ascii="宋体" w:hAnsi="宋体" w:cs="宋体"/>
              </w:rPr>
            </w:pPr>
            <w:r>
              <w:rPr>
                <w:rFonts w:hint="eastAsia" w:ascii="宋体" w:hAnsi="宋体" w:cs="宋体"/>
              </w:rPr>
              <w:t>最高限价</w:t>
            </w:r>
          </w:p>
        </w:tc>
        <w:tc>
          <w:tcPr>
            <w:tcW w:w="6463" w:type="dxa"/>
            <w:vAlign w:val="center"/>
          </w:tcPr>
          <w:p>
            <w:pPr>
              <w:pStyle w:val="41"/>
              <w:rPr>
                <w:b/>
                <w:bCs/>
              </w:rPr>
            </w:pPr>
            <w:r>
              <w:rPr>
                <w:rFonts w:hint="eastAsia"/>
                <w:b/>
                <w:bCs/>
              </w:rPr>
              <w:t>□</w:t>
            </w:r>
            <w:r>
              <w:rPr>
                <w:b/>
                <w:bCs/>
              </w:rPr>
              <w:t>无</w:t>
            </w:r>
          </w:p>
          <w:p>
            <w:pPr>
              <w:pStyle w:val="41"/>
              <w:rPr>
                <w:rFonts w:ascii="宋体" w:hAnsi="宋体" w:cs="宋体"/>
              </w:rPr>
            </w:pPr>
            <w:r>
              <w:rPr>
                <w:rFonts w:hint="eastAsia" w:ascii="宋体"/>
                <w:b/>
                <w:bCs/>
                <w:color w:val="FF0000"/>
                <w:sz w:val="24"/>
                <w:szCs w:val="28"/>
              </w:rPr>
              <w:sym w:font="Wingdings" w:char="F0FE"/>
            </w:r>
            <w:r>
              <w:rPr>
                <w:b/>
                <w:bCs/>
                <w:color w:val="FF0000"/>
              </w:rPr>
              <w:t>有，最高限价：</w:t>
            </w:r>
            <w:r>
              <w:rPr>
                <w:rFonts w:hint="eastAsia"/>
                <w:b/>
                <w:bCs/>
                <w:color w:val="FF0000"/>
                <w:u w:val="single"/>
              </w:rPr>
              <w:t xml:space="preserve">       </w:t>
            </w:r>
            <w:r>
              <w:rPr>
                <w:b/>
                <w:bCs/>
                <w:color w:val="FF0000"/>
                <w:u w:val="single"/>
              </w:rPr>
              <w:t>24333.42</w:t>
            </w:r>
            <w:r>
              <w:rPr>
                <w:rFonts w:hint="eastAsia"/>
                <w:b/>
                <w:bCs/>
                <w:color w:val="FF0000"/>
                <w:u w:val="single"/>
              </w:rPr>
              <w:t xml:space="preserve">元  </w:t>
            </w:r>
            <w:r>
              <w:rPr>
                <w:b/>
                <w:bCs/>
                <w:color w:val="FF0000"/>
                <w:u w:val="single"/>
              </w:rPr>
              <w:t xml:space="preserve">       </w:t>
            </w:r>
            <w:r>
              <w:rPr>
                <w:rFonts w:hint="eastAsia"/>
                <w:b/>
                <w:bCs/>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9.7</w:t>
            </w:r>
          </w:p>
        </w:tc>
        <w:tc>
          <w:tcPr>
            <w:tcW w:w="1542" w:type="dxa"/>
            <w:vAlign w:val="center"/>
          </w:tcPr>
          <w:p>
            <w:pPr>
              <w:pStyle w:val="41"/>
              <w:rPr>
                <w:rFonts w:ascii="宋体" w:hAnsi="宋体" w:cs="宋体"/>
              </w:rPr>
            </w:pPr>
            <w:r>
              <w:rPr>
                <w:rFonts w:hint="eastAsia" w:ascii="宋体" w:hAnsi="宋体" w:cs="宋体"/>
                <w:szCs w:val="24"/>
              </w:rPr>
              <w:t>采购代理服务费</w:t>
            </w:r>
          </w:p>
        </w:tc>
        <w:tc>
          <w:tcPr>
            <w:tcW w:w="6463" w:type="dxa"/>
            <w:vAlign w:val="center"/>
          </w:tcPr>
          <w:p>
            <w:pPr>
              <w:pStyle w:val="41"/>
              <w:rPr>
                <w:rFonts w:ascii="宋体" w:hAnsi="宋体" w:cs="宋体"/>
              </w:rPr>
            </w:pPr>
            <w:r>
              <w:rPr>
                <w:rFonts w:hint="eastAsia" w:ascii="宋体"/>
                <w:sz w:val="24"/>
                <w:szCs w:val="28"/>
              </w:rPr>
              <w:sym w:font="Wingdings" w:char="F0FE"/>
            </w:r>
            <w:r>
              <w:t>无</w:t>
            </w:r>
            <w:r>
              <w:br w:type="textWrapping"/>
            </w:r>
            <w:r>
              <w:rPr>
                <w:rFonts w:hint="eastAsia"/>
              </w:rPr>
              <w:t>□</w:t>
            </w:r>
            <w:r>
              <w:t>有</w:t>
            </w:r>
            <w:r>
              <w:rPr>
                <w:rFonts w:hint="eastAsia"/>
              </w:rPr>
              <w:t>，</w:t>
            </w:r>
            <w:r>
              <w:t xml:space="preserve">服务费收取标准： </w:t>
            </w:r>
            <w:r>
              <w:rPr>
                <w:rFonts w:hint="eastAsia" w:ascii="宋体" w:hAnsi="宋体" w:cs="宋体"/>
                <w:u w:val="single"/>
              </w:rPr>
              <w:t>取费按类型（工程、货物或服务）、分标段（包）参照《招标代理服务收费管理暂行办法》（计价格〔2002〕1980号）中规定的计费原则标准计取。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color w:val="FF0000"/>
              </w:rPr>
            </w:pPr>
            <w:r>
              <w:rPr>
                <w:rFonts w:hint="eastAsia" w:ascii="宋体" w:hAnsi="宋体" w:cs="宋体"/>
                <w:color w:val="FF0000"/>
              </w:rPr>
              <w:t>9</w:t>
            </w:r>
            <w:r>
              <w:rPr>
                <w:rFonts w:ascii="宋体" w:hAnsi="宋体" w:cs="宋体"/>
                <w:color w:val="FF0000"/>
              </w:rPr>
              <w:t>.8</w:t>
            </w:r>
          </w:p>
        </w:tc>
        <w:tc>
          <w:tcPr>
            <w:tcW w:w="1542" w:type="dxa"/>
            <w:vAlign w:val="center"/>
          </w:tcPr>
          <w:p>
            <w:pPr>
              <w:pStyle w:val="41"/>
              <w:rPr>
                <w:rFonts w:ascii="宋体" w:hAnsi="宋体" w:cs="宋体"/>
                <w:color w:val="FF0000"/>
                <w:szCs w:val="24"/>
              </w:rPr>
            </w:pPr>
            <w:r>
              <w:rPr>
                <w:rFonts w:hint="eastAsia"/>
                <w:color w:val="FF0000"/>
                <w:sz w:val="21"/>
                <w:szCs w:val="21"/>
              </w:rPr>
              <w:t>供应商报价的其他要求</w:t>
            </w:r>
          </w:p>
        </w:tc>
        <w:tc>
          <w:tcPr>
            <w:tcW w:w="6463" w:type="dxa"/>
            <w:vAlign w:val="center"/>
          </w:tcPr>
          <w:p>
            <w:pPr>
              <w:widowControl/>
              <w:adjustRightInd/>
              <w:snapToGrid/>
              <w:spacing w:line="240" w:lineRule="auto"/>
              <w:ind w:firstLine="0" w:firstLineChars="0"/>
              <w:jc w:val="left"/>
              <w:rPr>
                <w:color w:val="FF0000"/>
                <w:kern w:val="0"/>
                <w:sz w:val="22"/>
                <w:szCs w:val="22"/>
              </w:rPr>
            </w:pPr>
            <w:r>
              <w:rPr>
                <w:rFonts w:hint="eastAsia"/>
                <w:color w:val="FF0000"/>
                <w:sz w:val="22"/>
                <w:szCs w:val="22"/>
              </w:rPr>
              <w:t>采购人指定的增值税税种：</w:t>
            </w:r>
            <w:r>
              <w:rPr>
                <w:rFonts w:hint="eastAsia"/>
                <w:color w:val="FF0000"/>
                <w:sz w:val="22"/>
                <w:szCs w:val="22"/>
              </w:rPr>
              <w:br w:type="textWrapping"/>
            </w:r>
            <w:r>
              <w:rPr>
                <w:rFonts w:hint="eastAsia"/>
                <w:color w:val="FF0000"/>
                <w:sz w:val="22"/>
                <w:szCs w:val="22"/>
              </w:rPr>
              <w:t>√提供增值税专用发票；</w:t>
            </w:r>
            <w:r>
              <w:rPr>
                <w:rFonts w:hint="eastAsia"/>
                <w:color w:val="FF0000"/>
                <w:sz w:val="22"/>
                <w:szCs w:val="22"/>
              </w:rPr>
              <w:br w:type="textWrapping"/>
            </w:r>
            <w:r>
              <w:rPr>
                <w:rFonts w:hint="eastAsia"/>
                <w:color w:val="FF0000"/>
                <w:sz w:val="22"/>
                <w:szCs w:val="22"/>
              </w:rPr>
              <w:t>□提供增值税普通发票；</w:t>
            </w:r>
            <w:r>
              <w:rPr>
                <w:rFonts w:hint="eastAsia"/>
                <w:color w:val="FF0000"/>
                <w:sz w:val="22"/>
                <w:szCs w:val="22"/>
              </w:rPr>
              <w:br w:type="textWrapping"/>
            </w:r>
            <w:r>
              <w:rPr>
                <w:rFonts w:hint="eastAsia"/>
                <w:color w:val="FF0000"/>
                <w:sz w:val="22"/>
                <w:szCs w:val="22"/>
              </w:rPr>
              <w:t>□不限制。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10</w:t>
            </w:r>
          </w:p>
        </w:tc>
        <w:tc>
          <w:tcPr>
            <w:tcW w:w="1542" w:type="dxa"/>
            <w:vAlign w:val="center"/>
          </w:tcPr>
          <w:p>
            <w:pPr>
              <w:pStyle w:val="41"/>
              <w:rPr>
                <w:rFonts w:ascii="宋体" w:hAnsi="宋体" w:cs="宋体"/>
              </w:rPr>
            </w:pPr>
            <w:r>
              <w:rPr>
                <w:rFonts w:hint="eastAsia" w:ascii="宋体" w:hAnsi="宋体" w:cs="宋体"/>
              </w:rPr>
              <w:t>报价货币</w:t>
            </w:r>
          </w:p>
        </w:tc>
        <w:tc>
          <w:tcPr>
            <w:tcW w:w="6463" w:type="dxa"/>
            <w:vAlign w:val="center"/>
          </w:tcPr>
          <w:p>
            <w:pPr>
              <w:pStyle w:val="41"/>
            </w:pPr>
            <w:r>
              <w:rPr>
                <w:rFonts w:hint="eastAsia" w:ascii="宋体"/>
                <w:sz w:val="24"/>
                <w:szCs w:val="28"/>
              </w:rPr>
              <w:sym w:font="Wingdings" w:char="F0FE"/>
            </w:r>
            <w:r>
              <w:rPr>
                <w:rFonts w:hint="eastAsia"/>
              </w:rPr>
              <w:t>人民币</w:t>
            </w:r>
          </w:p>
          <w:p>
            <w:pPr>
              <w:pStyle w:val="41"/>
              <w:rPr>
                <w:rFonts w:ascii="宋体" w:hAnsi="宋体" w:cs="宋体"/>
              </w:rPr>
            </w:pPr>
            <w:r>
              <w:rPr>
                <w:rFonts w:hint="eastAsia"/>
              </w:rPr>
              <w:t>□其他：</w:t>
            </w:r>
            <w:r>
              <w:rPr>
                <w:rFonts w:hint="eastAsia" w:cs="宋体"/>
                <w:u w:val="single"/>
              </w:rPr>
              <w:t xml:space="preserve">       </w:t>
            </w:r>
            <w:r>
              <w:rPr>
                <w:rFonts w:cs="宋体"/>
                <w:u w:val="single"/>
              </w:rPr>
              <w:t xml:space="preserve">                 </w:t>
            </w:r>
            <w:r>
              <w:rPr>
                <w:rFonts w:hint="eastAsia"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11.1</w:t>
            </w:r>
          </w:p>
        </w:tc>
        <w:tc>
          <w:tcPr>
            <w:tcW w:w="1542" w:type="dxa"/>
            <w:vAlign w:val="center"/>
          </w:tcPr>
          <w:p>
            <w:pPr>
              <w:pStyle w:val="41"/>
              <w:rPr>
                <w:rFonts w:ascii="宋体" w:hAnsi="宋体" w:cs="宋体"/>
              </w:rPr>
            </w:pPr>
            <w:r>
              <w:rPr>
                <w:rFonts w:hint="eastAsia" w:ascii="宋体" w:hAnsi="宋体" w:cs="宋体"/>
              </w:rPr>
              <w:t>响应保证金</w:t>
            </w:r>
          </w:p>
        </w:tc>
        <w:tc>
          <w:tcPr>
            <w:tcW w:w="6463" w:type="dxa"/>
            <w:vAlign w:val="center"/>
          </w:tcPr>
          <w:p>
            <w:pPr>
              <w:pStyle w:val="41"/>
              <w:rPr>
                <w:rFonts w:ascii="宋体" w:hAnsi="宋体"/>
              </w:rPr>
            </w:pPr>
            <w:r>
              <w:rPr>
                <w:rFonts w:hint="eastAsia" w:ascii="宋体"/>
                <w:sz w:val="24"/>
                <w:szCs w:val="28"/>
              </w:rPr>
              <w:sym w:font="Wingdings" w:char="F0FE"/>
            </w:r>
            <w:r>
              <w:rPr>
                <w:rFonts w:hint="eastAsia"/>
              </w:rPr>
              <w:t>无</w:t>
            </w:r>
          </w:p>
          <w:p>
            <w:pPr>
              <w:pStyle w:val="41"/>
              <w:rPr>
                <w:rFonts w:ascii="宋体" w:hAnsi="宋体"/>
              </w:rPr>
            </w:pPr>
            <w:r>
              <w:rPr>
                <w:rFonts w:hint="eastAsia" w:ascii="宋体" w:hAnsi="宋体"/>
              </w:rPr>
              <w:t>□</w:t>
            </w:r>
            <w:r>
              <w:rPr>
                <w:rFonts w:hint="eastAsia" w:ascii="宋体" w:hAnsi="宋体" w:cs="宋体"/>
              </w:rPr>
              <w:t>有，按照以下方式：</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响应保证金的金额：</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响应保证金的形式：</w:t>
            </w:r>
            <w:r>
              <w:rPr>
                <w:rFonts w:hint="eastAsia" w:ascii="宋体" w:hAnsi="宋体" w:cs="宋体"/>
                <w:u w:val="single"/>
              </w:rPr>
              <w:t xml:space="preserve">          </w:t>
            </w:r>
          </w:p>
          <w:p>
            <w:pPr>
              <w:pStyle w:val="41"/>
              <w:rPr>
                <w:rFonts w:ascii="宋体" w:hAnsi="宋体" w:cs="宋体"/>
              </w:rPr>
            </w:pPr>
            <w:r>
              <w:rPr>
                <w:rFonts w:hint="eastAsia" w:ascii="宋体" w:hAnsi="宋体" w:cs="宋体"/>
              </w:rPr>
              <w:t>响应保证金的递交截止时间为：</w:t>
            </w:r>
            <w:r>
              <w:rPr>
                <w:rFonts w:hint="eastAsia" w:cs="Arial"/>
              </w:rPr>
              <w:t>华能电子商务平台采购公告中显示的报价截止时间。</w:t>
            </w:r>
          </w:p>
          <w:p>
            <w:pPr>
              <w:pStyle w:val="41"/>
              <w:rPr>
                <w:rFonts w:ascii="宋体" w:hAnsi="宋体" w:cs="宋体"/>
              </w:rPr>
            </w:pPr>
            <w:r>
              <w:rPr>
                <w:rFonts w:hint="eastAsia" w:ascii="宋体" w:hAnsi="宋体" w:cs="宋体"/>
              </w:rPr>
              <w:t>开户银行及账号如下：</w:t>
            </w:r>
          </w:p>
          <w:p>
            <w:pPr>
              <w:pStyle w:val="41"/>
              <w:rPr>
                <w:rFonts w:ascii="宋体" w:hAnsi="宋体" w:cs="宋体"/>
                <w:u w:val="single"/>
              </w:rPr>
            </w:pPr>
            <w:r>
              <w:rPr>
                <w:rFonts w:hint="eastAsia" w:ascii="宋体" w:hAnsi="宋体" w:cs="宋体"/>
              </w:rPr>
              <w:t>账户名称：</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开户银行：</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p>
            <w:pPr>
              <w:pStyle w:val="41"/>
              <w:rPr>
                <w:rFonts w:ascii="宋体" w:hAnsi="宋体" w:cs="宋体"/>
              </w:rPr>
            </w:pPr>
            <w:r>
              <w:rPr>
                <w:rFonts w:hint="eastAsia" w:ascii="宋体" w:hAnsi="宋体" w:cs="宋体"/>
              </w:rPr>
              <w:t>账</w:t>
            </w:r>
            <w:r>
              <w:rPr>
                <w:rFonts w:ascii="宋体" w:hAnsi="宋体" w:cs="宋体"/>
              </w:rPr>
              <w:t xml:space="preserve">  </w:t>
            </w:r>
            <w:r>
              <w:rPr>
                <w:rFonts w:hint="eastAsia" w:ascii="宋体" w:hAnsi="宋体" w:cs="宋体"/>
              </w:rPr>
              <w:t xml:space="preserve">  号：</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12.1</w:t>
            </w:r>
          </w:p>
        </w:tc>
        <w:tc>
          <w:tcPr>
            <w:tcW w:w="1542" w:type="dxa"/>
            <w:vAlign w:val="center"/>
          </w:tcPr>
          <w:p>
            <w:pPr>
              <w:pStyle w:val="41"/>
              <w:rPr>
                <w:rFonts w:ascii="宋体" w:hAnsi="宋体" w:cs="宋体"/>
              </w:rPr>
            </w:pPr>
            <w:r>
              <w:rPr>
                <w:rFonts w:hint="eastAsia" w:ascii="宋体" w:hAnsi="宋体" w:cs="宋体"/>
              </w:rPr>
              <w:t>采购有效期</w:t>
            </w:r>
          </w:p>
        </w:tc>
        <w:tc>
          <w:tcPr>
            <w:tcW w:w="6463" w:type="dxa"/>
            <w:vAlign w:val="center"/>
          </w:tcPr>
          <w:p>
            <w:pPr>
              <w:pStyle w:val="41"/>
              <w:rPr>
                <w:rFonts w:ascii="宋体" w:hAnsi="宋体" w:cs="宋体"/>
              </w:rPr>
            </w:pPr>
            <w:r>
              <w:rPr>
                <w:rFonts w:hint="eastAsia"/>
              </w:rPr>
              <w:t>自响应文件递交截止时间起</w:t>
            </w:r>
            <w:r>
              <w:rPr>
                <w:rFonts w:hint="eastAsia"/>
                <w:u w:val="single"/>
              </w:rPr>
              <w:t xml:space="preserve"> </w:t>
            </w:r>
            <w:r>
              <w:rPr>
                <w:u w:val="single"/>
              </w:rPr>
              <w:t>120</w:t>
            </w:r>
            <w:r>
              <w:rPr>
                <w:rFonts w:hint="eastAsia"/>
                <w:u w:val="single"/>
              </w:rPr>
              <w:t xml:space="preserve"> </w:t>
            </w:r>
            <w:r>
              <w:rPr>
                <w:rFonts w:hint="eastAsia"/>
              </w:rPr>
              <w:t>个日历日（注：原则上不少于9</w:t>
            </w:r>
            <w:r>
              <w:t>0</w:t>
            </w:r>
            <w:r>
              <w:rPr>
                <w:rFonts w:hint="eastAsia"/>
              </w:rPr>
              <w:t>日历日，最长不超过1</w:t>
            </w:r>
            <w:r>
              <w:t>80</w:t>
            </w:r>
            <w:r>
              <w:rPr>
                <w:rFonts w:hint="eastAsia"/>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13</w:t>
            </w:r>
          </w:p>
        </w:tc>
        <w:tc>
          <w:tcPr>
            <w:tcW w:w="1542" w:type="dxa"/>
            <w:vAlign w:val="center"/>
          </w:tcPr>
          <w:p>
            <w:pPr>
              <w:pStyle w:val="41"/>
              <w:rPr>
                <w:rFonts w:ascii="宋体" w:hAnsi="宋体" w:cs="宋体"/>
              </w:rPr>
            </w:pPr>
            <w:r>
              <w:rPr>
                <w:rFonts w:hint="eastAsia"/>
              </w:rPr>
              <w:t>响应文件递交截止时间及地点</w:t>
            </w:r>
          </w:p>
        </w:tc>
        <w:tc>
          <w:tcPr>
            <w:tcW w:w="6463" w:type="dxa"/>
            <w:vAlign w:val="center"/>
          </w:tcPr>
          <w:p>
            <w:pPr>
              <w:pStyle w:val="41"/>
              <w:rPr>
                <w:rFonts w:ascii="宋体" w:hAnsi="宋体" w:cs="宋体"/>
              </w:rPr>
            </w:pPr>
            <w:r>
              <w:rPr>
                <w:rFonts w:hint="eastAsia" w:ascii="宋体" w:hAnsi="宋体" w:cs="宋体"/>
              </w:rPr>
              <w:t>响应文件递交截止时间：以华能电子商务平台显示的递交截止时间为准</w:t>
            </w:r>
          </w:p>
          <w:p>
            <w:pPr>
              <w:pStyle w:val="41"/>
              <w:rPr>
                <w:rFonts w:ascii="宋体" w:hAnsi="宋体" w:cs="宋体"/>
              </w:rPr>
            </w:pPr>
            <w:r>
              <w:rPr>
                <w:rFonts w:hint="eastAsia"/>
              </w:rPr>
              <w:t>响应文件递交地址：华能电子商务平台</w:t>
            </w:r>
            <w:r>
              <w:rPr>
                <w:rFonts w:hint="eastAsia" w:ascii="宋体" w:hAnsi="宋体" w:cs="宋体"/>
              </w:rPr>
              <w:t>（http://ec.chng.com.cn/）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16</w:t>
            </w:r>
          </w:p>
        </w:tc>
        <w:tc>
          <w:tcPr>
            <w:tcW w:w="1542" w:type="dxa"/>
            <w:vAlign w:val="center"/>
          </w:tcPr>
          <w:p>
            <w:pPr>
              <w:pStyle w:val="41"/>
              <w:rPr>
                <w:rFonts w:ascii="宋体" w:hAnsi="宋体" w:cs="宋体"/>
              </w:rPr>
            </w:pPr>
            <w:r>
              <w:rPr>
                <w:rFonts w:hint="eastAsia" w:ascii="宋体" w:hAnsi="宋体" w:cs="宋体"/>
              </w:rPr>
              <w:t>开启响应文件</w:t>
            </w:r>
          </w:p>
        </w:tc>
        <w:tc>
          <w:tcPr>
            <w:tcW w:w="6463" w:type="dxa"/>
            <w:vAlign w:val="center"/>
          </w:tcPr>
          <w:p>
            <w:pPr>
              <w:pStyle w:val="41"/>
              <w:rPr>
                <w:rFonts w:ascii="宋体" w:hAnsi="宋体" w:cs="宋体"/>
              </w:rPr>
            </w:pPr>
            <w:r>
              <w:rPr>
                <w:rFonts w:hint="eastAsia" w:ascii="宋体" w:hAnsi="宋体" w:cs="宋体"/>
              </w:rPr>
              <w:t>开启响应文件时间：同响应文件递交截止时间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color w:val="FF0000"/>
              </w:rPr>
            </w:pPr>
            <w:r>
              <w:rPr>
                <w:rFonts w:hint="eastAsia" w:ascii="宋体" w:hAnsi="宋体" w:cs="宋体"/>
                <w:color w:val="FF0000"/>
              </w:rPr>
              <w:t>1</w:t>
            </w:r>
            <w:r>
              <w:rPr>
                <w:rFonts w:ascii="宋体" w:hAnsi="宋体" w:cs="宋体"/>
                <w:color w:val="FF0000"/>
              </w:rPr>
              <w:t>8</w:t>
            </w:r>
          </w:p>
        </w:tc>
        <w:tc>
          <w:tcPr>
            <w:tcW w:w="1542" w:type="dxa"/>
            <w:vAlign w:val="center"/>
          </w:tcPr>
          <w:p>
            <w:pPr>
              <w:pStyle w:val="41"/>
              <w:rPr>
                <w:rFonts w:ascii="宋体" w:hAnsi="宋体" w:cs="宋体"/>
                <w:color w:val="FF0000"/>
              </w:rPr>
            </w:pPr>
            <w:r>
              <w:rPr>
                <w:rFonts w:hint="eastAsia"/>
                <w:color w:val="FF0000"/>
              </w:rPr>
              <w:t>成交供应商的推荐原则</w:t>
            </w:r>
          </w:p>
        </w:tc>
        <w:tc>
          <w:tcPr>
            <w:tcW w:w="6463" w:type="dxa"/>
            <w:vAlign w:val="center"/>
          </w:tcPr>
          <w:p>
            <w:pPr>
              <w:pStyle w:val="41"/>
              <w:rPr>
                <w:rFonts w:cs="宋体"/>
                <w:color w:val="FF0000"/>
              </w:rPr>
            </w:pPr>
            <w:r>
              <w:rPr>
                <w:rFonts w:hint="eastAsia"/>
                <w:color w:val="FF0000"/>
              </w:rPr>
              <w:t>√</w:t>
            </w:r>
            <w:r>
              <w:rPr>
                <w:rFonts w:hint="eastAsia" w:cs="宋体"/>
                <w:color w:val="FF0000"/>
              </w:rPr>
              <w:t>一个采购项目，只能推荐一个</w:t>
            </w:r>
            <w:r>
              <w:rPr>
                <w:rFonts w:hint="eastAsia"/>
                <w:color w:val="FF0000"/>
              </w:rPr>
              <w:t>成交</w:t>
            </w:r>
            <w:r>
              <w:rPr>
                <w:rFonts w:hint="eastAsia" w:cs="宋体"/>
                <w:color w:val="FF0000"/>
              </w:rPr>
              <w:t>供应商。</w:t>
            </w:r>
          </w:p>
          <w:p>
            <w:pPr>
              <w:pStyle w:val="41"/>
              <w:rPr>
                <w:rFonts w:cs="宋体"/>
                <w:color w:val="FF0000"/>
              </w:rPr>
            </w:pPr>
            <w:r>
              <w:rPr>
                <w:rFonts w:hint="eastAsia" w:cs="宋体"/>
                <w:color w:val="FF0000"/>
              </w:rPr>
              <w:t>□一个采购项目，按照物料行，可以推荐多个</w:t>
            </w:r>
            <w:r>
              <w:rPr>
                <w:rFonts w:hint="eastAsia"/>
                <w:color w:val="FF0000"/>
              </w:rPr>
              <w:t>成交</w:t>
            </w:r>
            <w:r>
              <w:rPr>
                <w:rFonts w:hint="eastAsia" w:cs="宋体"/>
                <w:color w:val="FF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21.3</w:t>
            </w:r>
          </w:p>
        </w:tc>
        <w:tc>
          <w:tcPr>
            <w:tcW w:w="1542" w:type="dxa"/>
            <w:vAlign w:val="center"/>
          </w:tcPr>
          <w:p>
            <w:pPr>
              <w:pStyle w:val="41"/>
              <w:rPr>
                <w:rFonts w:ascii="宋体" w:hAnsi="宋体" w:cs="宋体"/>
              </w:rPr>
            </w:pPr>
            <w:r>
              <w:rPr>
                <w:rFonts w:hint="eastAsia" w:ascii="宋体" w:hAnsi="宋体" w:cs="宋体"/>
              </w:rPr>
              <w:t>履约担保</w:t>
            </w:r>
          </w:p>
        </w:tc>
        <w:tc>
          <w:tcPr>
            <w:tcW w:w="6463" w:type="dxa"/>
            <w:vAlign w:val="center"/>
          </w:tcPr>
          <w:p>
            <w:pPr>
              <w:pStyle w:val="41"/>
              <w:rPr>
                <w:rFonts w:ascii="宋体"/>
                <w:szCs w:val="28"/>
              </w:rPr>
            </w:pPr>
            <w:r>
              <w:rPr>
                <w:rFonts w:ascii="宋体"/>
                <w:szCs w:val="28"/>
              </w:rPr>
              <w:t>☑不提供□提供</w:t>
            </w:r>
            <w:r>
              <w:rPr>
                <w:rFonts w:hint="eastAsia" w:ascii="宋体"/>
                <w:szCs w:val="28"/>
              </w:rPr>
              <w:t>，履约担保金额：</w:t>
            </w:r>
            <w:r>
              <w:rPr>
                <w:rFonts w:hint="eastAsia" w:ascii="宋体"/>
                <w:szCs w:val="28"/>
                <w:u w:val="single"/>
              </w:rPr>
              <w:t xml:space="preserve"> </w:t>
            </w:r>
            <w:r>
              <w:rPr>
                <w:rFonts w:ascii="宋体"/>
                <w:szCs w:val="28"/>
                <w:u w:val="single"/>
              </w:rPr>
              <w:t>0</w:t>
            </w:r>
            <w:r>
              <w:rPr>
                <w:rFonts w:hint="eastAsia" w:ascii="宋体"/>
                <w:szCs w:val="28"/>
                <w:u w:val="single"/>
              </w:rPr>
              <w:t xml:space="preserve"> </w:t>
            </w:r>
          </w:p>
          <w:p>
            <w:pPr>
              <w:pStyle w:val="41"/>
              <w:ind w:firstLine="960" w:firstLineChars="400"/>
              <w:rPr>
                <w:rFonts w:ascii="宋体" w:hAnsi="宋体" w:cs="宋体"/>
              </w:rPr>
            </w:pPr>
            <w:r>
              <w:rPr>
                <w:rFonts w:hint="eastAsia" w:ascii="宋体"/>
                <w:sz w:val="24"/>
                <w:szCs w:val="28"/>
              </w:rPr>
              <w:t>履约担保形式：</w:t>
            </w:r>
            <w:r>
              <w:rPr>
                <w:rFonts w:hint="eastAsia" w:asci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22</w:t>
            </w:r>
          </w:p>
        </w:tc>
        <w:tc>
          <w:tcPr>
            <w:tcW w:w="1542" w:type="dxa"/>
            <w:vAlign w:val="center"/>
          </w:tcPr>
          <w:p>
            <w:pPr>
              <w:pStyle w:val="41"/>
              <w:rPr>
                <w:rFonts w:ascii="宋体" w:hAnsi="宋体" w:cs="宋体"/>
              </w:rPr>
            </w:pPr>
            <w:r>
              <w:rPr>
                <w:rFonts w:hint="eastAsia" w:ascii="宋体" w:hAnsi="宋体" w:cs="宋体"/>
              </w:rPr>
              <w:t>其他需要补充的内容</w:t>
            </w:r>
          </w:p>
        </w:tc>
        <w:tc>
          <w:tcPr>
            <w:tcW w:w="6463" w:type="dxa"/>
            <w:vAlign w:val="center"/>
          </w:tcPr>
          <w:p>
            <w:pPr>
              <w:pStyle w:val="41"/>
              <w:ind w:firstLine="440" w:firstLineChars="200"/>
            </w:pPr>
            <w:r>
              <w:rPr>
                <w:rFonts w:hint="eastAsia"/>
              </w:rPr>
              <w:t>如果询价书中有要求，还应根据要求上传签字盖章后的响应文件的pdf扫描件, 递交截止时间前未提交报价或未按要求递交响应文件（或上传的相应文件无法打开的）的视为放弃询价资格。报价含运卸杂费。交货地点在辽宁省大连市甘井子区大连湾街883号华能大连电厂厂区内。须由押运人送至指定仓库。总报价最低者中标。请报不含税单价；需提供13%的增值税专用发票，如果税率不为13%，请注明；请在每一项物料后备注货期（合同或订单生效后多少天内到货），无货期的报价视为响应询价文件货期要求。</w:t>
            </w:r>
          </w:p>
          <w:p>
            <w:pPr>
              <w:pStyle w:val="41"/>
              <w:ind w:firstLine="440" w:firstLineChars="200"/>
            </w:pPr>
            <w:r>
              <w:rPr>
                <w:rFonts w:hint="eastAsia"/>
              </w:rPr>
              <w:t>本询价不收取响应保证金，如发生本文件11.3 款所列情况之一，直接加入供应商/服务商/工程商黑名单，且三年内不重新对其进行资质审核。</w:t>
            </w:r>
          </w:p>
          <w:p>
            <w:pPr>
              <w:pStyle w:val="41"/>
              <w:ind w:firstLine="402"/>
            </w:pPr>
            <w:r>
              <w:rPr>
                <w:rFonts w:hint="eastAsia"/>
              </w:rPr>
              <w:t xml:space="preserve"> 对于中标后，无故不签订合同或订单的中标候选人，对生产秩序造成影响的，除扣除该项目投标保证金外，推荐其成为D级供应商6个月； 未对生产秩序造成影响的，除扣除该项目投标保证金外，推荐其成为D级供应商3个月。对于签订合同后，无故不履行合同的供应商，对生产秩序造成影响的，除按照合同条款进行考核外，推荐其成为D级供应商12个月。</w:t>
            </w:r>
          </w:p>
          <w:p>
            <w:pPr>
              <w:pStyle w:val="41"/>
              <w:ind w:firstLine="402"/>
            </w:pPr>
            <w:r>
              <w:rPr>
                <w:rFonts w:hint="eastAsia"/>
              </w:rPr>
              <w:t>采用最低价评审法的物资类采购项目无需提交响应文件（特殊要求的附件除外），工程、服务类采购均需提供响应文件。</w:t>
            </w:r>
          </w:p>
          <w:p>
            <w:pPr>
              <w:pStyle w:val="41"/>
              <w:ind w:firstLine="402"/>
            </w:pPr>
            <w:r>
              <w:rPr>
                <w:rFonts w:hint="eastAsia"/>
              </w:rPr>
              <w:t>对于现场踏勘项目需上传项目管理部门出具的现场踏勘证明，否则报价无效。</w:t>
            </w:r>
          </w:p>
          <w:p>
            <w:pPr>
              <w:pStyle w:val="41"/>
              <w:ind w:firstLine="402"/>
            </w:pPr>
            <w:r>
              <w:rPr>
                <w:rFonts w:hint="eastAsia"/>
              </w:rPr>
              <w:t>响应文件没有对采购文件在各方面都做出实质性响应，报价无效。</w:t>
            </w:r>
          </w:p>
          <w:p>
            <w:pPr>
              <w:pStyle w:val="41"/>
              <w:rPr>
                <w:rFonts w:ascii="宋体" w:hAnsi="宋体" w:cs="宋体"/>
              </w:rPr>
            </w:pPr>
            <w:r>
              <w:rPr>
                <w:rFonts w:hint="eastAsia"/>
              </w:rPr>
              <w:t xml:space="preserve">    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pPr>
        <w:ind w:firstLine="480"/>
      </w:pPr>
      <w:r>
        <w:rPr>
          <w:rFonts w:hint="eastAsia"/>
          <w:kern w:val="0"/>
        </w:rPr>
        <w:t>备注：</w:t>
      </w:r>
      <w:r>
        <w:rPr>
          <w:rFonts w:hint="eastAsia" w:eastAsia="楷体"/>
          <w:kern w:val="0"/>
          <w:u w:val="single"/>
        </w:rPr>
        <w:t>供应商须知前附表</w:t>
      </w:r>
      <w:r>
        <w:rPr>
          <w:rFonts w:hint="eastAsia"/>
          <w:kern w:val="0"/>
        </w:rPr>
        <w:t>是对</w:t>
      </w:r>
      <w:r>
        <w:rPr>
          <w:rFonts w:hint="eastAsia"/>
        </w:rPr>
        <w:t>供应商须知的具体补充和修改，如有矛盾，应以本表为准。</w:t>
      </w:r>
    </w:p>
    <w:p>
      <w:pPr>
        <w:ind w:firstLine="0" w:firstLineChars="0"/>
      </w:pPr>
      <w:r>
        <w:br w:type="page"/>
      </w:r>
    </w:p>
    <w:p>
      <w:pPr>
        <w:pStyle w:val="3"/>
        <w:spacing w:before="120"/>
      </w:pPr>
      <w:bookmarkStart w:id="60" w:name="_Toc10398"/>
      <w:bookmarkStart w:id="61" w:name="_Toc6009"/>
      <w:bookmarkStart w:id="62" w:name="_Toc12673"/>
      <w:bookmarkStart w:id="63" w:name="_Toc527708239"/>
      <w:bookmarkStart w:id="64" w:name="_Toc24904"/>
      <w:bookmarkStart w:id="65" w:name="_Toc20381"/>
      <w:bookmarkStart w:id="66" w:name="_Toc28231"/>
      <w:bookmarkStart w:id="67" w:name="_Toc23306"/>
      <w:r>
        <w:rPr>
          <w:rFonts w:hint="eastAsia"/>
        </w:rPr>
        <w:t>1.</w:t>
      </w:r>
      <w:r>
        <w:t xml:space="preserve"> </w:t>
      </w:r>
      <w:r>
        <w:rPr>
          <w:rFonts w:hint="eastAsia"/>
        </w:rPr>
        <w:t>适用范围</w:t>
      </w:r>
      <w:bookmarkEnd w:id="60"/>
      <w:bookmarkEnd w:id="61"/>
      <w:bookmarkEnd w:id="62"/>
      <w:bookmarkEnd w:id="63"/>
      <w:bookmarkEnd w:id="64"/>
      <w:bookmarkEnd w:id="65"/>
      <w:bookmarkEnd w:id="66"/>
      <w:bookmarkEnd w:id="67"/>
    </w:p>
    <w:p>
      <w:pPr>
        <w:ind w:firstLine="480"/>
      </w:pPr>
      <w:r>
        <w:rPr>
          <w:rFonts w:hint="eastAsia"/>
        </w:rPr>
        <w:t>本采购文件仅适用于本项目公告/邀请函中所述项目。</w:t>
      </w:r>
    </w:p>
    <w:p>
      <w:pPr>
        <w:pStyle w:val="3"/>
        <w:spacing w:before="120"/>
      </w:pPr>
      <w:bookmarkStart w:id="68" w:name="_Toc14973"/>
      <w:bookmarkStart w:id="69" w:name="_Toc987"/>
      <w:bookmarkStart w:id="70" w:name="_Toc527708240"/>
      <w:bookmarkStart w:id="71" w:name="_Toc26816"/>
      <w:bookmarkStart w:id="72" w:name="_Toc1341"/>
      <w:bookmarkStart w:id="73" w:name="_Toc4305"/>
      <w:bookmarkStart w:id="74" w:name="_Toc10740"/>
      <w:bookmarkStart w:id="75" w:name="_Toc8343"/>
      <w:r>
        <w:rPr>
          <w:rFonts w:hint="eastAsia"/>
        </w:rPr>
        <w:t>2.</w:t>
      </w:r>
      <w:r>
        <w:t xml:space="preserve"> </w:t>
      </w:r>
      <w:r>
        <w:rPr>
          <w:rFonts w:hint="eastAsia"/>
        </w:rPr>
        <w:t>定义</w:t>
      </w:r>
      <w:bookmarkEnd w:id="68"/>
      <w:bookmarkEnd w:id="69"/>
      <w:bookmarkEnd w:id="70"/>
      <w:bookmarkEnd w:id="71"/>
      <w:bookmarkEnd w:id="72"/>
      <w:bookmarkEnd w:id="73"/>
      <w:bookmarkEnd w:id="74"/>
      <w:bookmarkEnd w:id="75"/>
    </w:p>
    <w:p>
      <w:pPr>
        <w:ind w:firstLine="480"/>
      </w:pPr>
      <w:r>
        <w:rPr>
          <w:rFonts w:hint="eastAsia"/>
        </w:rPr>
        <w:t>2.1</w:t>
      </w:r>
      <w:r>
        <w:t xml:space="preserve"> </w:t>
      </w:r>
      <w:r>
        <w:rPr>
          <w:rFonts w:hint="eastAsia"/>
        </w:rPr>
        <w:t>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w:t>
      </w:r>
      <w:r>
        <w:t xml:space="preserve"> </w:t>
      </w:r>
      <w:r>
        <w:rPr>
          <w:rFonts w:hint="eastAsia"/>
        </w:rPr>
        <w:t>成交供应商：指最终被授予合同的供应商。</w:t>
      </w:r>
    </w:p>
    <w:p>
      <w:pPr>
        <w:ind w:firstLine="480"/>
      </w:pPr>
      <w:r>
        <w:rPr>
          <w:rFonts w:hint="eastAsia"/>
        </w:rPr>
        <w:t xml:space="preserve">2.4 </w:t>
      </w:r>
      <w:r>
        <w:rPr>
          <w:rFonts w:hint="eastAsia" w:cs="Arial"/>
        </w:rPr>
        <w:t>采购代理机构：依法设立并提供采购代理服务的专业组织，采购代理机构</w:t>
      </w:r>
      <w:r>
        <w:rPr>
          <w:rFonts w:hint="eastAsia"/>
        </w:rPr>
        <w:t>及联系方式见前附表。</w:t>
      </w:r>
    </w:p>
    <w:p>
      <w:pPr>
        <w:pStyle w:val="3"/>
        <w:spacing w:before="120"/>
      </w:pPr>
      <w:bookmarkStart w:id="76" w:name="_Toc31906"/>
      <w:bookmarkStart w:id="77" w:name="_Toc30872"/>
      <w:bookmarkStart w:id="78" w:name="_Toc23918"/>
      <w:bookmarkStart w:id="79" w:name="_Toc10621"/>
      <w:bookmarkStart w:id="80" w:name="_Toc12814"/>
      <w:bookmarkStart w:id="81" w:name="_Toc527708241"/>
      <w:bookmarkStart w:id="82" w:name="_Toc8224"/>
      <w:bookmarkStart w:id="83" w:name="_Toc28660"/>
      <w:r>
        <w:rPr>
          <w:rFonts w:hint="eastAsia"/>
        </w:rPr>
        <w:t>3.</w:t>
      </w:r>
      <w:r>
        <w:t xml:space="preserve"> </w:t>
      </w:r>
      <w:r>
        <w:rPr>
          <w:rFonts w:hint="eastAsia"/>
        </w:rPr>
        <w:t>询价费用</w:t>
      </w:r>
      <w:bookmarkEnd w:id="76"/>
      <w:bookmarkEnd w:id="77"/>
      <w:bookmarkEnd w:id="78"/>
      <w:bookmarkEnd w:id="79"/>
      <w:bookmarkEnd w:id="80"/>
      <w:bookmarkEnd w:id="81"/>
      <w:bookmarkEnd w:id="82"/>
      <w:bookmarkEnd w:id="83"/>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84" w:name="_Toc1828"/>
      <w:bookmarkStart w:id="85" w:name="_Toc23996"/>
      <w:bookmarkStart w:id="86" w:name="_Toc3225"/>
      <w:bookmarkStart w:id="87" w:name="_Toc527708242"/>
      <w:bookmarkStart w:id="88" w:name="_Toc13255"/>
      <w:bookmarkStart w:id="89" w:name="_Toc352"/>
      <w:bookmarkStart w:id="90" w:name="_Toc13777"/>
      <w:bookmarkStart w:id="91" w:name="_Toc20709"/>
      <w:r>
        <w:rPr>
          <w:rFonts w:hint="eastAsia"/>
        </w:rPr>
        <w:t>4. 现场踏勘</w:t>
      </w:r>
      <w:bookmarkEnd w:id="84"/>
      <w:bookmarkEnd w:id="85"/>
      <w:bookmarkEnd w:id="86"/>
      <w:bookmarkEnd w:id="87"/>
      <w:bookmarkEnd w:id="88"/>
      <w:bookmarkEnd w:id="89"/>
      <w:bookmarkEnd w:id="90"/>
      <w:bookmarkEnd w:id="91"/>
    </w:p>
    <w:p>
      <w:pPr>
        <w:ind w:firstLine="480"/>
      </w:pPr>
      <w:r>
        <w:rPr>
          <w:rFonts w:hint="eastAsia"/>
        </w:rPr>
        <w:t xml:space="preserve">4.1 </w:t>
      </w:r>
      <w:r>
        <w:rPr>
          <w:rFonts w:hint="eastAsia" w:eastAsia="楷体"/>
          <w:u w:val="single"/>
        </w:rPr>
        <w:t>供应商须知前附表</w:t>
      </w:r>
      <w:r>
        <w:rPr>
          <w:rFonts w:hint="eastAsia"/>
        </w:rPr>
        <w:t>规定组织踏勘现场的，采购人按</w:t>
      </w:r>
      <w:r>
        <w:rPr>
          <w:rFonts w:hint="eastAsia" w:eastAsia="楷体"/>
          <w:u w:val="single"/>
        </w:rPr>
        <w:t>供应商须知前附表</w:t>
      </w:r>
      <w:r>
        <w:rPr>
          <w:rFonts w:hint="eastAsia"/>
        </w:rPr>
        <w:t xml:space="preserve">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采购人在踏勘现场中介绍的项目场地和相关的周边环境情况，仅供应商在编制响应文件时参考，采购人不对供应商据此作出的判断和决策负责。</w:t>
      </w:r>
    </w:p>
    <w:p>
      <w:pPr>
        <w:pStyle w:val="3"/>
        <w:spacing w:before="120"/>
      </w:pPr>
      <w:bookmarkStart w:id="92" w:name="_Toc250"/>
      <w:bookmarkStart w:id="93" w:name="_Toc7818"/>
      <w:bookmarkStart w:id="94" w:name="_Toc12050"/>
      <w:bookmarkStart w:id="95" w:name="_Toc527708243"/>
      <w:bookmarkStart w:id="96" w:name="_Toc1508"/>
      <w:bookmarkStart w:id="97" w:name="_Toc26647"/>
      <w:bookmarkStart w:id="98" w:name="_Toc1472"/>
      <w:bookmarkStart w:id="99" w:name="_Toc4278"/>
      <w:r>
        <w:rPr>
          <w:rFonts w:hint="eastAsia"/>
        </w:rPr>
        <w:t>5.</w:t>
      </w:r>
      <w:r>
        <w:t xml:space="preserve"> </w:t>
      </w:r>
      <w:r>
        <w:rPr>
          <w:rFonts w:hint="eastAsia"/>
        </w:rPr>
        <w:t>采购文件的构成</w:t>
      </w:r>
      <w:bookmarkEnd w:id="92"/>
      <w:bookmarkEnd w:id="93"/>
      <w:bookmarkEnd w:id="94"/>
      <w:bookmarkEnd w:id="95"/>
      <w:bookmarkEnd w:id="96"/>
      <w:bookmarkEnd w:id="97"/>
      <w:bookmarkEnd w:id="98"/>
      <w:bookmarkEnd w:id="99"/>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合同条款及格式</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供应商应认真阅读采购文件中所有的事项、格式、条款和要求等。供应商没有按照采购文件要求提交全部资料，或者响应文件没有对采购文件在各方面都做出实质性响应，可能导致其报价被拒绝。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100" w:name="_Toc32222"/>
      <w:bookmarkStart w:id="101" w:name="_Toc5427"/>
      <w:bookmarkStart w:id="102" w:name="_Toc24063"/>
      <w:bookmarkStart w:id="103" w:name="_Toc8112"/>
      <w:bookmarkStart w:id="104" w:name="_Toc30826"/>
      <w:bookmarkStart w:id="105" w:name="_Toc4076"/>
      <w:bookmarkStart w:id="106" w:name="_Toc1053"/>
      <w:bookmarkStart w:id="107" w:name="_Toc527708244"/>
      <w:r>
        <w:rPr>
          <w:rFonts w:hint="eastAsia"/>
        </w:rPr>
        <w:t>6. 采购文件的澄清、修改、补充</w:t>
      </w:r>
      <w:bookmarkEnd w:id="100"/>
      <w:bookmarkEnd w:id="101"/>
      <w:bookmarkEnd w:id="102"/>
      <w:bookmarkEnd w:id="103"/>
      <w:bookmarkEnd w:id="104"/>
      <w:bookmarkEnd w:id="105"/>
      <w:bookmarkEnd w:id="106"/>
      <w:bookmarkEnd w:id="107"/>
    </w:p>
    <w:p>
      <w:pPr>
        <w:ind w:firstLine="480"/>
      </w:pPr>
      <w:r>
        <w:rPr>
          <w:rFonts w:hint="eastAsia"/>
        </w:rPr>
        <w:t>6.1任何要求对采购文件进行澄清的供应商，均应在</w:t>
      </w:r>
      <w:r>
        <w:rPr>
          <w:rFonts w:hint="eastAsia" w:eastAsia="楷体"/>
          <w:u w:val="single"/>
        </w:rPr>
        <w:t>供应商须知前附表</w:t>
      </w:r>
      <w:r>
        <w:rPr>
          <w:rFonts w:hint="eastAsia"/>
        </w:rPr>
        <w:t>规定的时间提出澄清问题。</w:t>
      </w:r>
    </w:p>
    <w:p>
      <w:pPr>
        <w:ind w:firstLine="480"/>
      </w:pPr>
      <w:r>
        <w:rPr>
          <w:rFonts w:hint="eastAsia"/>
        </w:rPr>
        <w:t>6.2在询价报价截止时间前的任何时候，无论出于何种原因，采购人/采购代理机构可主动地对采购文件进行修改、补充，原则上采购人应在收到澄清请求24小时内，在电子商务平台上给予书面答复。采购文件的澄清、修改、补充均作为采购文件的组成部分，对供应商具有约束力。采购文件的澄清、修改、补充将</w:t>
      </w:r>
      <w:r>
        <w:rPr>
          <w:rFonts w:hint="eastAsia"/>
          <w:b/>
          <w:bCs/>
        </w:rPr>
        <w:t>以书面形式</w:t>
      </w:r>
      <w:r>
        <w:rPr>
          <w:rFonts w:hint="eastAsia"/>
        </w:rPr>
        <w:t>通知供应商。供应商应在收到通知后进行确认。如果供应商不予确认，引起的后果由供应商自行承担。</w:t>
      </w:r>
    </w:p>
    <w:p>
      <w:pPr>
        <w:ind w:firstLine="480"/>
      </w:pPr>
      <w:r>
        <w:rPr>
          <w:rFonts w:hint="eastAsia"/>
        </w:rPr>
        <w:t>6.3</w:t>
      </w:r>
      <w:r>
        <w:t xml:space="preserve"> </w:t>
      </w:r>
      <w:r>
        <w:rPr>
          <w:rFonts w:hint="eastAsia"/>
        </w:rPr>
        <w:t>为使供应商有充分时间对采购文件的修改部分进行研究。采购人/采购代理机构对采购文件进行澄清、修改、补充距报价截止时间不足24小时的，应将报价截止时间延长至本次澄清答复、修改、补充时间点后的24小时，并</w:t>
      </w:r>
      <w:r>
        <w:rPr>
          <w:rFonts w:hint="eastAsia"/>
          <w:b/>
          <w:bCs/>
        </w:rPr>
        <w:t>以书面形式</w:t>
      </w:r>
      <w:r>
        <w:rPr>
          <w:rFonts w:hint="eastAsia"/>
        </w:rPr>
        <w:t>通知所有购买采购文件的供应商。</w:t>
      </w:r>
    </w:p>
    <w:p>
      <w:pPr>
        <w:pStyle w:val="3"/>
        <w:spacing w:before="120"/>
      </w:pPr>
      <w:bookmarkStart w:id="108" w:name="_Toc9465"/>
      <w:bookmarkStart w:id="109" w:name="_Toc27518"/>
      <w:bookmarkStart w:id="110" w:name="_Toc18765"/>
      <w:bookmarkStart w:id="111" w:name="_Toc527708245"/>
      <w:bookmarkStart w:id="112" w:name="_Toc19450"/>
      <w:bookmarkStart w:id="113" w:name="_Toc19121"/>
      <w:bookmarkStart w:id="114" w:name="_Toc28913"/>
      <w:bookmarkStart w:id="115" w:name="_Toc7723"/>
      <w:r>
        <w:rPr>
          <w:rFonts w:hint="eastAsia"/>
        </w:rPr>
        <w:t>7.</w:t>
      </w:r>
      <w:r>
        <w:t xml:space="preserve"> </w:t>
      </w:r>
      <w:r>
        <w:rPr>
          <w:rFonts w:hint="eastAsia"/>
        </w:rPr>
        <w:t>编制基本要求</w:t>
      </w:r>
      <w:bookmarkEnd w:id="108"/>
      <w:bookmarkEnd w:id="109"/>
      <w:bookmarkEnd w:id="110"/>
      <w:bookmarkEnd w:id="111"/>
      <w:bookmarkEnd w:id="112"/>
      <w:bookmarkEnd w:id="113"/>
      <w:bookmarkEnd w:id="114"/>
      <w:bookmarkEnd w:id="115"/>
    </w:p>
    <w:p>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116" w:name="_Toc25703"/>
      <w:bookmarkStart w:id="117" w:name="_Toc18682"/>
      <w:bookmarkStart w:id="118" w:name="_Toc13252"/>
      <w:bookmarkStart w:id="119" w:name="_Toc5553"/>
      <w:bookmarkStart w:id="120" w:name="_Toc8905"/>
      <w:bookmarkStart w:id="121" w:name="_Toc527708246"/>
      <w:bookmarkStart w:id="122" w:name="_Toc19952"/>
      <w:bookmarkStart w:id="123" w:name="_Toc20158"/>
      <w:r>
        <w:rPr>
          <w:rFonts w:hint="eastAsia"/>
        </w:rPr>
        <w:t>8.</w:t>
      </w:r>
      <w:r>
        <w:t xml:space="preserve"> </w:t>
      </w:r>
      <w:r>
        <w:rPr>
          <w:rFonts w:hint="eastAsia"/>
        </w:rPr>
        <w:t>语言和计量单位</w:t>
      </w:r>
      <w:bookmarkEnd w:id="116"/>
      <w:bookmarkEnd w:id="117"/>
      <w:bookmarkEnd w:id="118"/>
      <w:bookmarkEnd w:id="119"/>
      <w:bookmarkEnd w:id="120"/>
      <w:bookmarkEnd w:id="121"/>
      <w:bookmarkEnd w:id="122"/>
      <w:bookmarkEnd w:id="123"/>
    </w:p>
    <w:p>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124" w:name="_Toc527708247"/>
      <w:bookmarkStart w:id="125" w:name="_Toc5106"/>
      <w:bookmarkStart w:id="126" w:name="_Toc2722"/>
      <w:bookmarkStart w:id="127" w:name="_Toc17952"/>
      <w:bookmarkStart w:id="128" w:name="_Toc4213"/>
      <w:bookmarkStart w:id="129" w:name="_Toc29621"/>
      <w:bookmarkStart w:id="130" w:name="_Toc137"/>
      <w:bookmarkStart w:id="131" w:name="_Toc12763"/>
      <w:r>
        <w:rPr>
          <w:rFonts w:hint="eastAsia"/>
        </w:rPr>
        <w:t>9. 报价</w:t>
      </w:r>
      <w:bookmarkEnd w:id="124"/>
      <w:bookmarkEnd w:id="125"/>
      <w:bookmarkEnd w:id="126"/>
      <w:bookmarkEnd w:id="127"/>
      <w:bookmarkEnd w:id="128"/>
      <w:bookmarkEnd w:id="129"/>
      <w:bookmarkEnd w:id="130"/>
      <w:bookmarkEnd w:id="131"/>
    </w:p>
    <w:p>
      <w:pPr>
        <w:ind w:firstLine="480"/>
        <w:rPr>
          <w:rFonts w:ascii="宋体" w:hAnsi="宋体" w:cs="Arial"/>
          <w:kern w:val="0"/>
          <w:szCs w:val="24"/>
        </w:rPr>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w:t>
      </w:r>
      <w:r>
        <w:rPr>
          <w:rFonts w:hint="eastAsia" w:ascii="宋体" w:hAnsi="宋体" w:cs="Arial"/>
          <w:kern w:val="0"/>
          <w:szCs w:val="24"/>
        </w:rPr>
        <w:t>和总价。</w:t>
      </w:r>
    </w:p>
    <w:p>
      <w:pPr>
        <w:ind w:firstLine="480"/>
      </w:pPr>
      <w:r>
        <w:rPr>
          <w:rFonts w:hint="eastAsia" w:ascii="宋体" w:hAnsi="宋体" w:cs="Arial"/>
          <w:kern w:val="0"/>
          <w:szCs w:val="24"/>
        </w:rPr>
        <w:t>9.2 供应商报价应包括供应商成交后为</w:t>
      </w:r>
      <w:bookmarkStart w:id="132" w:name="_Hlk110257801"/>
      <w:r>
        <w:rPr>
          <w:rFonts w:hint="eastAsia" w:ascii="宋体" w:hAnsi="宋体" w:cs="Arial"/>
          <w:kern w:val="0"/>
          <w:szCs w:val="24"/>
        </w:rPr>
        <w:t>完成采购文件约定</w:t>
      </w:r>
      <w:bookmarkEnd w:id="132"/>
      <w:r>
        <w:rPr>
          <w:rFonts w:hint="eastAsia" w:ascii="宋体" w:hAnsi="宋体" w:cs="Arial"/>
          <w:kern w:val="0"/>
          <w:szCs w:val="24"/>
        </w:rPr>
        <w:t>的</w:t>
      </w:r>
      <w:r>
        <w:rPr>
          <w:rFonts w:hint="eastAsia"/>
        </w:rPr>
        <w:t>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w:t>
      </w:r>
      <w:r>
        <w:rPr>
          <w:rFonts w:hint="eastAsia" w:eastAsia="楷体"/>
          <w:u w:val="single"/>
        </w:rPr>
        <w:t>供应商须知前附表</w:t>
      </w:r>
      <w:r>
        <w:rPr>
          <w:rFonts w:hint="eastAsia"/>
        </w:rPr>
        <w:t>中载明。</w:t>
      </w:r>
    </w:p>
    <w:p>
      <w:pPr>
        <w:ind w:firstLine="480"/>
      </w:pPr>
      <w:r>
        <w:rPr>
          <w:rFonts w:hint="eastAsia"/>
        </w:rPr>
        <w:t>9.7 采购代理服务费按照</w:t>
      </w:r>
      <w:r>
        <w:rPr>
          <w:rFonts w:hint="eastAsia" w:eastAsia="楷体"/>
          <w:u w:val="single"/>
        </w:rPr>
        <w:t>供应商须知前附表</w:t>
      </w:r>
      <w:r>
        <w:rPr>
          <w:rFonts w:hint="eastAsia"/>
        </w:rPr>
        <w:t>规定收取的，采购代理服务费由供应商计入报价，但不单独列项，成交供应商须一次性向采购代理机构支付采购代理服务费。</w:t>
      </w:r>
    </w:p>
    <w:p>
      <w:pPr>
        <w:ind w:firstLine="480"/>
      </w:pPr>
      <w:r>
        <w:rPr>
          <w:rFonts w:hint="eastAsia"/>
        </w:rPr>
        <w:t>9</w:t>
      </w:r>
      <w:r>
        <w:t xml:space="preserve">.8 </w:t>
      </w:r>
      <w:r>
        <w:rPr>
          <w:rFonts w:hint="eastAsia"/>
        </w:rPr>
        <w:t>供应商报价的其他要求见</w:t>
      </w:r>
      <w:r>
        <w:rPr>
          <w:rFonts w:hint="eastAsia" w:eastAsia="楷体"/>
          <w:u w:val="single"/>
        </w:rPr>
        <w:t>供应商须知前附表</w:t>
      </w:r>
      <w:r>
        <w:rPr>
          <w:rFonts w:hint="eastAsia"/>
        </w:rPr>
        <w:t>。</w:t>
      </w:r>
    </w:p>
    <w:p>
      <w:pPr>
        <w:pStyle w:val="3"/>
        <w:spacing w:before="120"/>
      </w:pPr>
      <w:bookmarkStart w:id="133" w:name="_Toc11096"/>
      <w:bookmarkStart w:id="134" w:name="_Toc527708248"/>
      <w:bookmarkStart w:id="135" w:name="_Toc22683"/>
      <w:bookmarkStart w:id="136" w:name="_Toc13612"/>
      <w:bookmarkStart w:id="137" w:name="_Toc17728"/>
      <w:bookmarkStart w:id="138" w:name="_Toc19247"/>
      <w:bookmarkStart w:id="139" w:name="_Toc28372"/>
      <w:bookmarkStart w:id="140" w:name="_Toc28831"/>
      <w:r>
        <w:rPr>
          <w:rFonts w:hint="eastAsia"/>
        </w:rPr>
        <w:t>10.</w:t>
      </w:r>
      <w:r>
        <w:t xml:space="preserve"> </w:t>
      </w:r>
      <w:r>
        <w:rPr>
          <w:rFonts w:hint="eastAsia"/>
        </w:rPr>
        <w:t>报价货币</w:t>
      </w:r>
      <w:bookmarkEnd w:id="133"/>
      <w:bookmarkEnd w:id="134"/>
      <w:bookmarkEnd w:id="135"/>
      <w:bookmarkEnd w:id="136"/>
      <w:bookmarkEnd w:id="137"/>
      <w:bookmarkEnd w:id="138"/>
      <w:bookmarkEnd w:id="139"/>
      <w:bookmarkEnd w:id="140"/>
    </w:p>
    <w:p>
      <w:pPr>
        <w:ind w:firstLine="480"/>
      </w:pPr>
      <w:r>
        <w:rPr>
          <w:rFonts w:hint="eastAsia"/>
        </w:rPr>
        <w:t>采用人民币报价，</w:t>
      </w:r>
      <w:r>
        <w:rPr>
          <w:rFonts w:hint="eastAsia" w:eastAsia="楷体"/>
          <w:u w:val="single"/>
        </w:rPr>
        <w:t>供应商须知前附表</w:t>
      </w:r>
      <w:r>
        <w:rPr>
          <w:rFonts w:hint="eastAsia"/>
        </w:rPr>
        <w:t>有明确规定的除外。</w:t>
      </w:r>
    </w:p>
    <w:p>
      <w:pPr>
        <w:pStyle w:val="3"/>
        <w:spacing w:before="120"/>
      </w:pPr>
      <w:bookmarkStart w:id="141" w:name="_Toc15739"/>
      <w:bookmarkStart w:id="142" w:name="_Toc28319"/>
      <w:bookmarkStart w:id="143" w:name="_Toc32012"/>
      <w:bookmarkStart w:id="144" w:name="_Toc15751"/>
      <w:bookmarkStart w:id="145" w:name="_Toc527708249"/>
      <w:bookmarkStart w:id="146" w:name="_Toc27173"/>
      <w:bookmarkStart w:id="147" w:name="_Toc17547"/>
      <w:bookmarkStart w:id="148" w:name="_Toc27534"/>
      <w:r>
        <w:rPr>
          <w:rFonts w:hint="eastAsia"/>
        </w:rPr>
        <w:t>11.</w:t>
      </w:r>
      <w:r>
        <w:t xml:space="preserve"> </w:t>
      </w:r>
      <w:r>
        <w:rPr>
          <w:rFonts w:hint="eastAsia"/>
        </w:rPr>
        <w:t>响应保证金</w:t>
      </w:r>
      <w:bookmarkEnd w:id="141"/>
      <w:bookmarkEnd w:id="142"/>
      <w:bookmarkEnd w:id="143"/>
      <w:bookmarkEnd w:id="144"/>
      <w:bookmarkEnd w:id="145"/>
      <w:bookmarkEnd w:id="146"/>
      <w:bookmarkEnd w:id="147"/>
      <w:bookmarkEnd w:id="148"/>
    </w:p>
    <w:p>
      <w:pPr>
        <w:ind w:firstLine="480"/>
      </w:pPr>
      <w:r>
        <w:rPr>
          <w:rFonts w:hint="eastAsia"/>
        </w:rPr>
        <w:t>11.1应提交</w:t>
      </w:r>
      <w:r>
        <w:rPr>
          <w:rFonts w:hint="eastAsia" w:ascii="宋体" w:hAnsi="宋体" w:eastAsia="楷体" w:cs="Arial"/>
          <w:kern w:val="0"/>
          <w:szCs w:val="24"/>
          <w:u w:val="single"/>
        </w:rPr>
        <w:t>供应商须知前附表</w:t>
      </w:r>
      <w:r>
        <w:rPr>
          <w:rFonts w:hint="eastAsia"/>
        </w:rPr>
        <w:t>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成交供应商与采购人签订合同后5日内，采购人/采购代理单位向成交供应商退还扣除代理服务费后的剩余保证金，同时退还未成交供应商响应保证金。</w:t>
      </w:r>
    </w:p>
    <w:p>
      <w:pPr>
        <w:pStyle w:val="3"/>
        <w:spacing w:before="120"/>
      </w:pPr>
      <w:bookmarkStart w:id="149" w:name="_Toc26531"/>
      <w:bookmarkStart w:id="150" w:name="_Toc527708250"/>
      <w:bookmarkStart w:id="151" w:name="_Toc17078"/>
      <w:bookmarkStart w:id="152" w:name="_Toc26199"/>
      <w:bookmarkStart w:id="153" w:name="_Toc4031"/>
      <w:bookmarkStart w:id="154" w:name="_Toc11731"/>
      <w:bookmarkStart w:id="155" w:name="_Toc16947"/>
      <w:bookmarkStart w:id="156" w:name="_Toc20"/>
      <w:r>
        <w:rPr>
          <w:rFonts w:hint="eastAsia"/>
        </w:rPr>
        <w:t>12.</w:t>
      </w:r>
      <w:r>
        <w:t xml:space="preserve"> </w:t>
      </w:r>
      <w:r>
        <w:rPr>
          <w:rFonts w:hint="eastAsia"/>
        </w:rPr>
        <w:t>采购有效期</w:t>
      </w:r>
      <w:bookmarkEnd w:id="149"/>
      <w:bookmarkEnd w:id="150"/>
      <w:bookmarkEnd w:id="151"/>
      <w:bookmarkEnd w:id="152"/>
      <w:bookmarkEnd w:id="153"/>
      <w:bookmarkEnd w:id="154"/>
      <w:bookmarkEnd w:id="155"/>
      <w:bookmarkEnd w:id="156"/>
    </w:p>
    <w:p>
      <w:pPr>
        <w:ind w:firstLine="480"/>
      </w:pPr>
      <w:r>
        <w:rPr>
          <w:rFonts w:hint="eastAsia"/>
        </w:rPr>
        <w:t>12.1 采购有效期自本采购文件规定的响应文件递交截止时间起生效，并在</w:t>
      </w:r>
      <w:r>
        <w:rPr>
          <w:rFonts w:hint="eastAsia" w:eastAsia="楷体"/>
          <w:u w:val="single"/>
        </w:rPr>
        <w:t>供应商须知前附表</w:t>
      </w:r>
      <w:r>
        <w:rPr>
          <w:rFonts w:hint="eastAsia"/>
        </w:rPr>
        <w:t>中规定采购有效期内保持有效。采购有效期短于这个规定期限的响应文件将被视为非实质性响应而予以拒绝。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本次采购活动，响应保证金予以全额退还。在这种情况下，本须知中有关退还和不予退还响应保证金的规定将在延长后的采购有效期内继续有效。</w:t>
      </w:r>
    </w:p>
    <w:p>
      <w:pPr>
        <w:pStyle w:val="3"/>
        <w:spacing w:before="120"/>
      </w:pPr>
      <w:bookmarkStart w:id="157" w:name="_Toc15950"/>
      <w:bookmarkStart w:id="158" w:name="_Toc28259"/>
      <w:bookmarkStart w:id="159" w:name="_Toc20025"/>
      <w:bookmarkStart w:id="160" w:name="_Toc31329"/>
      <w:bookmarkStart w:id="161" w:name="_Toc5779"/>
      <w:bookmarkStart w:id="162" w:name="_Toc527708251"/>
      <w:bookmarkStart w:id="163" w:name="_Toc1162"/>
      <w:bookmarkStart w:id="164" w:name="_Toc31440"/>
      <w:r>
        <w:rPr>
          <w:rFonts w:hint="eastAsia"/>
        </w:rPr>
        <w:t>13.</w:t>
      </w:r>
      <w:r>
        <w:t xml:space="preserve"> </w:t>
      </w:r>
      <w:r>
        <w:rPr>
          <w:rFonts w:hint="eastAsia"/>
        </w:rPr>
        <w:t>响应文件递交截止时间及地点</w:t>
      </w:r>
      <w:bookmarkEnd w:id="157"/>
      <w:bookmarkEnd w:id="158"/>
      <w:bookmarkEnd w:id="159"/>
      <w:bookmarkEnd w:id="160"/>
      <w:bookmarkEnd w:id="161"/>
      <w:bookmarkEnd w:id="162"/>
      <w:bookmarkEnd w:id="163"/>
      <w:bookmarkEnd w:id="164"/>
    </w:p>
    <w:p>
      <w:pPr>
        <w:ind w:firstLine="480"/>
      </w:pPr>
      <w:r>
        <w:rPr>
          <w:rFonts w:hint="eastAsia"/>
        </w:rPr>
        <w:t>13.1供应商应在</w:t>
      </w:r>
      <w:r>
        <w:rPr>
          <w:rFonts w:hint="eastAsia" w:eastAsia="楷体"/>
          <w:u w:val="single"/>
        </w:rPr>
        <w:t>供应商须知前附表</w:t>
      </w:r>
      <w:r>
        <w:rPr>
          <w:rFonts w:hint="eastAsia"/>
        </w:rPr>
        <w:t>中规定的响应文件递交截止时间前将响应文件成功上传至电子商务平台，则视为响应文件已递交。</w:t>
      </w:r>
    </w:p>
    <w:p>
      <w:pPr>
        <w:ind w:firstLine="480"/>
      </w:pPr>
      <w:r>
        <w:rPr>
          <w:rFonts w:hint="eastAsia"/>
        </w:rPr>
        <w:t>13.2 采购人将拒绝接受</w:t>
      </w:r>
      <w:r>
        <w:rPr>
          <w:rFonts w:hint="eastAsia" w:eastAsia="楷体"/>
          <w:u w:val="single"/>
        </w:rPr>
        <w:t>供应商须知前附表</w:t>
      </w:r>
      <w:r>
        <w:rPr>
          <w:rFonts w:hint="eastAsia"/>
        </w:rPr>
        <w:t>规定的响应文件递交截止时间后上传响应文件至电子商务平台。</w:t>
      </w:r>
    </w:p>
    <w:p>
      <w:pPr>
        <w:pStyle w:val="3"/>
        <w:spacing w:before="120"/>
      </w:pPr>
      <w:bookmarkStart w:id="165" w:name="_Toc29252"/>
      <w:bookmarkStart w:id="166" w:name="_Toc22925"/>
      <w:bookmarkStart w:id="167" w:name="_Toc23967"/>
      <w:bookmarkStart w:id="168" w:name="_Toc30085"/>
      <w:bookmarkStart w:id="169" w:name="_Toc27453"/>
      <w:bookmarkStart w:id="170" w:name="_Toc16870"/>
      <w:bookmarkStart w:id="171" w:name="_Toc527708252"/>
      <w:bookmarkStart w:id="172" w:name="_Toc17341"/>
      <w:r>
        <w:rPr>
          <w:rFonts w:hint="eastAsia"/>
        </w:rPr>
        <w:t>14.</w:t>
      </w:r>
      <w:r>
        <w:t xml:space="preserve"> </w:t>
      </w:r>
      <w:r>
        <w:rPr>
          <w:rFonts w:hint="eastAsia"/>
        </w:rPr>
        <w:t>响应文件的修改和撤销</w:t>
      </w:r>
      <w:bookmarkEnd w:id="165"/>
      <w:bookmarkEnd w:id="166"/>
      <w:bookmarkEnd w:id="167"/>
      <w:bookmarkEnd w:id="168"/>
      <w:bookmarkEnd w:id="169"/>
      <w:bookmarkEnd w:id="170"/>
      <w:bookmarkEnd w:id="171"/>
      <w:bookmarkEnd w:id="172"/>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pPr>
        <w:pStyle w:val="3"/>
        <w:spacing w:before="120"/>
      </w:pPr>
      <w:bookmarkStart w:id="173" w:name="_Toc6137"/>
      <w:bookmarkStart w:id="174" w:name="_Toc527708253"/>
      <w:bookmarkStart w:id="175" w:name="_Toc22014"/>
      <w:bookmarkStart w:id="176" w:name="_Toc14088"/>
      <w:bookmarkStart w:id="177" w:name="_Toc11378"/>
      <w:bookmarkStart w:id="178" w:name="_Toc21026"/>
      <w:bookmarkStart w:id="179" w:name="_Toc23832"/>
      <w:bookmarkStart w:id="180" w:name="_Toc3940"/>
      <w:r>
        <w:rPr>
          <w:rFonts w:hint="eastAsia"/>
        </w:rPr>
        <w:t>15. 询价小组</w:t>
      </w:r>
      <w:bookmarkEnd w:id="173"/>
      <w:bookmarkEnd w:id="174"/>
      <w:bookmarkEnd w:id="175"/>
      <w:bookmarkEnd w:id="176"/>
      <w:bookmarkEnd w:id="177"/>
      <w:bookmarkEnd w:id="178"/>
      <w:bookmarkEnd w:id="179"/>
      <w:bookmarkEnd w:id="180"/>
    </w:p>
    <w:p>
      <w:pPr>
        <w:ind w:firstLine="480"/>
      </w:pPr>
      <w:r>
        <w:rPr>
          <w:rFonts w:hint="eastAsia" w:cs="Arial"/>
        </w:rPr>
        <w:t xml:space="preserve">15.1 </w:t>
      </w:r>
      <w:r>
        <w:rPr>
          <w:rFonts w:hint="eastAsia"/>
        </w:rPr>
        <w:t>采购人将按照《中国华能集团有限公司非招标采购管理办法》及有关法律、法规的规定组建询价小组。</w:t>
      </w:r>
    </w:p>
    <w:p>
      <w:pPr>
        <w:ind w:firstLine="480"/>
      </w:pPr>
      <w:r>
        <w:rPr>
          <w:rFonts w:hint="eastAsia"/>
        </w:rPr>
        <w:t>15.2 询价小组负责评审工作，根据采购文件的要求对响应文件进行审查、质疑、评估和比较，出具评审报告，推荐成交候选供应商。</w:t>
      </w:r>
    </w:p>
    <w:p>
      <w:pPr>
        <w:pStyle w:val="3"/>
        <w:spacing w:before="120"/>
      </w:pPr>
      <w:bookmarkStart w:id="181" w:name="_Toc527708254"/>
      <w:bookmarkStart w:id="182" w:name="_Toc32546"/>
      <w:bookmarkStart w:id="183" w:name="_Toc17977"/>
      <w:bookmarkStart w:id="184" w:name="_Toc28049"/>
      <w:bookmarkStart w:id="185" w:name="_Toc26919"/>
      <w:bookmarkStart w:id="186" w:name="_Toc17066"/>
      <w:bookmarkStart w:id="187" w:name="_Toc28132"/>
      <w:bookmarkStart w:id="188" w:name="_Toc5226"/>
      <w:r>
        <w:rPr>
          <w:rFonts w:hint="eastAsia"/>
        </w:rPr>
        <w:t>16.</w:t>
      </w:r>
      <w:r>
        <w:t xml:space="preserve"> </w:t>
      </w:r>
      <w:r>
        <w:rPr>
          <w:rFonts w:hint="eastAsia"/>
        </w:rPr>
        <w:t>开启响应文件</w:t>
      </w:r>
      <w:bookmarkEnd w:id="181"/>
      <w:bookmarkEnd w:id="182"/>
      <w:bookmarkEnd w:id="183"/>
      <w:bookmarkEnd w:id="184"/>
      <w:bookmarkEnd w:id="185"/>
      <w:bookmarkEnd w:id="186"/>
      <w:bookmarkEnd w:id="187"/>
      <w:bookmarkEnd w:id="188"/>
    </w:p>
    <w:p>
      <w:pPr>
        <w:ind w:firstLine="480"/>
      </w:pPr>
      <w:r>
        <w:rPr>
          <w:rFonts w:hint="eastAsia"/>
        </w:rPr>
        <w:t>在</w:t>
      </w:r>
      <w:r>
        <w:rPr>
          <w:rFonts w:hint="eastAsia" w:eastAsia="楷体"/>
          <w:u w:val="single"/>
        </w:rPr>
        <w:t>供应商须知前附表</w:t>
      </w:r>
      <w:r>
        <w:rPr>
          <w:rFonts w:hint="eastAsia"/>
        </w:rPr>
        <w:t>规定的时间开启响应文件。</w:t>
      </w:r>
    </w:p>
    <w:p>
      <w:pPr>
        <w:pStyle w:val="3"/>
        <w:spacing w:before="120"/>
      </w:pPr>
      <w:bookmarkStart w:id="189" w:name="_Toc13930"/>
      <w:bookmarkStart w:id="190" w:name="_Toc527708255"/>
      <w:bookmarkStart w:id="191" w:name="_Toc22400"/>
      <w:bookmarkStart w:id="192" w:name="_Toc27279"/>
      <w:bookmarkStart w:id="193" w:name="_Toc6507"/>
      <w:bookmarkStart w:id="194" w:name="_Toc32412"/>
      <w:bookmarkStart w:id="195" w:name="_Toc32083"/>
      <w:bookmarkStart w:id="196" w:name="_Toc14295"/>
      <w:r>
        <w:rPr>
          <w:rFonts w:hint="eastAsia"/>
        </w:rPr>
        <w:t>17.</w:t>
      </w:r>
      <w:r>
        <w:t xml:space="preserve"> </w:t>
      </w:r>
      <w:r>
        <w:rPr>
          <w:rFonts w:hint="eastAsia"/>
        </w:rPr>
        <w:t>评审方法</w:t>
      </w:r>
      <w:bookmarkEnd w:id="189"/>
      <w:bookmarkEnd w:id="190"/>
      <w:bookmarkEnd w:id="191"/>
      <w:bookmarkEnd w:id="192"/>
      <w:bookmarkEnd w:id="193"/>
      <w:bookmarkEnd w:id="194"/>
      <w:bookmarkEnd w:id="195"/>
      <w:bookmarkEnd w:id="196"/>
    </w:p>
    <w:p>
      <w:pPr>
        <w:ind w:firstLine="480"/>
      </w:pPr>
      <w:r>
        <w:rPr>
          <w:rFonts w:hint="eastAsia"/>
        </w:rPr>
        <w:t>评审将严格按照采购文件第三章规定的评审标准和办法及国家有关法律、法规的要求进行。</w:t>
      </w:r>
    </w:p>
    <w:p>
      <w:pPr>
        <w:pStyle w:val="3"/>
        <w:spacing w:before="120"/>
      </w:pPr>
      <w:bookmarkStart w:id="197" w:name="_Toc527708256"/>
      <w:bookmarkStart w:id="198" w:name="_Toc25352"/>
      <w:bookmarkStart w:id="199" w:name="_Toc28010"/>
      <w:bookmarkStart w:id="200" w:name="_Toc25961"/>
      <w:bookmarkStart w:id="201" w:name="_Toc17917"/>
      <w:bookmarkStart w:id="202" w:name="_Toc31463"/>
      <w:bookmarkStart w:id="203" w:name="_Toc7917"/>
      <w:bookmarkStart w:id="204" w:name="_Toc21947"/>
      <w:bookmarkStart w:id="205" w:name="_Hlk103877440"/>
      <w:r>
        <w:rPr>
          <w:rFonts w:hint="eastAsia"/>
        </w:rPr>
        <w:t>18.</w:t>
      </w:r>
      <w:r>
        <w:t xml:space="preserve"> </w:t>
      </w:r>
      <w:r>
        <w:rPr>
          <w:rFonts w:hint="eastAsia"/>
        </w:rPr>
        <w:t>确定成交供应商</w:t>
      </w:r>
      <w:bookmarkEnd w:id="197"/>
      <w:bookmarkEnd w:id="198"/>
      <w:bookmarkEnd w:id="199"/>
      <w:bookmarkEnd w:id="200"/>
      <w:bookmarkEnd w:id="201"/>
      <w:bookmarkEnd w:id="202"/>
      <w:bookmarkEnd w:id="203"/>
      <w:bookmarkEnd w:id="204"/>
    </w:p>
    <w:p>
      <w:pPr>
        <w:ind w:firstLine="480"/>
      </w:pPr>
      <w:r>
        <w:rPr>
          <w:rFonts w:hint="eastAsia"/>
        </w:rPr>
        <w:t>采购人按询价小组推荐的成交候选供应商名单确定成交供应商。成交候选供应商的推荐原则，见</w:t>
      </w:r>
      <w:r>
        <w:rPr>
          <w:rFonts w:hint="eastAsia" w:eastAsia="楷体"/>
          <w:u w:val="single"/>
        </w:rPr>
        <w:t>供应商须知前附表</w:t>
      </w:r>
      <w:r>
        <w:rPr>
          <w:rFonts w:hint="eastAsia"/>
        </w:rPr>
        <w:t>。</w:t>
      </w:r>
    </w:p>
    <w:bookmarkEnd w:id="205"/>
    <w:p>
      <w:pPr>
        <w:pStyle w:val="3"/>
        <w:spacing w:before="120"/>
      </w:pPr>
      <w:bookmarkStart w:id="206" w:name="_Toc1285"/>
      <w:bookmarkStart w:id="207" w:name="_Toc527708257"/>
      <w:bookmarkStart w:id="208" w:name="_Toc2040"/>
      <w:bookmarkStart w:id="209" w:name="_Toc26743"/>
      <w:bookmarkStart w:id="210" w:name="_Toc6396"/>
      <w:bookmarkStart w:id="211" w:name="_Toc23618"/>
      <w:bookmarkStart w:id="212" w:name="_Toc12754"/>
      <w:bookmarkStart w:id="213" w:name="_Toc5102"/>
      <w:r>
        <w:rPr>
          <w:rFonts w:hint="eastAsia"/>
        </w:rPr>
        <w:t>19.</w:t>
      </w:r>
      <w:r>
        <w:t xml:space="preserve"> </w:t>
      </w:r>
      <w:bookmarkStart w:id="214" w:name="_Hlk110244768"/>
      <w:r>
        <w:rPr>
          <w:rFonts w:hint="eastAsia"/>
        </w:rPr>
        <w:t>采购结果公告</w:t>
      </w:r>
      <w:bookmarkEnd w:id="206"/>
      <w:bookmarkEnd w:id="207"/>
      <w:bookmarkEnd w:id="208"/>
      <w:bookmarkEnd w:id="209"/>
      <w:bookmarkEnd w:id="210"/>
      <w:bookmarkEnd w:id="211"/>
      <w:bookmarkEnd w:id="212"/>
      <w:bookmarkEnd w:id="213"/>
      <w:bookmarkEnd w:id="214"/>
    </w:p>
    <w:p>
      <w:pPr>
        <w:ind w:firstLine="480"/>
      </w:pPr>
      <w:r>
        <w:rPr>
          <w:rFonts w:hint="eastAsia"/>
        </w:rPr>
        <w:t>采购人确定成交供应商，询价采购结果在电子商务平台进行公告，采购结果公告应列出询价文件规定的成交供应商资质、业绩、交货期（工期或服务期）、承诺的项目负责人姓名及其相关证书名称和编号等情况。</w:t>
      </w:r>
    </w:p>
    <w:p>
      <w:pPr>
        <w:pStyle w:val="3"/>
        <w:spacing w:before="120"/>
      </w:pPr>
      <w:bookmarkStart w:id="215" w:name="_Toc4709"/>
      <w:bookmarkStart w:id="216" w:name="_Toc13027"/>
      <w:bookmarkStart w:id="217" w:name="_Toc2339"/>
      <w:bookmarkStart w:id="218" w:name="_Toc25869"/>
      <w:bookmarkStart w:id="219" w:name="_Toc12414"/>
      <w:bookmarkStart w:id="220" w:name="_Toc29247"/>
      <w:bookmarkStart w:id="221" w:name="_Toc527708258"/>
      <w:bookmarkStart w:id="222" w:name="_Toc5404"/>
      <w:r>
        <w:rPr>
          <w:rFonts w:hint="eastAsia"/>
        </w:rPr>
        <w:t>20. 成交通知</w:t>
      </w:r>
      <w:bookmarkEnd w:id="215"/>
      <w:bookmarkEnd w:id="216"/>
      <w:bookmarkEnd w:id="217"/>
      <w:bookmarkEnd w:id="218"/>
      <w:bookmarkEnd w:id="219"/>
      <w:bookmarkEnd w:id="220"/>
      <w:bookmarkEnd w:id="221"/>
      <w:bookmarkEnd w:id="222"/>
    </w:p>
    <w:p>
      <w:pPr>
        <w:ind w:firstLine="480"/>
      </w:pPr>
      <w:r>
        <w:rPr>
          <w:rFonts w:hint="eastAsia"/>
        </w:rPr>
        <w:t>20.1 采购人向成交供应商发出《成交通知书》，同时通知所有未成交的供应商。</w:t>
      </w:r>
    </w:p>
    <w:p>
      <w:pPr>
        <w:ind w:firstLine="480"/>
      </w:pPr>
      <w:r>
        <w:rPr>
          <w:rFonts w:hint="eastAsia"/>
        </w:rPr>
        <w:t xml:space="preserve">20.2 《成交通知书》将构成合同的组成部分。                </w:t>
      </w:r>
    </w:p>
    <w:p>
      <w:pPr>
        <w:pStyle w:val="3"/>
        <w:spacing w:before="120"/>
      </w:pPr>
      <w:bookmarkStart w:id="223" w:name="_Toc22803"/>
      <w:bookmarkStart w:id="224" w:name="_Toc3476"/>
      <w:bookmarkStart w:id="225" w:name="_Toc13891"/>
      <w:bookmarkStart w:id="226" w:name="_Toc28876"/>
      <w:bookmarkStart w:id="227" w:name="_Toc14177"/>
      <w:bookmarkStart w:id="228" w:name="_Toc1067"/>
      <w:bookmarkStart w:id="229" w:name="_Toc527708259"/>
      <w:bookmarkStart w:id="230" w:name="_Toc3329"/>
      <w:r>
        <w:rPr>
          <w:rFonts w:hint="eastAsia"/>
        </w:rPr>
        <w:t>21. 签订合同</w:t>
      </w:r>
      <w:bookmarkEnd w:id="223"/>
      <w:bookmarkEnd w:id="224"/>
      <w:bookmarkEnd w:id="225"/>
      <w:bookmarkEnd w:id="226"/>
      <w:bookmarkEnd w:id="227"/>
      <w:bookmarkEnd w:id="228"/>
      <w:bookmarkEnd w:id="229"/>
      <w:bookmarkEnd w:id="230"/>
    </w:p>
    <w:p>
      <w:pPr>
        <w:ind w:firstLine="480"/>
      </w:pPr>
      <w:r>
        <w:rPr>
          <w:rFonts w:hint="eastAsia"/>
        </w:rPr>
        <w:t>21.1 成交供应商在接到《成交通知书》后，必须在规定的时间内派法定代表人或其授权人到指定地点按采购活动双方最终确认的合同条款与采购人签订合同。</w:t>
      </w:r>
    </w:p>
    <w:p>
      <w:pPr>
        <w:ind w:firstLine="480"/>
      </w:pPr>
      <w:r>
        <w:rPr>
          <w:rFonts w:hint="eastAsia"/>
        </w:rPr>
        <w:t>21.2 采购文件、成交供应商的响应文件及评审过程中的有关澄清文件均为签订合同的依据。</w:t>
      </w:r>
    </w:p>
    <w:p>
      <w:pPr>
        <w:ind w:firstLine="480"/>
      </w:pPr>
      <w:r>
        <w:rPr>
          <w:rFonts w:hint="eastAsia"/>
        </w:rPr>
        <w:t>21.3 采购文件中要求成交供应商提交履约担保的，成交供应商应在合同规定的时间前根据</w:t>
      </w:r>
      <w:r>
        <w:rPr>
          <w:rFonts w:hint="eastAsia" w:eastAsia="楷体"/>
          <w:u w:val="single"/>
        </w:rPr>
        <w:t>供应商须知前附表</w:t>
      </w:r>
      <w:r>
        <w:rPr>
          <w:rFonts w:hint="eastAsia"/>
        </w:rPr>
        <w:t>的要求向采购人提交履约担保。</w:t>
      </w:r>
    </w:p>
    <w:p>
      <w:pPr>
        <w:pStyle w:val="3"/>
        <w:spacing w:before="120"/>
      </w:pPr>
      <w:bookmarkStart w:id="231" w:name="_Toc31188"/>
      <w:bookmarkStart w:id="232" w:name="_Toc24780"/>
      <w:bookmarkStart w:id="233" w:name="_Toc13774"/>
      <w:bookmarkStart w:id="234" w:name="_Toc1502"/>
      <w:bookmarkStart w:id="235" w:name="_Toc13317"/>
      <w:bookmarkStart w:id="236" w:name="_Toc18832"/>
      <w:bookmarkStart w:id="237" w:name="_Toc16951"/>
      <w:bookmarkStart w:id="238" w:name="_Toc527708260"/>
      <w:r>
        <w:rPr>
          <w:rFonts w:hint="eastAsia"/>
        </w:rPr>
        <w:t>22. 其他需要补充的内容</w:t>
      </w:r>
      <w:bookmarkEnd w:id="231"/>
      <w:bookmarkEnd w:id="232"/>
      <w:bookmarkEnd w:id="233"/>
      <w:bookmarkEnd w:id="234"/>
      <w:bookmarkEnd w:id="235"/>
      <w:bookmarkEnd w:id="236"/>
      <w:bookmarkEnd w:id="237"/>
      <w:bookmarkEnd w:id="238"/>
    </w:p>
    <w:p>
      <w:pPr>
        <w:ind w:firstLine="482"/>
      </w:pPr>
      <w:r>
        <w:rPr>
          <w:b/>
          <w:color w:val="FF0000"/>
        </w:rPr>
        <w:t>22.1</w:t>
      </w:r>
      <w:r>
        <w:rPr>
          <w:rFonts w:hint="eastAsia"/>
          <w:b/>
          <w:color w:val="FF0000"/>
        </w:rPr>
        <w:t>当出现投标报价税率不同时，按不含税净价进行比价。非电子商务平台默认税率请在报价备注栏注明。</w:t>
      </w:r>
    </w:p>
    <w:p>
      <w:pPr>
        <w:ind w:firstLine="480"/>
        <w:rPr>
          <w:rFonts w:ascii="宋体" w:hAnsi="宋体" w:cs="Arial"/>
          <w:kern w:val="0"/>
          <w:szCs w:val="24"/>
        </w:rPr>
      </w:pPr>
      <w:bookmarkStart w:id="239" w:name="_Toc527445394"/>
      <w:r>
        <w:rPr>
          <w:rFonts w:ascii="宋体" w:hAnsi="宋体" w:cs="Arial"/>
          <w:kern w:val="0"/>
          <w:szCs w:val="24"/>
        </w:rPr>
        <w:br w:type="page"/>
      </w:r>
    </w:p>
    <w:p>
      <w:pPr>
        <w:pStyle w:val="25"/>
        <w:spacing w:before="120"/>
      </w:pPr>
      <w:bookmarkStart w:id="240" w:name="_Toc8569"/>
      <w:bookmarkStart w:id="241" w:name="_Toc19830"/>
      <w:bookmarkStart w:id="242" w:name="_Toc1135"/>
      <w:bookmarkStart w:id="243" w:name="_Toc29359"/>
      <w:bookmarkStart w:id="244" w:name="_Toc527708261"/>
      <w:bookmarkStart w:id="245" w:name="_Toc26915"/>
      <w:bookmarkStart w:id="246" w:name="_Toc18395"/>
      <w:bookmarkStart w:id="247" w:name="_Toc930"/>
      <w:r>
        <w:rPr>
          <w:rFonts w:hint="eastAsia"/>
        </w:rPr>
        <w:t xml:space="preserve">第三章 </w:t>
      </w:r>
      <w:bookmarkEnd w:id="239"/>
      <w:bookmarkEnd w:id="240"/>
      <w:bookmarkEnd w:id="241"/>
      <w:bookmarkEnd w:id="242"/>
      <w:bookmarkEnd w:id="243"/>
      <w:bookmarkEnd w:id="244"/>
      <w:bookmarkEnd w:id="245"/>
      <w:bookmarkEnd w:id="246"/>
      <w:bookmarkEnd w:id="247"/>
      <w:r>
        <w:rPr>
          <w:rFonts w:hint="eastAsia"/>
        </w:rPr>
        <w:t>评审办法（经评审的最低价法）</w:t>
      </w:r>
    </w:p>
    <w:p>
      <w:pPr>
        <w:pStyle w:val="3"/>
        <w:spacing w:before="120"/>
      </w:pPr>
      <w:bookmarkStart w:id="248" w:name="_Toc15394"/>
      <w:bookmarkStart w:id="249" w:name="_Toc2089"/>
      <w:bookmarkStart w:id="250" w:name="_Toc4774"/>
      <w:bookmarkStart w:id="251" w:name="_Toc27468"/>
      <w:bookmarkStart w:id="252" w:name="_Toc527708262"/>
      <w:bookmarkStart w:id="253" w:name="_Toc16546"/>
      <w:bookmarkStart w:id="254" w:name="_Toc21712"/>
      <w:bookmarkStart w:id="255" w:name="_Toc22236"/>
      <w:r>
        <w:rPr>
          <w:rFonts w:hint="eastAsia"/>
        </w:rPr>
        <w:t>一、总则</w:t>
      </w:r>
      <w:bookmarkEnd w:id="248"/>
      <w:bookmarkEnd w:id="249"/>
      <w:bookmarkEnd w:id="250"/>
      <w:bookmarkEnd w:id="251"/>
      <w:bookmarkEnd w:id="252"/>
      <w:bookmarkEnd w:id="253"/>
      <w:bookmarkEnd w:id="254"/>
      <w:bookmarkEnd w:id="255"/>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256" w:name="_Toc527708263"/>
      <w:bookmarkStart w:id="257" w:name="_Toc7548"/>
      <w:bookmarkStart w:id="258" w:name="_Toc18118"/>
      <w:bookmarkStart w:id="259" w:name="_Toc5432"/>
      <w:bookmarkStart w:id="260" w:name="_Toc10849"/>
      <w:bookmarkStart w:id="261" w:name="_Toc13347"/>
      <w:bookmarkStart w:id="262" w:name="_Toc27931"/>
      <w:bookmarkStart w:id="263" w:name="_Toc16271"/>
      <w:r>
        <w:rPr>
          <w:rFonts w:hint="eastAsia"/>
        </w:rPr>
        <w:t>二、评审方法</w:t>
      </w:r>
      <w:bookmarkEnd w:id="256"/>
      <w:bookmarkEnd w:id="257"/>
      <w:bookmarkEnd w:id="258"/>
      <w:bookmarkEnd w:id="259"/>
      <w:bookmarkEnd w:id="260"/>
      <w:bookmarkEnd w:id="261"/>
      <w:bookmarkEnd w:id="262"/>
      <w:bookmarkEnd w:id="263"/>
    </w:p>
    <w:p>
      <w:pPr>
        <w:ind w:firstLine="480"/>
      </w:pPr>
      <w:r>
        <w:rPr>
          <w:rFonts w:hint="eastAsia"/>
        </w:rPr>
        <w:t>经评审的最低价法。</w:t>
      </w:r>
    </w:p>
    <w:p>
      <w:pPr>
        <w:pStyle w:val="3"/>
        <w:spacing w:before="120"/>
      </w:pPr>
      <w:bookmarkStart w:id="264" w:name="_Toc14843"/>
      <w:bookmarkStart w:id="265" w:name="_Toc4479"/>
      <w:bookmarkStart w:id="266" w:name="_Toc527708264"/>
      <w:bookmarkStart w:id="267" w:name="_Toc21842"/>
      <w:bookmarkStart w:id="268" w:name="_Toc10107"/>
      <w:bookmarkStart w:id="269" w:name="_Toc18346"/>
      <w:bookmarkStart w:id="270" w:name="_Toc24829"/>
      <w:bookmarkStart w:id="271" w:name="_Toc30851"/>
      <w:bookmarkStart w:id="272" w:name="_Toc47415931"/>
      <w:bookmarkStart w:id="273" w:name="_Toc47416185"/>
      <w:bookmarkStart w:id="274" w:name="_Toc49019224"/>
      <w:r>
        <w:rPr>
          <w:rFonts w:hint="eastAsia"/>
        </w:rPr>
        <w:t>三、评审程序</w:t>
      </w:r>
      <w:bookmarkEnd w:id="264"/>
      <w:bookmarkEnd w:id="265"/>
      <w:bookmarkEnd w:id="266"/>
      <w:bookmarkEnd w:id="267"/>
      <w:bookmarkEnd w:id="268"/>
      <w:bookmarkEnd w:id="269"/>
      <w:bookmarkEnd w:id="270"/>
      <w:bookmarkEnd w:id="271"/>
    </w:p>
    <w:p>
      <w:pPr>
        <w:ind w:firstLine="480"/>
      </w:pPr>
      <w:r>
        <w:rPr>
          <w:rFonts w:hint="eastAsia"/>
        </w:rPr>
        <w:t>询价小组评审包括初步评审和详细评审两部分。</w:t>
      </w:r>
    </w:p>
    <w:p>
      <w:pPr>
        <w:ind w:firstLine="482"/>
        <w:rPr>
          <w:b/>
          <w:bCs/>
        </w:rPr>
      </w:pPr>
      <w:r>
        <w:rPr>
          <w:rFonts w:hint="eastAsia"/>
          <w:b/>
          <w:bCs/>
        </w:rPr>
        <w:t>1.</w:t>
      </w:r>
      <w:r>
        <w:rPr>
          <w:b/>
          <w:bCs/>
        </w:rPr>
        <w:t xml:space="preserve"> </w:t>
      </w:r>
      <w:r>
        <w:rPr>
          <w:rFonts w:hint="eastAsia"/>
          <w:b/>
          <w:bCs/>
        </w:rPr>
        <w:t>初步评审</w:t>
      </w:r>
    </w:p>
    <w:p>
      <w:pPr>
        <w:ind w:firstLine="480"/>
      </w:pPr>
      <w:r>
        <w:rPr>
          <w:rFonts w:hint="eastAsia"/>
        </w:rPr>
        <w:t>询价小组对响应文件进行初步评审，评审内容如下：</w:t>
      </w:r>
    </w:p>
    <w:p>
      <w:pPr>
        <w:ind w:firstLine="480"/>
      </w:pPr>
      <w:r>
        <w:rPr>
          <w:rFonts w:hint="eastAsia"/>
        </w:rPr>
        <w:t>1</w:t>
      </w:r>
      <w:r>
        <w:t xml:space="preserve">.1 </w:t>
      </w:r>
      <w:r>
        <w:rPr>
          <w:rFonts w:hint="eastAsia"/>
        </w:rPr>
        <w:t xml:space="preserve">供应商资格条件是否满足采购文件要求； </w:t>
      </w:r>
    </w:p>
    <w:p>
      <w:pPr>
        <w:ind w:firstLine="480"/>
      </w:pPr>
      <w:r>
        <w:rPr>
          <w:rFonts w:hint="eastAsia"/>
        </w:rPr>
        <w:t>1</w:t>
      </w:r>
      <w:r>
        <w:t xml:space="preserve">.2 </w:t>
      </w:r>
      <w:r>
        <w:rPr>
          <w:rFonts w:hint="eastAsia"/>
        </w:rPr>
        <w:t xml:space="preserve">供应商是否按采购文件要求提交响应保证金或金额不足（如有）； </w:t>
      </w:r>
    </w:p>
    <w:p>
      <w:pPr>
        <w:ind w:firstLine="480"/>
      </w:pPr>
      <w:r>
        <w:rPr>
          <w:rFonts w:hint="eastAsia"/>
        </w:rPr>
        <w:t>1</w:t>
      </w:r>
      <w:r>
        <w:t xml:space="preserve">.3 </w:t>
      </w:r>
      <w:r>
        <w:rPr>
          <w:rFonts w:hint="eastAsia"/>
        </w:rPr>
        <w:t>响应文件是否附有采购人不能接受的条件；</w:t>
      </w:r>
    </w:p>
    <w:p>
      <w:pPr>
        <w:ind w:firstLine="480"/>
      </w:pPr>
      <w:r>
        <w:rPr>
          <w:rFonts w:hint="eastAsia"/>
        </w:rPr>
        <w:t>1.4 供应商报价是否超出最高限价（如有）；</w:t>
      </w:r>
    </w:p>
    <w:p>
      <w:pPr>
        <w:ind w:firstLine="480"/>
      </w:pPr>
      <w:r>
        <w:rPr>
          <w:rFonts w:hint="eastAsia"/>
        </w:rPr>
        <w:t>1.5有下列情形之一的，视为供应商相互串通：</w:t>
      </w:r>
    </w:p>
    <w:p>
      <w:pPr>
        <w:ind w:firstLine="480"/>
      </w:pPr>
      <w:r>
        <w:rPr>
          <w:rFonts w:hint="eastAsia"/>
        </w:rPr>
        <w:t>　　(1) 不同供应商的响应文件由同一单位或者个人编制；</w:t>
      </w:r>
    </w:p>
    <w:p>
      <w:pPr>
        <w:ind w:firstLine="480"/>
      </w:pPr>
      <w:r>
        <w:rPr>
          <w:rFonts w:hint="eastAsia"/>
        </w:rPr>
        <w:t>　　(2) 不同供应商委托同一单位或者个人办理询价事宜；</w:t>
      </w:r>
    </w:p>
    <w:p>
      <w:pPr>
        <w:ind w:firstLine="480"/>
      </w:pPr>
      <w:r>
        <w:rPr>
          <w:rFonts w:hint="eastAsia"/>
        </w:rPr>
        <w:t>　　(3) 不同供应商的响应文件载明的项目管理成员为同一人；</w:t>
      </w:r>
    </w:p>
    <w:p>
      <w:pPr>
        <w:ind w:firstLine="480"/>
      </w:pPr>
      <w:r>
        <w:rPr>
          <w:rFonts w:hint="eastAsia"/>
        </w:rPr>
        <w:t>　　(4) 不同供应商的响应文件异常一致或者报价呈规律性差异；</w:t>
      </w:r>
    </w:p>
    <w:p>
      <w:pPr>
        <w:ind w:firstLine="480"/>
      </w:pPr>
      <w:r>
        <w:rPr>
          <w:rFonts w:hint="eastAsia"/>
        </w:rPr>
        <w:t>　　(5) 不同供应商的响应文件相互混装；</w:t>
      </w:r>
    </w:p>
    <w:p>
      <w:pPr>
        <w:ind w:firstLine="480"/>
      </w:pPr>
      <w:r>
        <w:rPr>
          <w:rFonts w:hint="eastAsia"/>
        </w:rPr>
        <w:t>　　(6) 不同供应商的响应保证金从同一单位或者个人的账户转出。</w:t>
      </w:r>
    </w:p>
    <w:p>
      <w:pPr>
        <w:ind w:firstLine="480"/>
      </w:pPr>
      <w:r>
        <w:rPr>
          <w:rFonts w:hint="eastAsia"/>
        </w:rPr>
        <w:t xml:space="preserve">    (7) 不同供应商的响应文件的互联网协议地址（IP地址）信息检查一致；</w:t>
      </w:r>
    </w:p>
    <w:p>
      <w:pPr>
        <w:ind w:firstLine="480"/>
      </w:pPr>
      <w:r>
        <w:t xml:space="preserve">1.6 </w:t>
      </w:r>
      <w:r>
        <w:rPr>
          <w:rFonts w:hint="eastAsia"/>
        </w:rPr>
        <w:t>有下列情形之一的，复核确认后否决其投标：</w:t>
      </w:r>
    </w:p>
    <w:p>
      <w:pPr>
        <w:ind w:left="425" w:firstLine="480"/>
      </w:pPr>
      <w:r>
        <w:rPr>
          <w:rFonts w:hint="eastAsia"/>
        </w:rPr>
        <w:t>（</w:t>
      </w:r>
      <w:r>
        <w:t>1</w:t>
      </w:r>
      <w:r>
        <w:rPr>
          <w:rFonts w:hint="eastAsia"/>
        </w:rPr>
        <w:t>）不同供应商工商注册联系电话信息检查一致，如复核确认后，否决其投标。</w:t>
      </w:r>
    </w:p>
    <w:p>
      <w:pPr>
        <w:ind w:left="425" w:firstLine="480"/>
      </w:pPr>
      <w:r>
        <w:rPr>
          <w:rFonts w:hint="eastAsia"/>
        </w:rPr>
        <w:t>（</w:t>
      </w:r>
      <w:r>
        <w:t>2</w:t>
      </w:r>
      <w:r>
        <w:rPr>
          <w:rFonts w:hint="eastAsia"/>
        </w:rPr>
        <w:t>）不同供应商工商注册电子邮箱地址信息检查一致，如复核确认后，否决其投标。</w:t>
      </w:r>
    </w:p>
    <w:p>
      <w:pPr>
        <w:ind w:firstLine="480"/>
      </w:pPr>
      <w:r>
        <w:rPr>
          <w:rFonts w:hint="eastAsia"/>
        </w:rPr>
        <w:t>1</w:t>
      </w:r>
      <w:r>
        <w:t xml:space="preserve">.7 </w:t>
      </w:r>
      <w:r>
        <w:rPr>
          <w:rFonts w:hint="eastAsia"/>
        </w:rPr>
        <w:t>国家相关法规规定的其它否决条款。</w:t>
      </w:r>
    </w:p>
    <w:p>
      <w:pPr>
        <w:ind w:firstLine="480"/>
      </w:pPr>
      <w:r>
        <w:rPr>
          <w:rFonts w:hint="eastAsia"/>
        </w:rPr>
        <w:t>如发生上述条款中的任何一项，初步审查将视为不合格，供应商只有通过初步评审，才能进入详细评审。</w:t>
      </w:r>
    </w:p>
    <w:p>
      <w:pPr>
        <w:ind w:firstLine="482"/>
      </w:pPr>
      <w:r>
        <w:rPr>
          <w:rFonts w:hint="eastAsia"/>
          <w:b/>
          <w:bCs/>
        </w:rPr>
        <w:t>2.详细评审</w:t>
      </w:r>
    </w:p>
    <w:p>
      <w:pPr>
        <w:ind w:firstLine="480"/>
      </w:pPr>
      <w:r>
        <w:rPr>
          <w:rFonts w:hint="eastAsia"/>
        </w:rPr>
        <w:t>详细评审包括商务、技术和价格评审。如详细评审阶段，商务、技术、价格评审中有一项不通过，将视为否决供应商。</w:t>
      </w:r>
    </w:p>
    <w:p>
      <w:pPr>
        <w:ind w:firstLine="480"/>
      </w:pPr>
      <w:r>
        <w:rPr>
          <w:rFonts w:hint="eastAsia"/>
        </w:rPr>
        <w:t>2.1</w:t>
      </w:r>
      <w:r>
        <w:t xml:space="preserve"> </w:t>
      </w:r>
      <w:r>
        <w:rPr>
          <w:rFonts w:hint="eastAsia"/>
        </w:rPr>
        <w:t>商务评审，是否实质上响应了采购文件的要求，主要包括交货期/工期/服务期、付款条件、商务偏离等。</w:t>
      </w:r>
    </w:p>
    <w:p>
      <w:pPr>
        <w:ind w:firstLine="480"/>
      </w:pPr>
      <w:r>
        <w:rPr>
          <w:rFonts w:hint="eastAsia"/>
        </w:rPr>
        <w:t>2.2</w:t>
      </w:r>
      <w:r>
        <w:t xml:space="preserve"> </w:t>
      </w:r>
      <w:r>
        <w:rPr>
          <w:rFonts w:hint="eastAsia"/>
        </w:rPr>
        <w:t>技术评审，是否实质上响应了采购文件的要求；主要包括采购需求是否符合要求等。</w:t>
      </w:r>
    </w:p>
    <w:p>
      <w:pPr>
        <w:ind w:firstLine="480"/>
        <w:rPr>
          <w:szCs w:val="24"/>
        </w:rPr>
      </w:pPr>
      <w:bookmarkStart w:id="275" w:name="_Hlk92294458"/>
      <w:r>
        <w:rPr>
          <w:rFonts w:hint="eastAsia"/>
        </w:rPr>
        <w:t>2.3</w:t>
      </w:r>
      <w:bookmarkStart w:id="276" w:name="_Hlk103877346"/>
      <w:r>
        <w:rPr>
          <w:rFonts w:hint="eastAsia"/>
        </w:rPr>
        <w:t>报价评审，以供应商在电子商务平台线上填报的总报价为准作为最终报价</w:t>
      </w:r>
      <w:bookmarkEnd w:id="276"/>
      <w:r>
        <w:rPr>
          <w:rFonts w:hint="eastAsia"/>
        </w:rPr>
        <w:t>，</w:t>
      </w:r>
      <w:r>
        <w:rPr>
          <w:szCs w:val="24"/>
        </w:rPr>
        <w:t>如果</w:t>
      </w:r>
      <w:r>
        <w:rPr>
          <w:rFonts w:hint="eastAsia"/>
          <w:szCs w:val="24"/>
        </w:rPr>
        <w:t>平台报价</w:t>
      </w:r>
      <w:r>
        <w:rPr>
          <w:szCs w:val="24"/>
        </w:rPr>
        <w:t>异常</w:t>
      </w:r>
      <w:r>
        <w:rPr>
          <w:rFonts w:hint="eastAsia"/>
          <w:szCs w:val="24"/>
        </w:rPr>
        <w:t>的，询价小组可向供应商进行书面澄清，如供应商确认平台报价错误时，应当将其否决。</w:t>
      </w:r>
      <w:r>
        <w:rPr>
          <w:rFonts w:hint="eastAsia"/>
        </w:rPr>
        <w:t>询价小组对供应商的报价文件进行比较。询价小组不得同某一供应商就其报价进行谈判。</w:t>
      </w:r>
      <w:bookmarkEnd w:id="275"/>
    </w:p>
    <w:p>
      <w:pPr>
        <w:ind w:firstLine="482"/>
        <w:rPr>
          <w:b/>
          <w:bCs/>
        </w:rPr>
      </w:pPr>
      <w:bookmarkStart w:id="277" w:name="_Toc3474873"/>
      <w:bookmarkStart w:id="278" w:name="_Toc22714"/>
      <w:bookmarkStart w:id="279" w:name="_Toc522694202"/>
      <w:r>
        <w:rPr>
          <w:rFonts w:hint="eastAsia"/>
          <w:b/>
          <w:bCs/>
        </w:rPr>
        <w:t>3.响应文件的澄清、说明和补正</w:t>
      </w:r>
      <w:bookmarkEnd w:id="277"/>
      <w:bookmarkEnd w:id="278"/>
      <w:bookmarkEnd w:id="279"/>
    </w:p>
    <w:p>
      <w:pPr>
        <w:ind w:firstLine="480"/>
        <w:rPr>
          <w:szCs w:val="24"/>
          <w:lang w:bidi="en-US"/>
        </w:rPr>
      </w:pPr>
      <w:r>
        <w:rPr>
          <w:szCs w:val="24"/>
          <w:lang w:bidi="en-US"/>
        </w:rPr>
        <w:t xml:space="preserve">3.1 </w:t>
      </w:r>
      <w:r>
        <w:rPr>
          <w:rFonts w:hint="eastAsia"/>
          <w:szCs w:val="24"/>
          <w:lang w:bidi="en-US"/>
        </w:rPr>
        <w:t>在评审过程中，询价小组可以书面形式要求供应商对所提交的响应文件中不明确的内容进行书面澄清或说明，或者对细微偏差进行补正，供应商的书面澄清、说明和补正属于响应文件的组成部分，询价小组不接受供应商主动提出的澄清、说明或补正。</w:t>
      </w:r>
    </w:p>
    <w:p>
      <w:pPr>
        <w:ind w:firstLine="480"/>
        <w:rPr>
          <w:szCs w:val="24"/>
          <w:lang w:bidi="en-US"/>
        </w:rPr>
      </w:pPr>
      <w:r>
        <w:rPr>
          <w:rFonts w:hint="eastAsia"/>
          <w:szCs w:val="24"/>
          <w:lang w:bidi="en-US"/>
        </w:rPr>
        <w:t>3.2</w:t>
      </w:r>
      <w:r>
        <w:rPr>
          <w:szCs w:val="24"/>
          <w:lang w:bidi="en-US"/>
        </w:rPr>
        <w:t xml:space="preserve"> </w:t>
      </w:r>
      <w:r>
        <w:rPr>
          <w:rFonts w:hint="eastAsia"/>
          <w:szCs w:val="24"/>
          <w:lang w:bidi="en-US"/>
        </w:rPr>
        <w:t>澄清、说明和补正不得改变响应文件的实质性内容(算术性错误修正的除外)。</w:t>
      </w:r>
    </w:p>
    <w:p>
      <w:pPr>
        <w:ind w:firstLine="480"/>
        <w:rPr>
          <w:szCs w:val="24"/>
          <w:lang w:bidi="en-US"/>
        </w:rPr>
      </w:pPr>
      <w:r>
        <w:rPr>
          <w:rFonts w:hint="eastAsia"/>
          <w:szCs w:val="24"/>
          <w:lang w:bidi="en-US"/>
        </w:rPr>
        <w:t>3.3</w:t>
      </w:r>
      <w:r>
        <w:rPr>
          <w:szCs w:val="24"/>
          <w:lang w:bidi="en-US"/>
        </w:rPr>
        <w:t xml:space="preserve"> </w:t>
      </w:r>
      <w:r>
        <w:rPr>
          <w:rFonts w:hint="eastAsia"/>
          <w:szCs w:val="24"/>
          <w:lang w:bidi="en-US"/>
        </w:rPr>
        <w:t>询价小组对供应商提交的澄清、说明或补正有疑问的，可以要求供应商进一步澄清、说明或补正，直至满足询价小组的要求。如不按询价小组要求进行澄清、说明或补正的，可以否决其响应文件。</w:t>
      </w:r>
    </w:p>
    <w:p>
      <w:pPr>
        <w:ind w:firstLine="482"/>
        <w:rPr>
          <w:b/>
          <w:bCs/>
        </w:rPr>
      </w:pPr>
      <w:r>
        <w:rPr>
          <w:rFonts w:hint="eastAsia"/>
          <w:b/>
          <w:bCs/>
        </w:rPr>
        <w:t>4. 评审报告</w:t>
      </w:r>
    </w:p>
    <w:p>
      <w:pPr>
        <w:ind w:firstLine="480"/>
        <w:rPr>
          <w:rFonts w:ascii="宋体" w:hAnsi="宋体"/>
          <w:szCs w:val="24"/>
        </w:rPr>
      </w:pPr>
      <w:r>
        <w:rPr>
          <w:rFonts w:hint="eastAsia" w:ascii="宋体" w:hAnsi="宋体"/>
          <w:szCs w:val="24"/>
        </w:rPr>
        <w:t>4.1</w:t>
      </w:r>
      <w:r>
        <w:rPr>
          <w:rFonts w:ascii="宋体" w:hAnsi="宋体"/>
          <w:szCs w:val="24"/>
        </w:rPr>
        <w:t xml:space="preserve"> </w:t>
      </w:r>
      <w:r>
        <w:rPr>
          <w:rFonts w:hint="eastAsia" w:ascii="宋体" w:hAnsi="宋体"/>
          <w:szCs w:val="24"/>
        </w:rPr>
        <w:t>在评审各阶段的结论，如评审人员有不同意见，按少数服从多数的原则得出最终评审结论。</w:t>
      </w:r>
    </w:p>
    <w:p>
      <w:pPr>
        <w:ind w:firstLine="480"/>
      </w:pPr>
      <w:r>
        <w:rPr>
          <w:rFonts w:hint="eastAsia" w:ascii="宋体" w:hAnsi="宋体"/>
          <w:szCs w:val="24"/>
        </w:rPr>
        <w:t>4.2</w:t>
      </w:r>
      <w:r>
        <w:rPr>
          <w:rFonts w:ascii="宋体" w:hAnsi="宋体"/>
          <w:szCs w:val="24"/>
        </w:rPr>
        <w:t xml:space="preserve"> </w:t>
      </w:r>
      <w:r>
        <w:rPr>
          <w:rFonts w:hint="eastAsia" w:ascii="宋体" w:hAnsi="宋体"/>
          <w:szCs w:val="24"/>
        </w:rPr>
        <w:t>询价小组</w:t>
      </w:r>
      <w:r>
        <w:rPr>
          <w:rFonts w:ascii="宋体" w:hAnsi="宋体"/>
          <w:szCs w:val="24"/>
        </w:rPr>
        <w:t>完成</w:t>
      </w:r>
      <w:r>
        <w:rPr>
          <w:rFonts w:hint="eastAsia" w:ascii="宋体" w:hAnsi="宋体"/>
          <w:szCs w:val="24"/>
        </w:rPr>
        <w:t>评审</w:t>
      </w:r>
      <w:r>
        <w:rPr>
          <w:rFonts w:ascii="宋体" w:hAnsi="宋体"/>
          <w:szCs w:val="24"/>
        </w:rPr>
        <w:t>工作后，向</w:t>
      </w:r>
      <w:r>
        <w:rPr>
          <w:rFonts w:hint="eastAsia" w:ascii="宋体" w:hAnsi="宋体"/>
          <w:szCs w:val="24"/>
        </w:rPr>
        <w:t>采购人</w:t>
      </w:r>
      <w:r>
        <w:rPr>
          <w:rFonts w:ascii="宋体" w:hAnsi="宋体"/>
          <w:szCs w:val="24"/>
        </w:rPr>
        <w:t>提出书面</w:t>
      </w:r>
      <w:r>
        <w:rPr>
          <w:rFonts w:hint="eastAsia" w:ascii="宋体" w:hAnsi="宋体"/>
          <w:szCs w:val="24"/>
        </w:rPr>
        <w:t>评审</w:t>
      </w:r>
      <w:r>
        <w:rPr>
          <w:rFonts w:ascii="宋体" w:hAnsi="宋体"/>
          <w:szCs w:val="24"/>
        </w:rPr>
        <w:t>报告。如果</w:t>
      </w:r>
      <w:r>
        <w:rPr>
          <w:rFonts w:hint="eastAsia" w:ascii="宋体" w:hAnsi="宋体"/>
          <w:szCs w:val="24"/>
        </w:rPr>
        <w:t>询价小组</w:t>
      </w:r>
      <w:r>
        <w:rPr>
          <w:rFonts w:ascii="宋体" w:hAnsi="宋体"/>
          <w:szCs w:val="24"/>
        </w:rPr>
        <w:t>成员对</w:t>
      </w:r>
      <w:r>
        <w:rPr>
          <w:rFonts w:hint="eastAsia" w:ascii="宋体" w:hAnsi="宋体"/>
          <w:szCs w:val="24"/>
        </w:rPr>
        <w:t>评审</w:t>
      </w:r>
      <w:r>
        <w:rPr>
          <w:rFonts w:ascii="宋体" w:hAnsi="宋体"/>
          <w:szCs w:val="24"/>
        </w:rPr>
        <w:t>报告有异议，可以书面方式阐述其不同意见和理由。</w:t>
      </w:r>
      <w:r>
        <w:rPr>
          <w:rFonts w:hint="eastAsia" w:ascii="宋体" w:hAnsi="宋体"/>
          <w:szCs w:val="24"/>
        </w:rPr>
        <w:t>询价小组</w:t>
      </w:r>
      <w:r>
        <w:rPr>
          <w:rFonts w:ascii="宋体" w:hAnsi="宋体"/>
          <w:szCs w:val="24"/>
        </w:rPr>
        <w:t>成员拒绝在</w:t>
      </w:r>
      <w:r>
        <w:rPr>
          <w:rFonts w:hint="eastAsia" w:ascii="宋体" w:hAnsi="宋体"/>
          <w:szCs w:val="24"/>
        </w:rPr>
        <w:t>评审</w:t>
      </w:r>
      <w:r>
        <w:rPr>
          <w:rFonts w:ascii="宋体" w:hAnsi="宋体"/>
          <w:szCs w:val="24"/>
        </w:rPr>
        <w:t>报告上签字且不陈述其不同意见和理由的，视为同意</w:t>
      </w:r>
      <w:r>
        <w:rPr>
          <w:rFonts w:hint="eastAsia" w:ascii="宋体" w:hAnsi="宋体"/>
          <w:szCs w:val="24"/>
        </w:rPr>
        <w:t>评审</w:t>
      </w:r>
      <w:r>
        <w:rPr>
          <w:rFonts w:ascii="宋体" w:hAnsi="宋体"/>
          <w:szCs w:val="24"/>
        </w:rPr>
        <w:t>报告，</w:t>
      </w:r>
      <w:r>
        <w:rPr>
          <w:rFonts w:hint="eastAsia" w:ascii="宋体" w:hAnsi="宋体"/>
          <w:szCs w:val="24"/>
        </w:rPr>
        <w:t>询价小组</w:t>
      </w:r>
      <w:r>
        <w:rPr>
          <w:rFonts w:ascii="宋体" w:hAnsi="宋体"/>
          <w:szCs w:val="24"/>
        </w:rPr>
        <w:t>应当对此做出书面说明，并记录在案。</w:t>
      </w:r>
    </w:p>
    <w:p>
      <w:pPr>
        <w:pStyle w:val="3"/>
        <w:spacing w:before="120"/>
      </w:pPr>
      <w:bookmarkStart w:id="280" w:name="_Toc7387"/>
      <w:bookmarkStart w:id="281" w:name="_Toc20092"/>
      <w:bookmarkStart w:id="282" w:name="_Toc9738"/>
      <w:bookmarkStart w:id="283" w:name="_Toc17335"/>
      <w:bookmarkStart w:id="284" w:name="_Toc5420"/>
      <w:bookmarkStart w:id="285" w:name="_Toc527708265"/>
      <w:bookmarkStart w:id="286" w:name="_Toc2285"/>
      <w:bookmarkStart w:id="287" w:name="_Toc32147"/>
      <w:r>
        <w:rPr>
          <w:rFonts w:hint="eastAsia"/>
        </w:rPr>
        <w:t>四、推荐</w:t>
      </w:r>
      <w:bookmarkEnd w:id="280"/>
      <w:bookmarkEnd w:id="281"/>
      <w:bookmarkEnd w:id="282"/>
      <w:bookmarkEnd w:id="283"/>
      <w:bookmarkEnd w:id="284"/>
      <w:bookmarkEnd w:id="285"/>
      <w:bookmarkEnd w:id="286"/>
      <w:bookmarkEnd w:id="287"/>
      <w:r>
        <w:rPr>
          <w:rFonts w:hint="eastAsia"/>
        </w:rPr>
        <w:t>成交候选供应商</w:t>
      </w:r>
    </w:p>
    <w:p>
      <w:pPr>
        <w:ind w:firstLine="480" w:firstLineChars="0"/>
        <w:rPr>
          <w:rFonts w:ascii="宋体" w:hAnsi="宋体"/>
          <w:sz w:val="32"/>
          <w:szCs w:val="32"/>
        </w:rPr>
      </w:pPr>
      <w:r>
        <w:rPr>
          <w:rFonts w:hint="eastAsia"/>
        </w:rPr>
        <w:t>本次评审采用经评审的最低价法。询价小组对满足采购文件实质要求的响应文件，按照经评审的价格（算术性修正后的价格）由低到高的顺序依次推荐</w:t>
      </w:r>
      <w:r>
        <w:t>1～</w:t>
      </w:r>
      <w:r>
        <w:rPr>
          <w:rFonts w:hint="eastAsia"/>
        </w:rPr>
        <w:t>3</w:t>
      </w:r>
      <w:r>
        <w:t>名</w:t>
      </w:r>
      <w:r>
        <w:rPr>
          <w:rFonts w:hint="eastAsia"/>
        </w:rPr>
        <w:t>成交候选供应商。若经评审的价格相同，按满足资格条件业绩要求的业绩数量多者优先；如业绩数量也相等时，由询价小组投票确定。</w:t>
      </w:r>
      <w:bookmarkEnd w:id="272"/>
      <w:bookmarkEnd w:id="273"/>
      <w:bookmarkEnd w:id="274"/>
      <w:bookmarkStart w:id="288" w:name="_Toc525134808"/>
      <w:r>
        <w:rPr>
          <w:rFonts w:ascii="宋体" w:hAnsi="宋体"/>
          <w:sz w:val="32"/>
          <w:szCs w:val="32"/>
        </w:rPr>
        <w:br w:type="page"/>
      </w: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pStyle w:val="25"/>
        <w:spacing w:before="120"/>
      </w:pPr>
      <w:bookmarkStart w:id="289" w:name="_Toc14434"/>
      <w:bookmarkStart w:id="290" w:name="_Toc23671"/>
      <w:bookmarkStart w:id="291" w:name="_Toc4918"/>
      <w:bookmarkStart w:id="292" w:name="_Toc5510"/>
      <w:bookmarkStart w:id="293" w:name="_Toc527708266"/>
      <w:bookmarkStart w:id="294" w:name="_Toc15277"/>
      <w:bookmarkStart w:id="295" w:name="_Toc31152"/>
      <w:bookmarkStart w:id="296" w:name="_Toc17810"/>
      <w:r>
        <w:rPr>
          <w:rFonts w:hint="eastAsia"/>
        </w:rPr>
        <w:t>第四章 合同</w:t>
      </w:r>
      <w:bookmarkEnd w:id="288"/>
      <w:r>
        <w:rPr>
          <w:rFonts w:hint="eastAsia"/>
        </w:rPr>
        <w:t>条款及格式</w:t>
      </w:r>
      <w:bookmarkEnd w:id="289"/>
      <w:bookmarkEnd w:id="290"/>
      <w:bookmarkEnd w:id="291"/>
      <w:bookmarkEnd w:id="292"/>
      <w:bookmarkEnd w:id="293"/>
      <w:bookmarkEnd w:id="294"/>
      <w:bookmarkEnd w:id="295"/>
      <w:bookmarkEnd w:id="296"/>
    </w:p>
    <w:p>
      <w:pPr>
        <w:ind w:firstLine="0" w:firstLineChars="0"/>
      </w:pPr>
    </w:p>
    <w:p>
      <w:pPr>
        <w:ind w:firstLine="0" w:firstLineChars="0"/>
        <w:jc w:val="center"/>
      </w:pPr>
    </w:p>
    <w:p>
      <w:pPr>
        <w:ind w:firstLine="480"/>
      </w:pPr>
    </w:p>
    <w:p>
      <w:pPr>
        <w:widowControl/>
        <w:ind w:firstLine="480"/>
        <w:jc w:val="left"/>
      </w:pPr>
      <w:r>
        <w:rPr>
          <w:rFonts w:ascii="宋体" w:hAnsi="宋体"/>
          <w:szCs w:val="24"/>
        </w:rPr>
        <w:br w:type="page"/>
      </w:r>
      <w:bookmarkStart w:id="297" w:name="_Toc525134814"/>
      <w:bookmarkStart w:id="298" w:name="_Toc179632787"/>
      <w:bookmarkStart w:id="299" w:name="_Toc246996338"/>
      <w:bookmarkStart w:id="300" w:name="_Toc247085853"/>
      <w:bookmarkStart w:id="301" w:name="_Toc246997081"/>
      <w:r>
        <w:rPr>
          <w:rFonts w:hint="eastAsia"/>
        </w:rPr>
        <w:t>如在电商平台</w:t>
      </w:r>
      <w:r>
        <w:rPr>
          <w:rFonts w:ascii="宋体" w:hAnsi="宋体" w:cs="宋体"/>
          <w:kern w:val="0"/>
          <w:szCs w:val="24"/>
        </w:rPr>
        <w:t>报价须知</w:t>
      </w:r>
      <w:r>
        <w:rPr>
          <w:rFonts w:hint="eastAsia" w:ascii="宋体" w:hAnsi="宋体" w:cs="宋体"/>
          <w:kern w:val="0"/>
          <w:szCs w:val="24"/>
        </w:rPr>
        <w:t>中无特别说明，</w:t>
      </w:r>
      <w:r>
        <w:rPr>
          <w:rFonts w:hint="eastAsia"/>
        </w:rPr>
        <w:t>对于询价结果不超过</w:t>
      </w:r>
      <w:r>
        <w:t>20</w:t>
      </w:r>
      <w:r>
        <w:rPr>
          <w:rFonts w:hint="eastAsia"/>
        </w:rPr>
        <w:t>万元的询价，原则上签订不留质保金采购订单。</w:t>
      </w:r>
    </w:p>
    <w:p>
      <w:pPr>
        <w:widowControl/>
        <w:ind w:firstLine="480"/>
        <w:jc w:val="left"/>
      </w:pPr>
      <w:r>
        <w:rPr>
          <w:rFonts w:hint="eastAsia"/>
        </w:rPr>
        <w:t>对于询价结果超过</w:t>
      </w:r>
      <w:r>
        <w:t>20</w:t>
      </w:r>
      <w:r>
        <w:rPr>
          <w:rFonts w:hint="eastAsia"/>
        </w:rPr>
        <w:t>万元的询价，签订合同，原则上留质保金</w:t>
      </w:r>
      <w:r>
        <w:t>10%</w:t>
      </w:r>
      <w:r>
        <w:rPr>
          <w:rFonts w:hint="eastAsia"/>
        </w:rPr>
        <w:t xml:space="preserve"> ，根据电厂实际采购制度要求执行。</w:t>
      </w:r>
    </w:p>
    <w:p>
      <w:pPr>
        <w:widowControl/>
        <w:ind w:firstLine="480"/>
        <w:jc w:val="left"/>
      </w:pPr>
    </w:p>
    <w:p>
      <w:pPr>
        <w:pStyle w:val="3"/>
        <w:spacing w:before="120"/>
        <w:rPr>
          <w:rFonts w:ascii="楷体_GB2312" w:eastAsia="楷体_GB2312"/>
        </w:rPr>
      </w:pPr>
      <w:r>
        <w:rPr>
          <w:rFonts w:hint="eastAsia"/>
        </w:rPr>
        <w:br w:type="page"/>
      </w:r>
      <w:r>
        <w:rPr>
          <w:rFonts w:hint="eastAsia"/>
        </w:rPr>
        <w:t>第一节：标准</w:t>
      </w:r>
      <w:r>
        <w:rPr>
          <w:rFonts w:hint="eastAsia" w:ascii="黑体" w:hAnsi="黑体" w:cs="黑体"/>
        </w:rPr>
        <w:t>合同</w:t>
      </w:r>
    </w:p>
    <w:p>
      <w:pPr>
        <w:ind w:firstLine="301"/>
        <w:jc w:val="left"/>
        <w:rPr>
          <w:rFonts w:ascii="宋体" w:hAnsi="宋体"/>
          <w:b/>
          <w:sz w:val="15"/>
          <w:szCs w:val="15"/>
        </w:rPr>
      </w:pPr>
      <w:r>
        <w:rPr>
          <w:rFonts w:hint="eastAsia" w:ascii="宋体" w:hAnsi="宋体"/>
          <w:b/>
          <w:sz w:val="15"/>
          <w:szCs w:val="15"/>
        </w:rPr>
        <w:t>版本编号：V</w:t>
      </w:r>
      <w:r>
        <w:rPr>
          <w:rFonts w:ascii="宋体" w:hAnsi="宋体"/>
          <w:b/>
          <w:sz w:val="15"/>
          <w:szCs w:val="15"/>
        </w:rPr>
        <w:t>22.1</w:t>
      </w:r>
    </w:p>
    <w:p>
      <w:pPr>
        <w:wordWrap w:val="0"/>
        <w:ind w:firstLine="480"/>
        <w:jc w:val="right"/>
        <w:rPr>
          <w:rFonts w:ascii="宋体" w:hAnsi="宋体"/>
          <w:b/>
          <w:highlight w:val="yellow"/>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840230" cy="39687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ascii="宋体" w:hAnsi="宋体"/>
          <w:b/>
        </w:rPr>
        <w:t>合同编号：</w:t>
      </w:r>
      <w:r>
        <w:rPr>
          <w:rFonts w:ascii="宋体" w:hAnsi="宋体"/>
          <w:b/>
        </w:rPr>
        <w:t xml:space="preserve">           </w:t>
      </w:r>
    </w:p>
    <w:p>
      <w:pPr>
        <w:ind w:firstLine="482"/>
        <w:jc w:val="right"/>
        <w:rPr>
          <w:rFonts w:ascii="宋体" w:hAnsi="宋体"/>
          <w:b/>
          <w:highlight w:val="yellow"/>
        </w:rPr>
      </w:pPr>
    </w:p>
    <w:p>
      <w:pPr>
        <w:ind w:right="960" w:firstLine="482"/>
        <w:jc w:val="center"/>
        <w:rPr>
          <w:rFonts w:ascii="宋体" w:hAnsi="宋体"/>
          <w:b/>
        </w:rPr>
      </w:pPr>
      <w:r>
        <w:rPr>
          <w:rFonts w:hint="eastAsia" w:ascii="宋体" w:hAnsi="宋体"/>
          <w:b/>
        </w:rPr>
        <w:t xml:space="preserve"> </w:t>
      </w:r>
      <w:r>
        <w:rPr>
          <w:rFonts w:ascii="宋体" w:hAnsi="宋体"/>
          <w:b/>
        </w:rPr>
        <w:t xml:space="preserve">                                            </w:t>
      </w:r>
      <w:r>
        <w:rPr>
          <w:rFonts w:hint="eastAsia" w:ascii="宋体" w:hAnsi="宋体"/>
          <w:b/>
        </w:rPr>
        <w:t>采购订单号：</w:t>
      </w:r>
    </w:p>
    <w:p>
      <w:pPr>
        <w:ind w:firstLine="482"/>
        <w:rPr>
          <w:rFonts w:ascii="宋体" w:hAnsi="宋体"/>
          <w:b/>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r>
        <w:rPr>
          <w:rFonts w:hint="eastAsia" w:ascii="宋体" w:hAnsi="宋体"/>
          <w:sz w:val="32"/>
          <w:szCs w:val="32"/>
        </w:rPr>
        <w:t>华能国际电力股份有限公司大连电厂</w:t>
      </w:r>
    </w:p>
    <w:p>
      <w:pPr>
        <w:ind w:firstLine="480"/>
        <w:rPr>
          <w:rFonts w:ascii="宋体" w:hAnsi="宋体"/>
        </w:rPr>
      </w:pPr>
    </w:p>
    <w:p>
      <w:pPr>
        <w:ind w:firstLine="1044"/>
        <w:jc w:val="center"/>
        <w:rPr>
          <w:rFonts w:ascii="宋体" w:hAnsi="宋体"/>
          <w:b/>
          <w:bCs/>
          <w:sz w:val="52"/>
          <w:szCs w:val="52"/>
        </w:rPr>
      </w:pPr>
      <w:r>
        <w:rPr>
          <w:rFonts w:hint="eastAsia" w:ascii="宋体" w:hAnsi="宋体"/>
          <w:b/>
          <w:bCs/>
          <w:sz w:val="52"/>
          <w:szCs w:val="52"/>
        </w:rPr>
        <w:t>合 同 书</w:t>
      </w:r>
    </w:p>
    <w:p>
      <w:pPr>
        <w:ind w:firstLine="1040"/>
        <w:jc w:val="center"/>
        <w:rPr>
          <w:rFonts w:ascii="宋体" w:hAnsi="宋体"/>
          <w:sz w:val="52"/>
          <w:szCs w:val="52"/>
        </w:rPr>
      </w:pPr>
    </w:p>
    <w:p>
      <w:pPr>
        <w:ind w:firstLine="480"/>
        <w:rPr>
          <w:rFonts w:ascii="宋体" w:hAnsi="宋体"/>
        </w:rPr>
      </w:pPr>
    </w:p>
    <w:p>
      <w:pPr>
        <w:ind w:firstLine="480"/>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2405" w:type="dxa"/>
            <w:vAlign w:val="center"/>
          </w:tcPr>
          <w:p>
            <w:pPr>
              <w:ind w:firstLine="480"/>
              <w:rPr>
                <w:rFonts w:ascii="宋体" w:hAnsi="宋体"/>
              </w:rPr>
            </w:pPr>
            <w:r>
              <w:rPr>
                <w:rFonts w:hint="eastAsia" w:ascii="宋体" w:hAnsi="宋体"/>
              </w:rPr>
              <w:t>合同名称：</w:t>
            </w:r>
          </w:p>
        </w:tc>
        <w:tc>
          <w:tcPr>
            <w:tcW w:w="5891" w:type="dxa"/>
            <w:vAlign w:val="center"/>
          </w:tcPr>
          <w:p>
            <w:pPr>
              <w:ind w:firstLine="480"/>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2405" w:type="dxa"/>
            <w:vAlign w:val="center"/>
          </w:tcPr>
          <w:p>
            <w:pPr>
              <w:ind w:firstLine="480"/>
              <w:rPr>
                <w:rFonts w:ascii="宋体" w:hAnsi="宋体"/>
              </w:rPr>
            </w:pPr>
            <w:r>
              <w:rPr>
                <w:rFonts w:hint="eastAsia" w:ascii="宋体" w:hAnsi="宋体"/>
              </w:rPr>
              <w:t xml:space="preserve">甲 </w:t>
            </w:r>
            <w:r>
              <w:rPr>
                <w:rFonts w:ascii="宋体" w:hAnsi="宋体"/>
              </w:rPr>
              <w:t xml:space="preserve">   </w:t>
            </w:r>
            <w:r>
              <w:rPr>
                <w:rFonts w:hint="eastAsia" w:ascii="宋体" w:hAnsi="宋体"/>
              </w:rPr>
              <w:t>方：</w:t>
            </w:r>
          </w:p>
        </w:tc>
        <w:tc>
          <w:tcPr>
            <w:tcW w:w="5891" w:type="dxa"/>
            <w:vAlign w:val="center"/>
          </w:tcPr>
          <w:p>
            <w:pPr>
              <w:ind w:firstLine="480"/>
              <w:rPr>
                <w:rFonts w:ascii="宋体" w:hAnsi="宋体"/>
              </w:rPr>
            </w:pPr>
            <w:r>
              <w:rPr>
                <w:rFonts w:ascii="宋体" w:hAnsi="宋体"/>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jc w:val="center"/>
        </w:trPr>
        <w:tc>
          <w:tcPr>
            <w:tcW w:w="2405" w:type="dxa"/>
            <w:vAlign w:val="center"/>
          </w:tcPr>
          <w:p>
            <w:pPr>
              <w:ind w:firstLine="480"/>
              <w:rPr>
                <w:rFonts w:ascii="宋体" w:hAnsi="宋体"/>
              </w:rPr>
            </w:pPr>
            <w:r>
              <w:rPr>
                <w:rFonts w:hint="eastAsia" w:ascii="宋体" w:hAnsi="宋体"/>
              </w:rPr>
              <w:t xml:space="preserve">乙 </w:t>
            </w:r>
            <w:r>
              <w:rPr>
                <w:rFonts w:ascii="宋体" w:hAnsi="宋体"/>
              </w:rPr>
              <w:t xml:space="preserve">   </w:t>
            </w:r>
            <w:r>
              <w:rPr>
                <w:rFonts w:hint="eastAsia" w:ascii="宋体" w:hAnsi="宋体"/>
              </w:rPr>
              <w:t>方：</w:t>
            </w:r>
            <w:r>
              <w:rPr>
                <w:rFonts w:ascii="宋体" w:hAnsi="宋体"/>
              </w:rPr>
              <w:t xml:space="preserve">  </w:t>
            </w:r>
          </w:p>
        </w:tc>
        <w:tc>
          <w:tcPr>
            <w:tcW w:w="5891" w:type="dxa"/>
            <w:vAlign w:val="center"/>
          </w:tcPr>
          <w:p>
            <w:pPr>
              <w:ind w:firstLine="480"/>
              <w:rPr>
                <w:rFonts w:ascii="宋体" w:hAnsi="宋体"/>
              </w:rPr>
            </w:pPr>
            <w:r>
              <w:rPr>
                <w:rFonts w:ascii="宋体" w:hAnsi="宋体"/>
              </w:rPr>
              <w:t xml:space="preserve"> </w:t>
            </w:r>
          </w:p>
        </w:tc>
      </w:tr>
    </w:tbl>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r>
        <w:rPr>
          <w:rFonts w:ascii="宋体" w:hAnsi="宋体"/>
        </w:rPr>
        <w:t xml:space="preserve">         </w:t>
      </w:r>
    </w:p>
    <w:tbl>
      <w:tblPr>
        <w:tblStyle w:val="33"/>
        <w:tblW w:w="82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2405" w:type="dxa"/>
            <w:vAlign w:val="center"/>
          </w:tcPr>
          <w:p>
            <w:pPr>
              <w:ind w:firstLine="480"/>
              <w:rPr>
                <w:rFonts w:ascii="宋体" w:hAnsi="宋体"/>
              </w:rPr>
            </w:pPr>
            <w:r>
              <w:rPr>
                <w:rFonts w:ascii="宋体" w:hAnsi="宋体"/>
              </w:rPr>
              <w:t>签订日期：</w:t>
            </w:r>
          </w:p>
        </w:tc>
        <w:tc>
          <w:tcPr>
            <w:tcW w:w="5891" w:type="dxa"/>
            <w:vAlign w:val="center"/>
          </w:tcPr>
          <w:p>
            <w:pPr>
              <w:ind w:firstLine="480"/>
              <w:rPr>
                <w:rFonts w:ascii="宋体" w:hAnsi="宋体"/>
              </w:rPr>
            </w:pPr>
            <w:r>
              <w:rPr>
                <w:rFonts w:ascii="宋体" w:hAnsi="宋体"/>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405" w:type="dxa"/>
            <w:vAlign w:val="center"/>
          </w:tcPr>
          <w:p>
            <w:pPr>
              <w:ind w:firstLine="480"/>
              <w:rPr>
                <w:rFonts w:ascii="宋体" w:hAnsi="宋体"/>
              </w:rPr>
            </w:pPr>
            <w:r>
              <w:rPr>
                <w:rFonts w:hint="eastAsia" w:ascii="宋体" w:hAnsi="宋体"/>
              </w:rPr>
              <w:t>签订地点：</w:t>
            </w:r>
          </w:p>
        </w:tc>
        <w:tc>
          <w:tcPr>
            <w:tcW w:w="5891" w:type="dxa"/>
            <w:vAlign w:val="center"/>
          </w:tcPr>
          <w:p>
            <w:pPr>
              <w:ind w:firstLine="480"/>
              <w:rPr>
                <w:rFonts w:ascii="宋体" w:hAnsi="宋体"/>
              </w:rPr>
            </w:pPr>
            <w:r>
              <w:rPr>
                <w:rFonts w:hint="eastAsia" w:ascii="宋体" w:hAnsi="宋体"/>
              </w:rPr>
              <w:t>辽宁省大连市</w:t>
            </w:r>
          </w:p>
        </w:tc>
      </w:tr>
    </w:tbl>
    <w:p>
      <w:pPr>
        <w:ind w:firstLine="480"/>
        <w:rPr>
          <w:rFonts w:ascii="宋体" w:hAnsi="宋体"/>
        </w:rPr>
      </w:pPr>
    </w:p>
    <w:p>
      <w:pPr>
        <w:widowControl/>
        <w:ind w:firstLine="480"/>
        <w:jc w:val="left"/>
        <w:rPr>
          <w:rFonts w:ascii="宋体" w:hAnsi="宋体"/>
        </w:rPr>
      </w:pPr>
      <w:r>
        <w:rPr>
          <w:rFonts w:ascii="宋体" w:hAnsi="宋体"/>
        </w:rPr>
        <w:br w:type="page"/>
      </w:r>
    </w:p>
    <w:p>
      <w:pPr>
        <w:widowControl/>
        <w:ind w:firstLine="480"/>
        <w:jc w:val="left"/>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8"/>
        <w:gridCol w:w="7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988" w:type="dxa"/>
            <w:vAlign w:val="center"/>
          </w:tcPr>
          <w:p>
            <w:pPr>
              <w:ind w:firstLine="0" w:firstLineChars="0"/>
              <w:rPr>
                <w:rFonts w:ascii="宋体" w:hAnsi="宋体"/>
              </w:rPr>
            </w:pPr>
            <w:r>
              <w:rPr>
                <w:rFonts w:hint="eastAsia" w:ascii="宋体" w:hAnsi="宋体"/>
              </w:rPr>
              <w:t>甲方：</w:t>
            </w:r>
          </w:p>
        </w:tc>
        <w:tc>
          <w:tcPr>
            <w:tcW w:w="7308" w:type="dxa"/>
            <w:vAlign w:val="center"/>
          </w:tcPr>
          <w:p>
            <w:pPr>
              <w:ind w:firstLine="480"/>
              <w:rPr>
                <w:rFonts w:ascii="宋体" w:hAnsi="宋体"/>
              </w:rPr>
            </w:pPr>
            <w:r>
              <w:rPr>
                <w:rFonts w:ascii="宋体" w:hAnsi="宋体"/>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988" w:type="dxa"/>
            <w:vAlign w:val="center"/>
          </w:tcPr>
          <w:p>
            <w:pPr>
              <w:ind w:firstLine="0" w:firstLineChars="0"/>
              <w:rPr>
                <w:rFonts w:ascii="宋体" w:hAnsi="宋体"/>
              </w:rPr>
            </w:pPr>
            <w:r>
              <w:rPr>
                <w:rFonts w:hint="eastAsia" w:ascii="宋体" w:hAnsi="宋体"/>
              </w:rPr>
              <w:t>乙方：</w:t>
            </w:r>
          </w:p>
        </w:tc>
        <w:tc>
          <w:tcPr>
            <w:tcW w:w="7308" w:type="dxa"/>
            <w:vAlign w:val="center"/>
          </w:tcPr>
          <w:p>
            <w:pPr>
              <w:ind w:firstLine="480"/>
              <w:rPr>
                <w:rFonts w:ascii="宋体" w:hAnsi="宋体"/>
              </w:rPr>
            </w:pPr>
            <w:r>
              <w:rPr>
                <w:rFonts w:ascii="宋体" w:hAnsi="宋体"/>
              </w:rPr>
              <w:t xml:space="preserve"> </w:t>
            </w:r>
          </w:p>
        </w:tc>
      </w:tr>
    </w:tbl>
    <w:p>
      <w:pPr>
        <w:ind w:firstLine="480"/>
        <w:rPr>
          <w:rFonts w:ascii="宋体" w:hAnsi="宋体"/>
        </w:rPr>
      </w:pPr>
    </w:p>
    <w:p>
      <w:pPr>
        <w:ind w:firstLine="480"/>
        <w:rPr>
          <w:rFonts w:ascii="宋体" w:hAnsi="宋体"/>
        </w:rPr>
      </w:pPr>
      <w:r>
        <w:rPr>
          <w:rFonts w:hint="eastAsia" w:ascii="宋体" w:hAnsi="宋体"/>
        </w:rPr>
        <w:t>为明确双方经济关系和责任，根据《中华人民共和国民法典》等国家法律法规，经双方协商同意签订本合同，以资共同遵守执行。</w:t>
      </w:r>
    </w:p>
    <w:p>
      <w:pPr>
        <w:spacing w:before="120" w:beforeLines="50" w:line="360" w:lineRule="auto"/>
        <w:ind w:firstLine="560"/>
        <w:jc w:val="left"/>
        <w:outlineLvl w:val="1"/>
        <w:rPr>
          <w:rFonts w:ascii="宋体" w:hAnsi="宋体" w:cs="Microsoft JhengHei"/>
          <w:bCs/>
          <w:kern w:val="0"/>
          <w:sz w:val="28"/>
          <w:szCs w:val="28"/>
        </w:rPr>
      </w:pPr>
      <w:r>
        <w:rPr>
          <w:rFonts w:hint="eastAsia" w:ascii="宋体" w:hAnsi="宋体" w:cs="Microsoft JhengHei"/>
          <w:bCs/>
          <w:kern w:val="0"/>
          <w:sz w:val="28"/>
          <w:szCs w:val="28"/>
        </w:rPr>
        <w:t>1</w:t>
      </w:r>
      <w:r>
        <w:rPr>
          <w:rFonts w:ascii="宋体" w:hAnsi="宋体" w:cs="Microsoft JhengHei"/>
          <w:bCs/>
          <w:kern w:val="0"/>
          <w:sz w:val="28"/>
          <w:szCs w:val="28"/>
        </w:rPr>
        <w:t>.一般</w:t>
      </w:r>
      <w:r>
        <w:rPr>
          <w:rFonts w:hint="eastAsia" w:ascii="宋体" w:hAnsi="宋体" w:cs="Microsoft JhengHei"/>
          <w:bCs/>
          <w:kern w:val="0"/>
          <w:sz w:val="28"/>
          <w:szCs w:val="28"/>
        </w:rPr>
        <w:t>约定</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.1</w:t>
      </w:r>
      <w:r>
        <w:rPr>
          <w:rFonts w:hint="eastAsia" w:ascii="宋体" w:hAnsi="宋体"/>
          <w:szCs w:val="24"/>
        </w:rPr>
        <w:t>甲乙方</w:t>
      </w:r>
    </w:p>
    <w:p>
      <w:pPr>
        <w:ind w:firstLine="480"/>
        <w:rPr>
          <w:rFonts w:ascii="宋体" w:hAnsi="宋体"/>
        </w:rPr>
      </w:pPr>
      <w:r>
        <w:rPr>
          <w:rFonts w:hint="eastAsia" w:ascii="宋体" w:hAnsi="宋体"/>
        </w:rPr>
        <w:t>对物资、工程、服务等不同的合同性质，甲乙方也代表如下对应关系：（买方卖方、建设单位施工单位、委托单位受托单位、发包人监理人等）。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.2 </w:t>
      </w:r>
      <w:r>
        <w:rPr>
          <w:rFonts w:hint="eastAsia" w:ascii="宋体" w:hAnsi="宋体"/>
          <w:szCs w:val="24"/>
        </w:rPr>
        <w:t>招标</w:t>
      </w:r>
    </w:p>
    <w:p>
      <w:pPr>
        <w:ind w:firstLine="480"/>
        <w:rPr>
          <w:rFonts w:ascii="宋体" w:hAnsi="宋体"/>
        </w:rPr>
      </w:pPr>
      <w:r>
        <w:rPr>
          <w:rFonts w:hint="eastAsia" w:ascii="宋体" w:hAnsi="宋体"/>
        </w:rPr>
        <w:t>泛指甲方根据企业内部管理制度采用的所有采购形式，如招标、询价、谈判、单一来源等。采购主要通过能集团电子商务平台进行。</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.3 </w:t>
      </w:r>
      <w:r>
        <w:rPr>
          <w:rFonts w:hint="eastAsia" w:ascii="宋体" w:hAnsi="宋体"/>
          <w:szCs w:val="24"/>
        </w:rPr>
        <w:t>合同文件</w:t>
      </w:r>
    </w:p>
    <w:p>
      <w:pPr>
        <w:ind w:firstLine="480"/>
        <w:rPr>
          <w:rFonts w:ascii="宋体" w:hAnsi="宋体"/>
        </w:rPr>
      </w:pPr>
      <w:r>
        <w:rPr>
          <w:rFonts w:hint="eastAsia" w:ascii="宋体" w:hAnsi="宋体"/>
        </w:rPr>
        <w:t>合同文件</w:t>
      </w:r>
      <w:r>
        <w:rPr>
          <w:rFonts w:ascii="宋体" w:hAnsi="宋体"/>
        </w:rPr>
        <w:t>(或称合同)指合同</w:t>
      </w:r>
      <w:r>
        <w:rPr>
          <w:rFonts w:hint="eastAsia" w:ascii="宋体" w:hAnsi="宋体"/>
        </w:rPr>
        <w:t>、</w:t>
      </w:r>
      <w:r>
        <w:rPr>
          <w:rFonts w:ascii="宋体" w:hAnsi="宋体"/>
        </w:rPr>
        <w:t>协议书</w:t>
      </w:r>
      <w:r>
        <w:rPr>
          <w:rFonts w:hint="eastAsia" w:ascii="宋体" w:hAnsi="宋体"/>
        </w:rPr>
        <w:t>等。包括在招标、投标、合同订立及履行过程中形成的与合同有关的文件及响应</w:t>
      </w:r>
      <w:r>
        <w:rPr>
          <w:rFonts w:ascii="宋体" w:hAnsi="宋体"/>
        </w:rPr>
        <w:t>。</w:t>
      </w:r>
      <w:r>
        <w:rPr>
          <w:rFonts w:hint="eastAsia" w:ascii="宋体" w:hAnsi="宋体"/>
        </w:rPr>
        <w:t>如：</w:t>
      </w:r>
      <w:r>
        <w:rPr>
          <w:rFonts w:ascii="宋体" w:hAnsi="宋体"/>
        </w:rPr>
        <w:t>中标通知书、</w:t>
      </w:r>
      <w:r>
        <w:rPr>
          <w:rFonts w:hint="eastAsia" w:ascii="宋体" w:hAnsi="宋体"/>
        </w:rPr>
        <w:t>招标文件、投标文件、澄清文件、</w:t>
      </w:r>
      <w:r>
        <w:rPr>
          <w:rFonts w:ascii="宋体" w:hAnsi="宋体"/>
        </w:rPr>
        <w:t>投标函、商务和技术偏差表、合同条款、供货要求、分项报价表、</w:t>
      </w:r>
      <w:r>
        <w:rPr>
          <w:rFonts w:hint="eastAsia" w:ascii="宋体" w:hAnsi="宋体"/>
        </w:rPr>
        <w:t>技术规范</w:t>
      </w:r>
      <w:r>
        <w:rPr>
          <w:rFonts w:ascii="宋体" w:hAnsi="宋体"/>
        </w:rPr>
        <w:t>的详细描述、</w:t>
      </w:r>
      <w:r>
        <w:rPr>
          <w:rFonts w:hint="eastAsia" w:ascii="宋体" w:hAnsi="宋体"/>
        </w:rPr>
        <w:t>安全协议、工程量清单、</w:t>
      </w:r>
      <w:r>
        <w:rPr>
          <w:rFonts w:ascii="宋体" w:hAnsi="宋体"/>
        </w:rPr>
        <w:t>技术服务和质保期服务计划，</w:t>
      </w:r>
      <w:r>
        <w:rPr>
          <w:rFonts w:hint="eastAsia" w:ascii="宋体" w:hAnsi="宋体"/>
        </w:rPr>
        <w:t>来往传真、会议纪要、补充协议等。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.4 </w:t>
      </w:r>
      <w:r>
        <w:rPr>
          <w:rFonts w:hint="eastAsia" w:ascii="宋体" w:hAnsi="宋体"/>
          <w:szCs w:val="24"/>
        </w:rPr>
        <w:t>合同文件的优先顺序</w:t>
      </w:r>
    </w:p>
    <w:p>
      <w:pPr>
        <w:ind w:firstLine="480"/>
        <w:rPr>
          <w:rFonts w:ascii="宋体" w:hAnsi="宋体"/>
        </w:rPr>
      </w:pPr>
      <w:r>
        <w:rPr>
          <w:rFonts w:hint="eastAsia" w:ascii="宋体" w:hAnsi="宋体"/>
        </w:rPr>
        <w:t>组成合同的各项文件应互相解释，互为说明。除另有约定外，解释合同文件的优先顺序如下：</w:t>
      </w:r>
    </w:p>
    <w:p>
      <w:pPr>
        <w:pStyle w:val="91"/>
        <w:numPr>
          <w:ilvl w:val="0"/>
          <w:numId w:val="4"/>
        </w:numPr>
        <w:adjustRightInd/>
        <w:snapToGrid/>
        <w:spacing w:line="240" w:lineRule="auto"/>
        <w:ind w:firstLine="66" w:firstLineChars="0"/>
        <w:rPr>
          <w:rFonts w:ascii="宋体" w:hAnsi="宋体"/>
        </w:rPr>
      </w:pPr>
      <w:r>
        <w:rPr>
          <w:rFonts w:ascii="宋体" w:hAnsi="宋体"/>
        </w:rPr>
        <w:t>合同</w:t>
      </w:r>
      <w:r>
        <w:rPr>
          <w:rFonts w:hint="eastAsia" w:ascii="宋体" w:hAnsi="宋体"/>
        </w:rPr>
        <w:t>；</w:t>
      </w:r>
    </w:p>
    <w:p>
      <w:pPr>
        <w:pStyle w:val="91"/>
        <w:numPr>
          <w:ilvl w:val="0"/>
          <w:numId w:val="4"/>
        </w:numPr>
        <w:adjustRightInd/>
        <w:snapToGrid/>
        <w:spacing w:line="240" w:lineRule="auto"/>
        <w:ind w:firstLine="66" w:firstLineChars="0"/>
        <w:rPr>
          <w:rFonts w:ascii="宋体" w:hAnsi="宋体"/>
        </w:rPr>
      </w:pPr>
      <w:r>
        <w:rPr>
          <w:rFonts w:ascii="宋体" w:hAnsi="宋体"/>
        </w:rPr>
        <w:t>协议书；</w:t>
      </w:r>
    </w:p>
    <w:p>
      <w:pPr>
        <w:ind w:firstLine="480"/>
        <w:rPr>
          <w:rFonts w:ascii="宋体" w:hAnsi="宋体"/>
        </w:rPr>
      </w:pPr>
      <w:r>
        <w:rPr>
          <w:rFonts w:ascii="宋体" w:hAnsi="宋体"/>
        </w:rPr>
        <w:t>(3) 中标通知书；</w:t>
      </w:r>
    </w:p>
    <w:p>
      <w:pPr>
        <w:ind w:firstLine="480"/>
        <w:rPr>
          <w:rFonts w:ascii="宋体" w:hAnsi="宋体"/>
        </w:rPr>
      </w:pPr>
      <w:r>
        <w:rPr>
          <w:rFonts w:ascii="宋体" w:hAnsi="宋体"/>
        </w:rPr>
        <w:t xml:space="preserve">(4) </w:t>
      </w:r>
      <w:r>
        <w:rPr>
          <w:rFonts w:hint="eastAsia" w:ascii="宋体" w:hAnsi="宋体"/>
        </w:rPr>
        <w:t>开标一览表</w:t>
      </w:r>
      <w:r>
        <w:rPr>
          <w:rFonts w:ascii="宋体" w:hAnsi="宋体"/>
        </w:rPr>
        <w:t>；</w:t>
      </w:r>
    </w:p>
    <w:p>
      <w:pPr>
        <w:ind w:firstLine="480"/>
        <w:rPr>
          <w:rFonts w:ascii="宋体" w:hAnsi="宋体"/>
        </w:rPr>
      </w:pPr>
      <w:r>
        <w:rPr>
          <w:rFonts w:ascii="宋体" w:hAnsi="宋体"/>
        </w:rPr>
        <w:t>(5) 商务和技术偏差表；</w:t>
      </w:r>
    </w:p>
    <w:p>
      <w:pPr>
        <w:ind w:firstLine="480"/>
        <w:rPr>
          <w:rFonts w:ascii="宋体" w:hAnsi="宋体"/>
        </w:rPr>
      </w:pPr>
      <w:r>
        <w:rPr>
          <w:rFonts w:hint="eastAsia" w:ascii="宋体" w:hAnsi="宋体"/>
        </w:rPr>
        <w:t>(</w:t>
      </w:r>
      <w:r>
        <w:rPr>
          <w:rFonts w:ascii="宋体" w:hAnsi="宋体"/>
        </w:rPr>
        <w:t xml:space="preserve">6) </w:t>
      </w:r>
      <w:r>
        <w:rPr>
          <w:rFonts w:hint="eastAsia" w:ascii="宋体" w:hAnsi="宋体"/>
        </w:rPr>
        <w:t>投标文件</w:t>
      </w:r>
    </w:p>
    <w:p>
      <w:pPr>
        <w:ind w:firstLine="480"/>
        <w:rPr>
          <w:rFonts w:ascii="宋体" w:hAnsi="宋体"/>
        </w:rPr>
      </w:pPr>
      <w:r>
        <w:rPr>
          <w:rFonts w:ascii="宋体" w:hAnsi="宋体"/>
        </w:rPr>
        <w:t>(7) 供货要求；</w:t>
      </w:r>
    </w:p>
    <w:p>
      <w:pPr>
        <w:ind w:firstLine="480"/>
        <w:rPr>
          <w:rFonts w:ascii="宋体" w:hAnsi="宋体"/>
        </w:rPr>
      </w:pPr>
      <w:r>
        <w:rPr>
          <w:rFonts w:ascii="宋体" w:hAnsi="宋体"/>
        </w:rPr>
        <w:t>(8) 分项报价表；</w:t>
      </w:r>
    </w:p>
    <w:p>
      <w:pPr>
        <w:ind w:firstLine="480"/>
        <w:rPr>
          <w:rFonts w:ascii="宋体" w:hAnsi="宋体"/>
        </w:rPr>
      </w:pPr>
      <w:r>
        <w:rPr>
          <w:rFonts w:ascii="宋体" w:hAnsi="宋体"/>
        </w:rPr>
        <w:t xml:space="preserve">(9) </w:t>
      </w:r>
      <w:r>
        <w:rPr>
          <w:rFonts w:hint="eastAsia" w:ascii="宋体" w:hAnsi="宋体"/>
        </w:rPr>
        <w:t>技术规范</w:t>
      </w:r>
      <w:r>
        <w:rPr>
          <w:rFonts w:ascii="宋体" w:hAnsi="宋体"/>
        </w:rPr>
        <w:t>的详细描述；</w:t>
      </w:r>
    </w:p>
    <w:p>
      <w:pPr>
        <w:ind w:firstLine="480"/>
        <w:rPr>
          <w:rFonts w:ascii="宋体" w:hAnsi="宋体"/>
        </w:rPr>
      </w:pPr>
      <w:r>
        <w:rPr>
          <w:rFonts w:ascii="宋体" w:hAnsi="宋体"/>
        </w:rPr>
        <w:t>(10) 技术服务和质保期服务计划；</w:t>
      </w:r>
    </w:p>
    <w:p>
      <w:pPr>
        <w:ind w:firstLine="480"/>
        <w:rPr>
          <w:rFonts w:ascii="宋体" w:hAnsi="宋体"/>
        </w:rPr>
      </w:pPr>
      <w:r>
        <w:rPr>
          <w:rFonts w:ascii="宋体" w:hAnsi="宋体"/>
        </w:rPr>
        <w:t>(11) 其他合同文件。</w:t>
      </w:r>
    </w:p>
    <w:p>
      <w:pPr>
        <w:spacing w:before="120" w:beforeLines="50" w:line="360" w:lineRule="auto"/>
        <w:ind w:firstLine="480"/>
        <w:outlineLvl w:val="2"/>
        <w:rPr>
          <w:rFonts w:ascii="宋体" w:hAnsi="宋体"/>
          <w:szCs w:val="24"/>
        </w:rPr>
      </w:pPr>
      <w:r>
        <w:rPr>
          <w:rFonts w:ascii="宋体" w:hAnsi="宋体"/>
          <w:szCs w:val="24"/>
        </w:rPr>
        <w:t>1.5 合同的</w:t>
      </w:r>
      <w:r>
        <w:rPr>
          <w:rFonts w:hint="eastAsia" w:ascii="宋体" w:hAnsi="宋体"/>
          <w:szCs w:val="24"/>
        </w:rPr>
        <w:t>生</w:t>
      </w:r>
      <w:r>
        <w:rPr>
          <w:rFonts w:ascii="宋体" w:hAnsi="宋体"/>
          <w:szCs w:val="24"/>
        </w:rPr>
        <w:t>效及变更</w:t>
      </w:r>
    </w:p>
    <w:p>
      <w:pPr>
        <w:ind w:firstLine="480"/>
        <w:rPr>
          <w:rFonts w:ascii="宋体" w:hAnsi="宋体"/>
          <w:szCs w:val="24"/>
        </w:rPr>
      </w:pPr>
      <w:r>
        <w:rPr>
          <w:rFonts w:ascii="宋体" w:hAnsi="宋体"/>
          <w:szCs w:val="24"/>
        </w:rPr>
        <w:t>1.5.1甲方和乙方的法定代表人或其</w:t>
      </w:r>
      <w:r>
        <w:rPr>
          <w:rFonts w:hint="eastAsia" w:ascii="宋体" w:hAnsi="宋体"/>
          <w:szCs w:val="28"/>
        </w:rPr>
        <w:t>委托代理人</w:t>
      </w:r>
      <w:r>
        <w:rPr>
          <w:rFonts w:ascii="宋体" w:hAnsi="宋体"/>
          <w:szCs w:val="24"/>
        </w:rPr>
        <w:t>签字并盖章后，合同生效。</w:t>
      </w:r>
    </w:p>
    <w:p>
      <w:pPr>
        <w:ind w:firstLine="480"/>
        <w:rPr>
          <w:rFonts w:ascii="宋体" w:hAnsi="宋体"/>
          <w:szCs w:val="24"/>
        </w:rPr>
      </w:pPr>
      <w:r>
        <w:rPr>
          <w:rFonts w:ascii="宋体" w:hAnsi="宋体"/>
          <w:szCs w:val="24"/>
        </w:rPr>
        <w:t>1.5.2在合同履行过程中，如需对合同进行变更，双方应签订书面协议，并经双方法定代表人或其</w:t>
      </w:r>
      <w:r>
        <w:rPr>
          <w:rFonts w:hint="eastAsia" w:ascii="宋体" w:hAnsi="宋体"/>
          <w:szCs w:val="28"/>
        </w:rPr>
        <w:t>委托代理人</w:t>
      </w:r>
      <w:r>
        <w:rPr>
          <w:rFonts w:ascii="宋体" w:hAnsi="宋体"/>
          <w:szCs w:val="24"/>
        </w:rPr>
        <w:t>签字并盖章后生效。</w:t>
      </w:r>
    </w:p>
    <w:p>
      <w:pPr>
        <w:spacing w:before="120" w:beforeLines="50" w:line="360" w:lineRule="auto"/>
        <w:ind w:firstLine="480"/>
        <w:outlineLvl w:val="2"/>
        <w:rPr>
          <w:rFonts w:ascii="宋体" w:hAnsi="宋体"/>
          <w:szCs w:val="24"/>
        </w:rPr>
      </w:pPr>
      <w:r>
        <w:rPr>
          <w:rFonts w:ascii="宋体" w:hAnsi="宋体"/>
          <w:szCs w:val="24"/>
        </w:rPr>
        <w:t>1.6 联络</w:t>
      </w:r>
    </w:p>
    <w:p>
      <w:pPr>
        <w:ind w:firstLine="480"/>
        <w:rPr>
          <w:rFonts w:ascii="宋体" w:hAnsi="宋体"/>
          <w:szCs w:val="24"/>
        </w:rPr>
      </w:pPr>
      <w:r>
        <w:rPr>
          <w:rFonts w:ascii="宋体" w:hAnsi="宋体"/>
          <w:szCs w:val="24"/>
        </w:rPr>
        <w:t>1.6.1合同履行过程中的任何联络及相关文件的签署，均应通过</w:t>
      </w:r>
      <w:r>
        <w:rPr>
          <w:rFonts w:hint="eastAsia" w:ascii="宋体" w:hAnsi="宋体"/>
          <w:szCs w:val="24"/>
        </w:rPr>
        <w:t>本合同</w:t>
      </w:r>
      <w:r>
        <w:rPr>
          <w:rFonts w:ascii="宋体" w:hAnsi="宋体"/>
          <w:szCs w:val="24"/>
        </w:rPr>
        <w:t>指定的联系人和联系方式进行。合同履行过程中，双方可以书面形式增加或变更指定联系人。</w:t>
      </w:r>
    </w:p>
    <w:p>
      <w:pPr>
        <w:ind w:firstLine="480"/>
        <w:rPr>
          <w:rFonts w:ascii="宋体" w:hAnsi="宋体"/>
        </w:rPr>
      </w:pPr>
      <w:r>
        <w:rPr>
          <w:rFonts w:hint="eastAsia" w:ascii="宋体" w:hAnsi="宋体"/>
        </w:rPr>
        <w:t>1</w:t>
      </w:r>
      <w:r>
        <w:rPr>
          <w:rFonts w:ascii="宋体" w:hAnsi="宋体"/>
        </w:rPr>
        <w:t xml:space="preserve">.6.2 </w:t>
      </w:r>
      <w:r>
        <w:rPr>
          <w:rFonts w:hint="eastAsia" w:ascii="宋体" w:hAnsi="宋体"/>
        </w:rPr>
        <w:t>送达方式：直接送达、委托送达、邮寄送达（邮政EMS）、公告送达（国家省市地方官方报纸）、电子送达（通过华能集团电子商务平台或电子邮件、短信等）等方式，被送达方不签收并且未在</w:t>
      </w:r>
      <w:r>
        <w:rPr>
          <w:rFonts w:ascii="宋体" w:hAnsi="宋体"/>
        </w:rPr>
        <w:t>7</w:t>
      </w:r>
      <w:r>
        <w:rPr>
          <w:rFonts w:hint="eastAsia" w:ascii="宋体" w:hAnsi="宋体"/>
        </w:rPr>
        <w:t>日内书面反馈拒收原因的，或者送达地址联系人不准确而导致无法送达的，视为送达。</w:t>
      </w:r>
    </w:p>
    <w:p>
      <w:pPr>
        <w:spacing w:before="120" w:beforeLines="50" w:line="360" w:lineRule="auto"/>
        <w:ind w:firstLine="480"/>
        <w:outlineLvl w:val="2"/>
        <w:rPr>
          <w:rFonts w:ascii="宋体" w:hAnsi="宋体"/>
          <w:szCs w:val="24"/>
        </w:rPr>
      </w:pPr>
      <w:bookmarkStart w:id="302" w:name="_Toc14710"/>
      <w:bookmarkStart w:id="303" w:name="_Toc9415879"/>
      <w:bookmarkStart w:id="304" w:name="_Toc18835"/>
      <w:bookmarkStart w:id="305" w:name="_Toc30384"/>
      <w:bookmarkStart w:id="306" w:name="_Toc19404"/>
      <w:bookmarkStart w:id="307" w:name="_Toc21654"/>
      <w:bookmarkStart w:id="308" w:name="_Toc15479630"/>
      <w:bookmarkStart w:id="309" w:name="_Toc15919"/>
      <w:bookmarkStart w:id="310" w:name="_Toc7722"/>
      <w:bookmarkStart w:id="311" w:name="_Toc8649368"/>
      <w:bookmarkStart w:id="312" w:name="_Toc2909"/>
      <w:bookmarkStart w:id="313" w:name="_Toc9485"/>
      <w:bookmarkStart w:id="314" w:name="_Toc3474902"/>
      <w:bookmarkStart w:id="315" w:name="_Toc15315"/>
      <w:bookmarkStart w:id="316" w:name="_Toc30475"/>
      <w:r>
        <w:rPr>
          <w:rFonts w:ascii="宋体" w:hAnsi="宋体"/>
          <w:szCs w:val="24"/>
        </w:rPr>
        <w:t>1.7 联合体</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ind w:firstLine="480"/>
        <w:rPr>
          <w:rFonts w:ascii="宋体" w:hAnsi="宋体"/>
          <w:szCs w:val="24"/>
        </w:rPr>
      </w:pPr>
      <w:r>
        <w:rPr>
          <w:rFonts w:ascii="宋体" w:hAnsi="宋体"/>
          <w:szCs w:val="24"/>
        </w:rPr>
        <w:t>1.7.1 乙方为联合体的，联合体各方应当共同与甲方签订合同，并向甲方为履行合同承担连带责任。</w:t>
      </w:r>
    </w:p>
    <w:p>
      <w:pPr>
        <w:ind w:firstLine="480"/>
        <w:rPr>
          <w:rFonts w:ascii="宋体" w:hAnsi="宋体"/>
          <w:szCs w:val="24"/>
        </w:rPr>
      </w:pPr>
      <w:r>
        <w:rPr>
          <w:rFonts w:ascii="宋体" w:hAnsi="宋体"/>
          <w:szCs w:val="24"/>
        </w:rPr>
        <w:t>1.7.2 在合同履行过程中，未经甲方同意，不得修改联合体协议。联合体协议中关于联合体成员间权利义务的划分，并不影响或减损联合体各方应就履行合同向甲方承担的连带责任。</w:t>
      </w:r>
    </w:p>
    <w:p>
      <w:pPr>
        <w:ind w:firstLine="480"/>
        <w:rPr>
          <w:rFonts w:ascii="宋体" w:hAnsi="宋体"/>
          <w:szCs w:val="24"/>
        </w:rPr>
      </w:pPr>
      <w:r>
        <w:rPr>
          <w:rFonts w:ascii="宋体" w:hAnsi="宋体"/>
          <w:szCs w:val="24"/>
        </w:rPr>
        <w:t>1.7.3 联合体牵头人代表联合体与甲方联系，并接受指示，负责组织联合体各成员全面履行</w:t>
      </w:r>
      <w:r>
        <w:rPr>
          <w:rFonts w:ascii="宋体" w:hAnsi="宋体"/>
          <w:spacing w:val="-1"/>
          <w:szCs w:val="24"/>
        </w:rPr>
        <w:t>合同。除非另有约定，牵头人在履行合同中的所有行为均视为已获得联合体各方的授权。甲方可将合同价款全部支付给牵头人并视为其已适当履行了付款义务。如牵头人的行</w:t>
      </w:r>
      <w:r>
        <w:rPr>
          <w:rFonts w:ascii="宋体" w:hAnsi="宋体"/>
          <w:szCs w:val="24"/>
        </w:rPr>
        <w:t>为将构成对合同内容的变更，则牵头人须事先获得联合体各方的特别授权。</w:t>
      </w:r>
    </w:p>
    <w:p>
      <w:pPr>
        <w:spacing w:before="120" w:beforeLines="50" w:line="360" w:lineRule="auto"/>
        <w:ind w:firstLine="480"/>
        <w:outlineLvl w:val="2"/>
        <w:rPr>
          <w:rFonts w:ascii="宋体" w:hAnsi="宋体"/>
          <w:szCs w:val="24"/>
        </w:rPr>
      </w:pPr>
      <w:bookmarkStart w:id="317" w:name="_Toc13384"/>
      <w:bookmarkStart w:id="318" w:name="_Toc23655"/>
      <w:bookmarkStart w:id="319" w:name="_Toc4842"/>
      <w:bookmarkStart w:id="320" w:name="_Toc17029"/>
      <w:bookmarkStart w:id="321" w:name="_Toc15385"/>
      <w:bookmarkStart w:id="322" w:name="_Toc4902"/>
      <w:bookmarkStart w:id="323" w:name="_Toc13185"/>
      <w:bookmarkStart w:id="324" w:name="_Toc11236"/>
      <w:bookmarkStart w:id="325" w:name="_Toc16722"/>
      <w:bookmarkStart w:id="326" w:name="_Toc26286"/>
      <w:bookmarkStart w:id="327" w:name="_Toc9415880"/>
      <w:bookmarkStart w:id="328" w:name="_Toc8649369"/>
      <w:bookmarkStart w:id="329" w:name="_Toc3474903"/>
      <w:bookmarkStart w:id="330" w:name="_Toc15479631"/>
      <w:bookmarkStart w:id="331" w:name="_Toc2440"/>
      <w:r>
        <w:rPr>
          <w:rFonts w:ascii="宋体" w:hAnsi="宋体"/>
          <w:szCs w:val="24"/>
        </w:rPr>
        <w:t>1.8 转让</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ind w:firstLine="480"/>
        <w:rPr>
          <w:rFonts w:ascii="宋体" w:hAnsi="宋体"/>
          <w:szCs w:val="24"/>
        </w:rPr>
      </w:pPr>
      <w:r>
        <w:rPr>
          <w:rFonts w:ascii="宋体" w:hAnsi="宋体"/>
          <w:szCs w:val="24"/>
        </w:rPr>
        <w:t>未经对方当事人书面同意，合同任何一方均不得转让其在合同项下的权利和(或)义务。</w:t>
      </w:r>
    </w:p>
    <w:p>
      <w:pPr>
        <w:spacing w:before="120" w:beforeLines="50" w:line="360" w:lineRule="auto"/>
        <w:ind w:firstLine="480"/>
        <w:outlineLvl w:val="2"/>
        <w:rPr>
          <w:rFonts w:ascii="宋体" w:hAnsi="宋体"/>
          <w:szCs w:val="24"/>
        </w:rPr>
      </w:pPr>
      <w:bookmarkStart w:id="332" w:name="_bookmark114"/>
      <w:bookmarkEnd w:id="332"/>
      <w:bookmarkStart w:id="333" w:name="_Toc21760"/>
      <w:bookmarkStart w:id="334" w:name="_Toc4460"/>
      <w:bookmarkStart w:id="335" w:name="_Toc15045058"/>
      <w:r>
        <w:rPr>
          <w:rFonts w:ascii="宋体" w:hAnsi="宋体"/>
          <w:szCs w:val="24"/>
        </w:rPr>
        <w:t>1.9 保密</w:t>
      </w:r>
      <w:bookmarkEnd w:id="333"/>
      <w:bookmarkEnd w:id="334"/>
      <w:bookmarkEnd w:id="335"/>
    </w:p>
    <w:p>
      <w:pPr>
        <w:ind w:firstLine="480"/>
        <w:rPr>
          <w:rFonts w:ascii="宋体" w:hAnsi="宋体"/>
          <w:szCs w:val="21"/>
        </w:rPr>
      </w:pPr>
      <w:r>
        <w:rPr>
          <w:rFonts w:ascii="宋体" w:hAnsi="宋体"/>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before="120" w:beforeLines="50" w:line="360" w:lineRule="auto"/>
        <w:ind w:firstLine="560"/>
        <w:outlineLvl w:val="1"/>
        <w:rPr>
          <w:rFonts w:ascii="宋体" w:hAnsi="宋体" w:cs="Microsoft JhengHei"/>
          <w:bCs/>
          <w:sz w:val="28"/>
          <w:szCs w:val="28"/>
        </w:rPr>
      </w:pPr>
      <w:bookmarkStart w:id="336" w:name="_Toc13699"/>
      <w:bookmarkStart w:id="337" w:name="_Toc17411"/>
      <w:bookmarkStart w:id="338" w:name="_Toc9415881"/>
      <w:bookmarkStart w:id="339" w:name="_Toc12329"/>
      <w:bookmarkStart w:id="340" w:name="_Toc32011"/>
      <w:bookmarkStart w:id="341" w:name="_Toc16825"/>
      <w:bookmarkStart w:id="342" w:name="_Toc8920"/>
      <w:bookmarkStart w:id="343" w:name="_Toc3474904"/>
      <w:bookmarkStart w:id="344" w:name="_Toc2412"/>
      <w:bookmarkStart w:id="345" w:name="_Toc16098"/>
      <w:bookmarkStart w:id="346" w:name="_Toc26752"/>
      <w:bookmarkStart w:id="347" w:name="_Toc15479632"/>
      <w:bookmarkStart w:id="348" w:name="_Toc8649370"/>
      <w:bookmarkStart w:id="349" w:name="_Toc25042"/>
      <w:bookmarkStart w:id="350" w:name="_Toc18780"/>
      <w:r>
        <w:rPr>
          <w:rFonts w:ascii="宋体" w:hAnsi="宋体" w:cs="Microsoft JhengHei"/>
          <w:bCs/>
          <w:sz w:val="28"/>
          <w:szCs w:val="28"/>
        </w:rPr>
        <w:t>2. 合同范</w:t>
      </w:r>
      <w:r>
        <w:rPr>
          <w:rFonts w:hint="eastAsia" w:ascii="宋体" w:hAnsi="宋体" w:cs="Microsoft JhengHei"/>
          <w:bCs/>
          <w:sz w:val="28"/>
          <w:szCs w:val="28"/>
        </w:rPr>
        <w:t>围</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hint="eastAsia" w:ascii="宋体" w:hAnsi="宋体" w:cs="Microsoft JhengHei"/>
          <w:bCs/>
          <w:sz w:val="28"/>
          <w:szCs w:val="28"/>
        </w:rPr>
        <w:t>和标的</w:t>
      </w:r>
    </w:p>
    <w:p>
      <w:pPr>
        <w:ind w:firstLine="480"/>
        <w:rPr>
          <w:rFonts w:ascii="宋体" w:hAnsi="宋体"/>
          <w:sz w:val="21"/>
          <w:szCs w:val="24"/>
        </w:rPr>
      </w:pPr>
      <w:r>
        <w:rPr>
          <w:rFonts w:ascii="宋体" w:hAnsi="宋体"/>
          <w:szCs w:val="24"/>
        </w:rPr>
        <w:t>乙方应根据</w:t>
      </w:r>
      <w:r>
        <w:rPr>
          <w:rFonts w:hint="eastAsia" w:ascii="宋体" w:hAnsi="宋体"/>
          <w:szCs w:val="24"/>
        </w:rPr>
        <w:t>招标、投标响应文件中标的清单，技术及服务要求</w:t>
      </w:r>
      <w:r>
        <w:rPr>
          <w:rFonts w:ascii="宋体" w:hAnsi="宋体"/>
          <w:szCs w:val="24"/>
        </w:rPr>
        <w:t>等合同文件的约定向甲方提供</w:t>
      </w:r>
      <w:r>
        <w:rPr>
          <w:rFonts w:hint="eastAsia" w:ascii="宋体" w:hAnsi="宋体"/>
          <w:szCs w:val="24"/>
        </w:rPr>
        <w:t>相应标的物</w:t>
      </w:r>
      <w:r>
        <w:rPr>
          <w:rFonts w:ascii="宋体" w:hAnsi="宋体"/>
          <w:szCs w:val="24"/>
        </w:rPr>
        <w:t>。</w:t>
      </w:r>
      <w:r>
        <w:rPr>
          <w:rFonts w:hint="eastAsia" w:ascii="宋体" w:hAnsi="宋体"/>
          <w:szCs w:val="24"/>
        </w:rPr>
        <w:t>(详见招标文件技术规范)</w:t>
      </w:r>
    </w:p>
    <w:tbl>
      <w:tblPr>
        <w:tblStyle w:val="32"/>
        <w:tblW w:w="81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3158"/>
        <w:gridCol w:w="141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29"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15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41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139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29"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158"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417"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392" w:type="dxa"/>
            <w:vAlign w:val="center"/>
          </w:tcPr>
          <w:p>
            <w:pPr>
              <w:snapToGrid/>
              <w:spacing w:before="120" w:beforeLines="50" w:line="360" w:lineRule="auto"/>
              <w:ind w:firstLine="0" w:firstLineChars="0"/>
              <w:outlineLvl w:val="1"/>
              <w:rPr>
                <w:rFonts w:ascii="宋体" w:hAnsi="宋体"/>
                <w:szCs w:val="24"/>
              </w:rPr>
            </w:pPr>
          </w:p>
        </w:tc>
      </w:tr>
    </w:tbl>
    <w:p>
      <w:pPr>
        <w:spacing w:before="120" w:beforeLines="50" w:line="360" w:lineRule="auto"/>
        <w:ind w:firstLine="560"/>
        <w:outlineLvl w:val="1"/>
        <w:rPr>
          <w:rFonts w:ascii="宋体" w:hAnsi="宋体" w:cs="Microsoft JhengHei"/>
          <w:bCs/>
          <w:sz w:val="28"/>
          <w:szCs w:val="28"/>
        </w:rPr>
      </w:pPr>
      <w:r>
        <w:rPr>
          <w:rFonts w:hint="eastAsia" w:ascii="宋体" w:hAnsi="宋体" w:cs="Microsoft JhengHei"/>
          <w:bCs/>
          <w:sz w:val="28"/>
          <w:szCs w:val="28"/>
        </w:rPr>
        <w:t>3.</w:t>
      </w:r>
      <w:r>
        <w:rPr>
          <w:rFonts w:ascii="宋体" w:hAnsi="宋体" w:cs="Microsoft JhengHei"/>
          <w:bCs/>
          <w:sz w:val="28"/>
          <w:szCs w:val="28"/>
        </w:rPr>
        <w:t xml:space="preserve"> </w:t>
      </w:r>
      <w:r>
        <w:rPr>
          <w:rFonts w:hint="eastAsia" w:ascii="宋体" w:hAnsi="宋体" w:cs="Microsoft JhengHei"/>
          <w:bCs/>
          <w:sz w:val="28"/>
          <w:szCs w:val="28"/>
        </w:rPr>
        <w:t>合同期限</w:t>
      </w:r>
    </w:p>
    <w:p>
      <w:pPr>
        <w:ind w:firstLine="480"/>
        <w:rPr>
          <w:rFonts w:ascii="宋体" w:hAnsi="宋体"/>
          <w:szCs w:val="24"/>
        </w:rPr>
      </w:pPr>
      <w:r>
        <w:rPr>
          <w:rFonts w:hint="eastAsia" w:ascii="宋体" w:hAnsi="宋体"/>
          <w:szCs w:val="24"/>
        </w:rPr>
        <w:t>合同标的物应在如下时间内交付并通过验收。</w:t>
      </w:r>
    </w:p>
    <w:p>
      <w:pPr>
        <w:ind w:firstLine="480"/>
        <w:rPr>
          <w:rFonts w:ascii="宋体" w:hAnsi="宋体"/>
          <w:szCs w:val="24"/>
        </w:rPr>
      </w:pPr>
      <w:r>
        <w:rPr>
          <w:rFonts w:hint="eastAsia" w:ascii="宋体" w:hAnsi="宋体"/>
          <w:szCs w:val="24"/>
        </w:rPr>
        <w:t>总 天 数：从合同生效之日起</w:t>
      </w:r>
      <w:r>
        <w:rPr>
          <w:rFonts w:ascii="宋体" w:hAnsi="宋体"/>
          <w:szCs w:val="24"/>
        </w:rPr>
        <w:t>10天。</w:t>
      </w:r>
    </w:p>
    <w:tbl>
      <w:tblPr>
        <w:tblStyle w:val="32"/>
        <w:tblW w:w="83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86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72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86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80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到货天数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726"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862"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802" w:type="dxa"/>
            <w:shd w:val="clear" w:color="000000" w:fill="FFFFFF"/>
            <w:vAlign w:val="center"/>
          </w:tcPr>
          <w:p>
            <w:pPr>
              <w:snapToGrid/>
              <w:spacing w:before="120" w:beforeLines="50" w:line="360" w:lineRule="auto"/>
              <w:ind w:firstLine="0" w:firstLineChars="0"/>
              <w:outlineLvl w:val="1"/>
              <w:rPr>
                <w:rFonts w:ascii="宋体" w:hAnsi="宋体"/>
                <w:szCs w:val="24"/>
              </w:rPr>
            </w:pPr>
          </w:p>
        </w:tc>
      </w:tr>
    </w:tbl>
    <w:p>
      <w:pPr>
        <w:ind w:firstLine="480"/>
        <w:rPr>
          <w:rFonts w:ascii="宋体" w:hAnsi="宋体"/>
          <w:szCs w:val="24"/>
        </w:rPr>
      </w:pPr>
    </w:p>
    <w:p>
      <w:pPr>
        <w:spacing w:before="120" w:beforeLines="50" w:line="360" w:lineRule="auto"/>
        <w:ind w:firstLine="560"/>
        <w:outlineLvl w:val="1"/>
        <w:rPr>
          <w:rFonts w:ascii="宋体" w:hAnsi="宋体" w:cs="Microsoft JhengHei"/>
          <w:bCs/>
          <w:sz w:val="28"/>
          <w:szCs w:val="28"/>
        </w:rPr>
      </w:pPr>
      <w:bookmarkStart w:id="351" w:name="_Toc30626"/>
      <w:bookmarkStart w:id="352" w:name="_Toc8649371"/>
      <w:bookmarkStart w:id="353" w:name="_Toc840"/>
      <w:bookmarkStart w:id="354" w:name="_Toc9415882"/>
      <w:bookmarkStart w:id="355" w:name="_Toc26304"/>
      <w:bookmarkStart w:id="356" w:name="_Toc11841"/>
      <w:bookmarkStart w:id="357" w:name="_Toc15788"/>
      <w:bookmarkStart w:id="358" w:name="_Toc15479633"/>
      <w:bookmarkStart w:id="359" w:name="_Toc11691"/>
      <w:bookmarkStart w:id="360" w:name="_Toc3474905"/>
      <w:bookmarkStart w:id="361" w:name="_Toc10549"/>
      <w:bookmarkStart w:id="362" w:name="_Toc12235"/>
      <w:bookmarkStart w:id="363" w:name="_Toc24196"/>
      <w:bookmarkStart w:id="364" w:name="_Toc165"/>
      <w:bookmarkStart w:id="365" w:name="_Toc12165"/>
      <w:r>
        <w:rPr>
          <w:rFonts w:ascii="宋体" w:hAnsi="宋体" w:cs="Microsoft JhengHei"/>
          <w:bCs/>
          <w:sz w:val="28"/>
          <w:szCs w:val="28"/>
        </w:rPr>
        <w:t>4. 合同价格与支付</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 xml:space="preserve">.1 </w:t>
      </w:r>
      <w:r>
        <w:rPr>
          <w:rFonts w:hint="eastAsia" w:ascii="宋体" w:hAnsi="宋体"/>
          <w:szCs w:val="24"/>
        </w:rPr>
        <w:t>价格类型</w:t>
      </w:r>
    </w:p>
    <w:p>
      <w:pPr>
        <w:spacing w:before="120" w:beforeLines="50" w:line="360" w:lineRule="auto"/>
        <w:ind w:firstLine="480"/>
        <w:outlineLvl w:val="2"/>
        <w:rPr>
          <w:rFonts w:ascii="宋体" w:hAnsi="宋体"/>
          <w:szCs w:val="24"/>
        </w:rPr>
      </w:pPr>
      <w:r>
        <w:rPr>
          <w:rFonts w:hint="eastAsia" w:ascii="宋体" w:hAnsi="宋体"/>
          <w:szCs w:val="24"/>
        </w:rPr>
        <w:t>本合同为</w:t>
      </w:r>
      <w:r>
        <w:rPr>
          <w:rFonts w:ascii="宋体" w:hAnsi="宋体"/>
          <w:szCs w:val="24"/>
        </w:rPr>
        <w:t>固定价格合同。</w:t>
      </w:r>
    </w:p>
    <w:p>
      <w:pPr>
        <w:spacing w:before="120" w:beforeLines="50" w:line="360" w:lineRule="auto"/>
        <w:ind w:firstLine="480"/>
        <w:outlineLvl w:val="2"/>
        <w:rPr>
          <w:rFonts w:ascii="宋体" w:hAnsi="宋体"/>
          <w:szCs w:val="24"/>
        </w:rPr>
      </w:pPr>
      <w:r>
        <w:rPr>
          <w:rFonts w:ascii="宋体" w:hAnsi="宋体"/>
          <w:szCs w:val="24"/>
        </w:rPr>
        <w:t>4.2 合同</w:t>
      </w:r>
      <w:r>
        <w:rPr>
          <w:rFonts w:hint="eastAsia" w:ascii="宋体" w:hAnsi="宋体"/>
          <w:szCs w:val="24"/>
        </w:rPr>
        <w:t>总</w:t>
      </w:r>
      <w:r>
        <w:rPr>
          <w:rFonts w:ascii="宋体" w:hAnsi="宋体"/>
          <w:szCs w:val="24"/>
        </w:rPr>
        <w:t>价</w:t>
      </w:r>
    </w:p>
    <w:p>
      <w:pPr>
        <w:ind w:firstLine="480"/>
        <w:rPr>
          <w:rFonts w:ascii="宋体" w:hAnsi="宋体"/>
          <w:szCs w:val="24"/>
        </w:rPr>
      </w:pPr>
      <w:r>
        <w:rPr>
          <w:rFonts w:ascii="宋体" w:hAnsi="宋体"/>
          <w:szCs w:val="24"/>
        </w:rPr>
        <w:t>合同协议书中载明的签约合同价包括</w:t>
      </w:r>
      <w:r>
        <w:rPr>
          <w:rFonts w:hint="eastAsia" w:ascii="宋体" w:hAnsi="宋体"/>
          <w:szCs w:val="24"/>
        </w:rPr>
        <w:t>乙方</w:t>
      </w:r>
      <w:r>
        <w:rPr>
          <w:rFonts w:ascii="宋体" w:hAnsi="宋体"/>
          <w:szCs w:val="24"/>
        </w:rPr>
        <w:t>为完成合同全部义务应承担的一切成本、费用和支出以及</w:t>
      </w:r>
      <w:r>
        <w:rPr>
          <w:rFonts w:hint="eastAsia" w:ascii="宋体" w:hAnsi="宋体"/>
          <w:szCs w:val="24"/>
        </w:rPr>
        <w:t>乙方</w:t>
      </w:r>
      <w:r>
        <w:rPr>
          <w:rFonts w:ascii="宋体" w:hAnsi="宋体"/>
          <w:szCs w:val="24"/>
        </w:rPr>
        <w:t>的合理利润</w:t>
      </w:r>
      <w:r>
        <w:rPr>
          <w:rFonts w:hint="eastAsia" w:ascii="宋体" w:hAnsi="宋体"/>
          <w:szCs w:val="24"/>
        </w:rPr>
        <w:t>，甲方不再支付任何其他费用</w:t>
      </w:r>
      <w:r>
        <w:rPr>
          <w:rFonts w:ascii="宋体" w:hAnsi="宋体"/>
          <w:szCs w:val="24"/>
        </w:rPr>
        <w:t>。</w:t>
      </w:r>
      <w:r>
        <w:rPr>
          <w:rFonts w:hint="eastAsia" w:ascii="宋体" w:hAnsi="宋体"/>
          <w:szCs w:val="24"/>
        </w:rPr>
        <w:t>所有款项的支付均无逾期利息。</w:t>
      </w:r>
    </w:p>
    <w:tbl>
      <w:tblPr>
        <w:tblStyle w:val="32"/>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97"/>
        <w:gridCol w:w="851"/>
        <w:gridCol w:w="850"/>
        <w:gridCol w:w="1276"/>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209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851"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850"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c>
          <w:tcPr>
            <w:tcW w:w="127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净单价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净总价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559" w:type="dxa"/>
            <w:shd w:val="clear" w:color="000000" w:fill="auto"/>
            <w:vAlign w:val="center"/>
          </w:tcPr>
          <w:p>
            <w:pPr>
              <w:snapToGrid/>
              <w:spacing w:before="120" w:beforeLines="50" w:line="360" w:lineRule="auto"/>
              <w:ind w:firstLine="480"/>
              <w:outlineLvl w:val="1"/>
              <w:rPr>
                <w:rFonts w:ascii="宋体" w:hAnsi="宋体"/>
                <w:szCs w:val="24"/>
              </w:rPr>
            </w:pPr>
            <w:r>
              <w:rPr>
                <w:rFonts w:hint="eastAsia" w:ascii="宋体" w:hAnsi="宋体"/>
                <w:szCs w:val="24"/>
              </w:rPr>
              <w:t>含税总金额</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2097" w:type="dxa"/>
            <w:tcBorders>
              <w:bottom w:val="single" w:color="auto" w:sz="4" w:space="0"/>
            </w:tcBorders>
            <w:shd w:val="clear" w:color="000000" w:fill="FFFFFF"/>
            <w:vAlign w:val="center"/>
          </w:tcPr>
          <w:p>
            <w:pPr>
              <w:snapToGrid/>
              <w:spacing w:before="120" w:beforeLines="50" w:line="360" w:lineRule="auto"/>
              <w:ind w:firstLine="199" w:firstLineChars="83"/>
              <w:outlineLvl w:val="1"/>
              <w:rPr>
                <w:rFonts w:ascii="宋体" w:hAnsi="宋体"/>
                <w:szCs w:val="24"/>
              </w:rPr>
            </w:pPr>
          </w:p>
        </w:tc>
        <w:tc>
          <w:tcPr>
            <w:tcW w:w="851"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850" w:type="dxa"/>
            <w:tcBorders>
              <w:bottom w:val="single" w:color="auto" w:sz="4" w:space="0"/>
            </w:tcBorders>
            <w:vAlign w:val="center"/>
          </w:tcPr>
          <w:p>
            <w:pPr>
              <w:snapToGrid/>
              <w:spacing w:before="120" w:beforeLines="50" w:line="360" w:lineRule="auto"/>
              <w:ind w:firstLine="0" w:firstLineChars="0"/>
              <w:outlineLvl w:val="1"/>
              <w:rPr>
                <w:rFonts w:ascii="宋体" w:hAnsi="宋体"/>
                <w:szCs w:val="24"/>
              </w:rPr>
            </w:pPr>
          </w:p>
        </w:tc>
        <w:tc>
          <w:tcPr>
            <w:tcW w:w="1276"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418"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559"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合计</w:t>
            </w:r>
          </w:p>
        </w:tc>
        <w:tc>
          <w:tcPr>
            <w:tcW w:w="6492" w:type="dxa"/>
            <w:gridSpan w:val="5"/>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大写：</w:t>
            </w:r>
            <w:r>
              <w:rPr>
                <w:rFonts w:ascii="宋体" w:hAnsi="宋体"/>
                <w:szCs w:val="24"/>
              </w:rPr>
              <w:t xml:space="preserve"> </w:t>
            </w:r>
          </w:p>
        </w:tc>
        <w:tc>
          <w:tcPr>
            <w:tcW w:w="1559" w:type="dxa"/>
            <w:shd w:val="clear" w:color="auto" w:fill="auto"/>
            <w:vAlign w:val="center"/>
          </w:tcPr>
          <w:p>
            <w:pPr>
              <w:snapToGrid/>
              <w:spacing w:before="120" w:beforeLines="50" w:line="360" w:lineRule="auto"/>
              <w:ind w:firstLine="480"/>
              <w:outlineLvl w:val="1"/>
              <w:rPr>
                <w:rFonts w:ascii="宋体" w:hAnsi="宋体"/>
                <w:szCs w:val="24"/>
              </w:rPr>
            </w:pPr>
            <w:r>
              <w:rPr>
                <w:rFonts w:ascii="宋体" w:hAnsi="宋体"/>
                <w:szCs w:val="24"/>
              </w:rPr>
              <w:t xml:space="preserve"> </w:t>
            </w:r>
          </w:p>
        </w:tc>
      </w:tr>
    </w:tbl>
    <w:p>
      <w:pPr>
        <w:ind w:firstLine="480"/>
        <w:rPr>
          <w:rFonts w:ascii="宋体" w:hAnsi="宋体"/>
          <w:szCs w:val="24"/>
        </w:rPr>
      </w:pPr>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3</w:t>
      </w:r>
      <w:r>
        <w:rPr>
          <w:rFonts w:ascii="宋体" w:hAnsi="宋体"/>
          <w:szCs w:val="24"/>
        </w:rPr>
        <w:t xml:space="preserve"> </w:t>
      </w:r>
      <w:r>
        <w:rPr>
          <w:rFonts w:hint="eastAsia" w:ascii="宋体" w:hAnsi="宋体"/>
          <w:szCs w:val="24"/>
        </w:rPr>
        <w:t>支付明细</w:t>
      </w:r>
    </w:p>
    <w:p>
      <w:pPr>
        <w:ind w:firstLine="480"/>
        <w:rPr>
          <w:rFonts w:ascii="宋体" w:hAnsi="宋体"/>
        </w:rPr>
      </w:pPr>
      <w:r>
        <w:rPr>
          <w:rFonts w:hint="eastAsia" w:ascii="宋体" w:hAnsi="宋体"/>
        </w:rPr>
        <w:t>甲方支付：甲方在收到乙方提交的单据并经审核无误后</w:t>
      </w:r>
      <w:r>
        <w:rPr>
          <w:rFonts w:ascii="宋体" w:hAnsi="宋体"/>
        </w:rPr>
        <w:t xml:space="preserve"> 30 日内，应向乙方支付</w:t>
      </w:r>
      <w:r>
        <w:rPr>
          <w:rFonts w:hint="eastAsia" w:ascii="宋体" w:hAnsi="宋体"/>
        </w:rPr>
        <w:t>下列款项。</w:t>
      </w:r>
      <w:r>
        <w:rPr>
          <w:rFonts w:hint="eastAsia" w:ascii="宋体" w:hAnsi="宋体"/>
          <w:szCs w:val="24"/>
        </w:rPr>
        <w:t>国家税率调整时按照国家政策执行，合同净价（不含税价）保持不变：</w:t>
      </w:r>
    </w:p>
    <w:tbl>
      <w:tblPr>
        <w:tblStyle w:val="33"/>
        <w:tblW w:w="90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86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ind w:firstLine="0" w:firstLineChars="0"/>
              <w:jc w:val="center"/>
              <w:rPr>
                <w:rFonts w:ascii="宋体" w:hAnsi="宋体"/>
                <w:szCs w:val="24"/>
              </w:rPr>
            </w:pPr>
            <w:r>
              <w:rPr>
                <w:rFonts w:hint="eastAsia" w:ascii="宋体" w:hAnsi="宋体"/>
                <w:szCs w:val="24"/>
              </w:rPr>
              <w:t>序号</w:t>
            </w:r>
          </w:p>
        </w:tc>
        <w:tc>
          <w:tcPr>
            <w:tcW w:w="1536" w:type="dxa"/>
            <w:vAlign w:val="center"/>
          </w:tcPr>
          <w:p>
            <w:pPr>
              <w:ind w:firstLine="0" w:firstLineChars="0"/>
              <w:jc w:val="center"/>
              <w:rPr>
                <w:rFonts w:ascii="宋体" w:hAnsi="宋体"/>
                <w:szCs w:val="24"/>
              </w:rPr>
            </w:pPr>
            <w:r>
              <w:rPr>
                <w:rFonts w:hint="eastAsia" w:ascii="宋体" w:hAnsi="宋体"/>
                <w:szCs w:val="24"/>
              </w:rPr>
              <w:t>支付类型</w:t>
            </w:r>
          </w:p>
        </w:tc>
        <w:tc>
          <w:tcPr>
            <w:tcW w:w="1868" w:type="dxa"/>
            <w:vAlign w:val="center"/>
          </w:tcPr>
          <w:p>
            <w:pPr>
              <w:ind w:firstLine="0" w:firstLineChars="0"/>
              <w:jc w:val="center"/>
              <w:rPr>
                <w:rFonts w:ascii="宋体" w:hAnsi="宋体"/>
                <w:szCs w:val="24"/>
              </w:rPr>
            </w:pPr>
            <w:r>
              <w:rPr>
                <w:rFonts w:hint="eastAsia" w:ascii="宋体" w:hAnsi="宋体"/>
                <w:szCs w:val="24"/>
              </w:rPr>
              <w:t>支付金额</w:t>
            </w:r>
          </w:p>
        </w:tc>
        <w:tc>
          <w:tcPr>
            <w:tcW w:w="4077" w:type="dxa"/>
            <w:vAlign w:val="center"/>
          </w:tcPr>
          <w:p>
            <w:pPr>
              <w:ind w:firstLine="0" w:firstLineChars="0"/>
              <w:jc w:val="center"/>
              <w:rPr>
                <w:rFonts w:ascii="宋体" w:hAnsi="宋体"/>
                <w:szCs w:val="24"/>
              </w:rPr>
            </w:pPr>
            <w:r>
              <w:rPr>
                <w:rFonts w:hint="eastAsia" w:ascii="宋体" w:hAnsi="宋体"/>
                <w:szCs w:val="24"/>
              </w:rPr>
              <w:t>提交单据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center"/>
          </w:tcPr>
          <w:p>
            <w:pPr>
              <w:ind w:firstLine="0" w:firstLineChars="0"/>
              <w:jc w:val="left"/>
              <w:rPr>
                <w:rFonts w:ascii="宋体" w:hAnsi="宋体"/>
                <w:szCs w:val="24"/>
              </w:rPr>
            </w:pPr>
            <w:r>
              <w:rPr>
                <w:rFonts w:ascii="宋体" w:hAnsi="宋体"/>
                <w:szCs w:val="24"/>
              </w:rPr>
              <w:t>1</w:t>
            </w:r>
          </w:p>
        </w:tc>
        <w:tc>
          <w:tcPr>
            <w:tcW w:w="1536" w:type="dxa"/>
            <w:vAlign w:val="center"/>
          </w:tcPr>
          <w:p>
            <w:pPr>
              <w:ind w:firstLine="0" w:firstLineChars="0"/>
              <w:jc w:val="left"/>
              <w:rPr>
                <w:rFonts w:ascii="宋体" w:hAnsi="宋体"/>
                <w:szCs w:val="24"/>
              </w:rPr>
            </w:pPr>
            <w:r>
              <w:rPr>
                <w:rFonts w:ascii="宋体" w:hAnsi="宋体"/>
                <w:szCs w:val="24"/>
              </w:rPr>
              <w:t>到货款</w:t>
            </w:r>
          </w:p>
        </w:tc>
        <w:tc>
          <w:tcPr>
            <w:tcW w:w="1868" w:type="dxa"/>
            <w:vAlign w:val="center"/>
          </w:tcPr>
          <w:p>
            <w:pPr>
              <w:ind w:firstLine="0" w:firstLineChars="0"/>
              <w:jc w:val="left"/>
              <w:rPr>
                <w:rFonts w:ascii="宋体" w:hAnsi="宋体"/>
                <w:szCs w:val="24"/>
              </w:rPr>
            </w:pPr>
            <w:r>
              <w:rPr>
                <w:rFonts w:ascii="宋体" w:hAnsi="宋体"/>
                <w:szCs w:val="24"/>
              </w:rPr>
              <w:t>(1)支付比例：100%</w:t>
            </w:r>
            <w:r>
              <w:rPr>
                <w:rFonts w:ascii="宋体" w:hAnsi="宋体"/>
                <w:szCs w:val="24"/>
              </w:rPr>
              <w:br w:type="textWrapping"/>
            </w:r>
            <w:r>
              <w:rPr>
                <w:rFonts w:ascii="宋体" w:hAnsi="宋体"/>
                <w:szCs w:val="24"/>
              </w:rPr>
              <w:t>(2)支付金额： 元人民币（大写： )</w:t>
            </w:r>
            <w:r>
              <w:rPr>
                <w:rFonts w:ascii="宋体" w:hAnsi="宋体"/>
                <w:szCs w:val="24"/>
              </w:rPr>
              <w:br w:type="textWrapping"/>
            </w:r>
            <w:r>
              <w:rPr>
                <w:rFonts w:ascii="宋体" w:hAnsi="宋体"/>
                <w:szCs w:val="24"/>
              </w:rPr>
              <w:t>(3)税率：</w:t>
            </w:r>
          </w:p>
        </w:tc>
        <w:tc>
          <w:tcPr>
            <w:tcW w:w="4077" w:type="dxa"/>
            <w:vAlign w:val="center"/>
          </w:tcPr>
          <w:p>
            <w:pPr>
              <w:ind w:firstLine="0" w:firstLineChars="0"/>
              <w:jc w:val="left"/>
              <w:rPr>
                <w:rFonts w:ascii="宋体" w:hAnsi="宋体"/>
                <w:szCs w:val="24"/>
              </w:rPr>
            </w:pPr>
            <w:r>
              <w:rPr>
                <w:rFonts w:ascii="宋体" w:hAnsi="宋体"/>
                <w:szCs w:val="24"/>
              </w:rPr>
              <w:t>(1)金额为合同总价的增值税专用发票正本一份。</w:t>
            </w:r>
            <w:r>
              <w:rPr>
                <w:rFonts w:ascii="宋体" w:hAnsi="宋体"/>
                <w:szCs w:val="24"/>
              </w:rPr>
              <w:br w:type="textWrapping"/>
            </w:r>
            <w:r>
              <w:rPr>
                <w:rFonts w:ascii="宋体" w:hAnsi="宋体"/>
                <w:szCs w:val="24"/>
              </w:rPr>
              <w:t>(2)物资验收单一份。</w:t>
            </w:r>
            <w:r>
              <w:rPr>
                <w:rFonts w:ascii="宋体" w:hAnsi="宋体"/>
                <w:szCs w:val="24"/>
              </w:rPr>
              <w:br w:type="textWrapping"/>
            </w:r>
            <w:r>
              <w:rPr>
                <w:rFonts w:ascii="宋体" w:hAnsi="宋体"/>
                <w:szCs w:val="24"/>
              </w:rPr>
              <w:t>(3)由甲方办理的付款单一份。</w:t>
            </w:r>
          </w:p>
        </w:tc>
      </w:tr>
    </w:tbl>
    <w:p>
      <w:pPr>
        <w:ind w:firstLine="0" w:firstLineChars="0"/>
        <w:rPr>
          <w:rFonts w:ascii="宋体" w:hAnsi="宋体"/>
          <w:szCs w:val="24"/>
        </w:rPr>
      </w:pPr>
    </w:p>
    <w:p>
      <w:pPr>
        <w:spacing w:before="120" w:beforeLines="50" w:line="360" w:lineRule="auto"/>
        <w:ind w:firstLine="480"/>
        <w:outlineLvl w:val="2"/>
        <w:rPr>
          <w:rFonts w:ascii="宋体" w:hAnsi="宋体"/>
          <w:szCs w:val="24"/>
        </w:rPr>
      </w:pPr>
      <w:bookmarkStart w:id="366" w:name="_Toc9248"/>
      <w:bookmarkStart w:id="367" w:name="_Toc15045063"/>
      <w:bookmarkStart w:id="368" w:name="_Toc24083"/>
      <w:r>
        <w:rPr>
          <w:rFonts w:ascii="宋体" w:hAnsi="宋体"/>
          <w:szCs w:val="24"/>
        </w:rPr>
        <w:t>4.</w:t>
      </w:r>
      <w:r>
        <w:rPr>
          <w:rFonts w:hint="eastAsia" w:ascii="宋体" w:hAnsi="宋体"/>
          <w:szCs w:val="24"/>
        </w:rPr>
        <w:t>4</w:t>
      </w:r>
      <w:r>
        <w:rPr>
          <w:rFonts w:ascii="宋体" w:hAnsi="宋体"/>
          <w:szCs w:val="24"/>
        </w:rPr>
        <w:t>甲方扣款的权利</w:t>
      </w:r>
      <w:bookmarkEnd w:id="366"/>
      <w:bookmarkEnd w:id="367"/>
      <w:bookmarkEnd w:id="368"/>
    </w:p>
    <w:p>
      <w:pPr>
        <w:ind w:firstLine="480"/>
        <w:rPr>
          <w:rFonts w:ascii="宋体" w:hAnsi="宋体"/>
          <w:szCs w:val="24"/>
        </w:rPr>
      </w:pPr>
      <w:r>
        <w:rPr>
          <w:rFonts w:ascii="宋体" w:hAnsi="宋体"/>
          <w:szCs w:val="24"/>
        </w:rPr>
        <w:t>当乙方应向甲方支付合同项下的违约金或赔偿金时，甲方有权从上述任何一笔应付款中予以直接扣除和（或）兑付履约保证金。</w:t>
      </w:r>
    </w:p>
    <w:p>
      <w:pPr>
        <w:spacing w:before="120" w:beforeLines="50" w:line="360" w:lineRule="auto"/>
        <w:ind w:firstLine="480"/>
        <w:outlineLvl w:val="2"/>
        <w:rPr>
          <w:rFonts w:ascii="宋体" w:hAnsi="宋体"/>
          <w:sz w:val="21"/>
          <w:szCs w:val="24"/>
        </w:rPr>
      </w:pPr>
      <w:r>
        <w:rPr>
          <w:rFonts w:hint="eastAsia" w:ascii="宋体" w:hAnsi="宋体"/>
          <w:szCs w:val="24"/>
        </w:rPr>
        <w:t>4.5 质量保证金和履约保证金的支付</w:t>
      </w:r>
    </w:p>
    <w:p>
      <w:pPr>
        <w:ind w:firstLine="480"/>
        <w:rPr>
          <w:rFonts w:ascii="宋体" w:hAnsi="宋体"/>
          <w:szCs w:val="21"/>
        </w:rPr>
      </w:pPr>
      <w:r>
        <w:rPr>
          <w:rFonts w:hint="eastAsia" w:ascii="宋体" w:hAnsi="宋体"/>
          <w:kern w:val="0"/>
          <w:szCs w:val="24"/>
        </w:rPr>
        <w:t>甲方在退还质量保证金或履约保证金时不支付利息。</w:t>
      </w:r>
    </w:p>
    <w:p>
      <w:pPr>
        <w:pStyle w:val="3"/>
        <w:spacing w:before="120"/>
        <w:rPr>
          <w:rFonts w:ascii="宋体" w:hAnsi="宋体" w:eastAsia="宋体"/>
          <w:b/>
        </w:rPr>
      </w:pPr>
      <w:bookmarkStart w:id="369" w:name="_Toc7545"/>
      <w:bookmarkStart w:id="370" w:name="_Toc15045069"/>
      <w:bookmarkStart w:id="371" w:name="_Toc12288"/>
      <w:r>
        <w:rPr>
          <w:rFonts w:ascii="宋体" w:hAnsi="宋体" w:eastAsia="宋体"/>
        </w:rPr>
        <w:t>5. 交付</w:t>
      </w:r>
      <w:r>
        <w:rPr>
          <w:rFonts w:hint="eastAsia" w:ascii="宋体" w:hAnsi="宋体" w:eastAsia="宋体"/>
        </w:rPr>
        <w:t>和验收</w:t>
      </w:r>
      <w:bookmarkEnd w:id="369"/>
      <w:bookmarkEnd w:id="370"/>
      <w:bookmarkEnd w:id="371"/>
    </w:p>
    <w:p>
      <w:pPr>
        <w:ind w:firstLine="480"/>
        <w:rPr>
          <w:rFonts w:ascii="宋体" w:hAnsi="宋体"/>
          <w:szCs w:val="24"/>
        </w:rPr>
      </w:pPr>
      <w:r>
        <w:rPr>
          <w:rFonts w:hint="eastAsia" w:ascii="宋体" w:hAnsi="宋体"/>
        </w:rPr>
        <w:t>5</w:t>
      </w:r>
      <w:r>
        <w:rPr>
          <w:rFonts w:ascii="宋体" w:hAnsi="宋体"/>
        </w:rPr>
        <w:t xml:space="preserve">.1 </w:t>
      </w:r>
      <w:r>
        <w:rPr>
          <w:rFonts w:hint="eastAsia" w:ascii="宋体" w:hAnsi="宋体"/>
        </w:rPr>
        <w:t>除另有约定外，乙方应根据合同约定的交付时间、批次、地点，将标的物交付甲方。标的物</w:t>
      </w:r>
      <w:r>
        <w:rPr>
          <w:rFonts w:ascii="宋体" w:hAnsi="宋体"/>
          <w:szCs w:val="24"/>
        </w:rPr>
        <w:t>所有权和风险自交付时起由乙方转移至甲方</w:t>
      </w:r>
      <w:r>
        <w:rPr>
          <w:rFonts w:hint="eastAsia" w:ascii="宋体" w:hAnsi="宋体"/>
          <w:szCs w:val="24"/>
        </w:rPr>
        <w:t>。</w:t>
      </w:r>
    </w:p>
    <w:p>
      <w:pPr>
        <w:ind w:firstLine="480"/>
        <w:rPr>
          <w:rFonts w:ascii="宋体" w:hAnsi="宋体"/>
          <w:szCs w:val="24"/>
        </w:rPr>
      </w:pPr>
      <w:r>
        <w:rPr>
          <w:rFonts w:ascii="宋体" w:hAnsi="宋体"/>
          <w:szCs w:val="24"/>
        </w:rPr>
        <w:t>5.2 乙方</w:t>
      </w:r>
      <w:r>
        <w:rPr>
          <w:rFonts w:hint="eastAsia" w:ascii="宋体" w:hAnsi="宋体"/>
          <w:szCs w:val="24"/>
        </w:rPr>
        <w:t>交付标的的</w:t>
      </w:r>
      <w:r>
        <w:rPr>
          <w:rFonts w:ascii="宋体" w:hAnsi="宋体"/>
          <w:szCs w:val="24"/>
        </w:rPr>
        <w:t>人员应遵守甲方的各项规章制度和安全操作规程，并服从甲方的管理。</w:t>
      </w:r>
    </w:p>
    <w:p>
      <w:pPr>
        <w:ind w:firstLine="480"/>
        <w:rPr>
          <w:rFonts w:ascii="宋体" w:hAnsi="宋体"/>
        </w:rPr>
      </w:pPr>
      <w:r>
        <w:rPr>
          <w:rFonts w:ascii="宋体" w:hAnsi="宋体"/>
        </w:rPr>
        <w:t xml:space="preserve">5.3 </w:t>
      </w:r>
      <w:r>
        <w:rPr>
          <w:rFonts w:hint="eastAsia" w:ascii="宋体" w:hAnsi="宋体"/>
        </w:rPr>
        <w:t>检验方式</w:t>
      </w:r>
    </w:p>
    <w:p>
      <w:pPr>
        <w:ind w:firstLine="480"/>
        <w:rPr>
          <w:rFonts w:ascii="宋体" w:hAnsi="宋体"/>
        </w:rPr>
      </w:pPr>
      <w:r>
        <w:rPr>
          <w:rFonts w:hint="eastAsia" w:ascii="宋体" w:hAnsi="宋体"/>
        </w:rPr>
        <w:t>除另行约定外，检验按照5</w:t>
      </w:r>
      <w:r>
        <w:rPr>
          <w:rFonts w:ascii="宋体" w:hAnsi="宋体"/>
        </w:rPr>
        <w:t>.3.1</w:t>
      </w:r>
      <w:r>
        <w:rPr>
          <w:rFonts w:hint="eastAsia" w:ascii="宋体" w:hAnsi="宋体"/>
        </w:rPr>
        <w:t>方式进行：</w:t>
      </w:r>
    </w:p>
    <w:p>
      <w:pPr>
        <w:ind w:firstLine="480"/>
        <w:rPr>
          <w:rFonts w:ascii="宋体" w:hAnsi="宋体"/>
          <w:szCs w:val="24"/>
        </w:rPr>
      </w:pPr>
      <w:r>
        <w:rPr>
          <w:rFonts w:ascii="宋体" w:hAnsi="宋体"/>
          <w:szCs w:val="24"/>
        </w:rPr>
        <w:t>5.3.1 由甲方对合同标的进行检验；</w:t>
      </w:r>
      <w:r>
        <w:rPr>
          <w:rFonts w:hint="eastAsia" w:ascii="宋体" w:hAnsi="宋体"/>
          <w:szCs w:val="24"/>
        </w:rPr>
        <w:t>如乙方有意参加检验，需联系甲方并按时到场，否则</w:t>
      </w:r>
      <w:r>
        <w:rPr>
          <w:rFonts w:ascii="宋体" w:hAnsi="宋体"/>
          <w:szCs w:val="24"/>
        </w:rPr>
        <w:t>乙方应接受</w:t>
      </w:r>
      <w:r>
        <w:rPr>
          <w:rFonts w:hint="eastAsia" w:ascii="宋体" w:hAnsi="宋体"/>
          <w:szCs w:val="24"/>
        </w:rPr>
        <w:t>甲方</w:t>
      </w:r>
      <w:r>
        <w:rPr>
          <w:rFonts w:ascii="宋体" w:hAnsi="宋体"/>
          <w:szCs w:val="24"/>
        </w:rPr>
        <w:t>对合同标的的检验结果。</w:t>
      </w:r>
    </w:p>
    <w:p>
      <w:pPr>
        <w:ind w:firstLine="439" w:firstLineChars="183"/>
        <w:rPr>
          <w:rFonts w:ascii="宋体" w:hAnsi="宋体"/>
        </w:rPr>
      </w:pPr>
      <w:r>
        <w:rPr>
          <w:rFonts w:ascii="宋体" w:hAnsi="宋体"/>
        </w:rPr>
        <w:t>5.3.2 由约定的拥有资质的第三方检验机构对合同标的进行检验；</w:t>
      </w:r>
    </w:p>
    <w:p>
      <w:pPr>
        <w:ind w:firstLine="439" w:firstLineChars="183"/>
        <w:rPr>
          <w:rFonts w:ascii="宋体" w:hAnsi="宋体"/>
        </w:rPr>
      </w:pPr>
      <w:r>
        <w:rPr>
          <w:rFonts w:ascii="宋体" w:hAnsi="宋体"/>
        </w:rPr>
        <w:t>5.3.3 约定的其他方式。</w:t>
      </w:r>
    </w:p>
    <w:p>
      <w:pPr>
        <w:ind w:firstLine="480"/>
        <w:rPr>
          <w:rFonts w:ascii="宋体" w:hAnsi="宋体"/>
          <w:szCs w:val="24"/>
        </w:rPr>
      </w:pPr>
      <w:r>
        <w:rPr>
          <w:rFonts w:ascii="宋体" w:hAnsi="宋体"/>
          <w:szCs w:val="24"/>
        </w:rPr>
        <w:t>5.4 合同标的由第三方检验机构进行检验的，第三方检验机构的检验结果对双方均具有约束力。</w:t>
      </w:r>
    </w:p>
    <w:p>
      <w:pPr>
        <w:ind w:firstLine="480"/>
        <w:rPr>
          <w:rFonts w:ascii="宋体" w:hAnsi="宋体"/>
          <w:szCs w:val="24"/>
        </w:rPr>
      </w:pPr>
      <w:r>
        <w:rPr>
          <w:rFonts w:ascii="宋体" w:hAnsi="宋体"/>
          <w:szCs w:val="24"/>
        </w:rPr>
        <w:t>5.5 除另有约定外，甲方在全部合同标的交付后 3 个月内未安排检验和验收的，乙方可签署进度款支付函提交甲方，如甲方在收到后 7 日内未提出书面异议，则进度款支付函自签署之日起生效。进度款支付函的生效不免除乙方继续配合甲方进行检验和验收的义务，合同标的验收后双方应签署合同标的验收证书。</w:t>
      </w:r>
    </w:p>
    <w:p>
      <w:pPr>
        <w:ind w:firstLine="480"/>
        <w:rPr>
          <w:rFonts w:ascii="宋体" w:hAnsi="宋体"/>
          <w:szCs w:val="21"/>
        </w:rPr>
      </w:pPr>
      <w:r>
        <w:rPr>
          <w:rFonts w:ascii="宋体" w:hAnsi="宋体"/>
          <w:szCs w:val="24"/>
        </w:rPr>
        <w:t>5.6 合同标的验收证书的签署不能免除乙方在质量保证期内对合同标的应承担的保证责任。</w:t>
      </w:r>
    </w:p>
    <w:p>
      <w:pPr>
        <w:pStyle w:val="3"/>
        <w:spacing w:before="120"/>
        <w:rPr>
          <w:rFonts w:ascii="宋体" w:hAnsi="宋体" w:eastAsia="宋体"/>
          <w:b/>
        </w:rPr>
      </w:pPr>
      <w:bookmarkStart w:id="372" w:name="_Toc15045071"/>
      <w:bookmarkStart w:id="373" w:name="_Toc15136"/>
      <w:bookmarkStart w:id="374" w:name="_Toc4858"/>
      <w:r>
        <w:rPr>
          <w:rFonts w:ascii="宋体" w:hAnsi="宋体" w:eastAsia="宋体"/>
        </w:rPr>
        <w:t xml:space="preserve">6. </w:t>
      </w:r>
      <w:r>
        <w:rPr>
          <w:rFonts w:hint="eastAsia" w:ascii="宋体" w:hAnsi="宋体" w:eastAsia="宋体"/>
        </w:rPr>
        <w:t>质量保证</w:t>
      </w:r>
      <w:bookmarkEnd w:id="372"/>
      <w:bookmarkEnd w:id="373"/>
      <w:bookmarkEnd w:id="374"/>
      <w:r>
        <w:rPr>
          <w:rFonts w:hint="eastAsia" w:ascii="宋体" w:hAnsi="宋体" w:eastAsia="宋体"/>
        </w:rPr>
        <w:t>期</w:t>
      </w:r>
    </w:p>
    <w:p>
      <w:pPr>
        <w:ind w:firstLine="480"/>
        <w:rPr>
          <w:rFonts w:ascii="宋体" w:hAnsi="宋体"/>
          <w:szCs w:val="24"/>
        </w:rPr>
      </w:pPr>
      <w:r>
        <w:rPr>
          <w:rFonts w:ascii="宋体" w:hAnsi="宋体"/>
          <w:szCs w:val="24"/>
        </w:rPr>
        <w:t>6.1 除另有约定外，</w:t>
      </w:r>
      <w:r>
        <w:rPr>
          <w:rFonts w:hint="eastAsia" w:ascii="宋体" w:hAnsi="宋体"/>
          <w:szCs w:val="24"/>
        </w:rPr>
        <w:t>标的物</w:t>
      </w:r>
      <w:r>
        <w:rPr>
          <w:rFonts w:ascii="宋体" w:hAnsi="宋体"/>
          <w:szCs w:val="24"/>
        </w:rPr>
        <w:t>的质量保证期</w:t>
      </w:r>
      <w:r>
        <w:rPr>
          <w:rFonts w:hint="eastAsia" w:ascii="宋体" w:hAnsi="宋体"/>
          <w:szCs w:val="24"/>
        </w:rPr>
        <w:t>为</w:t>
      </w:r>
      <w:r>
        <w:rPr>
          <w:rFonts w:ascii="宋体" w:hAnsi="宋体"/>
          <w:szCs w:val="24"/>
        </w:rPr>
        <w:t>自合同验收之日起十二个月</w:t>
      </w:r>
      <w:r>
        <w:rPr>
          <w:rFonts w:hint="eastAsia" w:ascii="宋体" w:hAnsi="宋体"/>
          <w:szCs w:val="24"/>
        </w:rPr>
        <w:t>。</w:t>
      </w:r>
    </w:p>
    <w:p>
      <w:pPr>
        <w:ind w:firstLine="480"/>
        <w:rPr>
          <w:rFonts w:ascii="宋体" w:hAnsi="宋体"/>
          <w:szCs w:val="24"/>
        </w:rPr>
      </w:pPr>
      <w:r>
        <w:rPr>
          <w:rFonts w:ascii="宋体" w:hAnsi="宋体"/>
          <w:szCs w:val="24"/>
        </w:rPr>
        <w:t>6.2 除非因甲方使用不当，合同</w:t>
      </w:r>
      <w:r>
        <w:rPr>
          <w:rFonts w:hint="eastAsia" w:ascii="宋体" w:hAnsi="宋体"/>
          <w:szCs w:val="24"/>
        </w:rPr>
        <w:t>标的物</w:t>
      </w:r>
      <w:r>
        <w:rPr>
          <w:rFonts w:ascii="宋体" w:hAnsi="宋体"/>
          <w:szCs w:val="24"/>
        </w:rPr>
        <w:t>在质量保证期内如破损、变质或被发现存在任何质量问题，乙方应负责对合同</w:t>
      </w:r>
      <w:r>
        <w:rPr>
          <w:rFonts w:hint="eastAsia" w:ascii="宋体" w:hAnsi="宋体"/>
          <w:szCs w:val="24"/>
        </w:rPr>
        <w:t>标的物</w:t>
      </w:r>
      <w:r>
        <w:rPr>
          <w:rFonts w:ascii="宋体" w:hAnsi="宋体"/>
          <w:szCs w:val="24"/>
        </w:rPr>
        <w:t>进行修补和退换。更换的合同标的的质量保证期应重新计算。</w:t>
      </w:r>
    </w:p>
    <w:p>
      <w:pPr>
        <w:ind w:firstLine="480"/>
        <w:rPr>
          <w:rFonts w:ascii="宋体" w:hAnsi="宋体"/>
          <w:szCs w:val="24"/>
        </w:rPr>
      </w:pPr>
      <w:r>
        <w:rPr>
          <w:rFonts w:ascii="宋体" w:hAnsi="宋体"/>
          <w:szCs w:val="24"/>
        </w:rPr>
        <w:t>6.3 质量保证期届满且乙方按照合同约定履行完毕质量保证期内义务后，甲方应在 7 日内向乙方出具合同标的的质量保证期届满证书。</w:t>
      </w:r>
    </w:p>
    <w:p>
      <w:pPr>
        <w:pStyle w:val="3"/>
        <w:spacing w:before="120"/>
        <w:rPr>
          <w:rFonts w:ascii="宋体" w:hAnsi="宋体" w:eastAsia="宋体"/>
          <w:b/>
        </w:rPr>
      </w:pPr>
      <w:bookmarkStart w:id="375" w:name="_Toc15045073"/>
      <w:bookmarkStart w:id="376" w:name="_Toc24473"/>
      <w:bookmarkStart w:id="377" w:name="_Toc6802"/>
      <w:r>
        <w:rPr>
          <w:rFonts w:ascii="宋体" w:hAnsi="宋体" w:eastAsia="宋体"/>
        </w:rPr>
        <w:t>7. 保</w:t>
      </w:r>
      <w:r>
        <w:rPr>
          <w:rFonts w:hint="eastAsia" w:ascii="宋体" w:hAnsi="宋体" w:eastAsia="宋体"/>
        </w:rPr>
        <w:t>证</w:t>
      </w:r>
      <w:bookmarkEnd w:id="375"/>
      <w:bookmarkEnd w:id="376"/>
      <w:bookmarkEnd w:id="377"/>
    </w:p>
    <w:p>
      <w:pPr>
        <w:ind w:firstLine="480"/>
        <w:rPr>
          <w:rFonts w:ascii="宋体" w:hAnsi="宋体"/>
          <w:szCs w:val="24"/>
        </w:rPr>
      </w:pPr>
      <w:r>
        <w:rPr>
          <w:rFonts w:ascii="宋体" w:hAnsi="宋体"/>
          <w:szCs w:val="24"/>
        </w:rPr>
        <w:t>7.1 乙方保证其具有完全的能力履行本合同项下的全部义务。</w:t>
      </w:r>
    </w:p>
    <w:p>
      <w:pPr>
        <w:ind w:firstLine="480"/>
        <w:rPr>
          <w:rFonts w:ascii="宋体" w:hAnsi="宋体"/>
          <w:szCs w:val="24"/>
        </w:rPr>
      </w:pPr>
      <w:r>
        <w:rPr>
          <w:rFonts w:ascii="宋体" w:hAnsi="宋体"/>
          <w:szCs w:val="24"/>
        </w:rPr>
        <w:t>7.2 乙方保证其所提供的合同</w:t>
      </w:r>
      <w:r>
        <w:rPr>
          <w:rFonts w:hint="eastAsia" w:ascii="宋体" w:hAnsi="宋体"/>
          <w:szCs w:val="24"/>
        </w:rPr>
        <w:t>标的</w:t>
      </w:r>
      <w:r>
        <w:rPr>
          <w:rFonts w:ascii="宋体" w:hAnsi="宋体"/>
          <w:szCs w:val="24"/>
        </w:rPr>
        <w:t>及对合同的履行符合所有应适用的法律、行政法规、地方性法规、自治条例和单行条例、规章及其他规范性文件的强制性规定。</w:t>
      </w:r>
    </w:p>
    <w:p>
      <w:pPr>
        <w:ind w:firstLine="480"/>
        <w:rPr>
          <w:rFonts w:ascii="宋体" w:hAnsi="宋体"/>
          <w:szCs w:val="24"/>
        </w:rPr>
      </w:pPr>
      <w:r>
        <w:rPr>
          <w:rFonts w:ascii="宋体" w:hAnsi="宋体"/>
          <w:szCs w:val="24"/>
        </w:rPr>
        <w:t>77.3 乙方保证其对合同</w:t>
      </w:r>
      <w:r>
        <w:rPr>
          <w:rFonts w:hint="eastAsia" w:ascii="宋体" w:hAnsi="宋体"/>
          <w:szCs w:val="24"/>
        </w:rPr>
        <w:t>标的</w:t>
      </w:r>
      <w:r>
        <w:rPr>
          <w:rFonts w:ascii="宋体" w:hAnsi="宋体"/>
          <w:szCs w:val="24"/>
        </w:rPr>
        <w:t>的销售不损害任何第三方的合法权益和社会公众利益。任何第三方不会因乙方原因而基于所有权、抵押权、留置权</w:t>
      </w:r>
      <w:r>
        <w:rPr>
          <w:rFonts w:hint="eastAsia" w:ascii="宋体" w:hAnsi="宋体"/>
          <w:szCs w:val="24"/>
        </w:rPr>
        <w:t>、知识产权</w:t>
      </w:r>
      <w:r>
        <w:rPr>
          <w:rFonts w:ascii="宋体" w:hAnsi="宋体"/>
          <w:szCs w:val="24"/>
        </w:rPr>
        <w:t>或其他任何权利或事由对合同标的主张权利。</w:t>
      </w:r>
      <w:r>
        <w:rPr>
          <w:rFonts w:hint="eastAsia" w:ascii="宋体" w:hAnsi="宋体"/>
          <w:szCs w:val="24"/>
        </w:rPr>
        <w:t>除另有约定外，交付后除署名权以外的著作权和其他知识产权均归甲方享有。</w:t>
      </w:r>
    </w:p>
    <w:p>
      <w:pPr>
        <w:ind w:firstLine="480"/>
        <w:rPr>
          <w:rFonts w:ascii="宋体" w:hAnsi="宋体"/>
          <w:szCs w:val="24"/>
        </w:rPr>
      </w:pPr>
      <w:r>
        <w:rPr>
          <w:rFonts w:ascii="宋体" w:hAnsi="宋体"/>
          <w:szCs w:val="24"/>
        </w:rPr>
        <w:t>7.4 乙方保证合同标的符合合同约定的规格、质量标准，并且全新、完整，能够安全使用，除非供货要求等合同文件另有约定。</w:t>
      </w:r>
    </w:p>
    <w:p>
      <w:pPr>
        <w:ind w:firstLine="480"/>
        <w:rPr>
          <w:rFonts w:ascii="宋体" w:hAnsi="宋体"/>
          <w:szCs w:val="24"/>
        </w:rPr>
      </w:pPr>
      <w:r>
        <w:rPr>
          <w:rFonts w:ascii="宋体" w:hAnsi="宋体"/>
          <w:szCs w:val="24"/>
        </w:rPr>
        <w:t>7.5 乙方保证，乙方所提供的技术资料完整、清晰、准确，符合合同约定并且能够满足甲方使用合同标的的需要。</w:t>
      </w:r>
    </w:p>
    <w:p>
      <w:pPr>
        <w:ind w:firstLine="480"/>
        <w:rPr>
          <w:rFonts w:ascii="宋体" w:hAnsi="宋体"/>
          <w:szCs w:val="24"/>
        </w:rPr>
      </w:pPr>
      <w:r>
        <w:rPr>
          <w:rFonts w:ascii="宋体" w:hAnsi="宋体"/>
          <w:szCs w:val="24"/>
        </w:rPr>
        <w:t>7.6 乙方保证，在合同标的使用寿命期内，如果乙方发现合同标的存在足以危及人身、财产安全的缺陷，乙方将及时通知甲方并及时采取修补、更换等措施消除缺陷。</w:t>
      </w:r>
    </w:p>
    <w:p>
      <w:pPr>
        <w:pStyle w:val="3"/>
        <w:spacing w:before="120"/>
        <w:rPr>
          <w:rFonts w:ascii="宋体" w:hAnsi="宋体" w:eastAsia="宋体"/>
          <w:b/>
        </w:rPr>
      </w:pPr>
      <w:bookmarkStart w:id="378" w:name="_Toc13105"/>
      <w:bookmarkStart w:id="379" w:name="_Toc25179"/>
      <w:bookmarkStart w:id="380" w:name="_Toc15045074"/>
      <w:r>
        <w:rPr>
          <w:rFonts w:ascii="宋体" w:hAnsi="宋体" w:eastAsia="宋体"/>
        </w:rPr>
        <w:t xml:space="preserve">8. </w:t>
      </w:r>
      <w:r>
        <w:rPr>
          <w:rFonts w:hint="eastAsia" w:ascii="宋体" w:hAnsi="宋体" w:eastAsia="宋体"/>
        </w:rPr>
        <w:t>违约责任</w:t>
      </w:r>
      <w:bookmarkEnd w:id="378"/>
      <w:bookmarkEnd w:id="379"/>
      <w:bookmarkEnd w:id="380"/>
    </w:p>
    <w:p>
      <w:pPr>
        <w:ind w:firstLine="480"/>
        <w:rPr>
          <w:rFonts w:ascii="宋体" w:hAnsi="宋体"/>
          <w:szCs w:val="24"/>
        </w:rPr>
      </w:pPr>
      <w:r>
        <w:rPr>
          <w:rFonts w:ascii="宋体" w:hAnsi="宋体"/>
          <w:szCs w:val="24"/>
        </w:rPr>
        <w:t>8.1 合同一方不履行合同义务、履行合同义务不符合约定或者违反合同项下所作保证的，应向对方承担继续履行、采取补救措施或者赔偿损失等违约责任。</w:t>
      </w:r>
    </w:p>
    <w:p>
      <w:pPr>
        <w:ind w:firstLine="480"/>
        <w:rPr>
          <w:rFonts w:ascii="宋体" w:hAnsi="宋体"/>
          <w:szCs w:val="24"/>
        </w:rPr>
      </w:pPr>
      <w:r>
        <w:rPr>
          <w:rFonts w:ascii="宋体" w:hAnsi="宋体"/>
          <w:szCs w:val="24"/>
        </w:rPr>
        <w:t>8.2 乙方未能按时交付合同</w:t>
      </w:r>
      <w:r>
        <w:rPr>
          <w:rFonts w:hint="eastAsia" w:ascii="宋体" w:hAnsi="宋体"/>
          <w:szCs w:val="24"/>
        </w:rPr>
        <w:t>标的</w:t>
      </w:r>
      <w:r>
        <w:rPr>
          <w:rFonts w:ascii="宋体" w:hAnsi="宋体"/>
          <w:szCs w:val="24"/>
        </w:rPr>
        <w:t>的，应向甲方支付迟延违约金。乙方支付迟延违约金，不能免除其继续交付合同</w:t>
      </w:r>
      <w:r>
        <w:rPr>
          <w:rFonts w:hint="eastAsia" w:ascii="宋体" w:hAnsi="宋体"/>
          <w:szCs w:val="24"/>
        </w:rPr>
        <w:t>标的</w:t>
      </w:r>
      <w:r>
        <w:rPr>
          <w:rFonts w:ascii="宋体" w:hAnsi="宋体"/>
          <w:szCs w:val="24"/>
        </w:rPr>
        <w:t>的义务。除另有约定外，迟延交付违约金计算方法如下：</w:t>
      </w:r>
    </w:p>
    <w:p>
      <w:pPr>
        <w:ind w:firstLine="480"/>
        <w:rPr>
          <w:rFonts w:ascii="宋体" w:hAnsi="宋体"/>
          <w:szCs w:val="24"/>
        </w:rPr>
      </w:pPr>
      <w:r>
        <w:rPr>
          <w:rFonts w:ascii="宋体" w:hAnsi="宋体"/>
          <w:szCs w:val="24"/>
        </w:rPr>
        <w:t>迟延交付违约金=迟延交付</w:t>
      </w:r>
      <w:r>
        <w:rPr>
          <w:rFonts w:hint="eastAsia" w:ascii="宋体" w:hAnsi="宋体"/>
          <w:szCs w:val="24"/>
        </w:rPr>
        <w:t>标的物</w:t>
      </w:r>
      <w:r>
        <w:rPr>
          <w:rFonts w:ascii="宋体" w:hAnsi="宋体"/>
          <w:szCs w:val="24"/>
        </w:rPr>
        <w:t>金额×0.2%×迟延天数。迟延交付违约金的最高限额为合同价格的10%。</w:t>
      </w:r>
    </w:p>
    <w:p>
      <w:pPr>
        <w:ind w:firstLine="480"/>
        <w:rPr>
          <w:rFonts w:ascii="宋体" w:hAnsi="宋体"/>
          <w:szCs w:val="24"/>
        </w:rPr>
      </w:pPr>
      <w:r>
        <w:rPr>
          <w:rFonts w:ascii="宋体" w:hAnsi="宋体"/>
          <w:szCs w:val="24"/>
        </w:rPr>
        <w:t>8.</w:t>
      </w:r>
      <w:r>
        <w:rPr>
          <w:rFonts w:hint="eastAsia" w:ascii="宋体" w:hAnsi="宋体"/>
          <w:szCs w:val="24"/>
        </w:rPr>
        <w:t>3 乙方如发生违约行为，甲方将依据企业供应商管理制度对乙方进行考核、降级等处理。</w:t>
      </w:r>
    </w:p>
    <w:p>
      <w:pPr>
        <w:pStyle w:val="3"/>
        <w:spacing w:before="120"/>
        <w:rPr>
          <w:rFonts w:ascii="宋体" w:hAnsi="宋体" w:eastAsia="宋体"/>
          <w:b/>
        </w:rPr>
      </w:pPr>
      <w:bookmarkStart w:id="381" w:name="_Toc18593"/>
      <w:bookmarkStart w:id="382" w:name="_Toc15045075"/>
      <w:bookmarkStart w:id="383" w:name="_Toc12482"/>
      <w:r>
        <w:rPr>
          <w:rFonts w:ascii="宋体" w:hAnsi="宋体" w:eastAsia="宋体"/>
        </w:rPr>
        <w:t>9. 合同的解除</w:t>
      </w:r>
      <w:bookmarkEnd w:id="381"/>
      <w:bookmarkEnd w:id="382"/>
      <w:bookmarkEnd w:id="383"/>
    </w:p>
    <w:p>
      <w:pPr>
        <w:ind w:firstLine="480"/>
        <w:rPr>
          <w:rFonts w:ascii="宋体" w:hAnsi="宋体"/>
          <w:szCs w:val="24"/>
        </w:rPr>
      </w:pPr>
      <w:r>
        <w:rPr>
          <w:rFonts w:ascii="宋体" w:hAnsi="宋体"/>
          <w:szCs w:val="24"/>
        </w:rPr>
        <w:t>除另有约定外，有下述情形之一，当事人可发出书面通知全部或部分地解除合同，合同自通知到达对方时全部或部分地解除：</w:t>
      </w:r>
    </w:p>
    <w:p>
      <w:pPr>
        <w:ind w:firstLine="480"/>
        <w:rPr>
          <w:rFonts w:ascii="宋体" w:hAnsi="宋体"/>
          <w:szCs w:val="24"/>
        </w:rPr>
      </w:pPr>
      <w:r>
        <w:rPr>
          <w:rFonts w:ascii="宋体" w:hAnsi="宋体"/>
          <w:szCs w:val="24"/>
        </w:rPr>
        <w:t>9.1 合同一方当事人无法继续履行或明确表示不履行或实质上已停止履行合同；</w:t>
      </w:r>
    </w:p>
    <w:p>
      <w:pPr>
        <w:ind w:firstLine="480"/>
        <w:rPr>
          <w:rFonts w:ascii="宋体" w:hAnsi="宋体"/>
          <w:szCs w:val="24"/>
        </w:rPr>
      </w:pPr>
      <w:r>
        <w:rPr>
          <w:rFonts w:ascii="宋体" w:hAnsi="宋体"/>
          <w:szCs w:val="24"/>
        </w:rPr>
        <w:t>9.2 合同一方当事人需支付的违约金已达合同约定的最高限额；</w:t>
      </w:r>
    </w:p>
    <w:p>
      <w:pPr>
        <w:ind w:firstLine="480"/>
        <w:rPr>
          <w:rFonts w:ascii="宋体" w:hAnsi="宋体"/>
          <w:szCs w:val="24"/>
        </w:rPr>
      </w:pPr>
      <w:r>
        <w:rPr>
          <w:rFonts w:ascii="宋体" w:hAnsi="宋体"/>
          <w:szCs w:val="24"/>
        </w:rPr>
        <w:t>9.3 合同标的未能达到质量标准，或在合同约定了最低质量标准时，不能达到最低质量标准；</w:t>
      </w:r>
    </w:p>
    <w:p>
      <w:pPr>
        <w:ind w:firstLine="480"/>
        <w:rPr>
          <w:rFonts w:ascii="宋体" w:hAnsi="宋体"/>
          <w:szCs w:val="24"/>
        </w:rPr>
      </w:pPr>
      <w:r>
        <w:rPr>
          <w:rFonts w:ascii="宋体" w:hAnsi="宋体"/>
          <w:szCs w:val="24"/>
        </w:rPr>
        <w:t>9.4 合同一方当事人出现破产、清算、资不抵债、成为失信被执行人等可能丧失履约能力的情形，且未能提供令对方满意的履约保证金；</w:t>
      </w:r>
    </w:p>
    <w:p>
      <w:pPr>
        <w:ind w:firstLine="480"/>
        <w:rPr>
          <w:rFonts w:ascii="宋体" w:hAnsi="宋体"/>
          <w:szCs w:val="24"/>
        </w:rPr>
      </w:pPr>
      <w:r>
        <w:rPr>
          <w:rFonts w:ascii="宋体" w:hAnsi="宋体"/>
          <w:szCs w:val="24"/>
        </w:rPr>
        <w:t>9.5 因不可抗力不能实现合同目的。</w:t>
      </w:r>
      <w:r>
        <w:rPr>
          <w:rFonts w:hint="eastAsia" w:ascii="宋体" w:hAnsi="宋体"/>
          <w:szCs w:val="24"/>
        </w:rPr>
        <w:t>但受影响的一方当事人应立即将此类事件的发生通知另一方当事人，并应在不可抗力事件发生后</w:t>
      </w:r>
      <w:r>
        <w:rPr>
          <w:rFonts w:ascii="宋体" w:hAnsi="宋体"/>
          <w:szCs w:val="24"/>
        </w:rPr>
        <w:t xml:space="preserve"> 28 日内将有关当局或机构出具的证明文件提交给另一方当事人。</w:t>
      </w:r>
      <w:r>
        <w:rPr>
          <w:rFonts w:hint="eastAsia" w:ascii="宋体" w:hAnsi="宋体"/>
          <w:szCs w:val="24"/>
        </w:rPr>
        <w:t>任何一方当事人没有采取有效措施导致损失扩大的，应对扩大的损失承担责任。</w:t>
      </w:r>
    </w:p>
    <w:p>
      <w:pPr>
        <w:ind w:firstLine="480"/>
        <w:rPr>
          <w:rFonts w:ascii="宋体" w:hAnsi="宋体"/>
        </w:rPr>
      </w:pPr>
      <w:r>
        <w:rPr>
          <w:rFonts w:ascii="宋体" w:hAnsi="宋体"/>
        </w:rPr>
        <w:t>9.6至</w:t>
      </w:r>
      <w:r>
        <w:rPr>
          <w:rFonts w:hint="eastAsia" w:ascii="宋体" w:hAnsi="宋体"/>
        </w:rPr>
        <w:t>合同</w:t>
      </w:r>
      <w:r>
        <w:rPr>
          <w:rFonts w:ascii="宋体" w:hAnsi="宋体"/>
        </w:rPr>
        <w:t>验收，结清</w:t>
      </w:r>
      <w:r>
        <w:rPr>
          <w:rFonts w:hint="eastAsia" w:ascii="宋体" w:hAnsi="宋体"/>
        </w:rPr>
        <w:t>合同款项</w:t>
      </w:r>
      <w:r>
        <w:rPr>
          <w:rFonts w:ascii="宋体" w:hAnsi="宋体"/>
        </w:rPr>
        <w:t>，保修期满后本合同自然失效。</w:t>
      </w:r>
    </w:p>
    <w:p>
      <w:pPr>
        <w:pStyle w:val="3"/>
        <w:spacing w:before="120"/>
        <w:rPr>
          <w:rFonts w:ascii="宋体" w:hAnsi="宋体" w:eastAsia="宋体"/>
          <w:b/>
        </w:rPr>
      </w:pPr>
      <w:bookmarkStart w:id="384" w:name="_Toc15045076"/>
      <w:bookmarkStart w:id="385" w:name="_Toc15031"/>
      <w:bookmarkStart w:id="386" w:name="_Toc9494"/>
      <w:r>
        <w:rPr>
          <w:rFonts w:ascii="宋体" w:hAnsi="宋体" w:eastAsia="宋体"/>
        </w:rPr>
        <w:t xml:space="preserve">10. </w:t>
      </w:r>
      <w:r>
        <w:rPr>
          <w:rFonts w:hint="eastAsia" w:ascii="宋体" w:hAnsi="宋体" w:eastAsia="宋体"/>
        </w:rPr>
        <w:t>争议的解决</w:t>
      </w:r>
      <w:bookmarkEnd w:id="384"/>
      <w:bookmarkEnd w:id="385"/>
      <w:bookmarkEnd w:id="386"/>
    </w:p>
    <w:p>
      <w:pPr>
        <w:ind w:firstLine="480"/>
        <w:rPr>
          <w:rFonts w:ascii="宋体" w:hAnsi="宋体"/>
          <w:szCs w:val="21"/>
        </w:rPr>
      </w:pPr>
      <w:r>
        <w:rPr>
          <w:rFonts w:ascii="宋体" w:hAnsi="宋体"/>
          <w:szCs w:val="24"/>
        </w:rPr>
        <w:t>因本合同引起的或与本合同有关的任何争议,双方可通过友好协商解决。友好协商解决不成的，可</w:t>
      </w:r>
      <w:r>
        <w:rPr>
          <w:rFonts w:hint="eastAsia" w:ascii="宋体" w:hAnsi="宋体"/>
          <w:szCs w:val="24"/>
        </w:rPr>
        <w:t>用</w:t>
      </w:r>
      <w:r>
        <w:rPr>
          <w:rFonts w:ascii="宋体" w:hAnsi="宋体"/>
          <w:szCs w:val="24"/>
        </w:rPr>
        <w:t>下列一种方式解决：</w:t>
      </w:r>
    </w:p>
    <w:p>
      <w:pPr>
        <w:ind w:firstLine="480"/>
        <w:rPr>
          <w:rFonts w:ascii="宋体" w:hAnsi="宋体" w:cs="Microsoft JhengHei"/>
          <w:bCs/>
          <w:szCs w:val="24"/>
        </w:rPr>
      </w:pPr>
      <w:r>
        <w:rPr>
          <w:rFonts w:hint="eastAsia" w:ascii="宋体" w:hAnsi="宋体"/>
          <w:szCs w:val="24"/>
        </w:rPr>
        <w:t>1</w:t>
      </w:r>
      <w:r>
        <w:rPr>
          <w:rFonts w:ascii="宋体" w:hAnsi="宋体"/>
          <w:szCs w:val="24"/>
        </w:rPr>
        <w:t xml:space="preserve">0.1 </w:t>
      </w:r>
      <w:r>
        <w:rPr>
          <w:rFonts w:hint="eastAsia" w:ascii="宋体" w:hAnsi="宋体"/>
          <w:kern w:val="0"/>
          <w:szCs w:val="24"/>
        </w:rPr>
        <w:t>向甲方所在地的人民法院提起诉讼</w:t>
      </w:r>
      <w:r>
        <w:rPr>
          <w:rFonts w:ascii="宋体" w:hAnsi="宋体" w:cs="Microsoft JhengHei"/>
          <w:bCs/>
          <w:szCs w:val="24"/>
        </w:rPr>
        <w:t>。</w:t>
      </w:r>
    </w:p>
    <w:p>
      <w:pPr>
        <w:pStyle w:val="3"/>
        <w:spacing w:before="120"/>
        <w:rPr>
          <w:rFonts w:ascii="宋体" w:hAnsi="宋体" w:eastAsia="宋体"/>
        </w:rPr>
      </w:pPr>
      <w:r>
        <w:rPr>
          <w:rFonts w:hint="eastAsia" w:ascii="宋体" w:hAnsi="宋体" w:eastAsia="宋体"/>
        </w:rPr>
        <w:t>1</w:t>
      </w:r>
      <w:r>
        <w:rPr>
          <w:rFonts w:ascii="宋体" w:hAnsi="宋体" w:eastAsia="宋体"/>
        </w:rPr>
        <w:t>1. 合同份数及其它事宜</w:t>
      </w:r>
    </w:p>
    <w:p>
      <w:pPr>
        <w:ind w:firstLine="480"/>
        <w:rPr>
          <w:rFonts w:ascii="宋体" w:hAnsi="宋体"/>
        </w:rPr>
      </w:pPr>
      <w:r>
        <w:rPr>
          <w:rFonts w:ascii="宋体" w:hAnsi="宋体"/>
        </w:rPr>
        <w:t>11.1 本合同一式叁份，甲方贰份，乙方壹份。</w:t>
      </w:r>
    </w:p>
    <w:p>
      <w:pPr>
        <w:ind w:firstLine="480"/>
        <w:rPr>
          <w:rFonts w:ascii="宋体" w:hAnsi="宋体"/>
        </w:rPr>
      </w:pPr>
    </w:p>
    <w:p>
      <w:pPr>
        <w:ind w:firstLine="480"/>
        <w:rPr>
          <w:rFonts w:ascii="宋体" w:hAnsi="宋体"/>
        </w:rPr>
      </w:pPr>
      <w:r>
        <w:rPr>
          <w:rFonts w:hint="eastAsia" w:ascii="宋体" w:hAnsi="宋体"/>
        </w:rPr>
        <w:t>签署：</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4" w:type="dxa"/>
          </w:tcPr>
          <w:p>
            <w:pPr>
              <w:ind w:firstLine="480"/>
              <w:rPr>
                <w:rFonts w:ascii="宋体" w:hAnsi="宋体"/>
                <w:szCs w:val="28"/>
              </w:rPr>
            </w:pPr>
            <w:r>
              <w:rPr>
                <w:rFonts w:hint="eastAsia" w:ascii="宋体" w:hAnsi="宋体"/>
              </w:rPr>
              <w:t>甲方</w:t>
            </w:r>
            <w:r>
              <w:rPr>
                <w:rFonts w:hint="eastAsia" w:ascii="宋体" w:hAnsi="宋体"/>
                <w:szCs w:val="28"/>
              </w:rPr>
              <w:t>（合同章）：</w:t>
            </w:r>
          </w:p>
          <w:p>
            <w:pPr>
              <w:ind w:firstLine="480"/>
              <w:rPr>
                <w:rFonts w:ascii="宋体" w:hAnsi="宋体"/>
              </w:rPr>
            </w:pPr>
            <w:r>
              <w:rPr>
                <w:rFonts w:hint="eastAsia" w:ascii="宋体" w:hAnsi="宋体"/>
              </w:rPr>
              <w:t>华能国际电力股份有限公司大连电厂</w:t>
            </w:r>
          </w:p>
        </w:tc>
        <w:tc>
          <w:tcPr>
            <w:tcW w:w="4332" w:type="dxa"/>
          </w:tcPr>
          <w:p>
            <w:pPr>
              <w:ind w:firstLine="480"/>
              <w:rPr>
                <w:rFonts w:ascii="宋体" w:hAnsi="宋体"/>
                <w:szCs w:val="28"/>
              </w:rPr>
            </w:pPr>
            <w:r>
              <w:rPr>
                <w:rFonts w:hint="eastAsia" w:ascii="宋体" w:hAnsi="宋体"/>
              </w:rPr>
              <w:t>乙方</w:t>
            </w:r>
            <w:r>
              <w:rPr>
                <w:rFonts w:hint="eastAsia" w:ascii="宋体" w:hAnsi="宋体"/>
                <w:szCs w:val="28"/>
              </w:rPr>
              <w:t>（合同章）：</w:t>
            </w:r>
          </w:p>
          <w:p>
            <w:pPr>
              <w:ind w:firstLine="480"/>
              <w:rPr>
                <w:rFonts w:ascii="宋体" w:hAnsi="宋体"/>
              </w:rPr>
            </w:pPr>
          </w:p>
          <w:p>
            <w:pPr>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4" w:type="dxa"/>
          </w:tcPr>
          <w:p>
            <w:pPr>
              <w:ind w:firstLine="480"/>
              <w:rPr>
                <w:rFonts w:ascii="宋体" w:hAnsi="宋体"/>
              </w:rPr>
            </w:pPr>
            <w:r>
              <w:rPr>
                <w:rFonts w:hint="eastAsia" w:ascii="宋体" w:hAnsi="宋体"/>
                <w:szCs w:val="28"/>
              </w:rPr>
              <w:t>法定代表人或委托代理人（手签或名章）：</w:t>
            </w:r>
          </w:p>
        </w:tc>
        <w:tc>
          <w:tcPr>
            <w:tcW w:w="4332" w:type="dxa"/>
          </w:tcPr>
          <w:p>
            <w:pPr>
              <w:ind w:firstLine="480"/>
              <w:rPr>
                <w:rFonts w:ascii="宋体" w:hAnsi="宋体"/>
                <w:szCs w:val="28"/>
              </w:rPr>
            </w:pPr>
            <w:r>
              <w:rPr>
                <w:rFonts w:hint="eastAsia" w:ascii="宋体" w:hAnsi="宋体"/>
                <w:szCs w:val="28"/>
              </w:rPr>
              <w:t>法定代表人或委托代理人（手签或名章）：</w:t>
            </w:r>
          </w:p>
          <w:p>
            <w:pPr>
              <w:ind w:firstLine="480"/>
              <w:rPr>
                <w:rFonts w:ascii="宋体" w:hAnsi="宋体"/>
                <w:szCs w:val="28"/>
              </w:rPr>
            </w:pPr>
          </w:p>
          <w:p>
            <w:pPr>
              <w:ind w:firstLine="480"/>
              <w:rPr>
                <w:rFonts w:ascii="宋体" w:hAnsi="宋体"/>
              </w:rPr>
            </w:pPr>
          </w:p>
        </w:tc>
      </w:tr>
    </w:tbl>
    <w:p>
      <w:pPr>
        <w:ind w:firstLine="480"/>
        <w:rPr>
          <w:rFonts w:ascii="宋体" w:hAnsi="宋体"/>
        </w:rPr>
      </w:pPr>
    </w:p>
    <w:p>
      <w:pPr>
        <w:ind w:firstLine="480"/>
        <w:rPr>
          <w:rFonts w:ascii="宋体" w:hAnsi="宋体"/>
        </w:rPr>
      </w:pPr>
      <w:r>
        <w:rPr>
          <w:rFonts w:hint="eastAsia" w:ascii="宋体" w:hAnsi="宋体"/>
        </w:rPr>
        <w:t>联络：</w:t>
      </w:r>
    </w:p>
    <w:p>
      <w:pPr>
        <w:ind w:firstLine="480"/>
        <w:rPr>
          <w:rFonts w:ascii="宋体" w:hAnsi="宋体"/>
        </w:rPr>
      </w:pPr>
      <w:r>
        <w:rPr>
          <w:rFonts w:hint="eastAsia" w:ascii="宋体" w:hAnsi="宋体"/>
        </w:rPr>
        <w:t>重要提示：请准确填写送达地址及联系人、电话并确保在合同执行过程中能收到联络函件。否则合同执行过程中的函件视为送达。</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送达地址及邮编：</w:t>
            </w:r>
          </w:p>
          <w:p>
            <w:pPr>
              <w:ind w:firstLine="480"/>
              <w:rPr>
                <w:rFonts w:ascii="宋体" w:hAnsi="宋体"/>
                <w:szCs w:val="28"/>
              </w:rPr>
            </w:pPr>
            <w:r>
              <w:rPr>
                <w:rFonts w:hint="eastAsia" w:ascii="宋体" w:hAnsi="宋体"/>
                <w:szCs w:val="28"/>
              </w:rPr>
              <w:t>辽宁省大连市大连湾镇8</w:t>
            </w:r>
            <w:r>
              <w:rPr>
                <w:rFonts w:ascii="宋体" w:hAnsi="宋体"/>
                <w:szCs w:val="28"/>
              </w:rPr>
              <w:t>83</w:t>
            </w:r>
            <w:r>
              <w:rPr>
                <w:rFonts w:hint="eastAsia" w:ascii="宋体" w:hAnsi="宋体"/>
                <w:szCs w:val="28"/>
              </w:rPr>
              <w:t xml:space="preserve">号华能大连电厂物资站 </w:t>
            </w:r>
            <w:r>
              <w:rPr>
                <w:rFonts w:ascii="宋体" w:hAnsi="宋体"/>
                <w:szCs w:val="28"/>
              </w:rPr>
              <w:t>116100</w:t>
            </w:r>
          </w:p>
        </w:tc>
        <w:tc>
          <w:tcPr>
            <w:tcW w:w="4148" w:type="dxa"/>
          </w:tcPr>
          <w:p>
            <w:pPr>
              <w:ind w:firstLine="480"/>
              <w:rPr>
                <w:rFonts w:ascii="宋体" w:hAnsi="宋体"/>
                <w:szCs w:val="28"/>
              </w:rPr>
            </w:pPr>
            <w:r>
              <w:rPr>
                <w:rFonts w:hint="eastAsia" w:ascii="宋体" w:hAnsi="宋体"/>
                <w:szCs w:val="28"/>
              </w:rPr>
              <w:t>送达地址及邮编：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联系人（商务）：</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c>
          <w:tcPr>
            <w:tcW w:w="4148" w:type="dxa"/>
          </w:tcPr>
          <w:p>
            <w:pPr>
              <w:ind w:firstLine="480"/>
              <w:rPr>
                <w:rFonts w:ascii="宋体" w:hAnsi="宋体"/>
                <w:szCs w:val="28"/>
              </w:rPr>
            </w:pPr>
            <w:r>
              <w:rPr>
                <w:rFonts w:hint="eastAsia" w:ascii="宋体" w:hAnsi="宋体"/>
                <w:szCs w:val="28"/>
              </w:rPr>
              <w:t>联系人（商务）：</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联系人（技术或其他）：</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c>
          <w:tcPr>
            <w:tcW w:w="4148" w:type="dxa"/>
          </w:tcPr>
          <w:p>
            <w:pPr>
              <w:ind w:firstLine="480"/>
              <w:rPr>
                <w:rFonts w:ascii="宋体" w:hAnsi="宋体"/>
                <w:szCs w:val="28"/>
              </w:rPr>
            </w:pPr>
            <w:r>
              <w:rPr>
                <w:rFonts w:hint="eastAsia" w:ascii="宋体" w:hAnsi="宋体"/>
                <w:szCs w:val="28"/>
              </w:rPr>
              <w:t>联系人（技术或其他）：</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r>
    </w:tbl>
    <w:p>
      <w:pPr>
        <w:ind w:firstLine="480"/>
        <w:rPr>
          <w:rFonts w:ascii="宋体" w:hAnsi="宋体"/>
        </w:rPr>
      </w:pPr>
    </w:p>
    <w:p>
      <w:pPr>
        <w:ind w:firstLine="480"/>
        <w:rPr>
          <w:rFonts w:ascii="宋体" w:hAnsi="宋体"/>
        </w:rPr>
      </w:pPr>
      <w:r>
        <w:rPr>
          <w:rFonts w:hint="eastAsia" w:ascii="宋体" w:hAnsi="宋体"/>
        </w:rPr>
        <w:t>支付：</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rPr>
            </w:pPr>
            <w:r>
              <w:rPr>
                <w:rFonts w:hint="eastAsia" w:ascii="宋体" w:hAnsi="宋体"/>
                <w:szCs w:val="28"/>
              </w:rPr>
              <w:fldChar w:fldCharType="begin"/>
            </w:r>
            <w:r>
              <w:rPr>
                <w:rFonts w:hint="eastAsia" w:ascii="宋体" w:hAnsi="宋体"/>
                <w:szCs w:val="28"/>
              </w:rPr>
              <w:instrText xml:space="preserve"> eq \o\ad(开户银行,　　　　　)</w:instrText>
            </w:r>
            <w:r>
              <w:rPr>
                <w:rFonts w:hint="eastAsia" w:ascii="宋体" w:hAnsi="宋体"/>
                <w:szCs w:val="28"/>
              </w:rPr>
              <w:fldChar w:fldCharType="end"/>
            </w:r>
            <w:r>
              <w:rPr>
                <w:rFonts w:hint="eastAsia" w:ascii="宋体" w:hAnsi="宋体"/>
                <w:szCs w:val="28"/>
              </w:rPr>
              <w:t>：建行大连湾支行</w:t>
            </w:r>
          </w:p>
        </w:tc>
        <w:tc>
          <w:tcPr>
            <w:tcW w:w="4148" w:type="dxa"/>
          </w:tcPr>
          <w:p>
            <w:pPr>
              <w:ind w:firstLine="480"/>
              <w:rPr>
                <w:rFonts w:ascii="宋体" w:hAnsi="宋体"/>
              </w:rPr>
            </w:pPr>
            <w:r>
              <w:rPr>
                <w:rFonts w:hint="eastAsia" w:ascii="宋体" w:hAnsi="宋体"/>
                <w:szCs w:val="28"/>
              </w:rPr>
              <w:fldChar w:fldCharType="begin"/>
            </w:r>
            <w:r>
              <w:rPr>
                <w:rFonts w:hint="eastAsia" w:ascii="宋体" w:hAnsi="宋体"/>
                <w:szCs w:val="28"/>
              </w:rPr>
              <w:instrText xml:space="preserve"> eq \o\ad(开户银行,　　　　　)</w:instrText>
            </w:r>
            <w:r>
              <w:rPr>
                <w:rFonts w:hint="eastAsia" w:ascii="宋体" w:hAnsi="宋体"/>
                <w:szCs w:val="28"/>
              </w:rPr>
              <w:fldChar w:fldCharType="end"/>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帐号：21201501000050000675</w:t>
            </w:r>
          </w:p>
        </w:tc>
        <w:tc>
          <w:tcPr>
            <w:tcW w:w="4148" w:type="dxa"/>
          </w:tcPr>
          <w:p>
            <w:pPr>
              <w:ind w:firstLine="480"/>
              <w:rPr>
                <w:rFonts w:ascii="宋体" w:hAnsi="宋体"/>
              </w:rPr>
            </w:pPr>
            <w:r>
              <w:rPr>
                <w:rFonts w:hint="eastAsia" w:ascii="宋体" w:hAnsi="宋体"/>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税号：912102006048541979</w:t>
            </w:r>
          </w:p>
        </w:tc>
        <w:tc>
          <w:tcPr>
            <w:tcW w:w="4148" w:type="dxa"/>
          </w:tcPr>
          <w:p>
            <w:pPr>
              <w:ind w:firstLine="480"/>
              <w:rPr>
                <w:rFonts w:ascii="宋体" w:hAnsi="宋体"/>
              </w:rPr>
            </w:pPr>
            <w:r>
              <w:rPr>
                <w:rFonts w:hint="eastAsia" w:ascii="宋体" w:hAnsi="宋体"/>
                <w:szCs w:val="28"/>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电话：0411-87118888</w:t>
            </w:r>
          </w:p>
        </w:tc>
        <w:tc>
          <w:tcPr>
            <w:tcW w:w="4148" w:type="dxa"/>
          </w:tcPr>
          <w:p>
            <w:pPr>
              <w:ind w:firstLine="480"/>
              <w:rPr>
                <w:rFonts w:ascii="宋体" w:hAnsi="宋体"/>
              </w:rPr>
            </w:pPr>
            <w:r>
              <w:rPr>
                <w:rFonts w:hint="eastAsia" w:ascii="宋体" w:hAnsi="宋体"/>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传真：0411-87118838</w:t>
            </w:r>
          </w:p>
        </w:tc>
        <w:tc>
          <w:tcPr>
            <w:tcW w:w="4148" w:type="dxa"/>
          </w:tcPr>
          <w:p>
            <w:pPr>
              <w:ind w:firstLine="480"/>
              <w:rPr>
                <w:rFonts w:ascii="宋体" w:hAnsi="宋体"/>
              </w:rPr>
            </w:pPr>
            <w:r>
              <w:rPr>
                <w:rFonts w:hint="eastAsia" w:ascii="宋体" w:hAnsi="宋体"/>
                <w:szCs w:val="28"/>
              </w:rPr>
              <w:t>传真：</w:t>
            </w:r>
          </w:p>
        </w:tc>
      </w:tr>
    </w:tbl>
    <w:p>
      <w:pPr>
        <w:widowControl/>
        <w:ind w:firstLine="480"/>
        <w:jc w:val="left"/>
        <w:rPr>
          <w:rFonts w:ascii="宋体" w:hAnsi="宋体"/>
        </w:rPr>
      </w:pPr>
    </w:p>
    <w:p>
      <w:pPr>
        <w:widowControl/>
        <w:adjustRightInd/>
        <w:snapToGrid/>
        <w:spacing w:line="240" w:lineRule="auto"/>
        <w:ind w:firstLine="0" w:firstLineChars="0"/>
        <w:jc w:val="left"/>
      </w:pPr>
      <w:r>
        <w:br w:type="page"/>
      </w:r>
    </w:p>
    <w:p>
      <w:pPr>
        <w:pStyle w:val="3"/>
        <w:spacing w:before="120"/>
      </w:pPr>
      <w:r>
        <w:rPr>
          <w:rFonts w:hint="eastAsia"/>
        </w:rPr>
        <w:t>第二节：简版合同</w:t>
      </w:r>
    </w:p>
    <w:p>
      <w:pPr>
        <w:widowControl/>
        <w:ind w:firstLine="480"/>
        <w:jc w:val="left"/>
      </w:pPr>
      <w:r>
        <w:rPr>
          <w:rFonts w:hint="eastAsia"/>
          <w:szCs w:val="24"/>
        </w:rPr>
        <w:t>简版合同</w:t>
      </w:r>
      <w:r>
        <w:rPr>
          <w:rFonts w:hint="eastAsia"/>
        </w:rPr>
        <w:t>内容取自第一节标准合同内容的一部分，例如标的，合同期限、联络信息等。甲方可根据企业管理制度，对部分合同使用简版合同。</w:t>
      </w:r>
      <w:r>
        <w:rPr>
          <w:rFonts w:hint="eastAsia"/>
          <w:szCs w:val="24"/>
        </w:rPr>
        <w:t>简版合同的使用只是为了提高签署和执行效率，仍视为投标人完全同意标准合同的全部条款。</w:t>
      </w:r>
    </w:p>
    <w:p>
      <w:pPr>
        <w:ind w:firstLine="480"/>
      </w:pPr>
      <w:r>
        <w:rPr>
          <w:rFonts w:hint="eastAsia"/>
        </w:rPr>
        <w:t>示例：</w:t>
      </w:r>
    </w:p>
    <w:p>
      <w:pPr>
        <w:ind w:firstLine="480"/>
      </w:pPr>
      <w:r>
        <w:drawing>
          <wp:anchor distT="0" distB="0" distL="114300" distR="114300" simplePos="0" relativeHeight="251660288" behindDoc="0" locked="0" layoutInCell="1" allowOverlap="1">
            <wp:simplePos x="0" y="0"/>
            <wp:positionH relativeFrom="column">
              <wp:posOffset>504825</wp:posOffset>
            </wp:positionH>
            <wp:positionV relativeFrom="paragraph">
              <wp:posOffset>109855</wp:posOffset>
            </wp:positionV>
            <wp:extent cx="4829175" cy="6823075"/>
            <wp:effectExtent l="0" t="0" r="0" b="0"/>
            <wp:wrapSquare wrapText="bothSides"/>
            <wp:docPr id="6"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订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29175" cy="6823075"/>
                    </a:xfrm>
                    <a:prstGeom prst="rect">
                      <a:avLst/>
                    </a:prstGeom>
                    <a:noFill/>
                    <a:ln>
                      <a:noFill/>
                    </a:ln>
                  </pic:spPr>
                </pic:pic>
              </a:graphicData>
            </a:graphic>
          </wp:anchor>
        </w:drawing>
      </w:r>
    </w:p>
    <w:p>
      <w:pPr>
        <w:widowControl/>
        <w:adjustRightInd/>
        <w:snapToGrid/>
        <w:spacing w:line="240" w:lineRule="auto"/>
        <w:ind w:firstLine="0" w:firstLineChars="0"/>
        <w:jc w:val="left"/>
      </w:pPr>
      <w:r>
        <w:br w:type="page"/>
      </w:r>
    </w:p>
    <w:p>
      <w:pPr>
        <w:ind w:firstLine="480"/>
        <w:jc w:val="left"/>
        <w:rPr>
          <w:rFonts w:ascii="宋体" w:hAnsi="宋体"/>
          <w:szCs w:val="24"/>
        </w:rPr>
      </w:pPr>
    </w:p>
    <w:p>
      <w:pPr>
        <w:ind w:firstLine="480"/>
        <w:jc w:val="left"/>
      </w:pPr>
      <w:r>
        <w:rPr>
          <w:rFonts w:ascii="宋体" w:hAnsi="宋体"/>
          <w:szCs w:val="24"/>
        </w:rPr>
        <w:br w:type="page"/>
      </w:r>
    </w:p>
    <w:p>
      <w:pPr>
        <w:ind w:firstLine="480"/>
      </w:pPr>
    </w:p>
    <w:p>
      <w:pPr>
        <w:ind w:firstLine="480"/>
      </w:pPr>
    </w:p>
    <w:p>
      <w:pPr>
        <w:pStyle w:val="25"/>
        <w:spacing w:before="120"/>
      </w:pPr>
      <w:bookmarkStart w:id="387" w:name="_Toc527708267"/>
      <w:bookmarkStart w:id="388" w:name="_Toc6162"/>
      <w:bookmarkStart w:id="389" w:name="_Toc28055"/>
      <w:bookmarkStart w:id="390" w:name="_Toc13823"/>
      <w:bookmarkStart w:id="391" w:name="_Toc8163"/>
      <w:bookmarkStart w:id="392" w:name="_Toc9060"/>
      <w:bookmarkStart w:id="393" w:name="_Toc28187"/>
      <w:bookmarkStart w:id="394" w:name="_Toc26329"/>
      <w:r>
        <w:rPr>
          <w:rFonts w:hint="eastAsia"/>
        </w:rPr>
        <w:t>第五章 采购需求</w:t>
      </w:r>
      <w:bookmarkEnd w:id="297"/>
      <w:bookmarkEnd w:id="298"/>
      <w:bookmarkEnd w:id="299"/>
      <w:bookmarkEnd w:id="300"/>
      <w:bookmarkEnd w:id="301"/>
      <w:bookmarkEnd w:id="387"/>
      <w:bookmarkEnd w:id="388"/>
      <w:bookmarkEnd w:id="389"/>
      <w:bookmarkEnd w:id="390"/>
      <w:bookmarkEnd w:id="391"/>
      <w:bookmarkEnd w:id="392"/>
      <w:bookmarkEnd w:id="393"/>
      <w:bookmarkEnd w:id="394"/>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9D9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9D9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1</w:t>
            </w:r>
          </w:p>
        </w:tc>
        <w:tc>
          <w:tcPr>
            <w:tcW w:w="1546" w:type="dxa"/>
            <w:vAlign w:val="center"/>
          </w:tcPr>
          <w:p>
            <w:pPr>
              <w:ind w:firstLine="0" w:firstLineChars="0"/>
              <w:jc w:val="center"/>
            </w:pPr>
            <w:r>
              <w:t>102571979</w:t>
            </w:r>
          </w:p>
          <w:p>
            <w:pPr>
              <w:ind w:firstLine="0" w:firstLineChars="0"/>
              <w:jc w:val="center"/>
            </w:pPr>
            <w:r>
              <w:t>电力电缆\\TVR\\3*6MM2＋1*4MM2\\300／500V</w:t>
            </w:r>
            <w:r>
              <w:br w:type="textWrapping"/>
            </w:r>
            <w:r>
              <w:t>(200米)</w:t>
            </w:r>
          </w:p>
        </w:tc>
        <w:tc>
          <w:tcPr>
            <w:tcW w:w="5400" w:type="dxa"/>
            <w:gridSpan w:val="2"/>
          </w:tcPr>
          <w:p>
            <w:pPr>
              <w:ind w:firstLine="0" w:firstLineChars="0"/>
              <w:jc w:val="left"/>
            </w:pPr>
            <w:r>
              <w:t>产品属性:通用标准产品</w:t>
            </w:r>
          </w:p>
          <w:p>
            <w:pPr>
              <w:ind w:firstLine="0" w:firstLineChars="0"/>
              <w:jc w:val="left"/>
            </w:pPr>
            <w:r>
              <w:t>规格型号:TVR</w:t>
            </w:r>
          </w:p>
          <w:p>
            <w:pPr>
              <w:ind w:firstLine="0" w:firstLineChars="0"/>
              <w:jc w:val="left"/>
            </w:pPr>
            <w:r>
              <w:t>材质:</w:t>
            </w:r>
          </w:p>
          <w:p>
            <w:pPr>
              <w:ind w:firstLine="0" w:firstLineChars="0"/>
              <w:jc w:val="left"/>
            </w:pPr>
            <w:r>
              <w:t>尺寸:</w:t>
            </w:r>
          </w:p>
          <w:p>
            <w:pPr>
              <w:ind w:firstLine="0" w:firstLineChars="0"/>
              <w:jc w:val="left"/>
            </w:pPr>
            <w:r>
              <w:t>主要参数:要求产品质量合格，型号为TVR\\3*6MM2＋1*4MM2\\300／500V。</w:t>
            </w:r>
          </w:p>
          <w:p>
            <w:pPr>
              <w:ind w:firstLine="0" w:firstLineChars="0"/>
              <w:jc w:val="left"/>
            </w:pPr>
            <w:r>
              <w:t>原产品制造商:</w:t>
            </w:r>
          </w:p>
          <w:p>
            <w:pPr>
              <w:ind w:firstLine="0" w:firstLineChars="0"/>
              <w:jc w:val="left"/>
            </w:pPr>
            <w:r>
              <w:t>参考品牌:</w:t>
            </w:r>
          </w:p>
          <w:p>
            <w:pPr>
              <w:ind w:firstLine="0" w:firstLineChars="0"/>
              <w:jc w:val="left"/>
            </w:pPr>
            <w:r>
              <w:t>机组:公用</w:t>
            </w:r>
          </w:p>
          <w:p>
            <w:pPr>
              <w:ind w:firstLine="0" w:firstLineChars="0"/>
              <w:jc w:val="left"/>
            </w:pPr>
            <w:r>
              <w:t>主设备:吊车</w:t>
            </w:r>
          </w:p>
          <w:p>
            <w:pPr>
              <w:ind w:firstLine="0" w:firstLineChars="0"/>
              <w:jc w:val="left"/>
            </w:pPr>
            <w:r>
              <w:t>使用环境:</w:t>
            </w:r>
          </w:p>
          <w:p>
            <w:pPr>
              <w:ind w:firstLine="0" w:firstLineChars="0"/>
              <w:jc w:val="left"/>
            </w:pPr>
            <w:r>
              <w:t>进口产品:否</w:t>
            </w:r>
          </w:p>
          <w:p>
            <w:pPr>
              <w:ind w:firstLine="0" w:firstLineChars="0"/>
              <w:jc w:val="left"/>
            </w:pPr>
            <w:r>
              <w:t>安装调试:</w:t>
            </w:r>
          </w:p>
          <w:p>
            <w:pPr>
              <w:ind w:firstLine="0" w:firstLineChars="0"/>
              <w:jc w:val="left"/>
            </w:pPr>
            <w:r>
              <w:t>专项验收标准:应提供电缆合格证。</w:t>
            </w:r>
          </w:p>
          <w:p>
            <w:pPr>
              <w:ind w:firstLine="0" w:firstLineChars="0"/>
              <w:jc w:val="left"/>
            </w:pPr>
            <w:r>
              <w:t>质保期:12</w:t>
            </w:r>
          </w:p>
          <w:p>
            <w:pPr>
              <w:ind w:firstLine="0" w:firstLineChars="0"/>
              <w:jc w:val="left"/>
            </w:pPr>
            <w:r>
              <w:t>其他要求:若收到的产品与供货商提供的证明材料不符或经证明证明材料或产品系伪造的，并非正规原厂产品的，由中标方负责更换符合要求的产品。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2</w:t>
            </w:r>
          </w:p>
        </w:tc>
        <w:tc>
          <w:tcPr>
            <w:tcW w:w="1546" w:type="dxa"/>
            <w:vAlign w:val="center"/>
          </w:tcPr>
          <w:p>
            <w:pPr>
              <w:ind w:firstLine="0" w:firstLineChars="0"/>
              <w:jc w:val="center"/>
            </w:pPr>
            <w:r>
              <w:t>102571980</w:t>
            </w:r>
          </w:p>
          <w:p>
            <w:pPr>
              <w:ind w:firstLine="0" w:firstLineChars="0"/>
              <w:jc w:val="center"/>
            </w:pPr>
            <w:r>
              <w:t>电力电缆\\TVR\\3*10MM2＋1*6MM2\\300／500V</w:t>
            </w:r>
            <w:r>
              <w:br w:type="textWrapping"/>
            </w:r>
            <w:r>
              <w:t>(200米)</w:t>
            </w:r>
          </w:p>
        </w:tc>
        <w:tc>
          <w:tcPr>
            <w:tcW w:w="5400" w:type="dxa"/>
            <w:gridSpan w:val="2"/>
          </w:tcPr>
          <w:p>
            <w:pPr>
              <w:ind w:firstLine="0" w:firstLineChars="0"/>
              <w:jc w:val="left"/>
            </w:pPr>
            <w:r>
              <w:t>产品属性:通用标准产品</w:t>
            </w:r>
          </w:p>
          <w:p>
            <w:pPr>
              <w:ind w:firstLine="0" w:firstLineChars="0"/>
              <w:jc w:val="left"/>
            </w:pPr>
            <w:r>
              <w:t>规格型号:TVR</w:t>
            </w:r>
          </w:p>
          <w:p>
            <w:pPr>
              <w:ind w:firstLine="0" w:firstLineChars="0"/>
              <w:jc w:val="left"/>
            </w:pPr>
            <w:r>
              <w:t>材质:</w:t>
            </w:r>
          </w:p>
          <w:p>
            <w:pPr>
              <w:ind w:firstLine="0" w:firstLineChars="0"/>
              <w:jc w:val="left"/>
            </w:pPr>
            <w:r>
              <w:t>尺寸:</w:t>
            </w:r>
          </w:p>
          <w:p>
            <w:pPr>
              <w:ind w:firstLine="0" w:firstLineChars="0"/>
              <w:jc w:val="left"/>
            </w:pPr>
            <w:r>
              <w:t>主要参数:要求产品质量合格，型号为TVR\\3*10MM2＋1*6MM2\\300／500V。</w:t>
            </w:r>
          </w:p>
          <w:p>
            <w:pPr>
              <w:ind w:firstLine="0" w:firstLineChars="0"/>
              <w:jc w:val="left"/>
            </w:pPr>
            <w:r>
              <w:t>原产品制造商:</w:t>
            </w:r>
          </w:p>
          <w:p>
            <w:pPr>
              <w:ind w:firstLine="0" w:firstLineChars="0"/>
              <w:jc w:val="left"/>
            </w:pPr>
            <w:r>
              <w:t>参考品牌:</w:t>
            </w:r>
          </w:p>
          <w:p>
            <w:pPr>
              <w:ind w:firstLine="0" w:firstLineChars="0"/>
              <w:jc w:val="left"/>
            </w:pPr>
            <w:r>
              <w:t>机组:</w:t>
            </w:r>
          </w:p>
          <w:p>
            <w:pPr>
              <w:ind w:firstLine="0" w:firstLineChars="0"/>
              <w:jc w:val="left"/>
            </w:pPr>
            <w:r>
              <w:t>主设备:吊车</w:t>
            </w:r>
          </w:p>
          <w:p>
            <w:pPr>
              <w:ind w:firstLine="0" w:firstLineChars="0"/>
              <w:jc w:val="left"/>
            </w:pPr>
            <w:r>
              <w:t>使用环境:</w:t>
            </w:r>
          </w:p>
          <w:p>
            <w:pPr>
              <w:ind w:firstLine="0" w:firstLineChars="0"/>
              <w:jc w:val="left"/>
            </w:pPr>
            <w:r>
              <w:t>进口产品:否</w:t>
            </w:r>
          </w:p>
          <w:p>
            <w:pPr>
              <w:ind w:firstLine="0" w:firstLineChars="0"/>
              <w:jc w:val="left"/>
            </w:pPr>
            <w:r>
              <w:t>安装调试:</w:t>
            </w:r>
          </w:p>
          <w:p>
            <w:pPr>
              <w:ind w:firstLine="0" w:firstLineChars="0"/>
              <w:jc w:val="left"/>
            </w:pPr>
            <w:r>
              <w:t>专项验收标准:应提供电缆合格证。</w:t>
            </w:r>
          </w:p>
          <w:p>
            <w:pPr>
              <w:ind w:firstLine="0" w:firstLineChars="0"/>
              <w:jc w:val="left"/>
            </w:pPr>
            <w:r>
              <w:t>质保期:12</w:t>
            </w:r>
          </w:p>
          <w:p>
            <w:pPr>
              <w:ind w:firstLine="0" w:firstLineChars="0"/>
              <w:jc w:val="left"/>
            </w:pPr>
            <w:r>
              <w:t>其他要求:若收到的产品与供货商提供的证明材料不符或经证明证明材料或产品系伪造的，并非正规原厂产品的，由中标方负责更换符合要求的产品。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3</w:t>
            </w:r>
          </w:p>
        </w:tc>
        <w:tc>
          <w:tcPr>
            <w:tcW w:w="1546" w:type="dxa"/>
            <w:vAlign w:val="center"/>
          </w:tcPr>
          <w:p>
            <w:pPr>
              <w:ind w:firstLine="0" w:firstLineChars="0"/>
              <w:jc w:val="center"/>
            </w:pPr>
            <w:r>
              <w:t>102571982</w:t>
            </w:r>
          </w:p>
          <w:p>
            <w:pPr>
              <w:ind w:firstLine="0" w:firstLineChars="0"/>
              <w:jc w:val="center"/>
            </w:pPr>
            <w:r>
              <w:t>电力电缆\\TVR\\3*16MM2＋1*6MM2\\300／500V</w:t>
            </w:r>
            <w:r>
              <w:br w:type="textWrapping"/>
            </w:r>
            <w:r>
              <w:t>(200米)</w:t>
            </w:r>
          </w:p>
        </w:tc>
        <w:tc>
          <w:tcPr>
            <w:tcW w:w="5400" w:type="dxa"/>
            <w:gridSpan w:val="2"/>
          </w:tcPr>
          <w:p>
            <w:pPr>
              <w:ind w:firstLine="0" w:firstLineChars="0"/>
              <w:jc w:val="left"/>
            </w:pPr>
            <w:r>
              <w:t>产品属性:通用标准产品</w:t>
            </w:r>
          </w:p>
          <w:p>
            <w:pPr>
              <w:ind w:firstLine="0" w:firstLineChars="0"/>
              <w:jc w:val="left"/>
            </w:pPr>
            <w:r>
              <w:t>规格型号:TVR</w:t>
            </w:r>
          </w:p>
          <w:p>
            <w:pPr>
              <w:ind w:firstLine="0" w:firstLineChars="0"/>
              <w:jc w:val="left"/>
            </w:pPr>
            <w:r>
              <w:t>材质:</w:t>
            </w:r>
          </w:p>
          <w:p>
            <w:pPr>
              <w:ind w:firstLine="0" w:firstLineChars="0"/>
              <w:jc w:val="left"/>
            </w:pPr>
            <w:r>
              <w:t>尺寸:</w:t>
            </w:r>
          </w:p>
          <w:p>
            <w:pPr>
              <w:ind w:firstLine="0" w:firstLineChars="0"/>
              <w:jc w:val="left"/>
            </w:pPr>
            <w:r>
              <w:t>主要参数:要求产品质量合格，型号为TVR\\3*16MM2＋1*6MM2\\300／500V</w:t>
            </w:r>
          </w:p>
          <w:p>
            <w:pPr>
              <w:ind w:firstLine="0" w:firstLineChars="0"/>
              <w:jc w:val="left"/>
            </w:pPr>
            <w:r>
              <w:t>原产品制造商:</w:t>
            </w:r>
          </w:p>
          <w:p>
            <w:pPr>
              <w:ind w:firstLine="0" w:firstLineChars="0"/>
              <w:jc w:val="left"/>
            </w:pPr>
            <w:r>
              <w:t>参考品牌:</w:t>
            </w:r>
          </w:p>
          <w:p>
            <w:pPr>
              <w:ind w:firstLine="0" w:firstLineChars="0"/>
              <w:jc w:val="left"/>
            </w:pPr>
            <w:r>
              <w:t>机组:</w:t>
            </w:r>
          </w:p>
          <w:p>
            <w:pPr>
              <w:ind w:firstLine="0" w:firstLineChars="0"/>
              <w:jc w:val="left"/>
            </w:pPr>
            <w:r>
              <w:t>主设备:吊车</w:t>
            </w:r>
          </w:p>
          <w:p>
            <w:pPr>
              <w:ind w:firstLine="0" w:firstLineChars="0"/>
              <w:jc w:val="left"/>
            </w:pPr>
            <w:r>
              <w:t>使用环境:</w:t>
            </w:r>
          </w:p>
          <w:p>
            <w:pPr>
              <w:ind w:firstLine="0" w:firstLineChars="0"/>
              <w:jc w:val="left"/>
            </w:pPr>
            <w:r>
              <w:t>进口产品:否</w:t>
            </w:r>
          </w:p>
          <w:p>
            <w:pPr>
              <w:ind w:firstLine="0" w:firstLineChars="0"/>
              <w:jc w:val="left"/>
            </w:pPr>
            <w:r>
              <w:t>安装调试:</w:t>
            </w:r>
          </w:p>
          <w:p>
            <w:pPr>
              <w:ind w:firstLine="0" w:firstLineChars="0"/>
              <w:jc w:val="left"/>
            </w:pPr>
            <w:r>
              <w:t>专项验收标准:应提供电缆合格证。</w:t>
            </w:r>
          </w:p>
          <w:p>
            <w:pPr>
              <w:ind w:firstLine="0" w:firstLineChars="0"/>
              <w:jc w:val="left"/>
            </w:pPr>
            <w:r>
              <w:t>质保期:12</w:t>
            </w:r>
          </w:p>
          <w:p>
            <w:pPr>
              <w:ind w:firstLine="0" w:firstLineChars="0"/>
              <w:jc w:val="left"/>
            </w:pPr>
            <w:r>
              <w:t>其他要求:若收到的产品与供货商提供的证明材料不符或经证明证明材料或产品系伪造的，并非正规原厂产品的，由中标方负责更换符合要求的产品。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30</w:t>
            </w:r>
          </w:p>
        </w:tc>
      </w:tr>
    </w:tbl>
    <w:p>
      <w:pPr>
        <w:ind w:firstLine="480"/>
      </w:pPr>
    </w:p>
    <w:p>
      <w:pPr>
        <w:widowControl/>
        <w:adjustRightInd/>
        <w:snapToGrid/>
        <w:spacing w:line="240" w:lineRule="auto"/>
        <w:ind w:firstLine="0" w:firstLineChars="0"/>
        <w:jc w:val="left"/>
        <w:rPr>
          <w:rFonts w:ascii="Arial" w:hAnsi="Arial" w:cs="Arial"/>
        </w:rPr>
      </w:pPr>
      <w:r>
        <w:rPr>
          <w:rFonts w:hint="eastAsia" w:ascii="Arial" w:hAnsi="Arial" w:cs="Arial"/>
        </w:rPr>
        <w:t>*参考品牌仅供参考，不代表招标人具有指向性，投标产品需满足或高于参考品牌的性能参数和设备使用功能。</w:t>
      </w:r>
    </w:p>
    <w:p>
      <w:pPr>
        <w:ind w:firstLine="480"/>
      </w:pPr>
      <w:r>
        <w:br w:type="page"/>
      </w:r>
    </w:p>
    <w:p>
      <w:pPr>
        <w:ind w:firstLine="480"/>
      </w:pPr>
    </w:p>
    <w:p>
      <w:pPr>
        <w:ind w:firstLine="480"/>
      </w:pPr>
    </w:p>
    <w:p>
      <w:pPr>
        <w:ind w:firstLine="480"/>
      </w:pPr>
    </w:p>
    <w:p>
      <w:pPr>
        <w:ind w:firstLine="480"/>
      </w:pPr>
    </w:p>
    <w:p>
      <w:pPr>
        <w:ind w:firstLine="480"/>
      </w:pPr>
    </w:p>
    <w:p>
      <w:pPr>
        <w:pStyle w:val="25"/>
        <w:spacing w:before="120"/>
        <w:rPr>
          <w:rFonts w:ascii="宋体" w:hAnsi="宋体"/>
          <w:szCs w:val="24"/>
        </w:rPr>
      </w:pPr>
      <w:bookmarkStart w:id="395" w:name="_Toc527708268"/>
      <w:bookmarkStart w:id="396" w:name="_Toc11122"/>
      <w:bookmarkStart w:id="397" w:name="_Toc30531"/>
      <w:bookmarkStart w:id="398" w:name="_Toc2114"/>
      <w:bookmarkStart w:id="399" w:name="_Toc16509"/>
      <w:bookmarkStart w:id="400" w:name="_Toc31423"/>
      <w:bookmarkStart w:id="401" w:name="_Toc12463"/>
      <w:bookmarkStart w:id="402" w:name="_Toc23032"/>
      <w:r>
        <w:t>第</w:t>
      </w:r>
      <w:r>
        <w:rPr>
          <w:rFonts w:hint="eastAsia"/>
        </w:rPr>
        <w:t>六</w:t>
      </w:r>
      <w:r>
        <w:t>章 响应文件格式</w:t>
      </w:r>
      <w:bookmarkEnd w:id="395"/>
      <w:r>
        <w:rPr>
          <w:rFonts w:ascii="宋体" w:hAnsi="宋体"/>
          <w:szCs w:val="24"/>
        </w:rPr>
        <w:br w:type="page"/>
      </w:r>
      <w:bookmarkEnd w:id="396"/>
      <w:bookmarkEnd w:id="397"/>
      <w:bookmarkEnd w:id="398"/>
      <w:bookmarkEnd w:id="399"/>
      <w:bookmarkEnd w:id="400"/>
      <w:bookmarkEnd w:id="401"/>
      <w:bookmarkEnd w:id="402"/>
    </w:p>
    <w:p>
      <w:pPr>
        <w:ind w:firstLine="480"/>
        <w:rPr>
          <w:rFonts w:ascii="宋体" w:hAnsi="宋体"/>
          <w:szCs w:val="24"/>
        </w:rPr>
      </w:pPr>
    </w:p>
    <w:p>
      <w:pPr>
        <w:pStyle w:val="13"/>
        <w:spacing w:before="120" w:beforeLines="50"/>
        <w:ind w:firstLine="964"/>
        <w:jc w:val="center"/>
        <w:rPr>
          <w:rFonts w:ascii="宋体" w:hAnsi="宋体" w:cs="Arial"/>
          <w:b/>
          <w:sz w:val="48"/>
          <w:u w:val="single"/>
        </w:rPr>
      </w:pPr>
      <w:bookmarkStart w:id="403" w:name="_Toc453162622"/>
      <w:bookmarkStart w:id="404" w:name="_Toc453162709"/>
      <w:bookmarkStart w:id="405" w:name="_Toc453079648"/>
      <w:r>
        <w:rPr>
          <w:rFonts w:hint="eastAsia" w:ascii="宋体" w:hAnsi="宋体" w:cs="Arial"/>
          <w:b/>
          <w:sz w:val="48"/>
          <w:u w:val="single"/>
        </w:rPr>
        <w:t xml:space="preserve"> </w:t>
      </w:r>
      <w:r>
        <w:rPr>
          <w:rFonts w:ascii="宋体" w:hAnsi="宋体" w:cs="Arial"/>
          <w:b/>
          <w:sz w:val="48"/>
          <w:u w:val="single"/>
        </w:rPr>
        <w:t xml:space="preserve">        </w:t>
      </w:r>
      <w:r>
        <w:rPr>
          <w:rFonts w:hint="eastAsia" w:ascii="宋体" w:hAnsi="宋体" w:cs="Arial"/>
          <w:b/>
          <w:sz w:val="48"/>
        </w:rPr>
        <w:t>项目采购</w:t>
      </w:r>
    </w:p>
    <w:p>
      <w:pPr>
        <w:pStyle w:val="13"/>
        <w:ind w:left="119" w:firstLine="0" w:firstLineChars="0"/>
        <w:jc w:val="center"/>
        <w:rPr>
          <w:rFonts w:ascii="宋体" w:hAnsi="宋体" w:cs="Arial"/>
          <w:sz w:val="72"/>
        </w:rPr>
      </w:pPr>
    </w:p>
    <w:p>
      <w:pPr>
        <w:pStyle w:val="13"/>
        <w:ind w:firstLine="0" w:firstLineChars="0"/>
        <w:jc w:val="center"/>
        <w:rPr>
          <w:rFonts w:ascii="黑体" w:hAnsi="黑体" w:eastAsia="黑体" w:cs="Arial"/>
          <w:sz w:val="84"/>
          <w:szCs w:val="84"/>
        </w:rPr>
      </w:pPr>
      <w:r>
        <w:rPr>
          <w:rFonts w:hint="eastAsia" w:ascii="黑体" w:hAnsi="黑体" w:eastAsia="黑体" w:cs="Arial"/>
          <w:sz w:val="84"/>
          <w:szCs w:val="84"/>
        </w:rPr>
        <w:t xml:space="preserve">响 应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pStyle w:val="13"/>
        <w:ind w:firstLine="3200" w:firstLineChars="1000"/>
        <w:rPr>
          <w:rFonts w:ascii="黑体" w:hAnsi="黑体" w:eastAsia="黑体" w:cs="Arial"/>
          <w:sz w:val="32"/>
          <w:szCs w:val="32"/>
          <w:u w:val="single"/>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黑体" w:hAnsi="黑体" w:eastAsia="黑体" w:cs="Arial"/>
          <w:sz w:val="32"/>
          <w:szCs w:val="32"/>
          <w:u w:val="single"/>
        </w:rPr>
        <w:t xml:space="preserve">         </w:t>
      </w: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ascii="宋体" w:hAnsi="宋体" w:cs="Arial"/>
          <w:sz w:val="28"/>
          <w:szCs w:val="28"/>
          <w:u w:val="single"/>
        </w:rPr>
        <w:t xml:space="preserve"> </w:t>
      </w:r>
      <w:r>
        <w:rPr>
          <w:rFonts w:hint="eastAsia" w:ascii="宋体" w:hAnsi="宋体" w:cs="Arial"/>
          <w:sz w:val="28"/>
          <w:szCs w:val="28"/>
          <w:u w:val="single"/>
        </w:rPr>
        <w:t xml:space="preserve">       （盖章）</w:t>
      </w:r>
    </w:p>
    <w:p>
      <w:pPr>
        <w:pStyle w:val="13"/>
        <w:ind w:firstLine="0" w:firstLineChars="0"/>
        <w:jc w:val="center"/>
        <w:rPr>
          <w:rFonts w:ascii="宋体" w:hAnsi="宋体" w:cs="Arial"/>
          <w:sz w:val="28"/>
          <w:szCs w:val="28"/>
        </w:rPr>
      </w:pPr>
      <w:r>
        <w:rPr>
          <w:rFonts w:ascii="宋体" w:hAnsi="宋体" w:cs="Arial"/>
          <w:sz w:val="28"/>
          <w:szCs w:val="28"/>
        </w:rPr>
        <w:t xml:space="preserve">日 </w:t>
      </w:r>
      <w:r>
        <w:rPr>
          <w:rFonts w:hint="eastAsia" w:ascii="宋体" w:hAnsi="宋体" w:cs="Arial"/>
          <w:sz w:val="28"/>
          <w:szCs w:val="28"/>
        </w:rPr>
        <w:t xml:space="preserve"> </w:t>
      </w:r>
      <w:r>
        <w:rPr>
          <w:rFonts w:ascii="宋体" w:hAnsi="宋体" w:cs="Arial"/>
          <w:sz w:val="28"/>
          <w:szCs w:val="28"/>
        </w:rPr>
        <w:t>期：</w:t>
      </w:r>
      <w:r>
        <w:rPr>
          <w:rFonts w:hint="eastAsia" w:ascii="宋体" w:hAnsi="宋体" w:cs="Arial"/>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hint="eastAsia" w:ascii="宋体" w:hAnsi="宋体" w:cs="Arial"/>
          <w:sz w:val="28"/>
          <w:szCs w:val="28"/>
          <w:u w:val="single"/>
        </w:rPr>
        <w:t xml:space="preserve">  </w:t>
      </w:r>
      <w:r>
        <w:rPr>
          <w:rFonts w:ascii="宋体" w:hAnsi="宋体" w:cs="Arial"/>
          <w:sz w:val="28"/>
          <w:szCs w:val="28"/>
        </w:rPr>
        <w:t>月</w:t>
      </w:r>
      <w:r>
        <w:rPr>
          <w:rFonts w:hint="eastAsia" w:ascii="宋体" w:hAnsi="宋体" w:cs="Arial"/>
          <w:sz w:val="28"/>
          <w:szCs w:val="28"/>
          <w:u w:val="single"/>
        </w:rPr>
        <w:t xml:space="preserve">   </w:t>
      </w:r>
      <w:r>
        <w:rPr>
          <w:rFonts w:ascii="宋体" w:hAnsi="宋体" w:cs="Arial"/>
          <w:sz w:val="28"/>
          <w:szCs w:val="28"/>
        </w:rPr>
        <w:t>日</w:t>
      </w:r>
    </w:p>
    <w:p>
      <w:pPr>
        <w:ind w:firstLine="0" w:firstLineChars="0"/>
        <w:jc w:val="left"/>
        <w:rPr>
          <w:rFonts w:ascii="宋体" w:hAnsi="宋体"/>
          <w:szCs w:val="24"/>
        </w:rPr>
      </w:pPr>
    </w:p>
    <w:p>
      <w:pPr>
        <w:ind w:firstLine="480"/>
        <w:rPr>
          <w:rFonts w:ascii="宋体" w:hAnsi="宋体"/>
          <w:szCs w:val="24"/>
        </w:rPr>
      </w:pPr>
    </w:p>
    <w:p>
      <w:pPr>
        <w:ind w:firstLine="480"/>
        <w:jc w:val="center"/>
        <w:rPr>
          <w:rFonts w:ascii="黑体" w:hAnsi="黑体" w:eastAsia="黑体"/>
        </w:rPr>
      </w:pPr>
      <w:r>
        <w:br w:type="page"/>
      </w:r>
      <w:bookmarkEnd w:id="403"/>
      <w:bookmarkEnd w:id="404"/>
      <w:bookmarkEnd w:id="405"/>
      <w:r>
        <w:rPr>
          <w:rFonts w:hint="eastAsia" w:ascii="黑体" w:hAnsi="黑体" w:eastAsia="黑体"/>
          <w:sz w:val="36"/>
        </w:rPr>
        <w:t>目  录</w:t>
      </w:r>
    </w:p>
    <w:p>
      <w:pPr>
        <w:spacing w:line="540" w:lineRule="exact"/>
        <w:ind w:firstLine="480"/>
      </w:pPr>
    </w:p>
    <w:p>
      <w:pPr>
        <w:ind w:firstLine="480"/>
      </w:pPr>
      <w:r>
        <w:rPr>
          <w:rFonts w:hint="eastAsia"/>
        </w:rPr>
        <w:t>一、</w:t>
      </w:r>
      <w:r>
        <w:t>授权委托书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ind w:firstLine="480"/>
      </w:pPr>
      <w:r>
        <w:rPr>
          <w:rFonts w:hint="eastAsia"/>
        </w:rPr>
        <w:t>五、偏差表</w:t>
      </w:r>
    </w:p>
    <w:p>
      <w:pPr>
        <w:pStyle w:val="3"/>
        <w:spacing w:before="120"/>
      </w:pPr>
      <w:r>
        <w:br w:type="page"/>
      </w:r>
      <w:bookmarkStart w:id="406" w:name="_Toc352691659"/>
      <w:bookmarkEnd w:id="406"/>
      <w:bookmarkStart w:id="407" w:name="_Toc16568"/>
      <w:bookmarkEnd w:id="407"/>
      <w:bookmarkStart w:id="408" w:name="_Toc369531695"/>
      <w:bookmarkEnd w:id="408"/>
      <w:bookmarkStart w:id="409" w:name="_Toc369531696"/>
      <w:bookmarkEnd w:id="409"/>
      <w:bookmarkStart w:id="410" w:name="_Toc16824"/>
      <w:bookmarkEnd w:id="410"/>
      <w:bookmarkStart w:id="411" w:name="_Toc352691660"/>
      <w:bookmarkEnd w:id="411"/>
      <w:bookmarkStart w:id="412" w:name="_Toc22297"/>
      <w:bookmarkStart w:id="413" w:name="_Toc24514"/>
      <w:bookmarkStart w:id="414" w:name="_Toc14926"/>
      <w:bookmarkStart w:id="415" w:name="_Toc1003"/>
      <w:bookmarkStart w:id="416" w:name="_Toc147"/>
      <w:bookmarkStart w:id="417" w:name="_Toc8422"/>
      <w:bookmarkStart w:id="418" w:name="_Toc28964"/>
      <w:bookmarkStart w:id="419" w:name="_Toc527708269"/>
      <w:bookmarkStart w:id="420" w:name="_Toc527560962"/>
      <w:r>
        <w:rPr>
          <w:rFonts w:hint="eastAsia"/>
        </w:rPr>
        <w:t>一</w:t>
      </w:r>
      <w:r>
        <w:t>、授权委托书</w:t>
      </w:r>
      <w:bookmarkEnd w:id="412"/>
      <w:bookmarkEnd w:id="413"/>
      <w:bookmarkEnd w:id="414"/>
      <w:bookmarkEnd w:id="415"/>
      <w:bookmarkEnd w:id="416"/>
      <w:bookmarkEnd w:id="417"/>
      <w:bookmarkEnd w:id="418"/>
      <w:bookmarkEnd w:id="419"/>
      <w:bookmarkEnd w:id="420"/>
    </w:p>
    <w:p>
      <w:pPr>
        <w:ind w:firstLine="480"/>
        <w:rPr>
          <w:rFonts w:eastAsia="黑体"/>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（项目名称）</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pPr>
    </w:p>
    <w:p>
      <w:pPr>
        <w:ind w:firstLine="3076" w:firstLineChars="1282"/>
        <w:rPr>
          <w:u w:val="single"/>
        </w:rPr>
      </w:pPr>
      <w:r>
        <w:t>供应商：</w:t>
      </w:r>
      <w:r>
        <w:rPr>
          <w:u w:val="single"/>
        </w:rPr>
        <w:t>（单位公章）</w:t>
      </w:r>
      <w:r>
        <w:rPr>
          <w:rFonts w:hint="eastAsia"/>
          <w:u w:val="single"/>
        </w:rPr>
        <w:t xml:space="preserve"> </w:t>
      </w:r>
      <w:r>
        <w:rPr>
          <w:u w:val="single"/>
        </w:rPr>
        <w:t xml:space="preserve">                          </w:t>
      </w:r>
    </w:p>
    <w:p>
      <w:pPr>
        <w:ind w:firstLine="3076" w:firstLineChars="1282"/>
      </w:pPr>
    </w:p>
    <w:p>
      <w:pPr>
        <w:ind w:firstLine="3074" w:firstLineChars="1281"/>
      </w:pPr>
      <w:r>
        <w:rPr>
          <w:rFonts w:hint="eastAsia"/>
        </w:rPr>
        <w:t>法定代表人（单位负责人）</w:t>
      </w:r>
      <w:r>
        <w:t>：</w:t>
      </w:r>
      <w:r>
        <w:rPr>
          <w:u w:val="single"/>
        </w:rPr>
        <w:t xml:space="preserve">（签字）              </w:t>
      </w:r>
    </w:p>
    <w:p>
      <w:pPr>
        <w:ind w:firstLine="3076" w:firstLineChars="1282"/>
      </w:pPr>
    </w:p>
    <w:p>
      <w:pPr>
        <w:ind w:firstLine="3076" w:firstLineChars="1282"/>
        <w:rPr>
          <w:u w:val="single"/>
        </w:rPr>
      </w:pPr>
      <w:r>
        <w:t>委托代理人：</w:t>
      </w:r>
      <w:r>
        <w:rPr>
          <w:u w:val="single"/>
        </w:rPr>
        <w:t xml:space="preserve">（签字）                           </w:t>
      </w:r>
    </w:p>
    <w:p>
      <w:pPr>
        <w:ind w:firstLine="3076" w:firstLineChars="1282"/>
      </w:pPr>
    </w:p>
    <w:p>
      <w:pPr>
        <w:ind w:firstLine="3076" w:firstLineChars="1282"/>
      </w:pPr>
    </w:p>
    <w:p>
      <w:pPr>
        <w:ind w:firstLine="4876" w:firstLineChars="2032"/>
      </w:pPr>
      <w:r>
        <w:rPr>
          <w:u w:val="single"/>
        </w:rPr>
        <w:t xml:space="preserve">       </w:t>
      </w:r>
      <w:r>
        <w:t>年</w:t>
      </w:r>
      <w:r>
        <w:rPr>
          <w:u w:val="single"/>
        </w:rPr>
        <w:t xml:space="preserve">       </w:t>
      </w:r>
      <w:r>
        <w:t>月</w:t>
      </w:r>
      <w:r>
        <w:rPr>
          <w:u w:val="single"/>
        </w:rPr>
        <w:t xml:space="preserve">       </w:t>
      </w:r>
      <w:r>
        <w:t>日</w:t>
      </w:r>
    </w:p>
    <w:p>
      <w:pPr>
        <w:spacing w:line="400" w:lineRule="exact"/>
        <w:ind w:firstLine="480"/>
      </w:pPr>
    </w:p>
    <w:p>
      <w:pPr>
        <w:spacing w:line="400" w:lineRule="exact"/>
        <w:ind w:firstLine="480"/>
      </w:pPr>
      <w:r>
        <w:rPr>
          <w:rFonts w:hint="eastAsia"/>
        </w:rPr>
        <w:t>注：如供应商法定代表人参加采购行为，只需附其身份证复印件。</w:t>
      </w:r>
    </w:p>
    <w:p>
      <w:pPr>
        <w:pStyle w:val="3"/>
        <w:spacing w:before="120"/>
      </w:pPr>
      <w:bookmarkStart w:id="421" w:name="_Toc510370158"/>
      <w:bookmarkStart w:id="422" w:name="_Toc527560963"/>
      <w:r>
        <w:br w:type="page"/>
      </w:r>
      <w:bookmarkStart w:id="423" w:name="_Toc25922"/>
      <w:bookmarkStart w:id="424" w:name="_Toc10877"/>
      <w:bookmarkStart w:id="425" w:name="_Toc8392"/>
      <w:bookmarkStart w:id="426" w:name="_Toc20369"/>
      <w:bookmarkStart w:id="427" w:name="_Toc527708270"/>
      <w:bookmarkStart w:id="428" w:name="_Toc23811"/>
      <w:bookmarkStart w:id="429" w:name="_Toc27402"/>
      <w:bookmarkStart w:id="430" w:name="_Toc16091"/>
      <w:r>
        <w:rPr>
          <w:rFonts w:hint="eastAsia"/>
        </w:rPr>
        <w:t>二、报价部分</w:t>
      </w:r>
      <w:bookmarkEnd w:id="421"/>
      <w:bookmarkEnd w:id="422"/>
      <w:bookmarkEnd w:id="423"/>
      <w:bookmarkEnd w:id="424"/>
      <w:bookmarkEnd w:id="425"/>
      <w:bookmarkEnd w:id="426"/>
      <w:bookmarkEnd w:id="427"/>
      <w:bookmarkEnd w:id="428"/>
      <w:bookmarkEnd w:id="429"/>
      <w:bookmarkEnd w:id="430"/>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2"/>
        <w:rPr>
          <w:b/>
          <w:bCs/>
          <w:color w:val="FF0000"/>
        </w:rPr>
      </w:pPr>
      <w:r>
        <w:rPr>
          <w:rFonts w:hint="eastAsia"/>
          <w:b/>
          <w:bCs/>
          <w:color w:val="FF0000"/>
        </w:rPr>
        <w:t>1</w:t>
      </w:r>
      <w:r>
        <w:rPr>
          <w:b/>
          <w:bCs/>
          <w:color w:val="FF0000"/>
        </w:rPr>
        <w:t xml:space="preserve">.3 </w:t>
      </w:r>
      <w:r>
        <w:rPr>
          <w:rFonts w:hint="eastAsia"/>
          <w:b/>
          <w:bCs/>
          <w:color w:val="FF0000"/>
        </w:rPr>
        <w:t>超出最高限价视为无效报价。</w:t>
      </w:r>
    </w:p>
    <w:p>
      <w:pPr>
        <w:ind w:firstLine="480"/>
      </w:pPr>
      <w:bookmarkStart w:id="431" w:name="_Toc354089004"/>
      <w:r>
        <w:rPr>
          <w:rFonts w:hint="eastAsia"/>
        </w:rPr>
        <w:t>2</w:t>
      </w:r>
      <w:r>
        <w:t>.</w:t>
      </w:r>
      <w:r>
        <w:rPr>
          <w:rFonts w:hint="eastAsia"/>
        </w:rPr>
        <w:t>响应报价表</w:t>
      </w:r>
      <w:bookmarkEnd w:id="431"/>
    </w:p>
    <w:p>
      <w:pPr>
        <w:ind w:firstLine="480"/>
      </w:pPr>
      <w:r>
        <w:rPr>
          <w:rFonts w:hint="eastAsia"/>
        </w:rPr>
        <w:t>2.1报价汇总表（格式）</w:t>
      </w:r>
    </w:p>
    <w:p>
      <w:pPr>
        <w:pStyle w:val="71"/>
        <w:tabs>
          <w:tab w:val="left" w:pos="0"/>
          <w:tab w:val="left" w:pos="240"/>
          <w:tab w:val="left" w:pos="840"/>
          <w:tab w:val="left" w:pos="1080"/>
        </w:tabs>
        <w:spacing w:line="360" w:lineRule="auto"/>
        <w:ind w:firstLine="0" w:firstLineChars="0"/>
        <w:jc w:val="center"/>
        <w:rPr>
          <w:rFonts w:ascii="宋体" w:hAnsi="宋体" w:cs="Arial"/>
          <w:sz w:val="21"/>
          <w:szCs w:val="21"/>
        </w:rPr>
      </w:pPr>
      <w:r>
        <w:rPr>
          <w:rFonts w:hint="eastAsia"/>
          <w:b/>
          <w:szCs w:val="21"/>
        </w:rPr>
        <w:t>报价表</w:t>
      </w:r>
    </w:p>
    <w:p>
      <w:pPr>
        <w:ind w:right="210" w:firstLine="420"/>
        <w:jc w:val="right"/>
        <w:rPr>
          <w:b/>
          <w:szCs w:val="21"/>
          <w:u w:val="single"/>
        </w:rPr>
      </w:pPr>
      <w:r>
        <w:rPr>
          <w:rFonts w:hint="eastAsia" w:cs="Arial"/>
          <w:sz w:val="21"/>
          <w:szCs w:val="21"/>
        </w:rPr>
        <w:t>单位：人民币元</w:t>
      </w:r>
    </w:p>
    <w:tbl>
      <w:tblPr>
        <w:tblStyle w:val="32"/>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3"/>
        <w:gridCol w:w="1643"/>
        <w:gridCol w:w="1300"/>
        <w:gridCol w:w="3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序号</w:t>
            </w:r>
          </w:p>
        </w:tc>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项目</w:t>
            </w:r>
          </w:p>
        </w:tc>
        <w:tc>
          <w:tcPr>
            <w:tcW w:w="1300" w:type="dxa"/>
            <w:vAlign w:val="center"/>
          </w:tcPr>
          <w:p>
            <w:pPr>
              <w:widowControl/>
              <w:adjustRightInd/>
              <w:snapToGrid/>
              <w:spacing w:line="240" w:lineRule="auto"/>
              <w:ind w:firstLine="0" w:firstLineChars="0"/>
              <w:jc w:val="center"/>
              <w:rPr>
                <w:kern w:val="0"/>
                <w:sz w:val="22"/>
              </w:rPr>
            </w:pPr>
            <w:r>
              <w:rPr>
                <w:rFonts w:hint="eastAsia"/>
                <w:kern w:val="0"/>
                <w:sz w:val="22"/>
              </w:rPr>
              <w:t>含税总价</w:t>
            </w:r>
          </w:p>
        </w:tc>
        <w:tc>
          <w:tcPr>
            <w:tcW w:w="3746" w:type="dxa"/>
            <w:vAlign w:val="center"/>
          </w:tcPr>
          <w:p>
            <w:pPr>
              <w:widowControl/>
              <w:adjustRightInd/>
              <w:snapToGrid/>
              <w:spacing w:line="240" w:lineRule="auto"/>
              <w:ind w:firstLine="0" w:firstLineChars="0"/>
              <w:jc w:val="center"/>
              <w:rPr>
                <w:kern w:val="0"/>
                <w:sz w:val="22"/>
              </w:rPr>
            </w:pPr>
            <w:r>
              <w:rPr>
                <w:rFonts w:hint="eastAsia"/>
                <w:kern w:val="0"/>
                <w:sz w:val="22"/>
              </w:rPr>
              <w:t>增值税发票类型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1</w:t>
            </w:r>
          </w:p>
        </w:tc>
        <w:tc>
          <w:tcPr>
            <w:tcW w:w="1643" w:type="dxa"/>
            <w:vAlign w:val="center"/>
          </w:tcPr>
          <w:p>
            <w:pPr>
              <w:widowControl/>
              <w:adjustRightInd/>
              <w:snapToGrid/>
              <w:spacing w:line="240" w:lineRule="auto"/>
              <w:ind w:firstLine="0" w:firstLineChars="0"/>
              <w:jc w:val="center"/>
              <w:rPr>
                <w:kern w:val="0"/>
                <w:sz w:val="22"/>
              </w:rPr>
            </w:pPr>
          </w:p>
        </w:tc>
        <w:tc>
          <w:tcPr>
            <w:tcW w:w="1300" w:type="dxa"/>
            <w:vAlign w:val="center"/>
          </w:tcPr>
          <w:p>
            <w:pPr>
              <w:widowControl/>
              <w:adjustRightInd/>
              <w:snapToGrid/>
              <w:spacing w:line="240" w:lineRule="auto"/>
              <w:ind w:firstLine="0" w:firstLineChars="0"/>
              <w:jc w:val="center"/>
              <w:rPr>
                <w:kern w:val="0"/>
                <w:sz w:val="22"/>
              </w:rPr>
            </w:pPr>
          </w:p>
        </w:tc>
        <w:tc>
          <w:tcPr>
            <w:tcW w:w="3746" w:type="dxa"/>
            <w:vAlign w:val="center"/>
          </w:tcPr>
          <w:p>
            <w:pPr>
              <w:widowControl/>
              <w:adjustRightInd/>
              <w:snapToGrid/>
              <w:spacing w:line="240" w:lineRule="auto"/>
              <w:ind w:firstLine="0" w:firstLineChars="0"/>
              <w:rPr>
                <w:kern w:val="0"/>
                <w:sz w:val="22"/>
              </w:rPr>
            </w:pPr>
            <w:r>
              <w:rPr>
                <w:rFonts w:hint="eastAsia"/>
                <w:kern w:val="0"/>
                <w:sz w:val="22"/>
              </w:rPr>
              <w:t>□提供增值税普通发票；</w:t>
            </w:r>
          </w:p>
          <w:p>
            <w:pPr>
              <w:widowControl/>
              <w:adjustRightInd/>
              <w:snapToGrid/>
              <w:spacing w:line="240" w:lineRule="auto"/>
              <w:ind w:firstLine="0" w:firstLineChars="0"/>
              <w:rPr>
                <w:kern w:val="0"/>
                <w:sz w:val="22"/>
              </w:rPr>
            </w:pPr>
            <w:r>
              <w:rPr>
                <w:rFonts w:hint="eastAsia" w:ascii="宋体"/>
                <w:szCs w:val="28"/>
              </w:rPr>
              <w:sym w:font="Wingdings" w:char="F0FE"/>
            </w:r>
            <w:r>
              <w:rPr>
                <w:rFonts w:hint="eastAsia"/>
                <w:kern w:val="0"/>
                <w:sz w:val="22"/>
              </w:rPr>
              <w:t>提供增值税专用发票。不含税价为：</w:t>
            </w:r>
            <w:r>
              <w:rPr>
                <w:rFonts w:hint="eastAsia"/>
                <w:kern w:val="0"/>
                <w:sz w:val="22"/>
                <w:u w:val="single"/>
              </w:rPr>
              <w:t xml:space="preserve">    </w:t>
            </w:r>
            <w:r>
              <w:rPr>
                <w:rFonts w:hint="eastAsia" w:cs="Arial"/>
                <w:kern w:val="0"/>
                <w:sz w:val="22"/>
                <w:szCs w:val="24"/>
              </w:rPr>
              <w:t>元</w:t>
            </w:r>
            <w:r>
              <w:rPr>
                <w:rFonts w:hint="eastAsia"/>
                <w:kern w:val="0"/>
                <w:sz w:val="22"/>
              </w:rPr>
              <w:t>，税率：</w:t>
            </w:r>
            <w:r>
              <w:rPr>
                <w:rFonts w:hint="eastAsia"/>
                <w:kern w:val="0"/>
                <w:sz w:val="22"/>
                <w:u w:val="single"/>
              </w:rPr>
              <w:t xml:space="preserve">    </w:t>
            </w:r>
            <w:r>
              <w:rPr>
                <w:kern w:val="0"/>
                <w:sz w:val="22"/>
                <w:u w:val="single"/>
              </w:rPr>
              <w:t>%</w:t>
            </w:r>
            <w:r>
              <w:rPr>
                <w:rFonts w:hint="eastAsia"/>
                <w:kern w:val="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8332" w:type="dxa"/>
            <w:gridSpan w:val="4"/>
            <w:vAlign w:val="center"/>
          </w:tcPr>
          <w:p>
            <w:pPr>
              <w:widowControl/>
              <w:adjustRightInd/>
              <w:snapToGrid/>
              <w:spacing w:line="240" w:lineRule="auto"/>
              <w:ind w:firstLine="0" w:firstLineChars="0"/>
              <w:rPr>
                <w:kern w:val="0"/>
                <w:sz w:val="22"/>
              </w:rPr>
            </w:pPr>
            <w:r>
              <w:rPr>
                <w:rFonts w:hint="eastAsia"/>
                <w:kern w:val="0"/>
                <w:sz w:val="22"/>
              </w:rPr>
              <w:t>备注：</w:t>
            </w:r>
          </w:p>
        </w:tc>
      </w:tr>
    </w:tbl>
    <w:p>
      <w:pPr>
        <w:spacing w:line="360" w:lineRule="auto"/>
        <w:ind w:firstLine="480"/>
        <w:jc w:val="center"/>
        <w:rPr>
          <w:rFonts w:cs="Arial"/>
          <w:szCs w:val="21"/>
        </w:rPr>
      </w:pPr>
      <w:r>
        <w:rPr>
          <w:rFonts w:hint="eastAsia" w:cs="Arial"/>
          <w:szCs w:val="21"/>
        </w:rPr>
        <w:t xml:space="preserve">                        </w:t>
      </w: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firstLine="480"/>
        <w:jc w:val="right"/>
        <w:rPr>
          <w:rFonts w:cs="Arial"/>
          <w:szCs w:val="21"/>
        </w:rPr>
      </w:pPr>
      <w:r>
        <w:rPr>
          <w:rFonts w:hint="eastAsia" w:cs="Arial"/>
          <w:szCs w:val="21"/>
          <w:u w:val="single"/>
        </w:rPr>
        <w:t xml:space="preserve"> </w:t>
      </w: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ind w:firstLine="480"/>
      </w:pPr>
      <w:r>
        <w:rPr>
          <w:rFonts w:hint="eastAsia"/>
        </w:rPr>
        <w:t>2.2分项报价表</w:t>
      </w:r>
    </w:p>
    <w:p>
      <w:pPr>
        <w:ind w:firstLine="480"/>
      </w:pPr>
    </w:p>
    <w:tbl>
      <w:tblPr>
        <w:tblStyle w:val="32"/>
        <w:tblW w:w="924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65"/>
        <w:gridCol w:w="1751"/>
        <w:gridCol w:w="1020"/>
        <w:gridCol w:w="873"/>
        <w:gridCol w:w="1022"/>
        <w:gridCol w:w="92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76"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序号</w:t>
            </w:r>
          </w:p>
        </w:tc>
        <w:tc>
          <w:tcPr>
            <w:tcW w:w="1165"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物料号</w:t>
            </w:r>
          </w:p>
        </w:tc>
        <w:tc>
          <w:tcPr>
            <w:tcW w:w="1751"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项目名称</w:t>
            </w:r>
          </w:p>
        </w:tc>
        <w:tc>
          <w:tcPr>
            <w:tcW w:w="1020"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数量</w:t>
            </w:r>
          </w:p>
        </w:tc>
        <w:tc>
          <w:tcPr>
            <w:tcW w:w="873"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单位</w:t>
            </w:r>
          </w:p>
        </w:tc>
        <w:tc>
          <w:tcPr>
            <w:tcW w:w="102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净单价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924"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净总价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161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含税总金额</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76" w:type="dxa"/>
            <w:shd w:val="clear" w:color="000000" w:fill="FFFFFF"/>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w:t>
            </w:r>
          </w:p>
        </w:tc>
        <w:tc>
          <w:tcPr>
            <w:tcW w:w="1165"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w:t>
            </w:r>
          </w:p>
        </w:tc>
        <w:tc>
          <w:tcPr>
            <w:tcW w:w="1751"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XXXXXXXXXX</w:t>
            </w:r>
          </w:p>
        </w:tc>
        <w:tc>
          <w:tcPr>
            <w:tcW w:w="1020" w:type="dxa"/>
            <w:shd w:val="clear" w:color="000000" w:fill="FFFFFF"/>
            <w:vAlign w:val="center"/>
          </w:tcPr>
          <w:p>
            <w:pPr>
              <w:ind w:firstLine="19" w:firstLineChars="11"/>
              <w:jc w:val="center"/>
              <w:rPr>
                <w:rFonts w:ascii="宋体" w:cs="宋体"/>
                <w:kern w:val="0"/>
                <w:sz w:val="18"/>
                <w:szCs w:val="18"/>
              </w:rPr>
            </w:pPr>
            <w:r>
              <w:rPr>
                <w:rFonts w:hint="eastAsia" w:ascii="宋体" w:hAnsi="宋体" w:cs="宋体"/>
                <w:kern w:val="0"/>
                <w:sz w:val="18"/>
                <w:szCs w:val="18"/>
              </w:rPr>
              <w:t>XX</w:t>
            </w:r>
          </w:p>
        </w:tc>
        <w:tc>
          <w:tcPr>
            <w:tcW w:w="873" w:type="dxa"/>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XX</w:t>
            </w:r>
          </w:p>
        </w:tc>
        <w:tc>
          <w:tcPr>
            <w:tcW w:w="1022"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924"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1612" w:type="dxa"/>
            <w:vAlign w:val="center"/>
          </w:tcPr>
          <w:p>
            <w:pPr>
              <w:ind w:firstLine="19" w:firstLineChars="11"/>
              <w:jc w:val="center"/>
              <w:rPr>
                <w:rFonts w:ascii="宋体" w:cs="宋体"/>
                <w:kern w:val="0"/>
                <w:sz w:val="18"/>
                <w:szCs w:val="18"/>
              </w:rPr>
            </w:pPr>
            <w:r>
              <w:rPr>
                <w:rFonts w:ascii="宋体" w:hAnsi="宋体" w:cs="宋体"/>
                <w:kern w:val="0"/>
                <w:sz w:val="18"/>
                <w:szCs w:val="18"/>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76" w:type="dxa"/>
            <w:shd w:val="clear" w:color="auto"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合计</w:t>
            </w:r>
          </w:p>
        </w:tc>
        <w:tc>
          <w:tcPr>
            <w:tcW w:w="1165" w:type="dxa"/>
            <w:shd w:val="clear" w:color="auto" w:fill="BFBFBF"/>
            <w:vAlign w:val="center"/>
          </w:tcPr>
          <w:p>
            <w:pPr>
              <w:widowControl/>
              <w:ind w:firstLine="22" w:firstLineChars="11"/>
              <w:jc w:val="center"/>
              <w:rPr>
                <w:rFonts w:ascii="宋体" w:cs="宋体"/>
                <w:kern w:val="0"/>
                <w:sz w:val="20"/>
                <w:szCs w:val="21"/>
              </w:rPr>
            </w:pPr>
          </w:p>
        </w:tc>
        <w:tc>
          <w:tcPr>
            <w:tcW w:w="1751" w:type="dxa"/>
            <w:shd w:val="clear" w:color="auto" w:fill="BFBFBF"/>
            <w:vAlign w:val="center"/>
          </w:tcPr>
          <w:p>
            <w:pPr>
              <w:widowControl/>
              <w:ind w:firstLine="22" w:firstLineChars="11"/>
              <w:jc w:val="center"/>
              <w:rPr>
                <w:rFonts w:ascii="宋体" w:cs="宋体"/>
                <w:kern w:val="0"/>
                <w:sz w:val="20"/>
                <w:szCs w:val="21"/>
              </w:rPr>
            </w:pPr>
          </w:p>
        </w:tc>
        <w:tc>
          <w:tcPr>
            <w:tcW w:w="1020" w:type="dxa"/>
            <w:shd w:val="clear" w:color="auto" w:fill="BFBFBF"/>
            <w:vAlign w:val="center"/>
          </w:tcPr>
          <w:p>
            <w:pPr>
              <w:widowControl/>
              <w:ind w:firstLine="22" w:firstLineChars="11"/>
              <w:jc w:val="center"/>
              <w:rPr>
                <w:rFonts w:ascii="宋体" w:cs="宋体"/>
                <w:kern w:val="0"/>
                <w:sz w:val="20"/>
                <w:szCs w:val="21"/>
              </w:rPr>
            </w:pPr>
          </w:p>
        </w:tc>
        <w:tc>
          <w:tcPr>
            <w:tcW w:w="873" w:type="dxa"/>
            <w:shd w:val="clear" w:color="auto" w:fill="BFBFBF"/>
            <w:vAlign w:val="center"/>
          </w:tcPr>
          <w:p>
            <w:pPr>
              <w:ind w:firstLine="22" w:firstLineChars="11"/>
              <w:jc w:val="center"/>
              <w:rPr>
                <w:rFonts w:ascii="宋体" w:cs="宋体"/>
                <w:kern w:val="0"/>
                <w:sz w:val="20"/>
                <w:szCs w:val="21"/>
              </w:rPr>
            </w:pPr>
          </w:p>
        </w:tc>
        <w:tc>
          <w:tcPr>
            <w:tcW w:w="1022" w:type="dxa"/>
            <w:shd w:val="clear" w:color="auto" w:fill="BFBFBF"/>
            <w:vAlign w:val="center"/>
          </w:tcPr>
          <w:p>
            <w:pPr>
              <w:ind w:firstLine="22" w:firstLineChars="11"/>
              <w:jc w:val="center"/>
              <w:rPr>
                <w:rFonts w:ascii="宋体" w:cs="宋体"/>
                <w:kern w:val="0"/>
                <w:sz w:val="20"/>
                <w:szCs w:val="21"/>
              </w:rPr>
            </w:pPr>
          </w:p>
        </w:tc>
        <w:tc>
          <w:tcPr>
            <w:tcW w:w="924" w:type="dxa"/>
            <w:shd w:val="clear" w:color="auto" w:fill="BFBFBF"/>
            <w:vAlign w:val="center"/>
          </w:tcPr>
          <w:p>
            <w:pPr>
              <w:ind w:firstLine="22" w:firstLineChars="11"/>
              <w:jc w:val="center"/>
              <w:rPr>
                <w:rFonts w:ascii="宋体" w:cs="宋体"/>
                <w:kern w:val="0"/>
                <w:sz w:val="20"/>
                <w:szCs w:val="21"/>
              </w:rPr>
            </w:pPr>
          </w:p>
        </w:tc>
        <w:tc>
          <w:tcPr>
            <w:tcW w:w="1612" w:type="dxa"/>
            <w:shd w:val="clear" w:color="auto" w:fill="BFBFBF"/>
            <w:vAlign w:val="center"/>
          </w:tcPr>
          <w:p>
            <w:pPr>
              <w:ind w:firstLine="22" w:firstLineChars="11"/>
              <w:jc w:val="center"/>
              <w:rPr>
                <w:rFonts w:ascii="宋体" w:cs="宋体"/>
                <w:b/>
                <w:kern w:val="0"/>
                <w:sz w:val="20"/>
                <w:szCs w:val="21"/>
              </w:rPr>
            </w:pPr>
            <w:r>
              <w:rPr>
                <w:rFonts w:ascii="宋体" w:hAnsi="宋体" w:cs="宋体"/>
                <w:b/>
                <w:kern w:val="0"/>
                <w:sz w:val="20"/>
                <w:szCs w:val="21"/>
              </w:rPr>
              <w:t>XXXXXXXXX</w:t>
            </w:r>
          </w:p>
        </w:tc>
      </w:tr>
    </w:tbl>
    <w:p>
      <w:pPr>
        <w:ind w:firstLine="480"/>
      </w:pPr>
      <w:r>
        <w:rPr>
          <w:rFonts w:hint="eastAsia"/>
        </w:rPr>
        <w:t>如果总报价与分项报价表中的净价合计不一致，物资类询价以电子商务平台中报价为准（保留到人民币：分），工程服务类以响应文件中报价为准（保留到人民币：分）。</w:t>
      </w:r>
    </w:p>
    <w:p>
      <w:pPr>
        <w:pStyle w:val="3"/>
        <w:spacing w:before="120"/>
      </w:pPr>
      <w:r>
        <w:br w:type="page"/>
      </w:r>
      <w:bookmarkStart w:id="432" w:name="_Toc23510"/>
      <w:bookmarkStart w:id="433" w:name="_Toc518"/>
      <w:bookmarkStart w:id="434" w:name="_Toc26754"/>
      <w:bookmarkStart w:id="435" w:name="_Toc27208"/>
      <w:bookmarkStart w:id="436" w:name="_Toc527708271"/>
      <w:bookmarkStart w:id="437" w:name="_Toc5605"/>
      <w:bookmarkStart w:id="438" w:name="_Toc14935"/>
      <w:bookmarkStart w:id="439" w:name="_Toc21906"/>
      <w:bookmarkStart w:id="440" w:name="_Toc527560964"/>
      <w:r>
        <w:rPr>
          <w:rFonts w:hint="eastAsia"/>
        </w:rPr>
        <w:t>三、商务部分</w:t>
      </w:r>
      <w:bookmarkEnd w:id="432"/>
      <w:bookmarkEnd w:id="433"/>
      <w:bookmarkEnd w:id="434"/>
      <w:bookmarkEnd w:id="435"/>
      <w:bookmarkEnd w:id="436"/>
      <w:bookmarkEnd w:id="437"/>
      <w:bookmarkEnd w:id="438"/>
      <w:bookmarkEnd w:id="439"/>
    </w:p>
    <w:p>
      <w:pPr>
        <w:ind w:firstLine="0" w:firstLineChars="0"/>
        <w:rPr>
          <w:rFonts w:ascii="宋体" w:hAnsi="宋体" w:cs="宋体"/>
        </w:rPr>
      </w:pPr>
      <w:bookmarkStart w:id="441" w:name="_Toc78908410"/>
      <w:bookmarkStart w:id="442" w:name="_Toc2392"/>
      <w:r>
        <w:rPr>
          <w:rFonts w:hint="eastAsia" w:ascii="宋体" w:hAnsi="宋体" w:cs="宋体"/>
        </w:rPr>
        <w:t>1.</w:t>
      </w:r>
      <w:bookmarkEnd w:id="441"/>
      <w:r>
        <w:rPr>
          <w:rFonts w:hint="eastAsia" w:ascii="宋体" w:hAnsi="宋体" w:cs="宋体"/>
        </w:rPr>
        <w:t>商务部分摘要表</w:t>
      </w:r>
      <w:bookmarkEnd w:id="442"/>
    </w:p>
    <w:p>
      <w:pPr>
        <w:ind w:firstLine="480"/>
        <w:jc w:val="center"/>
      </w:pPr>
      <w:r>
        <w:rPr>
          <w:rFonts w:hint="eastAsia"/>
        </w:rPr>
        <w:t>商务部分摘要表</w:t>
      </w:r>
      <w:bookmarkEnd w:id="440"/>
    </w:p>
    <w:tbl>
      <w:tblPr>
        <w:tblStyle w:val="32"/>
        <w:tblW w:w="89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41"/>
        <w:gridCol w:w="1142"/>
        <w:gridCol w:w="957"/>
        <w:gridCol w:w="373"/>
        <w:gridCol w:w="189"/>
        <w:gridCol w:w="1330"/>
        <w:gridCol w:w="41"/>
        <w:gridCol w:w="30"/>
        <w:gridCol w:w="1070"/>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*供应商</w:t>
            </w:r>
            <w:r>
              <w:t>名称</w:t>
            </w:r>
          </w:p>
        </w:tc>
        <w:tc>
          <w:tcPr>
            <w:tcW w:w="7188" w:type="dxa"/>
            <w:gridSpan w:val="10"/>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注册地址</w:t>
            </w:r>
          </w:p>
        </w:tc>
        <w:tc>
          <w:tcPr>
            <w:tcW w:w="3802" w:type="dxa"/>
            <w:gridSpan w:val="5"/>
            <w:vAlign w:val="center"/>
          </w:tcPr>
          <w:p>
            <w:pPr>
              <w:pStyle w:val="41"/>
            </w:pPr>
          </w:p>
        </w:tc>
        <w:tc>
          <w:tcPr>
            <w:tcW w:w="1330" w:type="dxa"/>
            <w:vAlign w:val="center"/>
          </w:tcPr>
          <w:p>
            <w:pPr>
              <w:pStyle w:val="41"/>
            </w:pPr>
            <w:r>
              <w:t>邮政编码</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Merge w:val="restart"/>
            <w:vAlign w:val="center"/>
          </w:tcPr>
          <w:p>
            <w:pPr>
              <w:pStyle w:val="41"/>
            </w:pPr>
            <w:r>
              <w:rPr>
                <w:rFonts w:hint="eastAsia"/>
              </w:rPr>
              <w:t>*</w:t>
            </w:r>
            <w:r>
              <w:t>联系方式</w:t>
            </w:r>
          </w:p>
        </w:tc>
        <w:tc>
          <w:tcPr>
            <w:tcW w:w="1141" w:type="dxa"/>
            <w:vAlign w:val="center"/>
          </w:tcPr>
          <w:p>
            <w:pPr>
              <w:pStyle w:val="41"/>
            </w:pPr>
            <w:r>
              <w:rPr>
                <w:rFonts w:hint="eastAsia"/>
              </w:rPr>
              <w:t>*</w:t>
            </w:r>
            <w:r>
              <w:t>联系人</w:t>
            </w:r>
          </w:p>
        </w:tc>
        <w:tc>
          <w:tcPr>
            <w:tcW w:w="2661" w:type="dxa"/>
            <w:gridSpan w:val="4"/>
            <w:vAlign w:val="center"/>
          </w:tcPr>
          <w:p>
            <w:pPr>
              <w:pStyle w:val="41"/>
            </w:pPr>
          </w:p>
        </w:tc>
        <w:tc>
          <w:tcPr>
            <w:tcW w:w="1330" w:type="dxa"/>
            <w:vAlign w:val="center"/>
          </w:tcPr>
          <w:p>
            <w:pPr>
              <w:pStyle w:val="41"/>
            </w:pPr>
            <w:r>
              <w:rPr>
                <w:rFonts w:hint="eastAsia"/>
              </w:rPr>
              <w:t>*</w:t>
            </w:r>
            <w:r>
              <w:t>电话</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Merge w:val="continue"/>
            <w:vAlign w:val="center"/>
          </w:tcPr>
          <w:p>
            <w:pPr>
              <w:pStyle w:val="41"/>
            </w:pPr>
          </w:p>
        </w:tc>
        <w:tc>
          <w:tcPr>
            <w:tcW w:w="1141" w:type="dxa"/>
            <w:vAlign w:val="center"/>
          </w:tcPr>
          <w:p>
            <w:pPr>
              <w:pStyle w:val="41"/>
            </w:pPr>
            <w:r>
              <w:rPr>
                <w:rFonts w:hint="eastAsia"/>
              </w:rPr>
              <w:t>*</w:t>
            </w:r>
            <w:r>
              <w:t>传真</w:t>
            </w:r>
          </w:p>
        </w:tc>
        <w:tc>
          <w:tcPr>
            <w:tcW w:w="2661" w:type="dxa"/>
            <w:gridSpan w:val="4"/>
            <w:vAlign w:val="center"/>
          </w:tcPr>
          <w:p>
            <w:pPr>
              <w:pStyle w:val="41"/>
            </w:pPr>
          </w:p>
        </w:tc>
        <w:tc>
          <w:tcPr>
            <w:tcW w:w="1330" w:type="dxa"/>
            <w:vAlign w:val="center"/>
          </w:tcPr>
          <w:p>
            <w:pPr>
              <w:pStyle w:val="41"/>
            </w:pPr>
            <w:r>
              <w:t>网址</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股权结构</w:t>
            </w:r>
          </w:p>
        </w:tc>
        <w:tc>
          <w:tcPr>
            <w:tcW w:w="7188" w:type="dxa"/>
            <w:gridSpan w:val="10"/>
            <w:vAlign w:val="center"/>
          </w:tcPr>
          <w:p>
            <w:pPr>
              <w:pStyle w:val="41"/>
            </w:pPr>
            <w:r>
              <w:t>XX：A%；</w:t>
            </w:r>
          </w:p>
          <w:p>
            <w:pPr>
              <w:pStyle w:val="41"/>
            </w:pPr>
            <w:r>
              <w:t>YY：B%；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法定代表人</w:t>
            </w:r>
          </w:p>
        </w:tc>
        <w:tc>
          <w:tcPr>
            <w:tcW w:w="1141" w:type="dxa"/>
            <w:vAlign w:val="center"/>
          </w:tcPr>
          <w:p>
            <w:pPr>
              <w:pStyle w:val="41"/>
            </w:pPr>
            <w:r>
              <w:t>姓名</w:t>
            </w:r>
          </w:p>
        </w:tc>
        <w:tc>
          <w:tcPr>
            <w:tcW w:w="1142" w:type="dxa"/>
            <w:vAlign w:val="center"/>
          </w:tcPr>
          <w:p>
            <w:pPr>
              <w:pStyle w:val="41"/>
            </w:pPr>
          </w:p>
        </w:tc>
        <w:tc>
          <w:tcPr>
            <w:tcW w:w="1330" w:type="dxa"/>
            <w:gridSpan w:val="2"/>
            <w:vAlign w:val="center"/>
          </w:tcPr>
          <w:p>
            <w:pPr>
              <w:pStyle w:val="41"/>
            </w:pPr>
            <w:r>
              <w:t>技术职称</w:t>
            </w:r>
          </w:p>
        </w:tc>
        <w:tc>
          <w:tcPr>
            <w:tcW w:w="1560" w:type="dxa"/>
            <w:gridSpan w:val="3"/>
            <w:vAlign w:val="center"/>
          </w:tcPr>
          <w:p>
            <w:pPr>
              <w:pStyle w:val="41"/>
            </w:pPr>
          </w:p>
        </w:tc>
        <w:tc>
          <w:tcPr>
            <w:tcW w:w="1100" w:type="dxa"/>
            <w:gridSpan w:val="2"/>
            <w:vAlign w:val="center"/>
          </w:tcPr>
          <w:p>
            <w:pPr>
              <w:pStyle w:val="41"/>
            </w:pPr>
            <w:r>
              <w:rPr>
                <w:rFonts w:hint="eastAsia"/>
              </w:rPr>
              <w:t>*</w:t>
            </w:r>
            <w:r>
              <w:t>电话</w:t>
            </w:r>
          </w:p>
        </w:tc>
        <w:tc>
          <w:tcPr>
            <w:tcW w:w="915" w:type="dxa"/>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t>技术负责人</w:t>
            </w:r>
          </w:p>
        </w:tc>
        <w:tc>
          <w:tcPr>
            <w:tcW w:w="1141" w:type="dxa"/>
            <w:vAlign w:val="center"/>
          </w:tcPr>
          <w:p>
            <w:pPr>
              <w:pStyle w:val="41"/>
            </w:pPr>
            <w:r>
              <w:t>姓名</w:t>
            </w:r>
          </w:p>
        </w:tc>
        <w:tc>
          <w:tcPr>
            <w:tcW w:w="1142" w:type="dxa"/>
            <w:vAlign w:val="center"/>
          </w:tcPr>
          <w:p>
            <w:pPr>
              <w:pStyle w:val="41"/>
            </w:pPr>
          </w:p>
        </w:tc>
        <w:tc>
          <w:tcPr>
            <w:tcW w:w="1330" w:type="dxa"/>
            <w:gridSpan w:val="2"/>
            <w:vAlign w:val="center"/>
          </w:tcPr>
          <w:p>
            <w:pPr>
              <w:pStyle w:val="41"/>
            </w:pPr>
            <w:r>
              <w:t>技术职称</w:t>
            </w:r>
          </w:p>
        </w:tc>
        <w:tc>
          <w:tcPr>
            <w:tcW w:w="1560" w:type="dxa"/>
            <w:gridSpan w:val="3"/>
            <w:vAlign w:val="center"/>
          </w:tcPr>
          <w:p>
            <w:pPr>
              <w:pStyle w:val="41"/>
            </w:pPr>
          </w:p>
        </w:tc>
        <w:tc>
          <w:tcPr>
            <w:tcW w:w="1100" w:type="dxa"/>
            <w:gridSpan w:val="2"/>
            <w:vAlign w:val="center"/>
          </w:tcPr>
          <w:p>
            <w:pPr>
              <w:pStyle w:val="41"/>
            </w:pPr>
            <w:r>
              <w:rPr>
                <w:rFonts w:hint="eastAsia"/>
              </w:rPr>
              <w:t>*</w:t>
            </w:r>
            <w:r>
              <w:t>电话</w:t>
            </w:r>
          </w:p>
        </w:tc>
        <w:tc>
          <w:tcPr>
            <w:tcW w:w="915" w:type="dxa"/>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成立时间</w:t>
            </w:r>
          </w:p>
        </w:tc>
        <w:tc>
          <w:tcPr>
            <w:tcW w:w="2283" w:type="dxa"/>
            <w:gridSpan w:val="2"/>
            <w:vAlign w:val="center"/>
          </w:tcPr>
          <w:p>
            <w:pPr>
              <w:pStyle w:val="41"/>
            </w:pPr>
          </w:p>
        </w:tc>
        <w:tc>
          <w:tcPr>
            <w:tcW w:w="4905" w:type="dxa"/>
            <w:gridSpan w:val="8"/>
            <w:vAlign w:val="center"/>
          </w:tcPr>
          <w:p>
            <w:pPr>
              <w:pStyle w:val="41"/>
            </w:pPr>
            <w:r>
              <w:rPr>
                <w:rFonts w:hint="eastAsia"/>
              </w:rPr>
              <w:t>*</w:t>
            </w:r>
            <w: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t>企业资质等级</w:t>
            </w:r>
          </w:p>
        </w:tc>
        <w:tc>
          <w:tcPr>
            <w:tcW w:w="2283" w:type="dxa"/>
            <w:gridSpan w:val="2"/>
            <w:vAlign w:val="center"/>
          </w:tcPr>
          <w:p>
            <w:pPr>
              <w:pStyle w:val="41"/>
            </w:pPr>
          </w:p>
        </w:tc>
        <w:tc>
          <w:tcPr>
            <w:tcW w:w="957" w:type="dxa"/>
            <w:vMerge w:val="restart"/>
            <w:vAlign w:val="center"/>
          </w:tcPr>
          <w:p>
            <w:pPr>
              <w:pStyle w:val="41"/>
              <w:jc w:val="center"/>
            </w:pPr>
            <w:r>
              <w:t>其中</w:t>
            </w:r>
          </w:p>
        </w:tc>
        <w:tc>
          <w:tcPr>
            <w:tcW w:w="1963" w:type="dxa"/>
            <w:gridSpan w:val="5"/>
            <w:vAlign w:val="center"/>
          </w:tcPr>
          <w:p>
            <w:pPr>
              <w:pStyle w:val="41"/>
            </w:pPr>
            <w:r>
              <w:t>项目经理</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营业执照号</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高级职称人员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注册资</w:t>
            </w:r>
            <w:r>
              <w:rPr>
                <w:rFonts w:hint="eastAsia"/>
              </w:rPr>
              <w:t>本</w:t>
            </w:r>
            <w:r>
              <w:t>金</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中级职称人员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开户银行</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初级职称人员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账号</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技工</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经营范围</w:t>
            </w:r>
          </w:p>
        </w:tc>
        <w:tc>
          <w:tcPr>
            <w:tcW w:w="7188" w:type="dxa"/>
            <w:gridSpan w:val="10"/>
            <w:vAlign w:val="center"/>
          </w:tcPr>
          <w:p>
            <w:pPr>
              <w:pStyle w:val="41"/>
            </w:pPr>
          </w:p>
          <w:p>
            <w:pPr>
              <w:pStyle w:val="41"/>
            </w:pPr>
          </w:p>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类似业绩列表</w:t>
            </w:r>
          </w:p>
        </w:tc>
        <w:tc>
          <w:tcPr>
            <w:tcW w:w="7188" w:type="dxa"/>
            <w:gridSpan w:val="10"/>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09" w:type="dxa"/>
            <w:vAlign w:val="center"/>
          </w:tcPr>
          <w:p>
            <w:pPr>
              <w:pStyle w:val="41"/>
            </w:pPr>
            <w:r>
              <w:t>备注</w:t>
            </w:r>
          </w:p>
        </w:tc>
        <w:tc>
          <w:tcPr>
            <w:tcW w:w="7188" w:type="dxa"/>
            <w:gridSpan w:val="10"/>
            <w:vAlign w:val="center"/>
          </w:tcPr>
          <w:p>
            <w:pPr>
              <w:pStyle w:val="41"/>
            </w:pPr>
          </w:p>
        </w:tc>
      </w:tr>
    </w:tbl>
    <w:p>
      <w:pPr>
        <w:ind w:firstLine="480"/>
        <w:rPr>
          <w:color w:val="000000"/>
        </w:rPr>
      </w:pPr>
      <w:r>
        <w:t>1</w:t>
      </w:r>
      <w:r>
        <w:rPr>
          <w:rFonts w:hint="eastAsia"/>
        </w:rPr>
        <w:t>、</w:t>
      </w:r>
      <w:r>
        <w:rPr>
          <w:rFonts w:hint="eastAsia"/>
          <w:color w:val="FF0000"/>
        </w:rPr>
        <w:t>加“</w:t>
      </w:r>
      <w:r>
        <w:rPr>
          <w:color w:val="FF0000"/>
        </w:rPr>
        <w:t>*</w:t>
      </w:r>
      <w:r>
        <w:rPr>
          <w:rFonts w:hint="eastAsia"/>
          <w:color w:val="FF0000"/>
        </w:rPr>
        <w:t>”项为必填项，工程、服务类响应文件需全部填写。</w:t>
      </w:r>
    </w:p>
    <w:p>
      <w:pPr>
        <w:ind w:firstLine="480"/>
      </w:pPr>
      <w:r>
        <w:rPr>
          <w:rFonts w:hint="eastAsia" w:cs="Arial"/>
          <w:szCs w:val="21"/>
        </w:rPr>
        <w:t>2、按照采购文件要求</w:t>
      </w:r>
      <w:r>
        <w:rPr>
          <w:rFonts w:cs="Arial"/>
          <w:szCs w:val="21"/>
        </w:rPr>
        <w:t>后附企业法人营业执照副本、资质证书</w:t>
      </w:r>
      <w:r>
        <w:rPr>
          <w:rFonts w:hint="eastAsia" w:ascii="宋体" w:hAnsi="宋体" w:cs="宋体"/>
        </w:rPr>
        <w:t>（如要求）</w:t>
      </w:r>
      <w:r>
        <w:rPr>
          <w:rFonts w:cs="Arial"/>
          <w:szCs w:val="21"/>
        </w:rPr>
        <w:t>、安全生产许可证</w:t>
      </w:r>
      <w:r>
        <w:rPr>
          <w:rFonts w:hint="eastAsia" w:ascii="宋体" w:hAnsi="宋体" w:cs="宋体"/>
        </w:rPr>
        <w:t>（如要求）</w:t>
      </w:r>
      <w:r>
        <w:rPr>
          <w:rFonts w:hint="eastAsia" w:cs="Arial"/>
          <w:szCs w:val="21"/>
        </w:rPr>
        <w:t>、类似业绩</w:t>
      </w:r>
      <w:r>
        <w:rPr>
          <w:rFonts w:hint="eastAsia" w:ascii="宋体" w:hAnsi="宋体" w:cs="宋体"/>
        </w:rPr>
        <w:t>（如要求）</w:t>
      </w:r>
      <w:r>
        <w:rPr>
          <w:rFonts w:hint="eastAsia" w:cs="Arial"/>
          <w:szCs w:val="21"/>
        </w:rPr>
        <w:t>合同扫描件</w:t>
      </w:r>
      <w:r>
        <w:rPr>
          <w:rFonts w:cs="Arial"/>
          <w:szCs w:val="21"/>
        </w:rPr>
        <w:t>等资料影印件。</w:t>
      </w:r>
    </w:p>
    <w:p>
      <w:pPr>
        <w:widowControl/>
        <w:tabs>
          <w:tab w:val="left" w:pos="3846"/>
          <w:tab w:val="left" w:pos="5376"/>
          <w:tab w:val="left" w:pos="7077"/>
          <w:tab w:val="left" w:pos="8636"/>
        </w:tabs>
        <w:ind w:firstLine="4815" w:firstLineChars="2398"/>
        <w:rPr>
          <w:rFonts w:cs="宋体"/>
          <w:b/>
          <w:kern w:val="0"/>
          <w:sz w:val="20"/>
        </w:rPr>
      </w:pPr>
    </w:p>
    <w:p>
      <w:pPr>
        <w:widowControl/>
        <w:tabs>
          <w:tab w:val="left" w:pos="3846"/>
          <w:tab w:val="left" w:pos="5376"/>
          <w:tab w:val="left" w:pos="7077"/>
          <w:tab w:val="left" w:pos="8636"/>
        </w:tabs>
        <w:ind w:firstLine="4819" w:firstLineChars="2008"/>
        <w:rPr>
          <w:rFonts w:cs="宋体"/>
          <w:kern w:val="0"/>
          <w:szCs w:val="24"/>
        </w:rPr>
      </w:pPr>
      <w:r>
        <w:rPr>
          <w:rFonts w:hint="eastAsia" w:cs="宋体"/>
          <w:kern w:val="0"/>
          <w:szCs w:val="24"/>
        </w:rPr>
        <w:t>供应商全称：</w:t>
      </w:r>
      <w:r>
        <w:rPr>
          <w:rFonts w:hint="eastAsia" w:cs="宋体"/>
          <w:kern w:val="0"/>
          <w:szCs w:val="24"/>
          <w:u w:val="single"/>
        </w:rPr>
        <w:t xml:space="preserve">      </w:t>
      </w:r>
      <w:r>
        <w:rPr>
          <w:rFonts w:hint="eastAsia" w:cs="Arial"/>
          <w:szCs w:val="21"/>
          <w:u w:val="single"/>
        </w:rPr>
        <w:t xml:space="preserve">（盖章） </w:t>
      </w:r>
      <w:r>
        <w:rPr>
          <w:rFonts w:hint="eastAsia" w:cs="宋体"/>
          <w:kern w:val="0"/>
          <w:szCs w:val="24"/>
          <w:u w:val="single"/>
        </w:rPr>
        <w:t xml:space="preserve">       </w:t>
      </w:r>
    </w:p>
    <w:p>
      <w:pPr>
        <w:widowControl/>
        <w:tabs>
          <w:tab w:val="left" w:pos="3846"/>
          <w:tab w:val="left" w:pos="5376"/>
          <w:tab w:val="left" w:pos="7077"/>
          <w:tab w:val="left" w:pos="8636"/>
        </w:tabs>
        <w:ind w:firstLine="5755" w:firstLineChars="2398"/>
        <w:rPr>
          <w:rFonts w:cs="宋体"/>
          <w:kern w:val="0"/>
          <w:szCs w:val="24"/>
        </w:rPr>
      </w:pPr>
    </w:p>
    <w:p>
      <w:pPr>
        <w:widowControl/>
        <w:tabs>
          <w:tab w:val="left" w:pos="3846"/>
          <w:tab w:val="left" w:pos="5376"/>
          <w:tab w:val="left" w:pos="7077"/>
          <w:tab w:val="left" w:pos="8636"/>
        </w:tabs>
        <w:ind w:firstLine="4819" w:firstLineChars="2008"/>
        <w:rPr>
          <w:rFonts w:cs="宋体"/>
          <w:b/>
          <w:kern w:val="0"/>
          <w:sz w:val="22"/>
        </w:rPr>
      </w:pPr>
      <w:r>
        <w:rPr>
          <w:rFonts w:hint="eastAsia" w:cs="宋体"/>
          <w:kern w:val="0"/>
          <w:szCs w:val="24"/>
        </w:rPr>
        <w:t>日     期：</w:t>
      </w:r>
      <w:r>
        <w:rPr>
          <w:rFonts w:hint="eastAsia" w:cs="宋体"/>
          <w:kern w:val="0"/>
          <w:szCs w:val="24"/>
          <w:u w:val="single"/>
        </w:rPr>
        <w:t xml:space="preserve">                       </w:t>
      </w:r>
      <w:r>
        <w:rPr>
          <w:rFonts w:cs="宋体"/>
          <w:kern w:val="0"/>
          <w:szCs w:val="24"/>
        </w:rPr>
        <w:tab/>
      </w:r>
      <w:r>
        <w:rPr>
          <w:rFonts w:cs="宋体"/>
          <w:b/>
          <w:kern w:val="0"/>
          <w:sz w:val="22"/>
        </w:rPr>
        <w:tab/>
      </w:r>
      <w:r>
        <w:rPr>
          <w:rFonts w:cs="宋体"/>
          <w:b/>
          <w:kern w:val="0"/>
          <w:sz w:val="22"/>
        </w:rPr>
        <w:tab/>
      </w:r>
      <w:r>
        <w:rPr>
          <w:rFonts w:cs="宋体"/>
          <w:b/>
          <w:kern w:val="0"/>
          <w:sz w:val="22"/>
        </w:rPr>
        <w:tab/>
      </w:r>
    </w:p>
    <w:p>
      <w:pPr>
        <w:ind w:firstLine="0" w:firstLineChars="0"/>
        <w:jc w:val="left"/>
        <w:rPr>
          <w:rFonts w:ascii="宋体" w:hAnsi="宋体" w:cs="宋体"/>
        </w:rPr>
      </w:pPr>
      <w:r>
        <w:rPr>
          <w:rFonts w:ascii="宋体" w:cs="宋体"/>
          <w:b/>
          <w:sz w:val="22"/>
        </w:rPr>
        <w:br w:type="page"/>
      </w:r>
      <w:bookmarkStart w:id="443" w:name="_Toc3367"/>
      <w:r>
        <w:rPr>
          <w:rFonts w:hint="eastAsia" w:ascii="宋体" w:hAnsi="宋体" w:cs="宋体"/>
        </w:rPr>
        <w:t>2.法人营业执照</w:t>
      </w:r>
      <w:bookmarkEnd w:id="443"/>
    </w:p>
    <w:p>
      <w:pPr>
        <w:ind w:firstLine="0" w:firstLineChars="0"/>
        <w:jc w:val="left"/>
        <w:rPr>
          <w:rFonts w:ascii="宋体" w:hAnsi="宋体" w:cs="宋体"/>
        </w:rPr>
      </w:pPr>
      <w:bookmarkStart w:id="444" w:name="_Toc5233"/>
      <w:r>
        <w:rPr>
          <w:rFonts w:hint="eastAsia" w:ascii="宋体" w:hAnsi="宋体" w:cs="宋体"/>
        </w:rPr>
        <w:t>3.近3年内财务状况</w:t>
      </w:r>
      <w:bookmarkEnd w:id="444"/>
    </w:p>
    <w:p>
      <w:pPr>
        <w:ind w:firstLine="0" w:firstLineChars="0"/>
        <w:jc w:val="left"/>
        <w:rPr>
          <w:rFonts w:ascii="宋体" w:hAnsi="宋体" w:cs="宋体"/>
        </w:rPr>
      </w:pPr>
      <w:bookmarkStart w:id="445" w:name="_Toc3806"/>
      <w:r>
        <w:rPr>
          <w:rFonts w:hint="eastAsia" w:ascii="宋体" w:hAnsi="宋体" w:cs="宋体"/>
        </w:rPr>
        <w:t>4.付款条件</w:t>
      </w:r>
      <w:bookmarkEnd w:id="445"/>
    </w:p>
    <w:p>
      <w:pPr>
        <w:ind w:firstLine="0" w:firstLineChars="0"/>
        <w:jc w:val="left"/>
        <w:rPr>
          <w:rFonts w:ascii="宋体" w:hAnsi="宋体" w:cs="宋体"/>
        </w:rPr>
      </w:pPr>
      <w:bookmarkStart w:id="446" w:name="_Toc21867"/>
      <w:r>
        <w:rPr>
          <w:rFonts w:hint="eastAsia" w:ascii="宋体" w:hAnsi="宋体" w:cs="宋体"/>
        </w:rPr>
        <w:t>5.类似项目业绩合同（如要求）</w:t>
      </w:r>
      <w:bookmarkEnd w:id="446"/>
    </w:p>
    <w:p>
      <w:pPr>
        <w:ind w:firstLine="0" w:firstLineChars="0"/>
        <w:jc w:val="left"/>
        <w:rPr>
          <w:rFonts w:ascii="宋体" w:hAnsi="宋体" w:cs="宋体"/>
        </w:rPr>
      </w:pPr>
      <w:bookmarkStart w:id="447" w:name="_Toc27709"/>
      <w:r>
        <w:rPr>
          <w:rFonts w:hint="eastAsia" w:ascii="宋体" w:hAnsi="宋体" w:cs="宋体"/>
        </w:rPr>
        <w:t>6.商务偏离表及配套性说明</w:t>
      </w:r>
      <w:bookmarkEnd w:id="447"/>
    </w:p>
    <w:p>
      <w:pPr>
        <w:ind w:firstLine="0" w:firstLineChars="0"/>
        <w:jc w:val="left"/>
      </w:pPr>
      <w:bookmarkStart w:id="448" w:name="_Toc1161"/>
      <w:r>
        <w:rPr>
          <w:rFonts w:hint="eastAsia" w:ascii="宋体" w:hAnsi="宋体" w:cs="宋体"/>
        </w:rPr>
        <w:t>7.资质证书及其他证明材料（如要求）</w:t>
      </w:r>
      <w:bookmarkEnd w:id="448"/>
      <w:r>
        <w:rPr>
          <w:rFonts w:ascii="宋体" w:cs="宋体"/>
          <w:b/>
          <w:sz w:val="22"/>
        </w:rPr>
        <w:br w:type="page"/>
      </w:r>
      <w:bookmarkStart w:id="449" w:name="_Toc12480"/>
      <w:bookmarkStart w:id="450" w:name="_Toc4162"/>
      <w:bookmarkStart w:id="451" w:name="_Toc527708272"/>
      <w:bookmarkStart w:id="452" w:name="_Toc15434"/>
      <w:bookmarkStart w:id="453" w:name="_Toc1180"/>
      <w:bookmarkStart w:id="454" w:name="_Toc4203"/>
      <w:bookmarkStart w:id="455" w:name="_Toc6970"/>
      <w:bookmarkStart w:id="456" w:name="_Toc18426"/>
      <w:bookmarkStart w:id="457" w:name="_Toc527560965"/>
      <w:r>
        <w:rPr>
          <w:rFonts w:hint="eastAsia"/>
        </w:rPr>
        <w:t>四、技术部分</w:t>
      </w:r>
      <w:bookmarkEnd w:id="449"/>
      <w:bookmarkEnd w:id="450"/>
      <w:bookmarkEnd w:id="451"/>
      <w:bookmarkEnd w:id="452"/>
      <w:bookmarkEnd w:id="453"/>
      <w:bookmarkEnd w:id="454"/>
      <w:bookmarkEnd w:id="455"/>
      <w:bookmarkEnd w:id="456"/>
      <w:bookmarkEnd w:id="457"/>
    </w:p>
    <w:p>
      <w:pPr>
        <w:ind w:firstLine="480"/>
        <w:rPr>
          <w:rFonts w:cs="宋体"/>
          <w:kern w:val="0"/>
          <w:sz w:val="20"/>
        </w:rPr>
      </w:pPr>
      <w:r>
        <w:rPr>
          <w:rFonts w:hint="eastAsia"/>
        </w:rPr>
        <w:t>供应商根据采购需求自行编制，格式自拟。</w:t>
      </w:r>
    </w:p>
    <w:p>
      <w:pPr>
        <w:pStyle w:val="3"/>
        <w:spacing w:before="120"/>
      </w:pPr>
      <w:r>
        <w:rPr>
          <w:rFonts w:ascii="宋体" w:hAnsi="宋体" w:cs="Arial"/>
          <w:szCs w:val="24"/>
        </w:rPr>
        <w:br w:type="page"/>
      </w:r>
      <w:bookmarkStart w:id="458" w:name="_Toc527708138"/>
      <w:bookmarkStart w:id="459" w:name="_Toc12436"/>
      <w:bookmarkStart w:id="460" w:name="_Toc28241"/>
      <w:bookmarkStart w:id="461" w:name="_Toc10928"/>
      <w:r>
        <w:rPr>
          <w:rFonts w:hint="eastAsia"/>
        </w:rPr>
        <w:t>五、偏差表</w:t>
      </w:r>
      <w:bookmarkEnd w:id="458"/>
      <w:bookmarkEnd w:id="459"/>
      <w:bookmarkEnd w:id="460"/>
      <w:bookmarkEnd w:id="461"/>
    </w:p>
    <w:tbl>
      <w:tblPr>
        <w:tblStyle w:val="32"/>
        <w:tblW w:w="9590" w:type="dxa"/>
        <w:tblInd w:w="0" w:type="dxa"/>
        <w:tblLayout w:type="fixed"/>
        <w:tblCellMar>
          <w:top w:w="0" w:type="dxa"/>
          <w:left w:w="108" w:type="dxa"/>
          <w:bottom w:w="0" w:type="dxa"/>
          <w:right w:w="108" w:type="dxa"/>
        </w:tblCellMar>
      </w:tblPr>
      <w:tblGrid>
        <w:gridCol w:w="1101"/>
        <w:gridCol w:w="3391"/>
        <w:gridCol w:w="3724"/>
        <w:gridCol w:w="1374"/>
      </w:tblGrid>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sz w:val="24"/>
                <w:szCs w:val="24"/>
              </w:rPr>
            </w:pPr>
            <w:r>
              <w:rPr>
                <w:rFonts w:hint="eastAsia"/>
                <w:sz w:val="24"/>
                <w:szCs w:val="24"/>
              </w:rPr>
              <w:t>序号</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r>
              <w:rPr>
                <w:rFonts w:hint="eastAsia"/>
                <w:sz w:val="24"/>
                <w:szCs w:val="24"/>
              </w:rPr>
              <w:t>采购文件（条目及简要内容）</w:t>
            </w: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r>
              <w:rPr>
                <w:rFonts w:hint="eastAsia"/>
                <w:sz w:val="24"/>
                <w:szCs w:val="24"/>
              </w:rPr>
              <w:t>响应文件（条目及简要内容）</w:t>
            </w:r>
          </w:p>
        </w:tc>
        <w:tc>
          <w:tcPr>
            <w:tcW w:w="1374" w:type="dxa"/>
            <w:tcBorders>
              <w:top w:val="single" w:color="auto" w:sz="4" w:space="0"/>
              <w:left w:val="nil"/>
              <w:bottom w:val="single" w:color="auto" w:sz="4" w:space="0"/>
              <w:right w:val="single" w:color="auto" w:sz="4" w:space="0"/>
            </w:tcBorders>
            <w:vAlign w:val="center"/>
          </w:tcPr>
          <w:p>
            <w:pPr>
              <w:pStyle w:val="41"/>
              <w:jc w:val="center"/>
              <w:rPr>
                <w:sz w:val="24"/>
                <w:szCs w:val="24"/>
              </w:rPr>
            </w:pPr>
            <w:r>
              <w:rPr>
                <w:rFonts w:hint="eastAsia"/>
                <w:sz w:val="24"/>
                <w:szCs w:val="24"/>
              </w:rPr>
              <w:t>备注</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1</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restart"/>
            <w:tcBorders>
              <w:top w:val="nil"/>
              <w:left w:val="single" w:color="auto" w:sz="4" w:space="0"/>
              <w:bottom w:val="single" w:color="000000" w:sz="4" w:space="0"/>
              <w:right w:val="single" w:color="auto" w:sz="4" w:space="0"/>
            </w:tcBorders>
            <w:vAlign w:val="center"/>
          </w:tcPr>
          <w:p>
            <w:pPr>
              <w:pStyle w:val="41"/>
              <w:jc w:val="center"/>
              <w:rPr>
                <w:sz w:val="24"/>
                <w:szCs w:val="24"/>
              </w:rPr>
            </w:pPr>
            <w:r>
              <w:rPr>
                <w:rFonts w:hint="eastAsia"/>
                <w:sz w:val="24"/>
                <w:szCs w:val="24"/>
              </w:rPr>
              <w:t>如无偏差，需写：“无”；有偏差，须如实填写。</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2</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3</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4</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bl>
    <w:p>
      <w:pPr>
        <w:spacing w:line="360" w:lineRule="auto"/>
        <w:ind w:right="360" w:rightChars="150" w:firstLine="480"/>
        <w:jc w:val="center"/>
        <w:rPr>
          <w:rFonts w:ascii="宋体" w:hAnsi="宋体" w:cs="Arial"/>
          <w:szCs w:val="24"/>
        </w:rPr>
      </w:pPr>
    </w:p>
    <w:p>
      <w:pPr>
        <w:ind w:firstLine="480"/>
      </w:pPr>
    </w:p>
    <w:p>
      <w:pPr>
        <w:ind w:firstLine="480"/>
      </w:pPr>
    </w:p>
    <w:p>
      <w:pPr>
        <w:ind w:firstLine="480"/>
      </w:pPr>
    </w:p>
    <w:sectPr>
      <w:footerReference r:id="rId10" w:type="default"/>
      <w:pgSz w:w="11907" w:h="16839"/>
      <w:pgMar w:top="1797" w:right="1440" w:bottom="1797" w:left="1440" w:header="1135" w:footer="992"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jc w:val="center"/>
    </w:pPr>
    <w:r>
      <w:rPr>
        <w:rStyle w:val="28"/>
      </w:rPr>
      <w:fldChar w:fldCharType="begin"/>
    </w:r>
    <w:r>
      <w:rPr>
        <w:rStyle w:val="28"/>
      </w:rPr>
      <w:instrText xml:space="preserve"> PAGE </w:instrText>
    </w:r>
    <w:r>
      <w:rPr>
        <w:rStyle w:val="28"/>
      </w:rPr>
      <w:fldChar w:fldCharType="separate"/>
    </w:r>
    <w:r>
      <w:rPr>
        <w:rStyle w:val="28"/>
      </w:rPr>
      <w:t>6</w:t>
    </w:r>
    <w:r>
      <w:rPr>
        <w:rStyle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rPr>
        <w:rFonts w:ascii="宋体" w:hAnsi="宋体"/>
        <w:szCs w:val="18"/>
      </w:rPr>
    </w:pPr>
    <w:r>
      <w:rPr>
        <w:rFonts w:ascii="宋体" w:hAnsi="宋体"/>
        <w:szCs w:val="18"/>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 cy="238125"/>
                  </a:xfrm>
                  <a:prstGeom prst="rect">
                    <a:avLst/>
                  </a:prstGeom>
                  <a:noFill/>
                  <a:ln>
                    <a:noFill/>
                  </a:ln>
                </pic:spPr>
              </pic:pic>
            </a:graphicData>
          </a:graphic>
        </wp:inline>
      </w:drawing>
    </w:r>
    <w:r>
      <w:rPr>
        <w:rFonts w:hint="eastAsia" w:ascii="宋体" w:hAnsi="宋体"/>
        <w:szCs w:val="18"/>
      </w:rPr>
      <w:t>中国华能集团有限公司标准询价采购文件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996B2"/>
    <w:multiLevelType w:val="singleLevel"/>
    <w:tmpl w:val="F57996B2"/>
    <w:lvl w:ilvl="0" w:tentative="0">
      <w:start w:val="5"/>
      <w:numFmt w:val="chineseCounting"/>
      <w:suff w:val="nothing"/>
      <w:lvlText w:val="%1、"/>
      <w:lvlJc w:val="left"/>
      <w:rPr>
        <w:rFonts w:hint="eastAsia"/>
      </w:rPr>
    </w:lvl>
  </w:abstractNum>
  <w:abstractNum w:abstractNumId="1">
    <w:nsid w:val="F7DF5AE7"/>
    <w:multiLevelType w:val="singleLevel"/>
    <w:tmpl w:val="F7DF5AE7"/>
    <w:lvl w:ilvl="0" w:tentative="0">
      <w:start w:val="2"/>
      <w:numFmt w:val="chineseCounting"/>
      <w:suff w:val="space"/>
      <w:lvlText w:val="第%1章"/>
      <w:lvlJc w:val="left"/>
      <w:rPr>
        <w:rFonts w:hint="eastAsia"/>
      </w:rPr>
    </w:lvl>
  </w:abstractNum>
  <w:abstractNum w:abstractNumId="2">
    <w:nsid w:val="0EBD5168"/>
    <w:multiLevelType w:val="singleLevel"/>
    <w:tmpl w:val="0EBD5168"/>
    <w:lvl w:ilvl="0" w:tentative="0">
      <w:start w:val="1"/>
      <w:numFmt w:val="chineseCounting"/>
      <w:suff w:val="nothing"/>
      <w:lvlText w:val="%1、"/>
      <w:lvlJc w:val="left"/>
      <w:rPr>
        <w:rFonts w:hint="eastAsia"/>
      </w:rPr>
    </w:lvl>
  </w:abstractNum>
  <w:abstractNum w:abstractNumId="3">
    <w:nsid w:val="778C0379"/>
    <w:multiLevelType w:val="multilevel"/>
    <w:tmpl w:val="778C03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19A4"/>
    <w:rsid w:val="000021B9"/>
    <w:rsid w:val="00003571"/>
    <w:rsid w:val="000047B8"/>
    <w:rsid w:val="000108F2"/>
    <w:rsid w:val="000125E2"/>
    <w:rsid w:val="000131BE"/>
    <w:rsid w:val="00013C22"/>
    <w:rsid w:val="0001422E"/>
    <w:rsid w:val="00014D41"/>
    <w:rsid w:val="00016C62"/>
    <w:rsid w:val="0001707A"/>
    <w:rsid w:val="00022477"/>
    <w:rsid w:val="00022596"/>
    <w:rsid w:val="0002296E"/>
    <w:rsid w:val="00025507"/>
    <w:rsid w:val="00026030"/>
    <w:rsid w:val="00026363"/>
    <w:rsid w:val="00030AB6"/>
    <w:rsid w:val="000313DF"/>
    <w:rsid w:val="00031B08"/>
    <w:rsid w:val="00031CB2"/>
    <w:rsid w:val="00033390"/>
    <w:rsid w:val="0003497E"/>
    <w:rsid w:val="0003497F"/>
    <w:rsid w:val="00036802"/>
    <w:rsid w:val="0003692C"/>
    <w:rsid w:val="0003799E"/>
    <w:rsid w:val="00041363"/>
    <w:rsid w:val="00042DBE"/>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3360"/>
    <w:rsid w:val="000A77B4"/>
    <w:rsid w:val="000B1CE0"/>
    <w:rsid w:val="000B354D"/>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0CD5"/>
    <w:rsid w:val="000D25EA"/>
    <w:rsid w:val="000D2EC6"/>
    <w:rsid w:val="000D5618"/>
    <w:rsid w:val="000D6D94"/>
    <w:rsid w:val="000E46AB"/>
    <w:rsid w:val="000E4CAC"/>
    <w:rsid w:val="000E70DF"/>
    <w:rsid w:val="000E78F2"/>
    <w:rsid w:val="000E7F0A"/>
    <w:rsid w:val="000F05D2"/>
    <w:rsid w:val="000F2551"/>
    <w:rsid w:val="000F2F1F"/>
    <w:rsid w:val="000F3083"/>
    <w:rsid w:val="000F5D86"/>
    <w:rsid w:val="00100D3A"/>
    <w:rsid w:val="00103C02"/>
    <w:rsid w:val="00104B99"/>
    <w:rsid w:val="001102A5"/>
    <w:rsid w:val="00110DD3"/>
    <w:rsid w:val="00113590"/>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03BA"/>
    <w:rsid w:val="001619FD"/>
    <w:rsid w:val="00162292"/>
    <w:rsid w:val="00165C14"/>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2FA8"/>
    <w:rsid w:val="001A49BA"/>
    <w:rsid w:val="001A55C0"/>
    <w:rsid w:val="001A5D87"/>
    <w:rsid w:val="001A5FD7"/>
    <w:rsid w:val="001A7376"/>
    <w:rsid w:val="001A740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AE0"/>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3440"/>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14C9"/>
    <w:rsid w:val="00262ACD"/>
    <w:rsid w:val="00270BD1"/>
    <w:rsid w:val="00272535"/>
    <w:rsid w:val="00272EEA"/>
    <w:rsid w:val="00275F81"/>
    <w:rsid w:val="00277BDB"/>
    <w:rsid w:val="00281AEB"/>
    <w:rsid w:val="00281DC0"/>
    <w:rsid w:val="00284DEF"/>
    <w:rsid w:val="00290DB3"/>
    <w:rsid w:val="00293035"/>
    <w:rsid w:val="0029691F"/>
    <w:rsid w:val="002A0CED"/>
    <w:rsid w:val="002A2768"/>
    <w:rsid w:val="002A2D55"/>
    <w:rsid w:val="002A43F9"/>
    <w:rsid w:val="002A7F39"/>
    <w:rsid w:val="002B0D0C"/>
    <w:rsid w:val="002B40A6"/>
    <w:rsid w:val="002B57AB"/>
    <w:rsid w:val="002B65D6"/>
    <w:rsid w:val="002C1A99"/>
    <w:rsid w:val="002C1AC2"/>
    <w:rsid w:val="002C361B"/>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26E"/>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118"/>
    <w:rsid w:val="00330EA4"/>
    <w:rsid w:val="00331046"/>
    <w:rsid w:val="00333519"/>
    <w:rsid w:val="0033648E"/>
    <w:rsid w:val="003374D6"/>
    <w:rsid w:val="0034023A"/>
    <w:rsid w:val="0034159D"/>
    <w:rsid w:val="00343846"/>
    <w:rsid w:val="00343C27"/>
    <w:rsid w:val="003465C2"/>
    <w:rsid w:val="0035003C"/>
    <w:rsid w:val="00350E3A"/>
    <w:rsid w:val="00351555"/>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588E"/>
    <w:rsid w:val="004179EC"/>
    <w:rsid w:val="0042004B"/>
    <w:rsid w:val="00423D0A"/>
    <w:rsid w:val="00425611"/>
    <w:rsid w:val="00425C60"/>
    <w:rsid w:val="00425F7B"/>
    <w:rsid w:val="00426F5D"/>
    <w:rsid w:val="00430873"/>
    <w:rsid w:val="00431016"/>
    <w:rsid w:val="004313F2"/>
    <w:rsid w:val="004320A5"/>
    <w:rsid w:val="00435C52"/>
    <w:rsid w:val="00440720"/>
    <w:rsid w:val="004417CA"/>
    <w:rsid w:val="004429DF"/>
    <w:rsid w:val="00444E16"/>
    <w:rsid w:val="00447E90"/>
    <w:rsid w:val="004507A6"/>
    <w:rsid w:val="0045097B"/>
    <w:rsid w:val="004536F3"/>
    <w:rsid w:val="004555B0"/>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860D8"/>
    <w:rsid w:val="004877AA"/>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1865"/>
    <w:rsid w:val="004C2D93"/>
    <w:rsid w:val="004C3C65"/>
    <w:rsid w:val="004C3F61"/>
    <w:rsid w:val="004C7D15"/>
    <w:rsid w:val="004D158E"/>
    <w:rsid w:val="004D2DFC"/>
    <w:rsid w:val="004D2EF6"/>
    <w:rsid w:val="004D4105"/>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1920"/>
    <w:rsid w:val="0053205F"/>
    <w:rsid w:val="00532A99"/>
    <w:rsid w:val="0053372F"/>
    <w:rsid w:val="00533797"/>
    <w:rsid w:val="0054074C"/>
    <w:rsid w:val="005450B6"/>
    <w:rsid w:val="00546092"/>
    <w:rsid w:val="0055221E"/>
    <w:rsid w:val="00557240"/>
    <w:rsid w:val="00572F2E"/>
    <w:rsid w:val="00573CBA"/>
    <w:rsid w:val="0057401F"/>
    <w:rsid w:val="005809CA"/>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21B"/>
    <w:rsid w:val="005C677F"/>
    <w:rsid w:val="005D2A00"/>
    <w:rsid w:val="005D3F5B"/>
    <w:rsid w:val="005D50C3"/>
    <w:rsid w:val="005D6892"/>
    <w:rsid w:val="005E158E"/>
    <w:rsid w:val="005E1863"/>
    <w:rsid w:val="005E211C"/>
    <w:rsid w:val="005E3AE9"/>
    <w:rsid w:val="005E42C0"/>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17EA0"/>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E6833"/>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1D0A"/>
    <w:rsid w:val="00732A44"/>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5048"/>
    <w:rsid w:val="007A6009"/>
    <w:rsid w:val="007A6980"/>
    <w:rsid w:val="007B0CBA"/>
    <w:rsid w:val="007B12EC"/>
    <w:rsid w:val="007B13EB"/>
    <w:rsid w:val="007B2667"/>
    <w:rsid w:val="007B2D48"/>
    <w:rsid w:val="007B32D8"/>
    <w:rsid w:val="007C07F5"/>
    <w:rsid w:val="007C139C"/>
    <w:rsid w:val="007C3DC3"/>
    <w:rsid w:val="007C4025"/>
    <w:rsid w:val="007C6EBC"/>
    <w:rsid w:val="007D08CB"/>
    <w:rsid w:val="007D294D"/>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8D4"/>
    <w:rsid w:val="00826D63"/>
    <w:rsid w:val="00830AF9"/>
    <w:rsid w:val="008312CF"/>
    <w:rsid w:val="0083368D"/>
    <w:rsid w:val="00833B99"/>
    <w:rsid w:val="008351A8"/>
    <w:rsid w:val="008367AB"/>
    <w:rsid w:val="008416CC"/>
    <w:rsid w:val="00843BF3"/>
    <w:rsid w:val="008440C7"/>
    <w:rsid w:val="00845310"/>
    <w:rsid w:val="0084571C"/>
    <w:rsid w:val="0084626F"/>
    <w:rsid w:val="00850890"/>
    <w:rsid w:val="00852F17"/>
    <w:rsid w:val="00853D3B"/>
    <w:rsid w:val="00856A17"/>
    <w:rsid w:val="008610B1"/>
    <w:rsid w:val="00866749"/>
    <w:rsid w:val="00866C89"/>
    <w:rsid w:val="008705F8"/>
    <w:rsid w:val="00870B0E"/>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210A"/>
    <w:rsid w:val="008C289C"/>
    <w:rsid w:val="008C561B"/>
    <w:rsid w:val="008C66F8"/>
    <w:rsid w:val="008C6ACF"/>
    <w:rsid w:val="008D0408"/>
    <w:rsid w:val="008D078C"/>
    <w:rsid w:val="008D2634"/>
    <w:rsid w:val="008D2F39"/>
    <w:rsid w:val="008D45EA"/>
    <w:rsid w:val="008D521C"/>
    <w:rsid w:val="008E2BCE"/>
    <w:rsid w:val="008E49E5"/>
    <w:rsid w:val="008E60E2"/>
    <w:rsid w:val="008E666E"/>
    <w:rsid w:val="008E70C1"/>
    <w:rsid w:val="008E7315"/>
    <w:rsid w:val="008F1F5E"/>
    <w:rsid w:val="008F430B"/>
    <w:rsid w:val="008F7A5C"/>
    <w:rsid w:val="009016BB"/>
    <w:rsid w:val="009044AC"/>
    <w:rsid w:val="0090556A"/>
    <w:rsid w:val="0090572F"/>
    <w:rsid w:val="009060E7"/>
    <w:rsid w:val="00907261"/>
    <w:rsid w:val="009132C9"/>
    <w:rsid w:val="0091355B"/>
    <w:rsid w:val="00913E74"/>
    <w:rsid w:val="00916BFD"/>
    <w:rsid w:val="00921361"/>
    <w:rsid w:val="00923DA1"/>
    <w:rsid w:val="00923FC5"/>
    <w:rsid w:val="0092531E"/>
    <w:rsid w:val="00925646"/>
    <w:rsid w:val="00926C4B"/>
    <w:rsid w:val="00927158"/>
    <w:rsid w:val="00927619"/>
    <w:rsid w:val="0092799D"/>
    <w:rsid w:val="00930A18"/>
    <w:rsid w:val="0093162F"/>
    <w:rsid w:val="009321B2"/>
    <w:rsid w:val="00935812"/>
    <w:rsid w:val="00936B34"/>
    <w:rsid w:val="00942117"/>
    <w:rsid w:val="00955D5D"/>
    <w:rsid w:val="0095672D"/>
    <w:rsid w:val="00957682"/>
    <w:rsid w:val="00962716"/>
    <w:rsid w:val="00962AC4"/>
    <w:rsid w:val="00965EDA"/>
    <w:rsid w:val="0096715D"/>
    <w:rsid w:val="00967778"/>
    <w:rsid w:val="00967CB3"/>
    <w:rsid w:val="00975D50"/>
    <w:rsid w:val="00977AEF"/>
    <w:rsid w:val="00977FED"/>
    <w:rsid w:val="00980E15"/>
    <w:rsid w:val="009818BE"/>
    <w:rsid w:val="00981F08"/>
    <w:rsid w:val="00981F59"/>
    <w:rsid w:val="00982699"/>
    <w:rsid w:val="00982B92"/>
    <w:rsid w:val="00985FCB"/>
    <w:rsid w:val="00987B0A"/>
    <w:rsid w:val="0099132D"/>
    <w:rsid w:val="00993B26"/>
    <w:rsid w:val="00997992"/>
    <w:rsid w:val="009A0C0B"/>
    <w:rsid w:val="009A15B9"/>
    <w:rsid w:val="009A1D4D"/>
    <w:rsid w:val="009A2077"/>
    <w:rsid w:val="009A342E"/>
    <w:rsid w:val="009A54C1"/>
    <w:rsid w:val="009A6174"/>
    <w:rsid w:val="009B234E"/>
    <w:rsid w:val="009B5181"/>
    <w:rsid w:val="009B67D6"/>
    <w:rsid w:val="009B777B"/>
    <w:rsid w:val="009C15F6"/>
    <w:rsid w:val="009C3A04"/>
    <w:rsid w:val="009C4166"/>
    <w:rsid w:val="009C5942"/>
    <w:rsid w:val="009D1307"/>
    <w:rsid w:val="009D45D3"/>
    <w:rsid w:val="009D4E1A"/>
    <w:rsid w:val="009E1A96"/>
    <w:rsid w:val="009E2532"/>
    <w:rsid w:val="009E3D12"/>
    <w:rsid w:val="009E6D2D"/>
    <w:rsid w:val="009F161A"/>
    <w:rsid w:val="009F3332"/>
    <w:rsid w:val="009F4A18"/>
    <w:rsid w:val="009F556A"/>
    <w:rsid w:val="009F5E5F"/>
    <w:rsid w:val="00A007C2"/>
    <w:rsid w:val="00A02FBF"/>
    <w:rsid w:val="00A03646"/>
    <w:rsid w:val="00A03669"/>
    <w:rsid w:val="00A04667"/>
    <w:rsid w:val="00A05E6A"/>
    <w:rsid w:val="00A066C5"/>
    <w:rsid w:val="00A07C2C"/>
    <w:rsid w:val="00A10C3C"/>
    <w:rsid w:val="00A1539C"/>
    <w:rsid w:val="00A15DD8"/>
    <w:rsid w:val="00A16ED9"/>
    <w:rsid w:val="00A17D98"/>
    <w:rsid w:val="00A205A4"/>
    <w:rsid w:val="00A21FA5"/>
    <w:rsid w:val="00A30488"/>
    <w:rsid w:val="00A305EC"/>
    <w:rsid w:val="00A3135C"/>
    <w:rsid w:val="00A340FE"/>
    <w:rsid w:val="00A352B7"/>
    <w:rsid w:val="00A357F0"/>
    <w:rsid w:val="00A40CC4"/>
    <w:rsid w:val="00A4322B"/>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1120"/>
    <w:rsid w:val="00A73780"/>
    <w:rsid w:val="00A73BE6"/>
    <w:rsid w:val="00A73FA3"/>
    <w:rsid w:val="00A756E5"/>
    <w:rsid w:val="00A75B08"/>
    <w:rsid w:val="00A75D77"/>
    <w:rsid w:val="00A75E84"/>
    <w:rsid w:val="00A76003"/>
    <w:rsid w:val="00A7689E"/>
    <w:rsid w:val="00A82146"/>
    <w:rsid w:val="00A839EB"/>
    <w:rsid w:val="00A84527"/>
    <w:rsid w:val="00A850E8"/>
    <w:rsid w:val="00A852F7"/>
    <w:rsid w:val="00A8574D"/>
    <w:rsid w:val="00A85A44"/>
    <w:rsid w:val="00A864B1"/>
    <w:rsid w:val="00A9008A"/>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89F"/>
    <w:rsid w:val="00AC2BF9"/>
    <w:rsid w:val="00AC2C00"/>
    <w:rsid w:val="00AC3C97"/>
    <w:rsid w:val="00AC533F"/>
    <w:rsid w:val="00AC650C"/>
    <w:rsid w:val="00AC7EF4"/>
    <w:rsid w:val="00AD15C8"/>
    <w:rsid w:val="00AD16C9"/>
    <w:rsid w:val="00AD2338"/>
    <w:rsid w:val="00AD2ACC"/>
    <w:rsid w:val="00AD43F8"/>
    <w:rsid w:val="00AD560C"/>
    <w:rsid w:val="00AE155F"/>
    <w:rsid w:val="00AE3603"/>
    <w:rsid w:val="00AF3455"/>
    <w:rsid w:val="00AF5A78"/>
    <w:rsid w:val="00AF7E62"/>
    <w:rsid w:val="00B05597"/>
    <w:rsid w:val="00B10041"/>
    <w:rsid w:val="00B13BF0"/>
    <w:rsid w:val="00B14BF9"/>
    <w:rsid w:val="00B153F8"/>
    <w:rsid w:val="00B158C7"/>
    <w:rsid w:val="00B20425"/>
    <w:rsid w:val="00B2071F"/>
    <w:rsid w:val="00B20A1B"/>
    <w:rsid w:val="00B20FEC"/>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2D44"/>
    <w:rsid w:val="00B55CCE"/>
    <w:rsid w:val="00B56F49"/>
    <w:rsid w:val="00B605CB"/>
    <w:rsid w:val="00B62E48"/>
    <w:rsid w:val="00B63616"/>
    <w:rsid w:val="00B641C8"/>
    <w:rsid w:val="00B64935"/>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34B9"/>
    <w:rsid w:val="00BA435C"/>
    <w:rsid w:val="00BA4E94"/>
    <w:rsid w:val="00BA562B"/>
    <w:rsid w:val="00BA5E5B"/>
    <w:rsid w:val="00BB375E"/>
    <w:rsid w:val="00BB5665"/>
    <w:rsid w:val="00BB579C"/>
    <w:rsid w:val="00BB5C2E"/>
    <w:rsid w:val="00BB7B9B"/>
    <w:rsid w:val="00BB7BA5"/>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44BD"/>
    <w:rsid w:val="00C1549B"/>
    <w:rsid w:val="00C15BBB"/>
    <w:rsid w:val="00C23005"/>
    <w:rsid w:val="00C25966"/>
    <w:rsid w:val="00C25B7A"/>
    <w:rsid w:val="00C27391"/>
    <w:rsid w:val="00C27CB2"/>
    <w:rsid w:val="00C315EC"/>
    <w:rsid w:val="00C32262"/>
    <w:rsid w:val="00C3254F"/>
    <w:rsid w:val="00C33FE5"/>
    <w:rsid w:val="00C35265"/>
    <w:rsid w:val="00C353B1"/>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372B"/>
    <w:rsid w:val="00C64F36"/>
    <w:rsid w:val="00C65C46"/>
    <w:rsid w:val="00C665F7"/>
    <w:rsid w:val="00C72F54"/>
    <w:rsid w:val="00C73D29"/>
    <w:rsid w:val="00C750D0"/>
    <w:rsid w:val="00C756A4"/>
    <w:rsid w:val="00C7571C"/>
    <w:rsid w:val="00C75FFA"/>
    <w:rsid w:val="00C766E8"/>
    <w:rsid w:val="00C76ACF"/>
    <w:rsid w:val="00C77268"/>
    <w:rsid w:val="00C773B7"/>
    <w:rsid w:val="00C801EE"/>
    <w:rsid w:val="00C83E42"/>
    <w:rsid w:val="00C84589"/>
    <w:rsid w:val="00C84655"/>
    <w:rsid w:val="00C949DD"/>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5D8B"/>
    <w:rsid w:val="00D160A0"/>
    <w:rsid w:val="00D1703C"/>
    <w:rsid w:val="00D17AF8"/>
    <w:rsid w:val="00D2188E"/>
    <w:rsid w:val="00D23B20"/>
    <w:rsid w:val="00D23DD7"/>
    <w:rsid w:val="00D271A9"/>
    <w:rsid w:val="00D313E6"/>
    <w:rsid w:val="00D36750"/>
    <w:rsid w:val="00D37714"/>
    <w:rsid w:val="00D41B02"/>
    <w:rsid w:val="00D42484"/>
    <w:rsid w:val="00D43288"/>
    <w:rsid w:val="00D44B9F"/>
    <w:rsid w:val="00D45FC0"/>
    <w:rsid w:val="00D460CA"/>
    <w:rsid w:val="00D47415"/>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3A9F"/>
    <w:rsid w:val="00DD6D45"/>
    <w:rsid w:val="00DD7239"/>
    <w:rsid w:val="00DE0F96"/>
    <w:rsid w:val="00DE116C"/>
    <w:rsid w:val="00DE2ACE"/>
    <w:rsid w:val="00DE35AA"/>
    <w:rsid w:val="00DE39E2"/>
    <w:rsid w:val="00DE53F9"/>
    <w:rsid w:val="00DE71B8"/>
    <w:rsid w:val="00DF28F8"/>
    <w:rsid w:val="00DF4F25"/>
    <w:rsid w:val="00DF534C"/>
    <w:rsid w:val="00E01F1B"/>
    <w:rsid w:val="00E0291F"/>
    <w:rsid w:val="00E03874"/>
    <w:rsid w:val="00E03C64"/>
    <w:rsid w:val="00E06D1D"/>
    <w:rsid w:val="00E0719A"/>
    <w:rsid w:val="00E0769B"/>
    <w:rsid w:val="00E1027B"/>
    <w:rsid w:val="00E11813"/>
    <w:rsid w:val="00E13F73"/>
    <w:rsid w:val="00E1410B"/>
    <w:rsid w:val="00E1553D"/>
    <w:rsid w:val="00E15FBA"/>
    <w:rsid w:val="00E1631C"/>
    <w:rsid w:val="00E16A9C"/>
    <w:rsid w:val="00E22A4D"/>
    <w:rsid w:val="00E25A8E"/>
    <w:rsid w:val="00E27005"/>
    <w:rsid w:val="00E3004D"/>
    <w:rsid w:val="00E300AC"/>
    <w:rsid w:val="00E31CA4"/>
    <w:rsid w:val="00E31ED9"/>
    <w:rsid w:val="00E32D62"/>
    <w:rsid w:val="00E33E27"/>
    <w:rsid w:val="00E34BE3"/>
    <w:rsid w:val="00E356F4"/>
    <w:rsid w:val="00E42F5F"/>
    <w:rsid w:val="00E42FC7"/>
    <w:rsid w:val="00E4501E"/>
    <w:rsid w:val="00E50249"/>
    <w:rsid w:val="00E53CA1"/>
    <w:rsid w:val="00E55BE0"/>
    <w:rsid w:val="00E55C1B"/>
    <w:rsid w:val="00E57F06"/>
    <w:rsid w:val="00E60C0F"/>
    <w:rsid w:val="00E6109F"/>
    <w:rsid w:val="00E6264F"/>
    <w:rsid w:val="00E630DA"/>
    <w:rsid w:val="00E644EA"/>
    <w:rsid w:val="00E66838"/>
    <w:rsid w:val="00E668F9"/>
    <w:rsid w:val="00E66EA6"/>
    <w:rsid w:val="00E67983"/>
    <w:rsid w:val="00E7219E"/>
    <w:rsid w:val="00E73525"/>
    <w:rsid w:val="00E76861"/>
    <w:rsid w:val="00E76B1F"/>
    <w:rsid w:val="00E76F24"/>
    <w:rsid w:val="00E77E48"/>
    <w:rsid w:val="00E822A7"/>
    <w:rsid w:val="00E824E1"/>
    <w:rsid w:val="00E8362C"/>
    <w:rsid w:val="00E847EE"/>
    <w:rsid w:val="00E86B05"/>
    <w:rsid w:val="00E91B46"/>
    <w:rsid w:val="00E9324B"/>
    <w:rsid w:val="00E9528D"/>
    <w:rsid w:val="00E95DCF"/>
    <w:rsid w:val="00E969E7"/>
    <w:rsid w:val="00E97DE3"/>
    <w:rsid w:val="00EA081B"/>
    <w:rsid w:val="00EA4AE1"/>
    <w:rsid w:val="00EA5FF5"/>
    <w:rsid w:val="00EB1098"/>
    <w:rsid w:val="00EB2783"/>
    <w:rsid w:val="00EB59EB"/>
    <w:rsid w:val="00EB64C0"/>
    <w:rsid w:val="00EB7E03"/>
    <w:rsid w:val="00EC531F"/>
    <w:rsid w:val="00EC56AB"/>
    <w:rsid w:val="00ED1E78"/>
    <w:rsid w:val="00ED41DD"/>
    <w:rsid w:val="00ED6989"/>
    <w:rsid w:val="00ED6E23"/>
    <w:rsid w:val="00ED7048"/>
    <w:rsid w:val="00EE08F1"/>
    <w:rsid w:val="00EE57BE"/>
    <w:rsid w:val="00EF5604"/>
    <w:rsid w:val="00EF58AD"/>
    <w:rsid w:val="00F00CBF"/>
    <w:rsid w:val="00F035E9"/>
    <w:rsid w:val="00F036C3"/>
    <w:rsid w:val="00F12565"/>
    <w:rsid w:val="00F16112"/>
    <w:rsid w:val="00F16B13"/>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DE5"/>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4BC7"/>
    <w:rsid w:val="00FB6547"/>
    <w:rsid w:val="00FC180F"/>
    <w:rsid w:val="00FC4D71"/>
    <w:rsid w:val="00FD2A66"/>
    <w:rsid w:val="00FD5256"/>
    <w:rsid w:val="00FE0665"/>
    <w:rsid w:val="00FE2EDA"/>
    <w:rsid w:val="00FE2F5E"/>
    <w:rsid w:val="00FE6F88"/>
    <w:rsid w:val="00FE73E8"/>
    <w:rsid w:val="00FF1581"/>
    <w:rsid w:val="00FF2406"/>
    <w:rsid w:val="00FF4A52"/>
    <w:rsid w:val="01E05E7F"/>
    <w:rsid w:val="07EE126E"/>
    <w:rsid w:val="07F4414A"/>
    <w:rsid w:val="084148C8"/>
    <w:rsid w:val="084322FE"/>
    <w:rsid w:val="0A5500E1"/>
    <w:rsid w:val="0A6965D6"/>
    <w:rsid w:val="0AE3660F"/>
    <w:rsid w:val="0B244889"/>
    <w:rsid w:val="0B642C70"/>
    <w:rsid w:val="0B6542E9"/>
    <w:rsid w:val="0B74580E"/>
    <w:rsid w:val="0C13416F"/>
    <w:rsid w:val="0CF85FFE"/>
    <w:rsid w:val="0E540857"/>
    <w:rsid w:val="0F1C5D92"/>
    <w:rsid w:val="0F9A55B3"/>
    <w:rsid w:val="0FCB3CB1"/>
    <w:rsid w:val="0FDB5165"/>
    <w:rsid w:val="10381541"/>
    <w:rsid w:val="11B81CF9"/>
    <w:rsid w:val="12B47743"/>
    <w:rsid w:val="133C073C"/>
    <w:rsid w:val="137B3F5E"/>
    <w:rsid w:val="13D3598A"/>
    <w:rsid w:val="13EA1EDD"/>
    <w:rsid w:val="15034EEF"/>
    <w:rsid w:val="1506505E"/>
    <w:rsid w:val="15121E2A"/>
    <w:rsid w:val="158C73CC"/>
    <w:rsid w:val="15A743BE"/>
    <w:rsid w:val="15D20C88"/>
    <w:rsid w:val="15EE29D1"/>
    <w:rsid w:val="17565975"/>
    <w:rsid w:val="176D4167"/>
    <w:rsid w:val="179330E7"/>
    <w:rsid w:val="181D0ECB"/>
    <w:rsid w:val="19770173"/>
    <w:rsid w:val="19935B40"/>
    <w:rsid w:val="1B9E2EE8"/>
    <w:rsid w:val="1BAC18EB"/>
    <w:rsid w:val="1CB95612"/>
    <w:rsid w:val="1E457346"/>
    <w:rsid w:val="1FD919E9"/>
    <w:rsid w:val="20B0190E"/>
    <w:rsid w:val="226A3D84"/>
    <w:rsid w:val="227B71CB"/>
    <w:rsid w:val="22D10F07"/>
    <w:rsid w:val="231275F8"/>
    <w:rsid w:val="23646710"/>
    <w:rsid w:val="236C763B"/>
    <w:rsid w:val="24260095"/>
    <w:rsid w:val="2515712D"/>
    <w:rsid w:val="25591220"/>
    <w:rsid w:val="25C03A8C"/>
    <w:rsid w:val="27817B9D"/>
    <w:rsid w:val="278B2776"/>
    <w:rsid w:val="289E7032"/>
    <w:rsid w:val="290B7D34"/>
    <w:rsid w:val="29C7483E"/>
    <w:rsid w:val="2A5F1B74"/>
    <w:rsid w:val="2BB47844"/>
    <w:rsid w:val="2BEC4476"/>
    <w:rsid w:val="2C3F2E8C"/>
    <w:rsid w:val="2C845BBC"/>
    <w:rsid w:val="2CE3351F"/>
    <w:rsid w:val="2D59094A"/>
    <w:rsid w:val="2D597361"/>
    <w:rsid w:val="2E927C09"/>
    <w:rsid w:val="2EE64DD3"/>
    <w:rsid w:val="2F3A49F5"/>
    <w:rsid w:val="2FAF2F77"/>
    <w:rsid w:val="325C3AB1"/>
    <w:rsid w:val="329E3C11"/>
    <w:rsid w:val="32F13729"/>
    <w:rsid w:val="337301E6"/>
    <w:rsid w:val="33C73969"/>
    <w:rsid w:val="356B4500"/>
    <w:rsid w:val="35BD13CA"/>
    <w:rsid w:val="36931A2B"/>
    <w:rsid w:val="378823E7"/>
    <w:rsid w:val="385164B6"/>
    <w:rsid w:val="386D6ED3"/>
    <w:rsid w:val="395E7188"/>
    <w:rsid w:val="396340C7"/>
    <w:rsid w:val="39D70D25"/>
    <w:rsid w:val="39FB6417"/>
    <w:rsid w:val="3A380A9A"/>
    <w:rsid w:val="3A684679"/>
    <w:rsid w:val="3AAD7BD9"/>
    <w:rsid w:val="3AC87904"/>
    <w:rsid w:val="3BFE1E92"/>
    <w:rsid w:val="3C5E74BA"/>
    <w:rsid w:val="3CFD3377"/>
    <w:rsid w:val="3DFB2722"/>
    <w:rsid w:val="3DFF1474"/>
    <w:rsid w:val="3E0A4513"/>
    <w:rsid w:val="3E9C6541"/>
    <w:rsid w:val="3F1C75B0"/>
    <w:rsid w:val="4007653F"/>
    <w:rsid w:val="40474B51"/>
    <w:rsid w:val="41CF3CE7"/>
    <w:rsid w:val="422325F5"/>
    <w:rsid w:val="422B71C1"/>
    <w:rsid w:val="42CF2B91"/>
    <w:rsid w:val="43521080"/>
    <w:rsid w:val="447451EB"/>
    <w:rsid w:val="45C4796A"/>
    <w:rsid w:val="45F140D5"/>
    <w:rsid w:val="47224F2B"/>
    <w:rsid w:val="485422DF"/>
    <w:rsid w:val="49454F18"/>
    <w:rsid w:val="49FE3E6E"/>
    <w:rsid w:val="4A7D0475"/>
    <w:rsid w:val="4BC614D7"/>
    <w:rsid w:val="4E520E72"/>
    <w:rsid w:val="4F790ED0"/>
    <w:rsid w:val="4F8843CB"/>
    <w:rsid w:val="50F74412"/>
    <w:rsid w:val="52240995"/>
    <w:rsid w:val="52C860E6"/>
    <w:rsid w:val="535522E1"/>
    <w:rsid w:val="53DD3972"/>
    <w:rsid w:val="542B7B5D"/>
    <w:rsid w:val="55EF77D3"/>
    <w:rsid w:val="56AC7C2F"/>
    <w:rsid w:val="56F70215"/>
    <w:rsid w:val="57613B65"/>
    <w:rsid w:val="57AD3FDA"/>
    <w:rsid w:val="58392868"/>
    <w:rsid w:val="586D6860"/>
    <w:rsid w:val="590D11BA"/>
    <w:rsid w:val="59350572"/>
    <w:rsid w:val="597225C1"/>
    <w:rsid w:val="59A922D9"/>
    <w:rsid w:val="5A582A46"/>
    <w:rsid w:val="5A7F6F0F"/>
    <w:rsid w:val="5ADA6EB7"/>
    <w:rsid w:val="5BE71FBF"/>
    <w:rsid w:val="5C936A6D"/>
    <w:rsid w:val="5D20267F"/>
    <w:rsid w:val="5DA57DB3"/>
    <w:rsid w:val="5EAF0E70"/>
    <w:rsid w:val="5EE02F14"/>
    <w:rsid w:val="5F21688B"/>
    <w:rsid w:val="5F716050"/>
    <w:rsid w:val="60256056"/>
    <w:rsid w:val="609B68C0"/>
    <w:rsid w:val="60BA4BED"/>
    <w:rsid w:val="60CD40D6"/>
    <w:rsid w:val="613760E1"/>
    <w:rsid w:val="62216EE4"/>
    <w:rsid w:val="62541D9E"/>
    <w:rsid w:val="629455B1"/>
    <w:rsid w:val="62A66443"/>
    <w:rsid w:val="63CE2436"/>
    <w:rsid w:val="63F45856"/>
    <w:rsid w:val="647430EB"/>
    <w:rsid w:val="67954DBA"/>
    <w:rsid w:val="680E08FF"/>
    <w:rsid w:val="69B57E0F"/>
    <w:rsid w:val="6A5A1B1F"/>
    <w:rsid w:val="6B1F405C"/>
    <w:rsid w:val="6B8C4811"/>
    <w:rsid w:val="6BAC4BF3"/>
    <w:rsid w:val="6C8A46EC"/>
    <w:rsid w:val="6CA80877"/>
    <w:rsid w:val="6DEE0416"/>
    <w:rsid w:val="6DF81C12"/>
    <w:rsid w:val="6F9831E0"/>
    <w:rsid w:val="70186B4C"/>
    <w:rsid w:val="70F64701"/>
    <w:rsid w:val="7209502F"/>
    <w:rsid w:val="72F30683"/>
    <w:rsid w:val="73EE1C47"/>
    <w:rsid w:val="74DB3A4B"/>
    <w:rsid w:val="751A2FE6"/>
    <w:rsid w:val="75F43134"/>
    <w:rsid w:val="76C24D43"/>
    <w:rsid w:val="786A30DD"/>
    <w:rsid w:val="795A1E5C"/>
    <w:rsid w:val="7A1264C5"/>
    <w:rsid w:val="7A574716"/>
    <w:rsid w:val="7AA169E6"/>
    <w:rsid w:val="7AE033BF"/>
    <w:rsid w:val="7BE73E4D"/>
    <w:rsid w:val="7C2369AE"/>
    <w:rsid w:val="7C2B78C6"/>
    <w:rsid w:val="7C3F39CF"/>
    <w:rsid w:val="7C5717CF"/>
    <w:rsid w:val="7C984A65"/>
    <w:rsid w:val="7D0776BD"/>
    <w:rsid w:val="7D43557F"/>
    <w:rsid w:val="7D7E0983"/>
    <w:rsid w:val="7D806DC5"/>
    <w:rsid w:val="7E50031D"/>
    <w:rsid w:val="7EBC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50"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43"/>
    <w:qFormat/>
    <w:uiPriority w:val="0"/>
    <w:pPr>
      <w:keepNext/>
      <w:keepLines/>
      <w:spacing w:before="120" w:after="120"/>
      <w:outlineLvl w:val="2"/>
    </w:pPr>
    <w:rPr>
      <w:b/>
      <w:bCs/>
      <w:sz w:val="21"/>
      <w:szCs w:val="32"/>
    </w:rPr>
  </w:style>
  <w:style w:type="paragraph" w:styleId="5">
    <w:name w:val="heading 4"/>
    <w:basedOn w:val="1"/>
    <w:next w:val="1"/>
    <w:link w:val="48"/>
    <w:qFormat/>
    <w:uiPriority w:val="0"/>
    <w:pPr>
      <w:keepNext/>
      <w:keepLines/>
      <w:spacing w:line="360" w:lineRule="auto"/>
      <w:jc w:val="left"/>
      <w:outlineLvl w:val="3"/>
    </w:pPr>
    <w:rPr>
      <w:rFonts w:ascii="Cambria" w:hAnsi="Cambria" w:eastAsia="黑体"/>
      <w:bCs/>
      <w:szCs w:val="28"/>
    </w:rPr>
  </w:style>
  <w:style w:type="paragraph" w:styleId="6">
    <w:name w:val="heading 8"/>
    <w:basedOn w:val="1"/>
    <w:next w:val="1"/>
    <w:link w:val="53"/>
    <w:qFormat/>
    <w:uiPriority w:val="0"/>
    <w:pPr>
      <w:keepNext/>
      <w:keepLines/>
      <w:spacing w:before="240" w:after="64" w:line="320" w:lineRule="auto"/>
      <w:outlineLvl w:val="7"/>
    </w:pPr>
    <w:rPr>
      <w:rFonts w:ascii="Cambria" w:hAnsi="Cambria"/>
      <w:szCs w:val="24"/>
    </w:rPr>
  </w:style>
  <w:style w:type="character" w:default="1" w:styleId="26">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54"/>
    <w:qFormat/>
    <w:uiPriority w:val="0"/>
    <w:rPr>
      <w:b/>
      <w:bCs/>
    </w:rPr>
  </w:style>
  <w:style w:type="paragraph" w:styleId="8">
    <w:name w:val="annotation text"/>
    <w:basedOn w:val="1"/>
    <w:link w:val="45"/>
    <w:qFormat/>
    <w:uiPriority w:val="99"/>
    <w:pPr>
      <w:jc w:val="left"/>
    </w:pPr>
    <w:rPr>
      <w:sz w:val="21"/>
    </w:rPr>
  </w:style>
  <w:style w:type="paragraph" w:styleId="9">
    <w:name w:val="Normal Indent"/>
    <w:basedOn w:val="1"/>
    <w:qFormat/>
    <w:uiPriority w:val="0"/>
    <w:pPr>
      <w:ind w:firstLine="420"/>
    </w:pPr>
  </w:style>
  <w:style w:type="paragraph" w:styleId="10">
    <w:name w:val="caption"/>
    <w:basedOn w:val="1"/>
    <w:next w:val="1"/>
    <w:qFormat/>
    <w:uiPriority w:val="0"/>
    <w:pPr>
      <w:spacing w:line="480" w:lineRule="auto"/>
    </w:pPr>
    <w:rPr>
      <w:rFonts w:ascii="华文中宋" w:hAnsi="华文中宋" w:eastAsia="华文中宋"/>
      <w:sz w:val="36"/>
    </w:rPr>
  </w:style>
  <w:style w:type="paragraph" w:styleId="11">
    <w:name w:val="Document Map"/>
    <w:basedOn w:val="1"/>
    <w:qFormat/>
    <w:uiPriority w:val="0"/>
    <w:pPr>
      <w:shd w:val="clear" w:color="auto" w:fill="000080"/>
    </w:pPr>
  </w:style>
  <w:style w:type="paragraph" w:styleId="12">
    <w:name w:val="Body Text 3"/>
    <w:basedOn w:val="1"/>
    <w:link w:val="51"/>
    <w:qFormat/>
    <w:uiPriority w:val="0"/>
    <w:pPr>
      <w:spacing w:after="120" w:line="360" w:lineRule="auto"/>
    </w:pPr>
    <w:rPr>
      <w:kern w:val="0"/>
      <w:sz w:val="16"/>
      <w:szCs w:val="16"/>
    </w:rPr>
  </w:style>
  <w:style w:type="paragraph" w:styleId="13">
    <w:name w:val="Body Text"/>
    <w:basedOn w:val="1"/>
    <w:link w:val="44"/>
    <w:qFormat/>
    <w:uiPriority w:val="0"/>
    <w:pPr>
      <w:spacing w:line="360" w:lineRule="auto"/>
    </w:pPr>
  </w:style>
  <w:style w:type="paragraph" w:styleId="14">
    <w:name w:val="Body Text Indent"/>
    <w:basedOn w:val="1"/>
    <w:qFormat/>
    <w:uiPriority w:val="0"/>
    <w:pPr>
      <w:ind w:firstLine="444"/>
    </w:pPr>
    <w:rPr>
      <w:b/>
    </w:rPr>
  </w:style>
  <w:style w:type="paragraph" w:styleId="15">
    <w:name w:val="Plain Text"/>
    <w:basedOn w:val="1"/>
    <w:link w:val="52"/>
    <w:qFormat/>
    <w:uiPriority w:val="0"/>
    <w:rPr>
      <w:rFonts w:ascii="宋体" w:hAnsi="Courier New"/>
      <w:sz w:val="21"/>
    </w:rPr>
  </w:style>
  <w:style w:type="paragraph" w:styleId="16">
    <w:name w:val="Date"/>
    <w:basedOn w:val="1"/>
    <w:next w:val="1"/>
    <w:qFormat/>
    <w:uiPriority w:val="0"/>
  </w:style>
  <w:style w:type="paragraph" w:styleId="17">
    <w:name w:val="Body Text Indent 2"/>
    <w:basedOn w:val="1"/>
    <w:qFormat/>
    <w:uiPriority w:val="0"/>
    <w:pPr>
      <w:spacing w:line="360" w:lineRule="auto"/>
      <w:ind w:firstLine="420" w:firstLineChars="175"/>
    </w:pPr>
    <w:rPr>
      <w:rFonts w:ascii="宋体" w:hAnsi="宋体"/>
      <w:b/>
      <w:bCs/>
    </w:rPr>
  </w:style>
  <w:style w:type="paragraph" w:styleId="18">
    <w:name w:val="Balloon Text"/>
    <w:basedOn w:val="1"/>
    <w:link w:val="34"/>
    <w:qFormat/>
    <w:uiPriority w:val="0"/>
    <w:rPr>
      <w:sz w:val="18"/>
      <w:szCs w:val="18"/>
    </w:rPr>
  </w:style>
  <w:style w:type="paragraph" w:styleId="19">
    <w:name w:val="footer"/>
    <w:basedOn w:val="1"/>
    <w:link w:val="47"/>
    <w:qFormat/>
    <w:uiPriority w:val="99"/>
    <w:pPr>
      <w:tabs>
        <w:tab w:val="center" w:pos="4153"/>
        <w:tab w:val="right" w:pos="8306"/>
      </w:tabs>
      <w:jc w:val="left"/>
    </w:pPr>
    <w:rPr>
      <w:sz w:val="18"/>
    </w:rPr>
  </w:style>
  <w:style w:type="paragraph" w:styleId="20">
    <w:name w:val="header"/>
    <w:basedOn w:val="1"/>
    <w:link w:val="35"/>
    <w:qFormat/>
    <w:uiPriority w:val="99"/>
    <w:pPr>
      <w:pBdr>
        <w:bottom w:val="single" w:color="auto" w:sz="6" w:space="1"/>
      </w:pBdr>
      <w:tabs>
        <w:tab w:val="center" w:pos="4153"/>
        <w:tab w:val="right" w:pos="8306"/>
      </w:tabs>
      <w:jc w:val="center"/>
    </w:pPr>
    <w:rPr>
      <w:sz w:val="18"/>
    </w:rPr>
  </w:style>
  <w:style w:type="paragraph" w:styleId="21">
    <w:name w:val="toc 1"/>
    <w:basedOn w:val="1"/>
    <w:next w:val="1"/>
    <w:qFormat/>
    <w:uiPriority w:val="39"/>
  </w:style>
  <w:style w:type="paragraph" w:styleId="22">
    <w:name w:val="Body Text Indent 3"/>
    <w:basedOn w:val="1"/>
    <w:qFormat/>
    <w:uiPriority w:val="0"/>
    <w:pPr>
      <w:spacing w:after="156" w:afterLines="50"/>
      <w:ind w:firstLine="420"/>
    </w:pPr>
    <w:rPr>
      <w:szCs w:val="21"/>
    </w:rPr>
  </w:style>
  <w:style w:type="paragraph" w:styleId="23">
    <w:name w:val="toc 2"/>
    <w:basedOn w:val="1"/>
    <w:next w:val="1"/>
    <w:qFormat/>
    <w:uiPriority w:val="39"/>
    <w:pPr>
      <w:ind w:left="420" w:leftChars="200"/>
    </w:p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5">
    <w:name w:val="Title"/>
    <w:basedOn w:val="2"/>
    <w:next w:val="1"/>
    <w:link w:val="50"/>
    <w:qFormat/>
    <w:uiPriority w:val="0"/>
    <w:pPr>
      <w:spacing w:before="50" w:beforeLines="50" w:after="0" w:line="360" w:lineRule="auto"/>
      <w:ind w:firstLine="0" w:firstLineChars="0"/>
      <w:jc w:val="center"/>
    </w:pPr>
    <w:rPr>
      <w:rFonts w:ascii="Cambria" w:hAnsi="Cambria" w:eastAsia="黑体"/>
      <w:b w:val="0"/>
      <w:bCs w:val="0"/>
      <w:sz w:val="36"/>
      <w:szCs w:val="32"/>
    </w:r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uiPriority w:val="0"/>
    <w:rPr>
      <w:color w:val="800080"/>
      <w:u w:val="single"/>
    </w:rPr>
  </w:style>
  <w:style w:type="character" w:styleId="30">
    <w:name w:val="Hyperlink"/>
    <w:uiPriority w:val="99"/>
    <w:rPr>
      <w:color w:val="0000FF"/>
      <w:u w:val="single"/>
    </w:rPr>
  </w:style>
  <w:style w:type="character" w:styleId="31">
    <w:name w:val="annotation reference"/>
    <w:qFormat/>
    <w:uiPriority w:val="0"/>
    <w:rPr>
      <w:sz w:val="21"/>
      <w:szCs w:val="21"/>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批注框文本 字符"/>
    <w:link w:val="18"/>
    <w:qFormat/>
    <w:uiPriority w:val="0"/>
    <w:rPr>
      <w:kern w:val="2"/>
      <w:sz w:val="18"/>
      <w:szCs w:val="18"/>
    </w:rPr>
  </w:style>
  <w:style w:type="character" w:customStyle="1" w:styleId="35">
    <w:name w:val="页眉 字符"/>
    <w:link w:val="20"/>
    <w:qFormat/>
    <w:uiPriority w:val="99"/>
    <w:rPr>
      <w:kern w:val="2"/>
      <w:sz w:val="18"/>
    </w:rPr>
  </w:style>
  <w:style w:type="character" w:customStyle="1" w:styleId="36">
    <w:name w:val="unnamed11"/>
    <w:qFormat/>
    <w:uiPriority w:val="0"/>
    <w:rPr>
      <w:u w:val="none"/>
    </w:rPr>
  </w:style>
  <w:style w:type="character" w:customStyle="1" w:styleId="37">
    <w:name w:val="标题 2 字符"/>
    <w:link w:val="3"/>
    <w:qFormat/>
    <w:uiPriority w:val="0"/>
    <w:rPr>
      <w:rFonts w:ascii="Arial" w:hAnsi="Arial" w:eastAsia="黑体"/>
      <w:bCs/>
      <w:sz w:val="28"/>
      <w:szCs w:val="32"/>
    </w:rPr>
  </w:style>
  <w:style w:type="character" w:customStyle="1" w:styleId="38">
    <w:name w:val="标题 2 Char"/>
    <w:qFormat/>
    <w:uiPriority w:val="0"/>
    <w:rPr>
      <w:rFonts w:ascii="Arial" w:hAnsi="Arial" w:eastAsia="黑体"/>
      <w:b/>
      <w:bCs/>
      <w:sz w:val="32"/>
      <w:szCs w:val="32"/>
    </w:rPr>
  </w:style>
  <w:style w:type="character" w:customStyle="1" w:styleId="39">
    <w:name w:val="无间隔 Char1"/>
    <w:qFormat/>
    <w:uiPriority w:val="1"/>
    <w:rPr>
      <w:rFonts w:ascii="Calibri" w:hAnsi="Calibri" w:eastAsia="宋体"/>
      <w:kern w:val="2"/>
      <w:sz w:val="21"/>
      <w:szCs w:val="22"/>
      <w:lang w:bidi="ar-SA"/>
    </w:rPr>
  </w:style>
  <w:style w:type="character" w:customStyle="1" w:styleId="40">
    <w:name w:val="无间隔 字符"/>
    <w:link w:val="41"/>
    <w:qFormat/>
    <w:uiPriority w:val="1"/>
    <w:rPr>
      <w:rFonts w:ascii="Calibri" w:hAnsi="Calibri"/>
      <w:sz w:val="22"/>
      <w:szCs w:val="22"/>
      <w:lang w:val="en-US" w:eastAsia="zh-CN" w:bidi="ar-SA"/>
    </w:rPr>
  </w:style>
  <w:style w:type="paragraph" w:styleId="41">
    <w:name w:val="No Spacing"/>
    <w:link w:val="40"/>
    <w:qFormat/>
    <w:uiPriority w:val="1"/>
    <w:rPr>
      <w:rFonts w:ascii="Calibri" w:hAnsi="Calibri" w:eastAsia="宋体" w:cs="Times New Roman"/>
      <w:sz w:val="22"/>
      <w:szCs w:val="22"/>
      <w:lang w:val="en-US" w:eastAsia="zh-CN" w:bidi="ar-SA"/>
    </w:rPr>
  </w:style>
  <w:style w:type="character" w:customStyle="1" w:styleId="42">
    <w:name w:val="正文文本 3 Char1"/>
    <w:semiHidden/>
    <w:qFormat/>
    <w:uiPriority w:val="99"/>
    <w:rPr>
      <w:kern w:val="2"/>
      <w:sz w:val="16"/>
      <w:szCs w:val="16"/>
    </w:rPr>
  </w:style>
  <w:style w:type="character" w:customStyle="1" w:styleId="43">
    <w:name w:val="标题 3 字符"/>
    <w:link w:val="4"/>
    <w:qFormat/>
    <w:uiPriority w:val="0"/>
    <w:rPr>
      <w:b/>
      <w:bCs/>
      <w:kern w:val="2"/>
      <w:sz w:val="21"/>
      <w:szCs w:val="32"/>
    </w:rPr>
  </w:style>
  <w:style w:type="character" w:customStyle="1" w:styleId="44">
    <w:name w:val="正文文本 字符"/>
    <w:link w:val="13"/>
    <w:qFormat/>
    <w:uiPriority w:val="0"/>
    <w:rPr>
      <w:kern w:val="2"/>
      <w:sz w:val="24"/>
    </w:rPr>
  </w:style>
  <w:style w:type="character" w:customStyle="1" w:styleId="45">
    <w:name w:val="批注文字 字符"/>
    <w:link w:val="8"/>
    <w:qFormat/>
    <w:uiPriority w:val="99"/>
    <w:rPr>
      <w:kern w:val="2"/>
      <w:sz w:val="21"/>
    </w:rPr>
  </w:style>
  <w:style w:type="character" w:customStyle="1" w:styleId="46">
    <w:name w:val="专用功能1"/>
    <w:uiPriority w:val="0"/>
    <w:rPr>
      <w:color w:val="666666"/>
      <w:sz w:val="20"/>
    </w:rPr>
  </w:style>
  <w:style w:type="character" w:customStyle="1" w:styleId="47">
    <w:name w:val="页脚 字符"/>
    <w:link w:val="19"/>
    <w:qFormat/>
    <w:uiPriority w:val="99"/>
    <w:rPr>
      <w:kern w:val="2"/>
      <w:sz w:val="18"/>
    </w:rPr>
  </w:style>
  <w:style w:type="character" w:customStyle="1" w:styleId="48">
    <w:name w:val="标题 4 字符"/>
    <w:link w:val="5"/>
    <w:qFormat/>
    <w:uiPriority w:val="0"/>
    <w:rPr>
      <w:rFonts w:ascii="Cambria" w:hAnsi="Cambria" w:eastAsia="黑体"/>
      <w:bCs/>
      <w:kern w:val="2"/>
      <w:sz w:val="24"/>
      <w:szCs w:val="28"/>
    </w:rPr>
  </w:style>
  <w:style w:type="character" w:customStyle="1" w:styleId="49">
    <w:name w:val="标题 1 字符"/>
    <w:link w:val="2"/>
    <w:qFormat/>
    <w:uiPriority w:val="0"/>
    <w:rPr>
      <w:b/>
      <w:bCs/>
      <w:kern w:val="44"/>
      <w:sz w:val="44"/>
      <w:szCs w:val="44"/>
    </w:rPr>
  </w:style>
  <w:style w:type="character" w:customStyle="1" w:styleId="50">
    <w:name w:val="标题 字符"/>
    <w:link w:val="25"/>
    <w:uiPriority w:val="0"/>
    <w:rPr>
      <w:rFonts w:ascii="Cambria" w:hAnsi="Cambria" w:eastAsia="黑体"/>
      <w:kern w:val="44"/>
      <w:sz w:val="36"/>
      <w:szCs w:val="32"/>
    </w:rPr>
  </w:style>
  <w:style w:type="character" w:customStyle="1" w:styleId="51">
    <w:name w:val="正文文本 3 字符"/>
    <w:link w:val="12"/>
    <w:qFormat/>
    <w:uiPriority w:val="0"/>
    <w:rPr>
      <w:sz w:val="16"/>
      <w:szCs w:val="16"/>
    </w:rPr>
  </w:style>
  <w:style w:type="character" w:customStyle="1" w:styleId="52">
    <w:name w:val="纯文本 字符"/>
    <w:link w:val="15"/>
    <w:qFormat/>
    <w:uiPriority w:val="0"/>
    <w:rPr>
      <w:rFonts w:ascii="宋体" w:hAnsi="Courier New"/>
      <w:kern w:val="2"/>
      <w:sz w:val="21"/>
    </w:rPr>
  </w:style>
  <w:style w:type="character" w:customStyle="1" w:styleId="53">
    <w:name w:val="标题 8 字符"/>
    <w:link w:val="6"/>
    <w:qFormat/>
    <w:uiPriority w:val="0"/>
    <w:rPr>
      <w:rFonts w:ascii="Cambria" w:hAnsi="Cambria" w:eastAsia="宋体" w:cs="Times New Roman"/>
      <w:kern w:val="2"/>
      <w:sz w:val="24"/>
      <w:szCs w:val="24"/>
    </w:rPr>
  </w:style>
  <w:style w:type="character" w:customStyle="1" w:styleId="54">
    <w:name w:val="批注主题 字符"/>
    <w:link w:val="7"/>
    <w:uiPriority w:val="0"/>
    <w:rPr>
      <w:b/>
      <w:bCs/>
      <w:kern w:val="2"/>
      <w:sz w:val="21"/>
    </w:rPr>
  </w:style>
  <w:style w:type="paragraph" w:customStyle="1" w:styleId="55">
    <w:name w:val="Revision"/>
    <w:qFormat/>
    <w:uiPriority w:val="0"/>
    <w:rPr>
      <w:rFonts w:ascii="Times New Roman" w:hAnsi="Times New Roman" w:eastAsia="宋体" w:cs="Times New Roman"/>
      <w:kern w:val="2"/>
      <w:sz w:val="21"/>
      <w:lang w:val="en-US" w:eastAsia="zh-CN" w:bidi="ar-SA"/>
    </w:rPr>
  </w:style>
  <w:style w:type="paragraph" w:customStyle="1" w:styleId="56">
    <w:name w:val="目录 91"/>
    <w:basedOn w:val="1"/>
    <w:next w:val="1"/>
    <w:qFormat/>
    <w:uiPriority w:val="0"/>
    <w:pPr>
      <w:ind w:left="1680"/>
      <w:jc w:val="left"/>
    </w:pPr>
    <w:rPr>
      <w:rFonts w:ascii="Calibri" w:hAnsi="Calibri" w:cs="Calibri"/>
      <w:sz w:val="18"/>
      <w:szCs w:val="18"/>
    </w:rPr>
  </w:style>
  <w:style w:type="paragraph" w:customStyle="1" w:styleId="57">
    <w:name w:val="正文1"/>
    <w:basedOn w:val="1"/>
    <w:qFormat/>
    <w:uiPriority w:val="0"/>
    <w:pPr>
      <w:spacing w:line="360" w:lineRule="atLeast"/>
      <w:jc w:val="left"/>
      <w:textAlignment w:val="baseline"/>
    </w:pPr>
    <w:rPr>
      <w:rFonts w:ascii="宋体"/>
      <w:b/>
      <w:kern w:val="0"/>
    </w:rPr>
  </w:style>
  <w:style w:type="paragraph" w:customStyle="1" w:styleId="58">
    <w:name w:val="p0"/>
    <w:basedOn w:val="1"/>
    <w:qFormat/>
    <w:uiPriority w:val="0"/>
    <w:pPr>
      <w:widowControl/>
    </w:pPr>
    <w:rPr>
      <w:kern w:val="0"/>
    </w:rPr>
  </w:style>
  <w:style w:type="paragraph" w:customStyle="1" w:styleId="59">
    <w:name w:val="目录 41"/>
    <w:basedOn w:val="1"/>
    <w:next w:val="1"/>
    <w:qFormat/>
    <w:uiPriority w:val="0"/>
    <w:pPr>
      <w:ind w:left="630"/>
      <w:jc w:val="left"/>
    </w:pPr>
    <w:rPr>
      <w:rFonts w:ascii="Calibri" w:hAnsi="Calibri" w:cs="Calibri"/>
      <w:sz w:val="18"/>
      <w:szCs w:val="18"/>
    </w:rPr>
  </w:style>
  <w:style w:type="paragraph" w:customStyle="1" w:styleId="60">
    <w:name w:val="标题2（新）"/>
    <w:basedOn w:val="3"/>
    <w:qFormat/>
    <w:uiPriority w:val="0"/>
    <w:pPr>
      <w:widowControl/>
      <w:spacing w:before="0" w:beforeLines="0" w:line="440" w:lineRule="exact"/>
    </w:pPr>
    <w:rPr>
      <w:rFonts w:ascii="宋体" w:eastAsia="宋体" w:cs="宋体"/>
      <w:szCs w:val="28"/>
    </w:rPr>
  </w:style>
  <w:style w:type="paragraph" w:customStyle="1" w:styleId="61">
    <w:name w:val="Char"/>
    <w:basedOn w:val="1"/>
    <w:qFormat/>
    <w:uiPriority w:val="0"/>
    <w:pPr>
      <w:spacing w:line="360" w:lineRule="auto"/>
    </w:pPr>
    <w:rPr>
      <w:kern w:val="0"/>
    </w:rPr>
  </w:style>
  <w:style w:type="paragraph" w:customStyle="1" w:styleId="62">
    <w:name w:val="目录 71"/>
    <w:basedOn w:val="1"/>
    <w:next w:val="1"/>
    <w:qFormat/>
    <w:uiPriority w:val="0"/>
    <w:pPr>
      <w:ind w:left="1260"/>
      <w:jc w:val="left"/>
    </w:pPr>
    <w:rPr>
      <w:rFonts w:ascii="Calibri" w:hAnsi="Calibri" w:cs="Calibri"/>
      <w:sz w:val="18"/>
      <w:szCs w:val="18"/>
    </w:rPr>
  </w:style>
  <w:style w:type="paragraph" w:customStyle="1" w:styleId="63">
    <w:name w:val="目录 51"/>
    <w:basedOn w:val="1"/>
    <w:next w:val="1"/>
    <w:qFormat/>
    <w:uiPriority w:val="0"/>
    <w:pPr>
      <w:ind w:left="840"/>
      <w:jc w:val="left"/>
    </w:pPr>
    <w:rPr>
      <w:rFonts w:ascii="Calibri" w:hAnsi="Calibri" w:cs="Calibri"/>
      <w:sz w:val="18"/>
      <w:szCs w:val="18"/>
    </w:rPr>
  </w:style>
  <w:style w:type="paragraph" w:customStyle="1" w:styleId="64">
    <w:name w:val="缺省文本"/>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65">
    <w:name w:val="TOC Heading"/>
    <w:basedOn w:val="2"/>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6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7">
    <w:name w:val="金正文1"/>
    <w:basedOn w:val="1"/>
    <w:qFormat/>
    <w:uiPriority w:val="0"/>
    <w:pPr>
      <w:spacing w:line="360" w:lineRule="auto"/>
      <w:jc w:val="left"/>
    </w:pPr>
  </w:style>
  <w:style w:type="paragraph" w:customStyle="1" w:styleId="68">
    <w:name w:val="列出段落1"/>
    <w:basedOn w:val="1"/>
    <w:qFormat/>
    <w:uiPriority w:val="34"/>
    <w:pPr>
      <w:ind w:firstLine="420"/>
    </w:pPr>
  </w:style>
  <w:style w:type="paragraph" w:customStyle="1" w:styleId="69">
    <w:name w:val="Char Char Char"/>
    <w:basedOn w:val="1"/>
    <w:qFormat/>
    <w:uiPriority w:val="0"/>
    <w:rPr>
      <w:rFonts w:ascii="Tahoma" w:hAnsi="Tahoma"/>
    </w:rPr>
  </w:style>
  <w:style w:type="paragraph" w:customStyle="1" w:styleId="70">
    <w:name w:val="默认段落字体 Para Char Char Char Char"/>
    <w:basedOn w:val="1"/>
    <w:qFormat/>
    <w:uiPriority w:val="0"/>
  </w:style>
  <w:style w:type="paragraph" w:customStyle="1" w:styleId="71">
    <w:name w:val="样式2"/>
    <w:basedOn w:val="1"/>
    <w:qFormat/>
    <w:uiPriority w:val="0"/>
    <w:pPr>
      <w:spacing w:line="410" w:lineRule="atLeast"/>
      <w:jc w:val="left"/>
      <w:textAlignment w:val="baseline"/>
    </w:pPr>
    <w:rPr>
      <w:kern w:val="0"/>
    </w:rPr>
  </w:style>
  <w:style w:type="paragraph" w:customStyle="1" w:styleId="72">
    <w:name w:val="样式 55 + (西文) Times New Roman (中文) 宋体 五号 加粗 行距: 1.5 倍行距"/>
    <w:basedOn w:val="73"/>
    <w:qFormat/>
    <w:uiPriority w:val="0"/>
    <w:pPr>
      <w:spacing w:line="360" w:lineRule="auto"/>
      <w:ind w:firstLine="0"/>
    </w:pPr>
    <w:rPr>
      <w:rFonts w:ascii="Times New Roman" w:eastAsia="黑体" w:cs="宋体"/>
      <w:bCs/>
      <w:szCs w:val="20"/>
    </w:rPr>
  </w:style>
  <w:style w:type="paragraph" w:customStyle="1" w:styleId="73">
    <w:name w:val="55"/>
    <w:basedOn w:val="1"/>
    <w:qFormat/>
    <w:uiPriority w:val="0"/>
    <w:pPr>
      <w:spacing w:line="500" w:lineRule="exact"/>
      <w:ind w:firstLine="629"/>
    </w:pPr>
    <w:rPr>
      <w:rFonts w:ascii="仿宋_GB2312" w:eastAsia="仿宋_GB2312"/>
      <w:sz w:val="28"/>
      <w:szCs w:val="28"/>
    </w:rPr>
  </w:style>
  <w:style w:type="paragraph" w:customStyle="1" w:styleId="74">
    <w:name w:val="目录 61"/>
    <w:basedOn w:val="1"/>
    <w:next w:val="1"/>
    <w:qFormat/>
    <w:uiPriority w:val="0"/>
    <w:pPr>
      <w:ind w:left="1050"/>
      <w:jc w:val="left"/>
    </w:pPr>
    <w:rPr>
      <w:rFonts w:ascii="Calibri" w:hAnsi="Calibri" w:cs="Calibri"/>
      <w:sz w:val="18"/>
      <w:szCs w:val="18"/>
    </w:rPr>
  </w:style>
  <w:style w:type="paragraph" w:customStyle="1" w:styleId="75">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76">
    <w:name w:val="目录 21"/>
    <w:basedOn w:val="1"/>
    <w:next w:val="1"/>
    <w:qFormat/>
    <w:uiPriority w:val="39"/>
    <w:pPr>
      <w:ind w:left="210"/>
      <w:jc w:val="left"/>
    </w:pPr>
    <w:rPr>
      <w:rFonts w:ascii="Calibri" w:hAnsi="Calibri" w:cs="Calibri"/>
      <w:smallCaps/>
      <w:sz w:val="20"/>
    </w:rPr>
  </w:style>
  <w:style w:type="paragraph" w:customStyle="1" w:styleId="77">
    <w:name w:val="正文文本 31"/>
    <w:basedOn w:val="1"/>
    <w:uiPriority w:val="0"/>
    <w:pPr>
      <w:spacing w:line="360" w:lineRule="auto"/>
      <w:jc w:val="center"/>
      <w:textAlignment w:val="baseline"/>
    </w:pPr>
    <w:rPr>
      <w:rFonts w:ascii="宋体"/>
      <w:b/>
      <w:color w:val="FF0000"/>
      <w:kern w:val="0"/>
      <w:u w:val="single"/>
    </w:rPr>
  </w:style>
  <w:style w:type="paragraph" w:customStyle="1" w:styleId="78">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79">
    <w:name w:val="附件"/>
    <w:basedOn w:val="1"/>
    <w:qFormat/>
    <w:uiPriority w:val="0"/>
    <w:pPr>
      <w:spacing w:before="120" w:after="60"/>
      <w:jc w:val="center"/>
      <w:textAlignment w:val="center"/>
    </w:pPr>
    <w:rPr>
      <w:rFonts w:ascii="黑体" w:eastAsia="黑体"/>
      <w:b/>
      <w:kern w:val="0"/>
      <w:sz w:val="32"/>
      <w:szCs w:val="32"/>
    </w:rPr>
  </w:style>
  <w:style w:type="paragraph" w:customStyle="1" w:styleId="80">
    <w:name w:val="表格"/>
    <w:basedOn w:val="1"/>
    <w:qFormat/>
    <w:uiPriority w:val="0"/>
    <w:pPr>
      <w:spacing w:before="60" w:after="60"/>
      <w:jc w:val="center"/>
      <w:textAlignment w:val="baseline"/>
    </w:pPr>
    <w:rPr>
      <w:rFonts w:ascii="宋体"/>
      <w:kern w:val="0"/>
    </w:rPr>
  </w:style>
  <w:style w:type="paragraph" w:customStyle="1" w:styleId="81">
    <w:name w:val="表格文字"/>
    <w:basedOn w:val="13"/>
    <w:qFormat/>
    <w:uiPriority w:val="0"/>
    <w:pPr>
      <w:spacing w:before="20" w:after="20" w:line="360" w:lineRule="atLeast"/>
      <w:textAlignment w:val="baseline"/>
    </w:pPr>
    <w:rPr>
      <w:rFonts w:ascii="Century Gothic" w:hAnsi="Century Gothic"/>
      <w:sz w:val="20"/>
    </w:rPr>
  </w:style>
  <w:style w:type="paragraph" w:customStyle="1" w:styleId="82">
    <w:name w:val="目录1"/>
    <w:basedOn w:val="1"/>
    <w:qFormat/>
    <w:uiPriority w:val="0"/>
    <w:rPr>
      <w:rFonts w:ascii="黑体" w:eastAsia="黑体"/>
      <w:sz w:val="52"/>
      <w:szCs w:val="52"/>
    </w:rPr>
  </w:style>
  <w:style w:type="paragraph" w:customStyle="1" w:styleId="83">
    <w:name w:val="目录 11"/>
    <w:basedOn w:val="1"/>
    <w:next w:val="1"/>
    <w:uiPriority w:val="39"/>
    <w:pPr>
      <w:spacing w:before="120" w:after="120"/>
      <w:jc w:val="left"/>
    </w:pPr>
    <w:rPr>
      <w:rFonts w:ascii="Calibri" w:hAnsi="Calibri" w:cs="Calibri"/>
      <w:b/>
      <w:bCs/>
      <w:caps/>
      <w:sz w:val="20"/>
    </w:rPr>
  </w:style>
  <w:style w:type="paragraph" w:customStyle="1" w:styleId="84">
    <w:name w:val="目录 31"/>
    <w:basedOn w:val="1"/>
    <w:next w:val="1"/>
    <w:qFormat/>
    <w:uiPriority w:val="39"/>
    <w:pPr>
      <w:ind w:left="420"/>
      <w:jc w:val="left"/>
    </w:pPr>
    <w:rPr>
      <w:rFonts w:ascii="Calibri" w:hAnsi="Calibri" w:cs="Calibri"/>
      <w:i/>
      <w:iCs/>
      <w:sz w:val="20"/>
    </w:rPr>
  </w:style>
  <w:style w:type="paragraph" w:customStyle="1" w:styleId="85">
    <w:name w:val="列出段落11"/>
    <w:basedOn w:val="1"/>
    <w:qFormat/>
    <w:uiPriority w:val="34"/>
    <w:pPr>
      <w:ind w:firstLine="420"/>
    </w:pPr>
    <w:rPr>
      <w:rFonts w:ascii="Calibri" w:hAnsi="Calibri"/>
      <w:szCs w:val="22"/>
    </w:rPr>
  </w:style>
  <w:style w:type="paragraph" w:customStyle="1" w:styleId="86">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
    <w:name w:val="目录 81"/>
    <w:basedOn w:val="1"/>
    <w:next w:val="1"/>
    <w:qFormat/>
    <w:uiPriority w:val="0"/>
    <w:pPr>
      <w:ind w:left="1470"/>
      <w:jc w:val="left"/>
    </w:pPr>
    <w:rPr>
      <w:rFonts w:ascii="Calibri" w:hAnsi="Calibri" w:cs="Calibri"/>
      <w:sz w:val="18"/>
      <w:szCs w:val="18"/>
    </w:rPr>
  </w:style>
  <w:style w:type="paragraph" w:customStyle="1" w:styleId="88">
    <w:name w:val="Normal_43_0"/>
    <w:qFormat/>
    <w:uiPriority w:val="0"/>
    <w:pPr>
      <w:spacing w:before="120" w:after="240"/>
      <w:jc w:val="both"/>
    </w:pPr>
    <w:rPr>
      <w:rFonts w:ascii="Calibri" w:hAnsi="Calibri" w:eastAsia="Calibri" w:cs="Times New Roman"/>
      <w:sz w:val="22"/>
      <w:szCs w:val="22"/>
      <w:lang w:val="en-US" w:eastAsia="en-US" w:bidi="ar-SA"/>
    </w:rPr>
  </w:style>
  <w:style w:type="character" w:customStyle="1" w:styleId="89">
    <w:name w:val="无间隔 字符2"/>
    <w:qFormat/>
    <w:uiPriority w:val="1"/>
    <w:rPr>
      <w:sz w:val="22"/>
      <w:szCs w:val="22"/>
    </w:rPr>
  </w:style>
  <w:style w:type="character" w:customStyle="1" w:styleId="90">
    <w:name w:val="标题 2 字符1"/>
    <w:qFormat/>
    <w:uiPriority w:val="0"/>
    <w:rPr>
      <w:rFonts w:ascii="Arial" w:hAnsi="Arial" w:eastAsia="黑体"/>
      <w:bCs/>
      <w:sz w:val="28"/>
      <w:szCs w:val="32"/>
      <w:lang w:val="zh-CN" w:eastAsia="zh-CN"/>
    </w:rPr>
  </w:style>
  <w:style w:type="paragraph" w:styleId="9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2951</Words>
  <Characters>16821</Characters>
  <Lines>140</Lines>
  <Paragraphs>39</Paragraphs>
  <TotalTime>16</TotalTime>
  <ScaleCrop>false</ScaleCrop>
  <LinksUpToDate>false</LinksUpToDate>
  <CharactersWithSpaces>19733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2022-09-01T07:09:00Z</dcterms:created>
  <dc:creator>年越</dc:creator>
  <cp:lastModifiedBy>wanming.dl</cp:lastModifiedBy>
  <cp:lastPrinted>2018-10-16T08:06:00Z</cp:lastPrinted>
  <dcterms:modified xsi:type="dcterms:W3CDTF">2023-04-10T00:50:15Z</dcterms:modified>
  <dc:title>招标编号：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