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color w:val="auto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24"/>
          <w:highlight w:val="none"/>
          <w:lang w:val="en-US" w:eastAsia="zh-CN"/>
        </w:rPr>
        <w:t>1：国家企业信用信息公示系统查询方式</w:t>
      </w:r>
    </w:p>
    <w:p>
      <w:pPr>
        <w:spacing w:line="360" w:lineRule="auto"/>
        <w:ind w:firstLine="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fldChar w:fldCharType="begin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fldChar w:fldCharType="separate"/>
      </w:r>
      <w:r>
        <w:rPr>
          <w:rStyle w:val="14"/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fldChar w:fldCharType="end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，在查询窗口输入企业名称，点击查询。</w:t>
      </w:r>
    </w:p>
    <w:p>
      <w:pPr>
        <w:spacing w:line="360" w:lineRule="auto"/>
        <w:ind w:firstLine="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231775</wp:posOffset>
            </wp:positionV>
            <wp:extent cx="6244590" cy="3599815"/>
            <wp:effectExtent l="0" t="0" r="3810" b="635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459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  <w:br w:type="page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2、点击进入企业界面。</w:t>
      </w:r>
    </w:p>
    <w:p>
      <w:pPr>
        <w:bidi w:val="0"/>
        <w:spacing w:line="360" w:lineRule="auto"/>
        <w:ind w:firstLine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  <w:bookmarkStart w:id="0" w:name="_Toc5503"/>
      <w:bookmarkStart w:id="1" w:name="_Toc17064"/>
      <w:r>
        <w:rPr>
          <w:rFonts w:hint="eastAsia" w:ascii="仿宋" w:hAnsi="仿宋" w:eastAsia="仿宋" w:cs="仿宋"/>
          <w:color w:val="auto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104775</wp:posOffset>
            </wp:positionV>
            <wp:extent cx="6137275" cy="3891915"/>
            <wp:effectExtent l="0" t="0" r="15875" b="13335"/>
            <wp:wrapNone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7275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spacing w:line="360" w:lineRule="auto"/>
        <w:ind w:firstLine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spacing w:line="360" w:lineRule="auto"/>
        <w:ind w:firstLine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spacing w:line="360" w:lineRule="auto"/>
        <w:ind w:firstLine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spacing w:line="360" w:lineRule="auto"/>
        <w:ind w:firstLine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spacing w:line="360" w:lineRule="auto"/>
        <w:ind w:firstLine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spacing w:line="360" w:lineRule="auto"/>
        <w:ind w:firstLine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spacing w:line="360" w:lineRule="auto"/>
        <w:ind w:firstLine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spacing w:line="360" w:lineRule="auto"/>
        <w:ind w:firstLine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spacing w:line="360" w:lineRule="auto"/>
        <w:ind w:firstLine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numPr>
          <w:ilvl w:val="0"/>
          <w:numId w:val="1"/>
        </w:numPr>
        <w:bidi w:val="0"/>
        <w:spacing w:line="360" w:lineRule="auto"/>
        <w:ind w:firstLine="0" w:firstLineChars="0"/>
        <w:jc w:val="both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477520</wp:posOffset>
            </wp:positionV>
            <wp:extent cx="6603365" cy="3376295"/>
            <wp:effectExtent l="0" t="0" r="6985" b="14605"/>
            <wp:wrapNone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3365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bidi w:val="0"/>
        <w:spacing w:line="360" w:lineRule="auto"/>
        <w:ind w:firstLine="0"/>
        <w:jc w:val="both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  <w:sectPr>
          <w:pgSz w:w="11906" w:h="16838"/>
          <w:pgMar w:top="1417" w:right="1701" w:bottom="1417" w:left="1701" w:header="680" w:footer="680" w:gutter="0"/>
          <w:pgNumType w:fmt="decimal"/>
          <w:cols w:space="720" w:num="1"/>
          <w:titlePg/>
          <w:docGrid w:linePitch="312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color w:val="auto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24"/>
          <w:highlight w:val="none"/>
          <w:lang w:val="en-US" w:eastAsia="zh-CN"/>
        </w:rPr>
        <w:t>2：</w:t>
      </w:r>
      <w:bookmarkEnd w:id="0"/>
      <w:bookmarkEnd w:id="1"/>
      <w:r>
        <w:rPr>
          <w:rFonts w:hint="eastAsia" w:ascii="仿宋" w:hAnsi="仿宋" w:eastAsia="仿宋" w:cs="仿宋"/>
          <w:b/>
          <w:color w:val="auto"/>
          <w:sz w:val="24"/>
          <w:highlight w:val="none"/>
          <w:lang w:val="en-US" w:eastAsia="zh-CN"/>
        </w:rPr>
        <w:t>信用中国查询方式</w:t>
      </w:r>
    </w:p>
    <w:p>
      <w:pPr>
        <w:spacing w:line="360" w:lineRule="auto"/>
        <w:ind w:firstLine="0"/>
        <w:rPr>
          <w:rFonts w:hint="eastAsia" w:ascii="仿宋" w:hAnsi="仿宋" w:eastAsia="仿宋" w:cs="仿宋"/>
          <w:kern w:val="0"/>
          <w:szCs w:val="21"/>
        </w:rPr>
      </w:pPr>
      <w:r>
        <w:rPr>
          <w:rFonts w:hint="eastAsia" w:ascii="仿宋" w:hAnsi="仿宋" w:eastAsia="仿宋" w:cs="仿宋"/>
          <w:kern w:val="0"/>
          <w:szCs w:val="21"/>
          <w:lang w:val="en-US" w:eastAsia="zh-CN"/>
        </w:rPr>
        <w:t>1、</w:t>
      </w:r>
      <w:r>
        <w:rPr>
          <w:rFonts w:hint="eastAsia" w:ascii="仿宋" w:hAnsi="仿宋" w:eastAsia="仿宋" w:cs="仿宋"/>
          <w:kern w:val="0"/>
          <w:szCs w:val="21"/>
        </w:rPr>
        <w:t>国家信息中心主办“信用中国”网站地址：http://www.creditchina.gov.cn打开网页后，点击“信用服务”。</w:t>
      </w:r>
    </w:p>
    <w:p>
      <w:pPr>
        <w:spacing w:line="360" w:lineRule="auto"/>
        <w:ind w:firstLine="0"/>
        <w:jc w:val="both"/>
        <w:rPr>
          <w:rFonts w:hint="eastAsia" w:ascii="仿宋" w:hAnsi="仿宋" w:eastAsia="仿宋" w:cs="仿宋"/>
          <w:bCs/>
          <w:kern w:val="0"/>
          <w:szCs w:val="21"/>
        </w:rPr>
      </w:pPr>
      <w:r>
        <w:rPr>
          <w:rFonts w:hint="eastAsia" w:ascii="仿宋" w:hAnsi="仿宋" w:eastAsia="仿宋" w:cs="仿宋"/>
          <w:kern w:val="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538480</wp:posOffset>
            </wp:positionV>
            <wp:extent cx="6363335" cy="3590290"/>
            <wp:effectExtent l="0" t="0" r="18415" b="10160"/>
            <wp:wrapNone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333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</w:rPr>
        <w:br w:type="page"/>
      </w:r>
      <w:r>
        <w:rPr>
          <w:rFonts w:hint="eastAsia" w:ascii="仿宋" w:hAnsi="仿宋" w:eastAsia="仿宋" w:cs="仿宋"/>
          <w:lang w:val="en-US" w:eastAsia="zh-CN"/>
        </w:rPr>
        <w:t>2、</w:t>
      </w:r>
      <w:r>
        <w:rPr>
          <w:rFonts w:hint="eastAsia" w:ascii="仿宋" w:hAnsi="仿宋" w:eastAsia="仿宋" w:cs="仿宋"/>
          <w:bCs/>
          <w:kern w:val="0"/>
          <w:szCs w:val="21"/>
        </w:rPr>
        <w:t>在以下页面中点击“失信被执行人”</w:t>
      </w:r>
    </w:p>
    <w:p>
      <w:pPr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394325" cy="3373120"/>
            <wp:effectExtent l="0" t="0" r="15875" b="17780"/>
            <wp:docPr id="1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失信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napToGrid w:val="0"/>
        <w:spacing w:line="360" w:lineRule="auto"/>
        <w:ind w:left="0" w:leftChars="0" w:firstLine="480" w:firstLineChars="200"/>
        <w:rPr>
          <w:rFonts w:hint="eastAsia" w:ascii="仿宋" w:hAnsi="仿宋" w:eastAsia="仿宋" w:cs="仿宋"/>
          <w:kern w:val="0"/>
          <w:szCs w:val="21"/>
        </w:rPr>
      </w:pPr>
      <w:r>
        <w:rPr>
          <w:rFonts w:hint="eastAsia" w:ascii="仿宋" w:hAnsi="仿宋" w:eastAsia="仿宋" w:cs="仿宋"/>
          <w:kern w:val="0"/>
          <w:szCs w:val="21"/>
          <w:lang w:val="en-US" w:eastAsia="zh-CN"/>
        </w:rPr>
        <w:t>3、在弹出窗口进入链接网站，</w:t>
      </w:r>
      <w:r>
        <w:rPr>
          <w:rFonts w:hint="eastAsia" w:ascii="仿宋" w:hAnsi="仿宋" w:eastAsia="仿宋" w:cs="仿宋"/>
          <w:kern w:val="0"/>
          <w:szCs w:val="21"/>
        </w:rPr>
        <w:t>在查询窗口输入查询企业名称，将查询结果截图</w:t>
      </w:r>
      <w:r>
        <w:rPr>
          <w:rFonts w:hint="eastAsia" w:ascii="仿宋" w:hAnsi="仿宋" w:eastAsia="仿宋" w:cs="仿宋"/>
          <w:kern w:val="0"/>
          <w:szCs w:val="21"/>
          <w:lang w:eastAsia="zh-CN"/>
        </w:rPr>
        <w:t>。</w:t>
      </w:r>
    </w:p>
    <w:p>
      <w:pPr>
        <w:pStyle w:val="7"/>
        <w:spacing w:line="360" w:lineRule="auto"/>
        <w:ind w:firstLine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97170" cy="3054985"/>
            <wp:effectExtent l="0" t="0" r="17780" b="1206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left="0" w:leftChars="0" w:firstLine="560" w:firstLineChars="200"/>
        <w:rPr>
          <w:rFonts w:hint="eastAsia" w:ascii="仿宋" w:hAnsi="仿宋" w:eastAsia="仿宋" w:cs="仿宋"/>
        </w:rPr>
      </w:pPr>
    </w:p>
    <w:p>
      <w:pPr>
        <w:pStyle w:val="7"/>
        <w:spacing w:line="360" w:lineRule="auto"/>
        <w:ind w:firstLine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kern w:val="0"/>
          <w:szCs w:val="21"/>
          <w:lang w:eastAsia="zh-CN"/>
        </w:rPr>
        <w:drawing>
          <wp:inline distT="0" distB="0" distL="114300" distR="114300">
            <wp:extent cx="5622925" cy="2805430"/>
            <wp:effectExtent l="0" t="0" r="15875" b="13970"/>
            <wp:docPr id="32" name="图片 3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br w:type="page"/>
      </w:r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color w:val="auto"/>
          <w:sz w:val="24"/>
          <w:highlight w:val="none"/>
          <w:lang w:val="en-US" w:eastAsia="zh-CN"/>
        </w:rPr>
      </w:pPr>
      <w:bookmarkStart w:id="2" w:name="_Toc9085"/>
      <w:bookmarkStart w:id="3" w:name="_Toc15378"/>
      <w:bookmarkStart w:id="4" w:name="_Toc20502"/>
      <w:r>
        <w:rPr>
          <w:rFonts w:hint="eastAsia" w:ascii="仿宋" w:hAnsi="仿宋" w:eastAsia="仿宋" w:cs="仿宋"/>
          <w:b/>
          <w:color w:val="auto"/>
          <w:sz w:val="24"/>
          <w:highlight w:val="none"/>
          <w:lang w:val="en-US" w:eastAsia="zh-CN"/>
        </w:rPr>
        <w:t>3：中国裁判文书网查询方式</w:t>
      </w:r>
      <w:bookmarkEnd w:id="2"/>
      <w:bookmarkEnd w:id="3"/>
      <w:bookmarkEnd w:id="4"/>
    </w:p>
    <w:p>
      <w:pPr>
        <w:pStyle w:val="18"/>
        <w:spacing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b/>
          <w:color w:val="auto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highlight w:val="none"/>
          <w:lang w:eastAsia="zh-CN"/>
        </w:rPr>
        <w:t>、供应商查询</w:t>
      </w:r>
    </w:p>
    <w:p>
      <w:pPr>
        <w:spacing w:line="360" w:lineRule="auto"/>
        <w:ind w:firstLine="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（2）在全文检索中输入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“行贿罪”</w:t>
      </w:r>
      <w:r>
        <w:rPr>
          <w:rFonts w:hint="eastAsia" w:ascii="仿宋" w:hAnsi="仿宋" w:eastAsia="仿宋" w:cs="仿宋"/>
          <w:color w:val="auto"/>
          <w:highlight w:val="none"/>
        </w:rPr>
        <w:t>，并选择“全文”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（3）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在“当事人”处输入供应商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全称；</w:t>
      </w:r>
    </w:p>
    <w:p>
      <w:pPr>
        <w:spacing w:line="360" w:lineRule="auto"/>
        <w:ind w:firstLine="0"/>
        <w:rPr>
          <w:rFonts w:hint="eastAsia" w:ascii="仿宋" w:hAnsi="仿宋" w:eastAsia="仿宋" w:cs="仿宋"/>
          <w:color w:val="auto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（4）在裁判日期选择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（5）截取成功截图如下（须截取到左上角的时间）。</w:t>
      </w:r>
    </w:p>
    <w:p>
      <w:pPr>
        <w:pStyle w:val="18"/>
        <w:spacing w:line="360" w:lineRule="auto"/>
        <w:ind w:left="-480" w:leftChars="-200" w:firstLine="0" w:firstLineChars="0"/>
        <w:jc w:val="both"/>
        <w:rPr>
          <w:rFonts w:hint="eastAsia" w:ascii="仿宋" w:hAnsi="仿宋" w:eastAsia="仿宋" w:cs="仿宋"/>
          <w:b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eastAsia="zh-CN"/>
        </w:rPr>
        <w:drawing>
          <wp:inline distT="0" distB="0" distL="114300" distR="114300">
            <wp:extent cx="5779135" cy="3074670"/>
            <wp:effectExtent l="0" t="0" r="12065" b="11430"/>
            <wp:docPr id="21" name="图片 21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/>
          <w:color w:val="auto"/>
          <w:highlight w:val="none"/>
          <w:lang w:eastAsia="zh-CN"/>
        </w:rPr>
        <w:t>二、企业法定代表人查询</w:t>
      </w:r>
    </w:p>
    <w:p>
      <w:pPr>
        <w:spacing w:line="360" w:lineRule="auto"/>
        <w:ind w:firstLine="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highlight w:val="none"/>
        </w:rPr>
        <w:t>）在裁判日期选择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left="0" w:leftChars="0" w:firstLine="480" w:firstLineChars="200"/>
        <w:jc w:val="both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。</w:t>
      </w:r>
    </w:p>
    <w:p>
      <w:pPr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eastAsia="zh-CN"/>
        </w:rPr>
        <w:drawing>
          <wp:inline distT="0" distB="0" distL="114300" distR="114300">
            <wp:extent cx="5718810" cy="3206750"/>
            <wp:effectExtent l="0" t="0" r="15240" b="12700"/>
            <wp:docPr id="19" name="图片 19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1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2"/>
      </w:pPr>
    </w:p>
    <w:p>
      <w:pPr>
        <w:pStyle w:val="9"/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kern w:val="0"/>
          <w:sz w:val="24"/>
          <w:highlight w:val="none"/>
          <w:lang w:val="en-US" w:eastAsia="zh-CN"/>
        </w:rPr>
        <w:t>4、国家的税务局</w:t>
      </w:r>
      <w:r>
        <w:rPr>
          <w:rFonts w:hint="eastAsia" w:ascii="仿宋" w:hAnsi="仿宋" w:eastAsia="仿宋" w:cs="仿宋"/>
          <w:b/>
          <w:kern w:val="0"/>
          <w:sz w:val="24"/>
          <w:highlight w:val="none"/>
        </w:rPr>
        <w:t>网（http://www.chinatax.gov.cn/）截图流程</w:t>
      </w:r>
    </w:p>
    <w:p>
      <w:pPr>
        <w:pStyle w:val="17"/>
        <w:rPr>
          <w:rFonts w:hint="eastAsia" w:ascii="仿宋" w:hAnsi="仿宋" w:eastAsia="仿宋" w:cs="仿宋"/>
          <w:color w:val="auto"/>
          <w:kern w:val="0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0"/>
          <w:highlight w:val="none"/>
          <w:lang w:val="en-US" w:eastAsia="zh-CN" w:bidi="ar-SA"/>
        </w:rPr>
        <w:t>第一步：打开首页。</w:t>
      </w:r>
    </w:p>
    <w:p>
      <w:pPr>
        <w:pStyle w:val="9"/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kern w:val="0"/>
          <w:sz w:val="24"/>
          <w:highlight w:val="none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396865" cy="3441700"/>
            <wp:effectExtent l="0" t="0" r="13335" b="635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第二步：点击“税务服务”。</w:t>
      </w:r>
    </w:p>
    <w:p>
      <w:pPr>
        <w:pStyle w:val="17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481955" cy="3619500"/>
            <wp:effectExtent l="0" t="0" r="4445" b="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rPr>
          <w:rFonts w:hint="eastAsia" w:ascii="仿宋" w:hAnsi="仿宋" w:eastAsia="仿宋" w:cs="仿宋"/>
        </w:rPr>
      </w:pPr>
    </w:p>
    <w:p>
      <w:pPr>
        <w:pStyle w:val="17"/>
        <w:rPr>
          <w:rFonts w:hint="eastAsia" w:ascii="仿宋" w:hAnsi="仿宋" w:eastAsia="仿宋" w:cs="仿宋"/>
          <w:lang w:val="en-US" w:eastAsia="zh-CN"/>
        </w:rPr>
      </w:pPr>
    </w:p>
    <w:p>
      <w:pPr>
        <w:pStyle w:val="17"/>
        <w:rPr>
          <w:rFonts w:hint="eastAsia" w:ascii="仿宋" w:hAnsi="仿宋" w:eastAsia="仿宋" w:cs="仿宋"/>
          <w:color w:val="auto"/>
          <w:kern w:val="0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0"/>
          <w:highlight w:val="none"/>
          <w:lang w:val="en-US" w:eastAsia="zh-CN" w:bidi="ar-SA"/>
        </w:rPr>
        <w:t>第三步：选择“</w:t>
      </w:r>
      <w:r>
        <w:rPr>
          <w:rFonts w:hint="eastAsia" w:ascii="仿宋" w:hAnsi="仿宋" w:eastAsia="仿宋" w:cs="仿宋"/>
          <w:color w:val="auto"/>
          <w:kern w:val="0"/>
          <w:sz w:val="24"/>
          <w:szCs w:val="20"/>
          <w:highlight w:val="none"/>
          <w:lang w:val="en-US" w:eastAsia="zh-CN" w:bidi="ar-SA"/>
        </w:rPr>
        <w:fldChar w:fldCharType="begin"/>
      </w:r>
      <w:r>
        <w:rPr>
          <w:rFonts w:hint="eastAsia" w:ascii="仿宋" w:hAnsi="仿宋" w:eastAsia="仿宋" w:cs="仿宋"/>
          <w:color w:val="auto"/>
          <w:kern w:val="0"/>
          <w:sz w:val="24"/>
          <w:szCs w:val="20"/>
          <w:highlight w:val="none"/>
          <w:lang w:val="en-US" w:eastAsia="zh-CN" w:bidi="ar-SA"/>
        </w:rPr>
        <w:instrText xml:space="preserve"> HYPERLINK "http://www.chinatax.gov.cn/chinatax/c101249/n2020011502/index.html" \t "http://www.chinatax.gov.cn/chinatax/n810346/_blank" </w:instrText>
      </w:r>
      <w:r>
        <w:rPr>
          <w:rFonts w:hint="eastAsia" w:ascii="仿宋" w:hAnsi="仿宋" w:eastAsia="仿宋" w:cs="仿宋"/>
          <w:color w:val="auto"/>
          <w:kern w:val="0"/>
          <w:sz w:val="24"/>
          <w:szCs w:val="20"/>
          <w:highlight w:val="none"/>
          <w:lang w:val="en-US" w:eastAsia="zh-CN" w:bidi="ar-SA"/>
        </w:rPr>
        <w:fldChar w:fldCharType="separate"/>
      </w:r>
      <w:r>
        <w:rPr>
          <w:rFonts w:hint="eastAsia" w:ascii="仿宋" w:hAnsi="仿宋" w:eastAsia="仿宋" w:cs="仿宋"/>
          <w:color w:val="auto"/>
          <w:kern w:val="0"/>
          <w:sz w:val="24"/>
          <w:szCs w:val="20"/>
          <w:highlight w:val="none"/>
          <w:lang w:val="en-US" w:eastAsia="zh-CN" w:bidi="ar-SA"/>
        </w:rPr>
        <w:t>重大税收违法失信案件信息查询</w:t>
      </w:r>
      <w:r>
        <w:rPr>
          <w:rFonts w:hint="eastAsia" w:ascii="仿宋" w:hAnsi="仿宋" w:eastAsia="仿宋" w:cs="仿宋"/>
          <w:color w:val="auto"/>
          <w:kern w:val="0"/>
          <w:sz w:val="24"/>
          <w:szCs w:val="20"/>
          <w:highlight w:val="none"/>
          <w:lang w:val="en-US" w:eastAsia="zh-CN" w:bidi="ar-SA"/>
        </w:rPr>
        <w:fldChar w:fldCharType="end"/>
      </w:r>
      <w:r>
        <w:rPr>
          <w:rFonts w:hint="eastAsia" w:ascii="仿宋" w:hAnsi="仿宋" w:eastAsia="仿宋" w:cs="仿宋"/>
          <w:color w:val="auto"/>
          <w:kern w:val="0"/>
          <w:sz w:val="24"/>
          <w:szCs w:val="20"/>
          <w:highlight w:val="none"/>
          <w:lang w:val="en-US" w:eastAsia="zh-CN" w:bidi="ar-SA"/>
        </w:rPr>
        <w:t>”</w:t>
      </w:r>
    </w:p>
    <w:p>
      <w:pPr>
        <w:pStyle w:val="17"/>
        <w:rPr>
          <w:rFonts w:hint="eastAsia" w:ascii="仿宋" w:hAnsi="仿宋" w:eastAsia="仿宋" w:cs="仿宋"/>
          <w:lang w:val="en-US" w:eastAsia="zh-CN"/>
        </w:rPr>
      </w:pPr>
    </w:p>
    <w:p>
      <w:pPr>
        <w:pStyle w:val="17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509260" cy="3704590"/>
            <wp:effectExtent l="0" t="0" r="15240" b="1016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color w:val="auto"/>
          <w:kern w:val="0"/>
          <w:sz w:val="24"/>
          <w:szCs w:val="20"/>
          <w:highlight w:val="none"/>
          <w:lang w:val="en-US" w:eastAsia="zh-CN" w:bidi="ar-SA"/>
        </w:rPr>
      </w:pPr>
    </w:p>
    <w:p>
      <w:pPr>
        <w:pStyle w:val="17"/>
        <w:rPr>
          <w:rFonts w:hint="eastAsia" w:ascii="仿宋" w:hAnsi="仿宋" w:eastAsia="仿宋" w:cs="仿宋"/>
          <w:color w:val="auto"/>
          <w:kern w:val="0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0"/>
          <w:highlight w:val="none"/>
          <w:lang w:val="en-US" w:eastAsia="zh-CN" w:bidi="ar-SA"/>
        </w:rPr>
        <w:t>第四步：请查询公司归属地截图：</w:t>
      </w:r>
    </w:p>
    <w:p>
      <w:pPr>
        <w:pStyle w:val="17"/>
        <w:rPr>
          <w:rFonts w:hint="eastAsia" w:ascii="仿宋" w:hAnsi="仿宋" w:eastAsia="仿宋" w:cs="仿宋"/>
          <w:color w:val="auto"/>
          <w:kern w:val="0"/>
          <w:sz w:val="24"/>
          <w:szCs w:val="20"/>
          <w:highlight w:val="none"/>
          <w:lang w:val="en-US" w:eastAsia="zh-CN" w:bidi="ar-SA"/>
        </w:rPr>
      </w:pPr>
      <w:bookmarkStart w:id="5" w:name="_GoBack"/>
      <w:r>
        <w:rPr>
          <w:rFonts w:hint="eastAsia" w:ascii="仿宋" w:hAnsi="仿宋" w:eastAsia="仿宋" w:cs="仿宋"/>
        </w:rPr>
        <w:drawing>
          <wp:inline distT="0" distB="0" distL="114300" distR="114300">
            <wp:extent cx="5558790" cy="4090035"/>
            <wp:effectExtent l="0" t="0" r="3810" b="571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409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>
      <w:pPr>
        <w:pStyle w:val="17"/>
        <w:rPr>
          <w:rFonts w:hint="eastAsia" w:ascii="仿宋" w:hAnsi="仿宋" w:eastAsia="仿宋" w:cs="仿宋"/>
          <w:color w:val="auto"/>
          <w:kern w:val="0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0"/>
          <w:highlight w:val="none"/>
          <w:lang w:val="en-US" w:eastAsia="zh-CN" w:bidi="ar-SA"/>
        </w:rPr>
        <w:t>第五步：输入基本信息</w:t>
      </w:r>
    </w:p>
    <w:p>
      <w:pPr>
        <w:ind w:left="0" w:leftChars="0" w:firstLine="0" w:firstLineChars="0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352415" cy="3231515"/>
            <wp:effectExtent l="0" t="0" r="635" b="6985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ascii="仿宋" w:hAnsi="仿宋" w:eastAsia="仿宋" w:cs="仿宋"/>
        </w:rPr>
      </w:pPr>
    </w:p>
    <w:p>
      <w:pPr>
        <w:pStyle w:val="2"/>
        <w:rPr>
          <w:rFonts w:hint="eastAsia" w:ascii="仿宋" w:hAnsi="仿宋" w:eastAsia="仿宋" w:cs="仿宋"/>
        </w:rPr>
      </w:pPr>
    </w:p>
    <w:p>
      <w:pPr>
        <w:pStyle w:val="15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  <w:pPr>
        <w:ind w:left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ZkYTVlMDM1OWJjM2NlYTFiMmU5OTQ5ZWUwNmQzOTkifQ=="/>
  </w:docVars>
  <w:rsids>
    <w:rsidRoot w:val="07AF3E4A"/>
    <w:rsid w:val="07AF3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character" w:default="1" w:styleId="13">
    <w:name w:val="Default Paragraph Font"/>
    <w:semiHidden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6"/>
    <w:qFormat/>
    <w:uiPriority w:val="0"/>
    <w:pPr>
      <w:ind w:left="0" w:leftChars="0" w:firstLine="420"/>
    </w:pPr>
    <w:rPr>
      <w:rFonts w:ascii="Times New Roman" w:hAnsi="Times New Roman" w:eastAsia="宋体" w:cs="Times New Roman"/>
      <w:szCs w:val="24"/>
    </w:rPr>
  </w:style>
  <w:style w:type="paragraph" w:styleId="3">
    <w:name w:val="Body Text Indent"/>
    <w:basedOn w:val="1"/>
    <w:next w:val="4"/>
    <w:unhideWhenUsed/>
    <w:qFormat/>
    <w:uiPriority w:val="0"/>
    <w:pPr>
      <w:spacing w:after="120"/>
      <w:ind w:left="420" w:leftChars="200"/>
    </w:pPr>
  </w:style>
  <w:style w:type="paragraph" w:customStyle="1" w:styleId="4">
    <w:name w:val="p16"/>
    <w:basedOn w:val="1"/>
    <w:next w:val="5"/>
    <w:qFormat/>
    <w:uiPriority w:val="0"/>
    <w:pPr>
      <w:widowControl/>
      <w:spacing w:line="360" w:lineRule="auto"/>
      <w:ind w:firstLine="420"/>
    </w:pPr>
    <w:rPr>
      <w:kern w:val="0"/>
      <w:sz w:val="24"/>
    </w:rPr>
  </w:style>
  <w:style w:type="paragraph" w:styleId="5">
    <w:name w:val="toc 2"/>
    <w:basedOn w:val="1"/>
    <w:next w:val="1"/>
    <w:unhideWhenUsed/>
    <w:qFormat/>
    <w:uiPriority w:val="0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6">
    <w:name w:val="Body Text First Indent"/>
    <w:basedOn w:val="7"/>
    <w:next w:val="1"/>
    <w:qFormat/>
    <w:uiPriority w:val="0"/>
    <w:pPr>
      <w:spacing w:line="360" w:lineRule="auto"/>
      <w:ind w:firstLine="420" w:firstLineChars="100"/>
    </w:pPr>
    <w:rPr>
      <w:rFonts w:eastAsiaTheme="minorEastAsia" w:cstheme="minorBidi"/>
      <w:sz w:val="24"/>
      <w:szCs w:val="20"/>
    </w:rPr>
  </w:style>
  <w:style w:type="paragraph" w:styleId="7">
    <w:name w:val="Body Text"/>
    <w:basedOn w:val="1"/>
    <w:next w:val="8"/>
    <w:qFormat/>
    <w:uiPriority w:val="0"/>
    <w:rPr>
      <w:rFonts w:ascii="宋体" w:hAnsi="宋体" w:eastAsia="宋体" w:cs="Times New Roman"/>
      <w:kern w:val="0"/>
      <w:sz w:val="28"/>
    </w:rPr>
  </w:style>
  <w:style w:type="paragraph" w:styleId="8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 w:cs="Times New Roman"/>
      <w:b/>
      <w:bCs/>
      <w:sz w:val="32"/>
      <w:szCs w:val="32"/>
    </w:rPr>
  </w:style>
  <w:style w:type="paragraph" w:styleId="9">
    <w:name w:val="Normal Indent"/>
    <w:basedOn w:val="1"/>
    <w:next w:val="10"/>
    <w:qFormat/>
    <w:uiPriority w:val="0"/>
    <w:pPr>
      <w:widowControl/>
      <w:ind w:firstLine="420"/>
      <w:jc w:val="left"/>
    </w:pPr>
    <w:rPr>
      <w:kern w:val="0"/>
      <w:sz w:val="20"/>
      <w:szCs w:val="20"/>
    </w:rPr>
  </w:style>
  <w:style w:type="paragraph" w:styleId="10">
    <w:name w:val="Plain Text"/>
    <w:basedOn w:val="1"/>
    <w:next w:val="11"/>
    <w:unhideWhenUsed/>
    <w:qFormat/>
    <w:uiPriority w:val="0"/>
    <w:rPr>
      <w:rFonts w:ascii="宋体" w:hAnsi="Courier New" w:eastAsia="宋体" w:cs="Courier New"/>
      <w:kern w:val="0"/>
      <w:szCs w:val="21"/>
    </w:rPr>
  </w:style>
  <w:style w:type="paragraph" w:styleId="11">
    <w:name w:val="Date"/>
    <w:basedOn w:val="1"/>
    <w:next w:val="1"/>
    <w:unhideWhenUsed/>
    <w:qFormat/>
    <w:uiPriority w:val="0"/>
    <w:pPr>
      <w:ind w:left="100" w:leftChars="2500"/>
    </w:pPr>
  </w:style>
  <w:style w:type="character" w:styleId="14">
    <w:name w:val="Hyperlink"/>
    <w:basedOn w:val="13"/>
    <w:qFormat/>
    <w:uiPriority w:val="99"/>
    <w:rPr>
      <w:color w:val="0000FF"/>
      <w:u w:val="single"/>
    </w:rPr>
  </w:style>
  <w:style w:type="paragraph" w:customStyle="1" w:styleId="15">
    <w:name w:val="无间隔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6">
    <w:name w:val=" Char"/>
    <w:basedOn w:val="1"/>
    <w:semiHidden/>
    <w:qFormat/>
    <w:uiPriority w:val="0"/>
  </w:style>
  <w:style w:type="paragraph" w:customStyle="1" w:styleId="17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18">
    <w:name w:val="_Style 6"/>
    <w:basedOn w:val="1"/>
    <w:next w:val="19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2023-06-19T06:51:00Z</dcterms:created>
  <dc:creator>小雅</dc:creator>
  <cp:lastModifiedBy>小雅</cp:lastModifiedBy>
  <dcterms:modified xsi:type="dcterms:W3CDTF">2023-06-19T06:58:35Z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B0062B95551B45319F90FD78634BD436_11</vt:lpwstr>
  </property>
</Properties>
</file>